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6692" w:rsidP="00555361" w:rsidRDefault="006B6E43" w14:paraId="6CF20F51" w14:textId="0DFD042C">
      <w:pPr>
        <w:pStyle w:val="Heading2"/>
        <w:numPr>
          <w:ilvl w:val="0"/>
          <w:numId w:val="0"/>
        </w:numPr>
        <w:rPr>
          <w:rFonts w:ascii="Times New Roman" w:hAnsi="Times New Roman"/>
          <w:sz w:val="28"/>
          <w:szCs w:val="28"/>
        </w:rPr>
      </w:pPr>
      <w:bookmarkStart w:name="_Toc474226790" w:id="0"/>
      <w:bookmarkStart w:name="_Toc492038875" w:id="1"/>
      <w:r w:rsidRPr="00DE55FC">
        <w:rPr>
          <w:rFonts w:ascii="Times New Roman" w:hAnsi="Times New Roman"/>
          <w:sz w:val="28"/>
          <w:szCs w:val="28"/>
        </w:rPr>
        <w:t xml:space="preserve">Attachment </w:t>
      </w:r>
      <w:r>
        <w:rPr>
          <w:rFonts w:ascii="Times New Roman" w:hAnsi="Times New Roman"/>
          <w:sz w:val="28"/>
          <w:szCs w:val="28"/>
        </w:rPr>
        <w:t>9</w:t>
      </w:r>
      <w:r w:rsidRPr="00DE55FC">
        <w:rPr>
          <w:rFonts w:ascii="Times New Roman" w:hAnsi="Times New Roman"/>
          <w:sz w:val="28"/>
          <w:szCs w:val="28"/>
        </w:rPr>
        <w:t xml:space="preserve">. </w:t>
      </w:r>
      <w:r w:rsidRPr="006B6E43" w:rsidR="002D16F1">
        <w:rPr>
          <w:rFonts w:ascii="Times New Roman" w:hAnsi="Times New Roman"/>
          <w:sz w:val="28"/>
          <w:szCs w:val="28"/>
        </w:rPr>
        <w:t xml:space="preserve">Revised </w:t>
      </w:r>
      <w:r w:rsidRPr="006B6E43" w:rsidR="00B16692">
        <w:rPr>
          <w:rFonts w:ascii="Times New Roman" w:hAnsi="Times New Roman"/>
          <w:sz w:val="28"/>
          <w:szCs w:val="28"/>
        </w:rPr>
        <w:t>Power and Sample Size Calculations</w:t>
      </w:r>
      <w:bookmarkEnd w:id="0"/>
      <w:bookmarkEnd w:id="1"/>
    </w:p>
    <w:p w:rsidRPr="006B6E43" w:rsidR="006B6E43" w:rsidP="006B6E43" w:rsidRDefault="006B6E43" w14:paraId="3E95C23C" w14:textId="77777777">
      <w:bookmarkStart w:name="_GoBack" w:id="2"/>
      <w:bookmarkEnd w:id="2"/>
    </w:p>
    <w:p w:rsidRPr="001702ED" w:rsidR="00B16692" w:rsidP="00B16692" w:rsidRDefault="00B16692" w14:paraId="1D428BFE" w14:textId="77777777">
      <w:pPr>
        <w:spacing w:after="160" w:line="320" w:lineRule="exact"/>
        <w:rPr>
          <w:i/>
          <w:sz w:val="18"/>
          <w:szCs w:val="18"/>
        </w:rPr>
      </w:pPr>
      <w:r w:rsidRPr="001702ED">
        <w:rPr>
          <w:rFonts w:eastAsia="Times New Roman"/>
          <w:snapToGrid w:val="0"/>
          <w:szCs w:val="20"/>
        </w:rPr>
        <w:t xml:space="preserve">The goal of the study is to </w:t>
      </w:r>
      <w:r>
        <w:rPr>
          <w:rFonts w:eastAsia="Times New Roman"/>
          <w:snapToGrid w:val="0"/>
          <w:szCs w:val="20"/>
        </w:rPr>
        <w:t>conduct an epidemiologic, mixed-methods evaluation of MAT in real-world outpatient settings</w:t>
      </w:r>
      <w:r w:rsidRPr="001702ED">
        <w:rPr>
          <w:rFonts w:eastAsia="Times New Roman"/>
          <w:snapToGrid w:val="0"/>
          <w:szCs w:val="20"/>
        </w:rPr>
        <w:t xml:space="preserve">, incorporating characteristics for the site along with client-level covariates. The study is not powered to conduct site-level comparisons. </w:t>
      </w:r>
    </w:p>
    <w:p w:rsidR="00AB1055" w:rsidP="00B16692" w:rsidRDefault="00B16692" w14:paraId="7F891429" w14:textId="645BC92D">
      <w:pPr>
        <w:pStyle w:val="BodyText"/>
      </w:pPr>
      <w:r w:rsidRPr="001702ED">
        <w:t xml:space="preserve">RTI used a conservative approach for the </w:t>
      </w:r>
      <w:r w:rsidR="001A48B1">
        <w:t xml:space="preserve">original </w:t>
      </w:r>
      <w:r w:rsidRPr="001702ED">
        <w:t>power calculation</w:t>
      </w:r>
      <w:r w:rsidR="00603F20">
        <w:t>s</w:t>
      </w:r>
      <w:r w:rsidRPr="001702ED">
        <w:t xml:space="preserve"> </w:t>
      </w:r>
      <w:r w:rsidR="001A48B1">
        <w:t xml:space="preserve">presented in our initial </w:t>
      </w:r>
      <w:r w:rsidR="005D1DC4">
        <w:t>response to the MAT S</w:t>
      </w:r>
      <w:r w:rsidR="001A48B1">
        <w:t xml:space="preserve">tudy </w:t>
      </w:r>
      <w:r w:rsidR="005D1DC4">
        <w:t>RFP</w:t>
      </w:r>
      <w:r w:rsidR="001A48B1">
        <w:t xml:space="preserve"> </w:t>
      </w:r>
      <w:r w:rsidRPr="001702ED">
        <w:t xml:space="preserve">to determine the number of clients needed at the end of the 2-year observation period. Inputs to the </w:t>
      </w:r>
      <w:r w:rsidR="001A48B1">
        <w:t xml:space="preserve">initial </w:t>
      </w:r>
      <w:r w:rsidRPr="001702ED">
        <w:t>power calculation</w:t>
      </w:r>
      <w:r w:rsidR="001A48B1">
        <w:t>s</w:t>
      </w:r>
      <w:r w:rsidRPr="001702ED">
        <w:t xml:space="preserve"> included a </w:t>
      </w:r>
      <w:bookmarkStart w:name="_Hlk530059455" w:id="3"/>
      <w:r w:rsidRPr="001702ED">
        <w:t xml:space="preserve">50 percent </w:t>
      </w:r>
      <w:r w:rsidR="001A48B1">
        <w:t xml:space="preserve">opioid </w:t>
      </w:r>
      <w:r w:rsidRPr="001702ED">
        <w:t>abstinence rate</w:t>
      </w:r>
      <w:bookmarkEnd w:id="3"/>
      <w:r w:rsidRPr="001702ED">
        <w:t xml:space="preserve"> </w:t>
      </w:r>
      <w:r w:rsidRPr="00F07EEA">
        <w:t>for all fo</w:t>
      </w:r>
      <w:r>
        <w:t>ur treatment arms</w:t>
      </w:r>
      <w:r w:rsidR="001A48B1">
        <w:t xml:space="preserve">. Though opioid abstinence rates may differ from 50 percent, this value produced a relatively large variance compared to other rates and a corresponding conservative increase in the required sample size. Additionally, we </w:t>
      </w:r>
      <w:r w:rsidR="00FF5553">
        <w:t xml:space="preserve">originally </w:t>
      </w:r>
      <w:r w:rsidR="001A48B1">
        <w:t>assumed</w:t>
      </w:r>
      <w:r>
        <w:t xml:space="preserve"> </w:t>
      </w:r>
      <w:r w:rsidRPr="001702ED">
        <w:t>descriptive instead of model-based statistics</w:t>
      </w:r>
      <w:r w:rsidR="001A48B1">
        <w:t>. W</w:t>
      </w:r>
      <w:r w:rsidRPr="001702ED">
        <w:t xml:space="preserve">ithout the benefits of covariates to lower the model errors, our </w:t>
      </w:r>
      <w:r w:rsidR="007D690D">
        <w:t xml:space="preserve">descriptive </w:t>
      </w:r>
      <w:r w:rsidRPr="001702ED">
        <w:t xml:space="preserve">approach </w:t>
      </w:r>
      <w:r w:rsidR="001A48B1">
        <w:t xml:space="preserve">also </w:t>
      </w:r>
      <w:r w:rsidRPr="001702ED">
        <w:t>produced slightly larger variance</w:t>
      </w:r>
      <w:r w:rsidR="007D690D">
        <w:t>s</w:t>
      </w:r>
      <w:r w:rsidRPr="001702ED">
        <w:t xml:space="preserve"> than </w:t>
      </w:r>
      <w:r w:rsidR="007D690D">
        <w:t xml:space="preserve">what we would </w:t>
      </w:r>
      <w:r w:rsidRPr="001702ED">
        <w:t>expect</w:t>
      </w:r>
      <w:r w:rsidR="007D690D">
        <w:t xml:space="preserve"> in our planned analyses</w:t>
      </w:r>
      <w:r w:rsidRPr="001702ED">
        <w:t>.</w:t>
      </w:r>
      <w:r>
        <w:rPr>
          <w:rStyle w:val="FootnoteReference"/>
        </w:rPr>
        <w:footnoteReference w:id="1"/>
      </w:r>
      <w:r w:rsidRPr="001702ED">
        <w:t xml:space="preserve"> </w:t>
      </w:r>
    </w:p>
    <w:p w:rsidR="00AB1055" w:rsidP="00B16692" w:rsidRDefault="00AB1055" w14:paraId="3CBDDA1B" w14:textId="2E07110D">
      <w:pPr>
        <w:pStyle w:val="BodyText"/>
      </w:pPr>
      <w:r>
        <w:t xml:space="preserve">RTI </w:t>
      </w:r>
      <w:r w:rsidR="00FF5553">
        <w:t xml:space="preserve">has </w:t>
      </w:r>
      <w:r>
        <w:t>revisited the assumptions used in the original power calculations. Borrowing information from more recent</w:t>
      </w:r>
      <w:r w:rsidR="00A93351">
        <w:t>ly</w:t>
      </w:r>
      <w:r>
        <w:t xml:space="preserve"> published research and field experience to date, we determined that a smaller sample size than originally proposed would still allow </w:t>
      </w:r>
      <w:r w:rsidR="002C1AC5">
        <w:t xml:space="preserve">us to </w:t>
      </w:r>
      <w:r>
        <w:t>meet the analytic needs for a successful MAT Study. Details of the revised power calculations are provided below.</w:t>
      </w:r>
    </w:p>
    <w:p w:rsidR="007051A0" w:rsidP="0033461B" w:rsidRDefault="007D690D" w14:paraId="72F80C94" w14:textId="63894752">
      <w:pPr>
        <w:pStyle w:val="BodyText"/>
      </w:pPr>
      <w:r>
        <w:t>Study r</w:t>
      </w:r>
      <w:r w:rsidRPr="006C055A">
        <w:t xml:space="preserve">etention </w:t>
      </w:r>
      <w:r w:rsidRPr="006C055A" w:rsidR="00B16692">
        <w:t xml:space="preserve">rates </w:t>
      </w:r>
      <w:r w:rsidR="00B16692">
        <w:t>were used to inflate the 24-month sample size</w:t>
      </w:r>
      <w:r>
        <w:t>s</w:t>
      </w:r>
      <w:r w:rsidR="00B16692">
        <w:t xml:space="preserve"> obtained from the power calculation</w:t>
      </w:r>
      <w:r w:rsidR="00AB1055">
        <w:t xml:space="preserve">. This step </w:t>
      </w:r>
      <w:r w:rsidR="00B16692">
        <w:t>account</w:t>
      </w:r>
      <w:r w:rsidR="00AB1055">
        <w:t>s</w:t>
      </w:r>
      <w:r w:rsidR="00B16692">
        <w:t xml:space="preserve"> for loss from, for example, clients who drop out of the study </w:t>
      </w:r>
      <w:r>
        <w:t xml:space="preserve">or who we are unable to locate </w:t>
      </w:r>
      <w:r w:rsidR="00B16692">
        <w:t xml:space="preserve">after </w:t>
      </w:r>
      <w:r>
        <w:t xml:space="preserve">completing </w:t>
      </w:r>
      <w:r w:rsidR="00B16692">
        <w:t>the Baseline Client Questionnaire.</w:t>
      </w:r>
      <w:r w:rsidR="00AB1055">
        <w:rPr>
          <w:rStyle w:val="FootnoteReference"/>
        </w:rPr>
        <w:footnoteReference w:id="2"/>
      </w:r>
      <w:r w:rsidR="00B16692">
        <w:t xml:space="preserve"> </w:t>
      </w:r>
      <w:r w:rsidR="00721226">
        <w:t>We estimated t</w:t>
      </w:r>
      <w:r w:rsidR="00B16692">
        <w:t xml:space="preserve">he values for the </w:t>
      </w:r>
      <w:r w:rsidR="00721226">
        <w:t xml:space="preserve">study retention </w:t>
      </w:r>
      <w:r w:rsidR="00B16692">
        <w:t xml:space="preserve">rates </w:t>
      </w:r>
      <w:r w:rsidR="00721226">
        <w:t xml:space="preserve">based on </w:t>
      </w:r>
      <w:r w:rsidRPr="006C055A" w:rsidR="00B16692">
        <w:t>prior experience</w:t>
      </w:r>
      <w:r w:rsidR="00B16692">
        <w:t xml:space="preserve"> </w:t>
      </w:r>
      <w:r w:rsidR="00721226">
        <w:t xml:space="preserve">from </w:t>
      </w:r>
      <w:r w:rsidR="00B16692">
        <w:t xml:space="preserve">across the RTI project team. </w:t>
      </w:r>
      <w:r w:rsidRPr="00721226" w:rsidR="00721226">
        <w:t>RTI assumes that the study retention rates will be relatively equal across the treatment conditions.</w:t>
      </w:r>
      <w:r w:rsidR="007051A0">
        <w:t xml:space="preserve"> This corresponds, for example, with results from the START Study (</w:t>
      </w:r>
      <w:proofErr w:type="spellStart"/>
      <w:r w:rsidR="007051A0">
        <w:t>Hser</w:t>
      </w:r>
      <w:proofErr w:type="spellEnd"/>
      <w:r w:rsidR="007051A0">
        <w:t xml:space="preserve"> et al. 2015), a multisite, randomized comparative study of MMT and BUP, where 73.6% MMT and 73.7% BUP study participants were recontacted 2-8 years after treatment initiation.</w:t>
      </w:r>
      <w:r w:rsidR="00AD1472">
        <w:t xml:space="preserve"> </w:t>
      </w:r>
    </w:p>
    <w:p w:rsidR="00B16692" w:rsidP="00B16692" w:rsidRDefault="00B16692" w14:paraId="5464D1AE" w14:textId="27E8C572">
      <w:pPr>
        <w:pStyle w:val="BodyText"/>
      </w:pPr>
      <w:r>
        <w:t xml:space="preserve">The MAT Study protocols used to retain clients follow those </w:t>
      </w:r>
      <w:r w:rsidRPr="006C055A">
        <w:t xml:space="preserve">discussed in, for example, </w:t>
      </w:r>
      <w:r>
        <w:t xml:space="preserve">Lynn (2009, Chapters 10 and 12) and </w:t>
      </w:r>
      <w:r w:rsidRPr="006C055A">
        <w:t>Desmond, et al. (1995)</w:t>
      </w:r>
      <w:r w:rsidR="00721226">
        <w:t xml:space="preserve">; these researchers </w:t>
      </w:r>
      <w:r>
        <w:t>maintained a 98 percent retention rate after a one-year period</w:t>
      </w:r>
      <w:r w:rsidR="00721226">
        <w:t>, a level considered to unrealistic for studies of today</w:t>
      </w:r>
      <w:r w:rsidRPr="006C055A">
        <w:t>.</w:t>
      </w:r>
      <w:r>
        <w:t xml:space="preserve"> Additional details on the </w:t>
      </w:r>
      <w:r w:rsidR="007D690D">
        <w:t xml:space="preserve">study </w:t>
      </w:r>
      <w:r>
        <w:t>retention protocols is found in the MAT Study</w:t>
      </w:r>
      <w:r w:rsidRPr="006E67A4">
        <w:t xml:space="preserve"> </w:t>
      </w:r>
      <w:r w:rsidRPr="006E67A4">
        <w:rPr>
          <w:i/>
        </w:rPr>
        <w:t>Plan to Recruit Sites and Study Participants</w:t>
      </w:r>
      <w:r w:rsidRPr="006C055A">
        <w:t>.</w:t>
      </w:r>
    </w:p>
    <w:p w:rsidR="004106A9" w:rsidRDefault="004106A9" w14:paraId="6AA478D8" w14:textId="77777777">
      <w:pPr>
        <w:spacing w:after="160" w:line="259" w:lineRule="auto"/>
        <w:rPr>
          <w:u w:val="single"/>
        </w:rPr>
      </w:pPr>
      <w:r>
        <w:rPr>
          <w:u w:val="single"/>
        </w:rPr>
        <w:lastRenderedPageBreak/>
        <w:br w:type="page"/>
      </w:r>
    </w:p>
    <w:p w:rsidR="00B16692" w:rsidP="00B16692" w:rsidRDefault="00B16692" w14:paraId="3EC50CB0" w14:textId="556A50A4">
      <w:pPr>
        <w:spacing w:before="360" w:after="160" w:line="320" w:lineRule="exact"/>
        <w:rPr>
          <w:u w:val="single"/>
        </w:rPr>
      </w:pPr>
      <w:r>
        <w:rPr>
          <w:u w:val="single"/>
        </w:rPr>
        <w:lastRenderedPageBreak/>
        <w:t xml:space="preserve">Power Calculation </w:t>
      </w:r>
      <w:r w:rsidR="0036616F">
        <w:rPr>
          <w:u w:val="single"/>
        </w:rPr>
        <w:t>Results</w:t>
      </w:r>
    </w:p>
    <w:p w:rsidR="00B16692" w:rsidP="00B16692" w:rsidRDefault="00B16692" w14:paraId="28848D50" w14:textId="402BE08C">
      <w:pPr>
        <w:spacing w:after="160" w:line="320" w:lineRule="exact"/>
      </w:pPr>
      <w:bookmarkStart w:name="_Hlk497249385" w:id="4"/>
      <w:r w:rsidRPr="00621C39">
        <w:rPr>
          <w:b/>
          <w:bCs/>
          <w:i/>
          <w:iCs/>
        </w:rPr>
        <w:t xml:space="preserve">Table </w:t>
      </w:r>
      <w:r>
        <w:rPr>
          <w:b/>
          <w:bCs/>
          <w:i/>
          <w:iCs/>
        </w:rPr>
        <w:t>3-1</w:t>
      </w:r>
      <w:r>
        <w:t xml:space="preserve"> contains the number of </w:t>
      </w:r>
      <w:r w:rsidR="00414B7D">
        <w:t xml:space="preserve">primary </w:t>
      </w:r>
      <w:r>
        <w:t>study sites</w:t>
      </w:r>
      <w:r w:rsidR="00AF04DB">
        <w:t xml:space="preserve"> needed</w:t>
      </w:r>
      <w:r>
        <w:t xml:space="preserve"> to fulfill the initial analytic objectives for the MAT Study outlined above. The result (i.e., 37 sites) was originally increased to allow for an even number of sites chosen by MSA for the MAT Study. </w:t>
      </w:r>
      <w:r w:rsidR="00785526">
        <w:t>To date, t</w:t>
      </w:r>
      <w:r>
        <w:t xml:space="preserve">he MAT Study has exceeded the goal of 37 </w:t>
      </w:r>
      <w:r w:rsidR="00F212A4">
        <w:t xml:space="preserve">primary </w:t>
      </w:r>
      <w:r>
        <w:t>sites</w:t>
      </w:r>
      <w:r w:rsidR="00F212A4">
        <w:t xml:space="preserve"> by </w:t>
      </w:r>
      <w:r w:rsidR="000775DD">
        <w:t xml:space="preserve">11 </w:t>
      </w:r>
      <w:r w:rsidR="00F212A4">
        <w:t>(</w:t>
      </w:r>
      <w:r w:rsidR="000775DD">
        <w:t xml:space="preserve">48 </w:t>
      </w:r>
      <w:r w:rsidR="00F212A4">
        <w:t>primary site plus 4 feeder sites)</w:t>
      </w:r>
      <w:r w:rsidR="00D959EC">
        <w:t xml:space="preserve"> and </w:t>
      </w:r>
      <w:r w:rsidR="00F44F00">
        <w:t xml:space="preserve">we did not revisit </w:t>
      </w:r>
      <w:r w:rsidR="00D959EC">
        <w:t>this portion of the power calculation.</w:t>
      </w:r>
      <w:r w:rsidR="000775DD">
        <w:rPr>
          <w:rStyle w:val="FootnoteReference"/>
        </w:rPr>
        <w:footnoteReference w:id="3"/>
      </w:r>
      <w:r w:rsidR="00D959EC">
        <w:t xml:space="preserve"> Note that site recruitment efforts indicated that a balanced design was not feasible because of the differential site distribution across the MSAs</w:t>
      </w:r>
      <w:r>
        <w:t>.</w:t>
      </w:r>
      <w:r w:rsidR="00AF04DB">
        <w:t xml:space="preserve"> </w:t>
      </w:r>
    </w:p>
    <w:p w:rsidR="00B16692" w:rsidP="00B16692" w:rsidRDefault="00B16692" w14:paraId="081D3994" w14:textId="61CD5849">
      <w:pPr>
        <w:pStyle w:val="TableTitle"/>
        <w:jc w:val="center"/>
        <w:rPr>
          <w:rFonts w:ascii="Times New Roman" w:hAnsi="Times New Roman" w:eastAsia="Times New Roman"/>
          <w:b w:val="0"/>
          <w:bCs w:val="0"/>
        </w:rPr>
      </w:pPr>
      <w:bookmarkStart w:name="_Toc529194615" w:id="5"/>
      <w:bookmarkEnd w:id="4"/>
      <w:r w:rsidRPr="00BE1788">
        <w:t xml:space="preserve">Table </w:t>
      </w:r>
      <w:r w:rsidR="00297B36">
        <w:rPr>
          <w:noProof/>
        </w:rPr>
        <w:t>3</w:t>
      </w:r>
      <w:r w:rsidRPr="00BE1788">
        <w:t>-</w:t>
      </w:r>
      <w:r>
        <w:rPr>
          <w:noProof/>
        </w:rPr>
        <w:fldChar w:fldCharType="begin"/>
      </w:r>
      <w:r>
        <w:rPr>
          <w:noProof/>
        </w:rPr>
        <w:instrText xml:space="preserve"> SEQ Table \* ARABIC \s 1 </w:instrText>
      </w:r>
      <w:r>
        <w:rPr>
          <w:noProof/>
        </w:rPr>
        <w:fldChar w:fldCharType="separate"/>
      </w:r>
      <w:r w:rsidR="00D24F63">
        <w:rPr>
          <w:noProof/>
        </w:rPr>
        <w:t>1</w:t>
      </w:r>
      <w:r>
        <w:rPr>
          <w:noProof/>
        </w:rPr>
        <w:fldChar w:fldCharType="end"/>
      </w:r>
      <w:r w:rsidRPr="00BE1788">
        <w:t>.</w:t>
      </w:r>
      <w:r w:rsidRPr="00BE1788">
        <w:tab/>
      </w:r>
      <w:r w:rsidR="00F159C7">
        <w:t xml:space="preserve">Minimum Number of </w:t>
      </w:r>
      <w:r w:rsidRPr="00BE1788">
        <w:t xml:space="preserve">MAT Study </w:t>
      </w:r>
      <w:r>
        <w:t>Sites</w:t>
      </w:r>
      <w:bookmarkEnd w:id="5"/>
      <w:r w:rsidR="00F159C7">
        <w:t xml:space="preserve"> by Site-level ICC and Effect Size</w:t>
      </w:r>
    </w:p>
    <w:tbl>
      <w:tblPr>
        <w:tblW w:w="9180" w:type="dxa"/>
        <w:tblInd w:w="180" w:type="dxa"/>
        <w:tblLook w:val="04A0" w:firstRow="1" w:lastRow="0" w:firstColumn="1" w:lastColumn="0" w:noHBand="0" w:noVBand="1"/>
      </w:tblPr>
      <w:tblGrid>
        <w:gridCol w:w="3064"/>
        <w:gridCol w:w="1548"/>
        <w:gridCol w:w="2498"/>
        <w:gridCol w:w="2070"/>
      </w:tblGrid>
      <w:tr w:rsidRPr="00E61F46" w:rsidR="00B16692" w:rsidTr="004E62D7" w14:paraId="0DC75C20" w14:textId="77777777">
        <w:trPr>
          <w:trHeight w:val="300"/>
        </w:trPr>
        <w:tc>
          <w:tcPr>
            <w:tcW w:w="3064" w:type="dxa"/>
            <w:tcBorders>
              <w:top w:val="nil"/>
              <w:left w:val="nil"/>
              <w:right w:val="single" w:color="auto" w:sz="4" w:space="0"/>
            </w:tcBorders>
            <w:shd w:val="clear" w:color="auto" w:fill="auto"/>
            <w:noWrap/>
            <w:vAlign w:val="bottom"/>
            <w:hideMark/>
          </w:tcPr>
          <w:p w:rsidRPr="00E61F46" w:rsidR="00B16692" w:rsidP="004E62D7" w:rsidRDefault="00B16692" w14:paraId="6436A4ED" w14:textId="77777777">
            <w:pPr>
              <w:rPr>
                <w:rFonts w:eastAsia="Times New Roman"/>
                <w:sz w:val="18"/>
                <w:szCs w:val="18"/>
              </w:rPr>
            </w:pPr>
          </w:p>
        </w:tc>
        <w:tc>
          <w:tcPr>
            <w:tcW w:w="6116" w:type="dxa"/>
            <w:gridSpan w:val="3"/>
            <w:tcBorders>
              <w:top w:val="nil"/>
              <w:left w:val="single" w:color="auto" w:sz="4" w:space="0"/>
              <w:right w:val="nil"/>
            </w:tcBorders>
            <w:shd w:val="clear" w:color="auto" w:fill="auto"/>
            <w:noWrap/>
            <w:vAlign w:val="bottom"/>
            <w:hideMark/>
          </w:tcPr>
          <w:p w:rsidRPr="00E61F46" w:rsidR="00B16692" w:rsidP="004E62D7" w:rsidRDefault="009622C7" w14:paraId="1F6200DA" w14:textId="3F948D32">
            <w:pPr>
              <w:jc w:val="center"/>
              <w:rPr>
                <w:rFonts w:eastAsia="Times New Roman"/>
                <w:color w:val="000000"/>
                <w:sz w:val="18"/>
                <w:szCs w:val="18"/>
                <w:u w:val="single"/>
              </w:rPr>
            </w:pPr>
            <w:r>
              <w:rPr>
                <w:rFonts w:eastAsia="Times New Roman"/>
                <w:color w:val="000000"/>
                <w:sz w:val="18"/>
                <w:szCs w:val="18"/>
                <w:u w:val="single"/>
              </w:rPr>
              <w:t xml:space="preserve">Standardized Difference in Treatment </w:t>
            </w:r>
            <w:proofErr w:type="spellStart"/>
            <w:r>
              <w:rPr>
                <w:rFonts w:eastAsia="Times New Roman"/>
                <w:color w:val="000000"/>
                <w:sz w:val="18"/>
                <w:szCs w:val="18"/>
                <w:u w:val="single"/>
              </w:rPr>
              <w:t>Rates</w:t>
            </w:r>
            <w:r w:rsidRPr="00FF74E0" w:rsidR="00FF74E0">
              <w:rPr>
                <w:rFonts w:eastAsia="Times New Roman"/>
                <w:color w:val="000000"/>
                <w:sz w:val="18"/>
                <w:szCs w:val="18"/>
                <w:u w:val="single"/>
                <w:vertAlign w:val="superscript"/>
              </w:rPr>
              <w:t>a</w:t>
            </w:r>
            <w:proofErr w:type="spellEnd"/>
          </w:p>
        </w:tc>
      </w:tr>
      <w:tr w:rsidRPr="00E61F46" w:rsidR="00B16692" w:rsidTr="004E62D7" w14:paraId="6FC8076B" w14:textId="77777777">
        <w:trPr>
          <w:trHeight w:val="300"/>
        </w:trPr>
        <w:tc>
          <w:tcPr>
            <w:tcW w:w="3064" w:type="dxa"/>
            <w:tcBorders>
              <w:top w:val="nil"/>
              <w:left w:val="nil"/>
              <w:bottom w:val="single" w:color="auto" w:sz="4" w:space="0"/>
              <w:right w:val="single" w:color="auto" w:sz="4" w:space="0"/>
            </w:tcBorders>
            <w:shd w:val="clear" w:color="auto" w:fill="auto"/>
            <w:noWrap/>
            <w:vAlign w:val="bottom"/>
            <w:hideMark/>
          </w:tcPr>
          <w:p w:rsidRPr="00E61F46" w:rsidR="00B16692" w:rsidP="004E62D7" w:rsidRDefault="00B16692" w14:paraId="3426028E" w14:textId="77777777">
            <w:pPr>
              <w:rPr>
                <w:rFonts w:eastAsia="Times New Roman"/>
                <w:color w:val="000000"/>
                <w:sz w:val="18"/>
                <w:szCs w:val="18"/>
              </w:rPr>
            </w:pPr>
            <w:r w:rsidRPr="00E61F46">
              <w:rPr>
                <w:rFonts w:eastAsia="Times New Roman"/>
                <w:color w:val="000000"/>
                <w:sz w:val="18"/>
                <w:szCs w:val="18"/>
              </w:rPr>
              <w:t>Site ICC</w:t>
            </w:r>
          </w:p>
        </w:tc>
        <w:tc>
          <w:tcPr>
            <w:tcW w:w="1548" w:type="dxa"/>
            <w:tcBorders>
              <w:top w:val="nil"/>
              <w:left w:val="single" w:color="auto" w:sz="4" w:space="0"/>
              <w:bottom w:val="single" w:color="auto" w:sz="4" w:space="0"/>
              <w:right w:val="nil"/>
            </w:tcBorders>
            <w:shd w:val="clear" w:color="auto" w:fill="auto"/>
            <w:noWrap/>
            <w:vAlign w:val="bottom"/>
            <w:hideMark/>
          </w:tcPr>
          <w:p w:rsidRPr="00E61F46" w:rsidR="00B16692" w:rsidP="004E62D7" w:rsidRDefault="00B16692" w14:paraId="313CCDA4" w14:textId="77777777">
            <w:pPr>
              <w:jc w:val="center"/>
              <w:rPr>
                <w:rFonts w:eastAsia="Times New Roman"/>
                <w:color w:val="000000"/>
                <w:sz w:val="18"/>
                <w:szCs w:val="18"/>
              </w:rPr>
            </w:pPr>
            <w:r w:rsidRPr="00E61F46">
              <w:rPr>
                <w:rFonts w:eastAsia="Times New Roman"/>
                <w:color w:val="000000"/>
                <w:sz w:val="18"/>
                <w:szCs w:val="18"/>
              </w:rPr>
              <w:t>0.1 (Small)</w:t>
            </w:r>
          </w:p>
        </w:tc>
        <w:tc>
          <w:tcPr>
            <w:tcW w:w="2498" w:type="dxa"/>
            <w:tcBorders>
              <w:top w:val="nil"/>
              <w:left w:val="nil"/>
              <w:bottom w:val="single" w:color="auto" w:sz="4" w:space="0"/>
              <w:right w:val="nil"/>
            </w:tcBorders>
            <w:shd w:val="clear" w:color="auto" w:fill="auto"/>
            <w:noWrap/>
            <w:vAlign w:val="bottom"/>
            <w:hideMark/>
          </w:tcPr>
          <w:p w:rsidRPr="00E61F46" w:rsidR="00B16692" w:rsidP="004E62D7" w:rsidRDefault="00B16692" w14:paraId="04A9CE12" w14:textId="77777777">
            <w:pPr>
              <w:jc w:val="center"/>
              <w:rPr>
                <w:rFonts w:eastAsia="Times New Roman"/>
                <w:color w:val="000000"/>
                <w:sz w:val="18"/>
                <w:szCs w:val="18"/>
              </w:rPr>
            </w:pPr>
            <w:r w:rsidRPr="00E61F46">
              <w:rPr>
                <w:rFonts w:eastAsia="Times New Roman"/>
                <w:color w:val="000000"/>
                <w:sz w:val="18"/>
                <w:szCs w:val="18"/>
              </w:rPr>
              <w:t>0.2</w:t>
            </w:r>
          </w:p>
        </w:tc>
        <w:tc>
          <w:tcPr>
            <w:tcW w:w="2070" w:type="dxa"/>
            <w:tcBorders>
              <w:top w:val="nil"/>
              <w:left w:val="nil"/>
              <w:bottom w:val="single" w:color="auto" w:sz="4" w:space="0"/>
              <w:right w:val="nil"/>
            </w:tcBorders>
            <w:shd w:val="clear" w:color="auto" w:fill="auto"/>
            <w:noWrap/>
            <w:vAlign w:val="bottom"/>
            <w:hideMark/>
          </w:tcPr>
          <w:p w:rsidRPr="00E61F46" w:rsidR="00B16692" w:rsidP="004E62D7" w:rsidRDefault="00B16692" w14:paraId="01533294" w14:textId="77777777">
            <w:pPr>
              <w:jc w:val="center"/>
              <w:rPr>
                <w:rFonts w:eastAsia="Times New Roman"/>
                <w:color w:val="000000"/>
                <w:sz w:val="18"/>
                <w:szCs w:val="18"/>
              </w:rPr>
            </w:pPr>
            <w:r w:rsidRPr="00E61F46">
              <w:rPr>
                <w:rFonts w:eastAsia="Times New Roman"/>
                <w:color w:val="000000"/>
                <w:sz w:val="18"/>
                <w:szCs w:val="18"/>
              </w:rPr>
              <w:t>0.3 (Med)</w:t>
            </w:r>
          </w:p>
        </w:tc>
      </w:tr>
      <w:tr w:rsidRPr="00E61F46" w:rsidR="00B16692" w:rsidTr="004E62D7" w14:paraId="36C9209B" w14:textId="77777777">
        <w:trPr>
          <w:trHeight w:val="300"/>
        </w:trPr>
        <w:tc>
          <w:tcPr>
            <w:tcW w:w="3064" w:type="dxa"/>
            <w:tcBorders>
              <w:top w:val="single" w:color="auto" w:sz="4" w:space="0"/>
              <w:left w:val="nil"/>
              <w:bottom w:val="nil"/>
              <w:right w:val="single" w:color="auto" w:sz="4" w:space="0"/>
            </w:tcBorders>
            <w:shd w:val="clear" w:color="auto" w:fill="auto"/>
            <w:noWrap/>
            <w:vAlign w:val="bottom"/>
            <w:hideMark/>
          </w:tcPr>
          <w:p w:rsidRPr="00E61F46" w:rsidR="00B16692" w:rsidP="004E62D7" w:rsidRDefault="00B16692" w14:paraId="67D181CA" w14:textId="77777777">
            <w:pPr>
              <w:ind w:firstLine="180" w:firstLineChars="100"/>
              <w:rPr>
                <w:rFonts w:eastAsia="Times New Roman"/>
                <w:sz w:val="18"/>
                <w:szCs w:val="18"/>
              </w:rPr>
            </w:pPr>
            <w:r w:rsidRPr="00E61F46">
              <w:rPr>
                <w:rFonts w:eastAsia="Times New Roman"/>
                <w:sz w:val="18"/>
                <w:szCs w:val="18"/>
              </w:rPr>
              <w:t xml:space="preserve">0.001  (lower) </w:t>
            </w:r>
          </w:p>
        </w:tc>
        <w:tc>
          <w:tcPr>
            <w:tcW w:w="1548" w:type="dxa"/>
            <w:tcBorders>
              <w:top w:val="single" w:color="auto" w:sz="4" w:space="0"/>
              <w:left w:val="single" w:color="auto" w:sz="4" w:space="0"/>
              <w:bottom w:val="nil"/>
              <w:right w:val="nil"/>
            </w:tcBorders>
            <w:shd w:val="clear" w:color="auto" w:fill="auto"/>
            <w:noWrap/>
            <w:vAlign w:val="bottom"/>
            <w:hideMark/>
          </w:tcPr>
          <w:p w:rsidRPr="00E61F46" w:rsidR="00B16692" w:rsidP="004E62D7" w:rsidRDefault="00B16692" w14:paraId="6B6D19BE" w14:textId="77777777">
            <w:pPr>
              <w:jc w:val="center"/>
              <w:rPr>
                <w:rFonts w:eastAsia="Times New Roman"/>
                <w:color w:val="000000"/>
                <w:sz w:val="18"/>
                <w:szCs w:val="18"/>
              </w:rPr>
            </w:pPr>
            <w:r w:rsidRPr="00E61F46">
              <w:rPr>
                <w:rFonts w:eastAsia="Times New Roman"/>
                <w:color w:val="000000"/>
                <w:sz w:val="18"/>
                <w:szCs w:val="18"/>
              </w:rPr>
              <w:t>103</w:t>
            </w:r>
          </w:p>
        </w:tc>
        <w:tc>
          <w:tcPr>
            <w:tcW w:w="2498" w:type="dxa"/>
            <w:tcBorders>
              <w:top w:val="single" w:color="auto" w:sz="4" w:space="0"/>
              <w:left w:val="nil"/>
              <w:bottom w:val="nil"/>
              <w:right w:val="nil"/>
            </w:tcBorders>
            <w:shd w:val="clear" w:color="auto" w:fill="auto"/>
            <w:noWrap/>
            <w:vAlign w:val="bottom"/>
            <w:hideMark/>
          </w:tcPr>
          <w:p w:rsidRPr="00E61F46" w:rsidR="00B16692" w:rsidP="004E62D7" w:rsidRDefault="00B16692" w14:paraId="5381756C" w14:textId="77777777">
            <w:pPr>
              <w:jc w:val="center"/>
              <w:rPr>
                <w:rFonts w:eastAsia="Times New Roman"/>
                <w:color w:val="000000"/>
                <w:sz w:val="18"/>
                <w:szCs w:val="18"/>
              </w:rPr>
            </w:pPr>
            <w:r w:rsidRPr="00E61F46">
              <w:rPr>
                <w:rFonts w:eastAsia="Times New Roman"/>
                <w:color w:val="000000"/>
                <w:sz w:val="18"/>
                <w:szCs w:val="18"/>
              </w:rPr>
              <w:t>26</w:t>
            </w:r>
          </w:p>
        </w:tc>
        <w:tc>
          <w:tcPr>
            <w:tcW w:w="2070" w:type="dxa"/>
            <w:tcBorders>
              <w:top w:val="single" w:color="auto" w:sz="4" w:space="0"/>
              <w:left w:val="nil"/>
              <w:bottom w:val="nil"/>
              <w:right w:val="nil"/>
            </w:tcBorders>
            <w:shd w:val="clear" w:color="auto" w:fill="auto"/>
            <w:noWrap/>
            <w:vAlign w:val="bottom"/>
            <w:hideMark/>
          </w:tcPr>
          <w:p w:rsidRPr="00E61F46" w:rsidR="00B16692" w:rsidP="004E62D7" w:rsidRDefault="00B16692" w14:paraId="2882A38D" w14:textId="77777777">
            <w:pPr>
              <w:jc w:val="center"/>
              <w:rPr>
                <w:rFonts w:eastAsia="Times New Roman"/>
                <w:color w:val="000000"/>
                <w:sz w:val="18"/>
                <w:szCs w:val="18"/>
              </w:rPr>
            </w:pPr>
            <w:r w:rsidRPr="00E61F46">
              <w:rPr>
                <w:rFonts w:eastAsia="Times New Roman"/>
                <w:color w:val="000000"/>
                <w:sz w:val="18"/>
                <w:szCs w:val="18"/>
              </w:rPr>
              <w:t>12</w:t>
            </w:r>
          </w:p>
        </w:tc>
      </w:tr>
      <w:tr w:rsidRPr="00E61F46" w:rsidR="00B16692" w:rsidTr="004E62D7" w14:paraId="0830289F" w14:textId="77777777">
        <w:trPr>
          <w:trHeight w:val="300"/>
        </w:trPr>
        <w:tc>
          <w:tcPr>
            <w:tcW w:w="3064" w:type="dxa"/>
            <w:tcBorders>
              <w:top w:val="nil"/>
              <w:left w:val="nil"/>
              <w:bottom w:val="nil"/>
              <w:right w:val="single" w:color="auto" w:sz="4" w:space="0"/>
            </w:tcBorders>
            <w:shd w:val="clear" w:color="auto" w:fill="auto"/>
            <w:noWrap/>
            <w:vAlign w:val="bottom"/>
            <w:hideMark/>
          </w:tcPr>
          <w:p w:rsidRPr="00E61F46" w:rsidR="00B16692" w:rsidP="004E62D7" w:rsidRDefault="00B16692" w14:paraId="5CF49F9E" w14:textId="77777777">
            <w:pPr>
              <w:ind w:firstLine="180" w:firstLineChars="100"/>
              <w:rPr>
                <w:rFonts w:eastAsia="Times New Roman"/>
                <w:sz w:val="18"/>
                <w:szCs w:val="18"/>
              </w:rPr>
            </w:pPr>
            <w:r w:rsidRPr="00E61F46">
              <w:rPr>
                <w:rFonts w:eastAsia="Times New Roman"/>
                <w:sz w:val="18"/>
                <w:szCs w:val="18"/>
              </w:rPr>
              <w:t>0.01  </w:t>
            </w:r>
            <w:r>
              <w:rPr>
                <w:rFonts w:eastAsia="Times New Roman"/>
                <w:sz w:val="18"/>
                <w:szCs w:val="18"/>
              </w:rPr>
              <w:t xml:space="preserve">  </w:t>
            </w:r>
            <w:r w:rsidRPr="00E61F46">
              <w:rPr>
                <w:rFonts w:eastAsia="Times New Roman"/>
                <w:sz w:val="18"/>
                <w:szCs w:val="18"/>
              </w:rPr>
              <w:t xml:space="preserve">(low) </w:t>
            </w:r>
          </w:p>
        </w:tc>
        <w:tc>
          <w:tcPr>
            <w:tcW w:w="1548" w:type="dxa"/>
            <w:tcBorders>
              <w:top w:val="nil"/>
              <w:left w:val="single" w:color="auto" w:sz="4" w:space="0"/>
              <w:bottom w:val="nil"/>
              <w:right w:val="nil"/>
            </w:tcBorders>
            <w:shd w:val="clear" w:color="auto" w:fill="auto"/>
            <w:noWrap/>
            <w:vAlign w:val="bottom"/>
            <w:hideMark/>
          </w:tcPr>
          <w:p w:rsidRPr="00E61F46" w:rsidR="00B16692" w:rsidP="004E62D7" w:rsidRDefault="00B16692" w14:paraId="2F9C4AEA" w14:textId="77777777">
            <w:pPr>
              <w:jc w:val="center"/>
              <w:rPr>
                <w:rFonts w:eastAsia="Times New Roman"/>
                <w:color w:val="000000"/>
                <w:sz w:val="18"/>
                <w:szCs w:val="18"/>
              </w:rPr>
            </w:pPr>
            <w:r w:rsidRPr="00E61F46">
              <w:rPr>
                <w:rFonts w:eastAsia="Times New Roman"/>
                <w:color w:val="000000"/>
                <w:sz w:val="18"/>
                <w:szCs w:val="18"/>
              </w:rPr>
              <w:t>147</w:t>
            </w:r>
          </w:p>
        </w:tc>
        <w:tc>
          <w:tcPr>
            <w:tcW w:w="2498" w:type="dxa"/>
            <w:tcBorders>
              <w:top w:val="nil"/>
              <w:left w:val="nil"/>
              <w:bottom w:val="nil"/>
              <w:right w:val="nil"/>
            </w:tcBorders>
            <w:shd w:val="clear" w:color="auto" w:fill="auto"/>
            <w:noWrap/>
            <w:vAlign w:val="bottom"/>
            <w:hideMark/>
          </w:tcPr>
          <w:p w:rsidRPr="00E61F46" w:rsidR="00B16692" w:rsidP="004E62D7" w:rsidRDefault="00B16692" w14:paraId="19F2B6AC" w14:textId="77777777">
            <w:pPr>
              <w:jc w:val="center"/>
              <w:rPr>
                <w:rFonts w:eastAsia="Times New Roman"/>
                <w:color w:val="000000"/>
                <w:sz w:val="18"/>
                <w:szCs w:val="18"/>
              </w:rPr>
            </w:pPr>
            <w:r w:rsidRPr="00A70A21">
              <w:rPr>
                <w:rFonts w:eastAsia="Times New Roman"/>
                <w:b/>
                <w:bCs/>
                <w:color w:val="000000"/>
                <w:sz w:val="18"/>
                <w:szCs w:val="18"/>
                <w:highlight w:val="lightGray"/>
              </w:rPr>
              <w:t>37</w:t>
            </w:r>
          </w:p>
        </w:tc>
        <w:tc>
          <w:tcPr>
            <w:tcW w:w="2070" w:type="dxa"/>
            <w:tcBorders>
              <w:top w:val="nil"/>
              <w:left w:val="nil"/>
              <w:bottom w:val="nil"/>
              <w:right w:val="nil"/>
            </w:tcBorders>
            <w:shd w:val="clear" w:color="auto" w:fill="auto"/>
            <w:noWrap/>
            <w:vAlign w:val="bottom"/>
            <w:hideMark/>
          </w:tcPr>
          <w:p w:rsidRPr="00E61F46" w:rsidR="00B16692" w:rsidP="004E62D7" w:rsidRDefault="00B16692" w14:paraId="0F5698CA" w14:textId="77777777">
            <w:pPr>
              <w:jc w:val="center"/>
              <w:rPr>
                <w:rFonts w:eastAsia="Times New Roman"/>
                <w:color w:val="000000"/>
                <w:sz w:val="18"/>
                <w:szCs w:val="18"/>
              </w:rPr>
            </w:pPr>
            <w:r w:rsidRPr="00E61F46">
              <w:rPr>
                <w:rFonts w:eastAsia="Times New Roman"/>
                <w:color w:val="000000"/>
                <w:sz w:val="18"/>
                <w:szCs w:val="18"/>
              </w:rPr>
              <w:t>17</w:t>
            </w:r>
          </w:p>
        </w:tc>
      </w:tr>
      <w:tr w:rsidRPr="00E61F46" w:rsidR="00B16692" w:rsidTr="004E62D7" w14:paraId="4B7200F8" w14:textId="77777777">
        <w:trPr>
          <w:trHeight w:val="300"/>
        </w:trPr>
        <w:tc>
          <w:tcPr>
            <w:tcW w:w="3064" w:type="dxa"/>
            <w:tcBorders>
              <w:top w:val="nil"/>
              <w:left w:val="nil"/>
              <w:bottom w:val="nil"/>
              <w:right w:val="single" w:color="auto" w:sz="4" w:space="0"/>
            </w:tcBorders>
            <w:shd w:val="clear" w:color="auto" w:fill="auto"/>
            <w:noWrap/>
            <w:vAlign w:val="bottom"/>
            <w:hideMark/>
          </w:tcPr>
          <w:p w:rsidRPr="00E61F46" w:rsidR="00B16692" w:rsidP="004E62D7" w:rsidRDefault="00B16692" w14:paraId="3A9307D2" w14:textId="77777777">
            <w:pPr>
              <w:ind w:firstLine="180" w:firstLineChars="100"/>
              <w:rPr>
                <w:rFonts w:eastAsia="Times New Roman"/>
                <w:sz w:val="18"/>
                <w:szCs w:val="18"/>
              </w:rPr>
            </w:pPr>
            <w:r w:rsidRPr="00E61F46">
              <w:rPr>
                <w:rFonts w:eastAsia="Times New Roman"/>
                <w:sz w:val="18"/>
                <w:szCs w:val="18"/>
              </w:rPr>
              <w:t xml:space="preserve">0.10 </w:t>
            </w:r>
            <w:r>
              <w:rPr>
                <w:rFonts w:eastAsia="Times New Roman"/>
                <w:sz w:val="18"/>
                <w:szCs w:val="18"/>
              </w:rPr>
              <w:t xml:space="preserve">   </w:t>
            </w:r>
            <w:r w:rsidRPr="00E61F46">
              <w:rPr>
                <w:rFonts w:eastAsia="Times New Roman"/>
                <w:sz w:val="18"/>
                <w:szCs w:val="18"/>
              </w:rPr>
              <w:t xml:space="preserve">(high)  </w:t>
            </w:r>
          </w:p>
        </w:tc>
        <w:tc>
          <w:tcPr>
            <w:tcW w:w="1548" w:type="dxa"/>
            <w:tcBorders>
              <w:top w:val="nil"/>
              <w:left w:val="single" w:color="auto" w:sz="4" w:space="0"/>
              <w:bottom w:val="nil"/>
              <w:right w:val="nil"/>
            </w:tcBorders>
            <w:shd w:val="clear" w:color="auto" w:fill="auto"/>
            <w:noWrap/>
            <w:vAlign w:val="bottom"/>
            <w:hideMark/>
          </w:tcPr>
          <w:p w:rsidRPr="00E61F46" w:rsidR="00B16692" w:rsidP="004E62D7" w:rsidRDefault="00B16692" w14:paraId="359FD5A3" w14:textId="77777777">
            <w:pPr>
              <w:jc w:val="center"/>
              <w:rPr>
                <w:rFonts w:eastAsia="Times New Roman"/>
                <w:color w:val="000000"/>
                <w:sz w:val="18"/>
                <w:szCs w:val="18"/>
              </w:rPr>
            </w:pPr>
            <w:r w:rsidRPr="00E61F46">
              <w:rPr>
                <w:rFonts w:eastAsia="Times New Roman"/>
                <w:color w:val="000000"/>
                <w:sz w:val="18"/>
                <w:szCs w:val="18"/>
              </w:rPr>
              <w:t>579</w:t>
            </w:r>
          </w:p>
        </w:tc>
        <w:tc>
          <w:tcPr>
            <w:tcW w:w="2498" w:type="dxa"/>
            <w:tcBorders>
              <w:top w:val="nil"/>
              <w:left w:val="nil"/>
              <w:bottom w:val="nil"/>
              <w:right w:val="nil"/>
            </w:tcBorders>
            <w:shd w:val="clear" w:color="auto" w:fill="auto"/>
            <w:noWrap/>
            <w:vAlign w:val="bottom"/>
            <w:hideMark/>
          </w:tcPr>
          <w:p w:rsidRPr="00E61F46" w:rsidR="00B16692" w:rsidP="004E62D7" w:rsidRDefault="00B16692" w14:paraId="4FD39998" w14:textId="77777777">
            <w:pPr>
              <w:jc w:val="center"/>
              <w:rPr>
                <w:rFonts w:eastAsia="Times New Roman"/>
                <w:color w:val="000000"/>
                <w:sz w:val="18"/>
                <w:szCs w:val="18"/>
              </w:rPr>
            </w:pPr>
            <w:r w:rsidRPr="00E61F46">
              <w:rPr>
                <w:rFonts w:eastAsia="Times New Roman"/>
                <w:color w:val="000000"/>
                <w:sz w:val="18"/>
                <w:szCs w:val="18"/>
              </w:rPr>
              <w:t>145</w:t>
            </w:r>
          </w:p>
        </w:tc>
        <w:tc>
          <w:tcPr>
            <w:tcW w:w="2070" w:type="dxa"/>
            <w:tcBorders>
              <w:top w:val="nil"/>
              <w:left w:val="nil"/>
              <w:bottom w:val="nil"/>
              <w:right w:val="nil"/>
            </w:tcBorders>
            <w:shd w:val="clear" w:color="auto" w:fill="auto"/>
            <w:noWrap/>
            <w:vAlign w:val="bottom"/>
            <w:hideMark/>
          </w:tcPr>
          <w:p w:rsidRPr="00E61F46" w:rsidR="00B16692" w:rsidP="004E62D7" w:rsidRDefault="00B16692" w14:paraId="03B82BB9" w14:textId="77777777">
            <w:pPr>
              <w:jc w:val="center"/>
              <w:rPr>
                <w:rFonts w:eastAsia="Times New Roman"/>
                <w:color w:val="000000"/>
                <w:sz w:val="18"/>
                <w:szCs w:val="18"/>
              </w:rPr>
            </w:pPr>
            <w:r w:rsidRPr="00E61F46">
              <w:rPr>
                <w:rFonts w:eastAsia="Times New Roman"/>
                <w:color w:val="000000"/>
                <w:sz w:val="18"/>
                <w:szCs w:val="18"/>
              </w:rPr>
              <w:t>65</w:t>
            </w:r>
          </w:p>
        </w:tc>
      </w:tr>
    </w:tbl>
    <w:p w:rsidR="00B16692" w:rsidP="00B16692" w:rsidRDefault="00B16692" w14:paraId="6F9BFCBD" w14:textId="6443771C">
      <w:pPr>
        <w:tabs>
          <w:tab w:val="left" w:pos="1800"/>
        </w:tabs>
        <w:spacing w:before="120" w:line="276" w:lineRule="auto"/>
        <w:rPr>
          <w:i/>
          <w:iCs/>
          <w:sz w:val="16"/>
          <w:szCs w:val="16"/>
        </w:rPr>
      </w:pPr>
      <w:r w:rsidRPr="00405035">
        <w:rPr>
          <w:i/>
          <w:iCs/>
          <w:sz w:val="16"/>
          <w:szCs w:val="16"/>
        </w:rPr>
        <w:t xml:space="preserve">Note: ICC = intracluster correlation. </w:t>
      </w:r>
    </w:p>
    <w:p w:rsidRPr="00405035" w:rsidR="00FF74E0" w:rsidP="009D218B" w:rsidRDefault="00FF74E0" w14:paraId="0B3D55B3" w14:textId="000E9B29">
      <w:pPr>
        <w:tabs>
          <w:tab w:val="left" w:pos="1800"/>
        </w:tabs>
        <w:spacing w:after="240" w:line="276" w:lineRule="auto"/>
        <w:rPr>
          <w:i/>
          <w:iCs/>
          <w:sz w:val="16"/>
          <w:szCs w:val="16"/>
        </w:rPr>
      </w:pPr>
      <w:r w:rsidRPr="00B950BF">
        <w:rPr>
          <w:i/>
          <w:iCs/>
          <w:sz w:val="16"/>
          <w:szCs w:val="16"/>
          <w:vertAlign w:val="superscript"/>
        </w:rPr>
        <w:t>a</w:t>
      </w:r>
      <w:r>
        <w:rPr>
          <w:i/>
          <w:iCs/>
          <w:sz w:val="16"/>
          <w:szCs w:val="16"/>
        </w:rPr>
        <w:t xml:space="preserve"> The effect size is a </w:t>
      </w:r>
      <w:r w:rsidR="00634262">
        <w:rPr>
          <w:i/>
          <w:iCs/>
          <w:sz w:val="16"/>
          <w:szCs w:val="16"/>
        </w:rPr>
        <w:t xml:space="preserve">standardized </w:t>
      </w:r>
      <w:r>
        <w:rPr>
          <w:i/>
          <w:iCs/>
          <w:sz w:val="16"/>
          <w:szCs w:val="16"/>
        </w:rPr>
        <w:t>measure of</w:t>
      </w:r>
      <w:r w:rsidR="00B950BF">
        <w:rPr>
          <w:i/>
          <w:iCs/>
          <w:sz w:val="16"/>
          <w:szCs w:val="16"/>
        </w:rPr>
        <w:t xml:space="preserve"> the</w:t>
      </w:r>
      <w:r>
        <w:rPr>
          <w:i/>
          <w:iCs/>
          <w:sz w:val="16"/>
          <w:szCs w:val="16"/>
        </w:rPr>
        <w:t xml:space="preserve"> difference between two treatment rates</w:t>
      </w:r>
      <w:r w:rsidR="00634262">
        <w:rPr>
          <w:i/>
          <w:iCs/>
          <w:sz w:val="16"/>
          <w:szCs w:val="16"/>
        </w:rPr>
        <w:t xml:space="preserve"> relative to the pooled variance (Cohen 1988). Formula for the effect size and pooled variance are provided below in reference to equation (3.1)</w:t>
      </w:r>
      <w:r>
        <w:rPr>
          <w:i/>
          <w:iCs/>
          <w:sz w:val="16"/>
          <w:szCs w:val="16"/>
        </w:rPr>
        <w:t>.</w:t>
      </w:r>
      <w:r w:rsidR="00634262">
        <w:rPr>
          <w:i/>
          <w:iCs/>
          <w:sz w:val="16"/>
          <w:szCs w:val="16"/>
        </w:rPr>
        <w:t xml:space="preserve"> </w:t>
      </w:r>
    </w:p>
    <w:p w:rsidR="001B27C7" w:rsidP="001B27C7" w:rsidRDefault="00AF04DB" w14:paraId="77FC4B7F" w14:textId="5EE45CB6">
      <w:pPr>
        <w:spacing w:after="160" w:line="320" w:lineRule="exact"/>
        <w:rPr>
          <w:rFonts w:eastAsia="MS Mincho"/>
          <w:b/>
          <w:bCs/>
          <w:szCs w:val="20"/>
        </w:rPr>
      </w:pPr>
      <w:r w:rsidRPr="00E61F46">
        <w:rPr>
          <w:b/>
          <w:bCs/>
          <w:i/>
          <w:iCs/>
        </w:rPr>
        <w:t>Table 3-2</w:t>
      </w:r>
      <w:r>
        <w:t xml:space="preserve"> contains the number of clients per </w:t>
      </w:r>
      <w:r w:rsidR="006F27A6">
        <w:t xml:space="preserve">viable </w:t>
      </w:r>
      <w:r>
        <w:t xml:space="preserve">treatment </w:t>
      </w:r>
      <w:r w:rsidR="006F27A6">
        <w:t xml:space="preserve">arm </w:t>
      </w:r>
      <w:r>
        <w:t>required to power the study</w:t>
      </w:r>
      <w:r w:rsidR="00A6167A">
        <w:t xml:space="preserve"> under the original </w:t>
      </w:r>
      <w:r w:rsidR="0053177D">
        <w:t xml:space="preserve">(conservative) </w:t>
      </w:r>
      <w:r w:rsidR="00A6167A">
        <w:t xml:space="preserve">and revised </w:t>
      </w:r>
      <w:r w:rsidR="002B3565">
        <w:t xml:space="preserve">intracluster correlation (ICC) </w:t>
      </w:r>
      <w:r w:rsidR="00A6167A">
        <w:t>assumptions</w:t>
      </w:r>
      <w:r w:rsidR="00914A70">
        <w:t xml:space="preserve"> and by number of analytic data points (i.e., 3 vs. 5 client interviews)</w:t>
      </w:r>
      <w:r>
        <w:t>. Th</w:t>
      </w:r>
      <w:r w:rsidR="00914A70">
        <w:t>e</w:t>
      </w:r>
      <w:r>
        <w:t xml:space="preserve"> number</w:t>
      </w:r>
      <w:r w:rsidR="00914A70">
        <w:t>s</w:t>
      </w:r>
      <w:r>
        <w:t xml:space="preserve"> </w:t>
      </w:r>
      <w:r w:rsidR="004A1D74">
        <w:t>correspond</w:t>
      </w:r>
      <w:r>
        <w:t xml:space="preserve"> to those persons </w:t>
      </w:r>
      <w:r w:rsidR="00914A70">
        <w:t xml:space="preserve">per treatment arm </w:t>
      </w:r>
      <w:r>
        <w:t>who participate in the full 2-year observation period and do not attrite</w:t>
      </w:r>
      <w:r w:rsidR="00A6167A">
        <w:t xml:space="preserve"> from the MAT Study</w:t>
      </w:r>
      <w:r>
        <w:t xml:space="preserve">. </w:t>
      </w:r>
      <w:r w:rsidR="003B0F3A">
        <w:t>Repeated-measures a</w:t>
      </w:r>
      <w:r w:rsidR="00C75AEB">
        <w:t xml:space="preserve">nalyses </w:t>
      </w:r>
      <w:r w:rsidR="003B0F3A">
        <w:t xml:space="preserve">using </w:t>
      </w:r>
      <w:r w:rsidR="00C75AEB">
        <w:t xml:space="preserve">all 5 client interviews require many fewer participants than </w:t>
      </w:r>
      <w:r w:rsidR="003B0F3A">
        <w:t>those involving baseline, 12- and 24-month interviews (e.g., 208 vs. 297 for 90% power and ICC=0.10).</w:t>
      </w:r>
      <w:r w:rsidR="003B0F3A">
        <w:rPr>
          <w:rStyle w:val="FootnoteReference"/>
        </w:rPr>
        <w:footnoteReference w:id="4"/>
      </w:r>
      <w:r w:rsidR="003B0F3A">
        <w:t xml:space="preserve"> </w:t>
      </w:r>
    </w:p>
    <w:p w:rsidR="00732E05" w:rsidRDefault="00732E05" w14:paraId="5B7FEBCF" w14:textId="77777777">
      <w:pPr>
        <w:spacing w:after="160" w:line="259" w:lineRule="auto"/>
        <w:rPr>
          <w:rFonts w:eastAsia="MS Mincho"/>
          <w:b/>
          <w:bCs/>
          <w:szCs w:val="20"/>
        </w:rPr>
      </w:pPr>
      <w:bookmarkStart w:name="_Toc529194616" w:id="6"/>
      <w:r>
        <w:br w:type="page"/>
      </w:r>
    </w:p>
    <w:p w:rsidR="00B16692" w:rsidP="00171EF6" w:rsidRDefault="00B16692" w14:paraId="1CB0B38C" w14:textId="4DC00B57">
      <w:pPr>
        <w:pStyle w:val="TableTitle"/>
        <w:tabs>
          <w:tab w:val="left" w:pos="1260"/>
        </w:tabs>
        <w:ind w:left="1260" w:hanging="1260"/>
        <w:rPr>
          <w:rFonts w:ascii="Times New Roman" w:hAnsi="Times New Roman" w:eastAsia="Times New Roman"/>
          <w:b w:val="0"/>
          <w:bCs w:val="0"/>
        </w:rPr>
      </w:pPr>
      <w:r w:rsidRPr="00BE1788">
        <w:lastRenderedPageBreak/>
        <w:t xml:space="preserve">Table </w:t>
      </w:r>
      <w:r w:rsidR="00297B36">
        <w:rPr>
          <w:noProof/>
        </w:rPr>
        <w:t>3</w:t>
      </w:r>
      <w:r w:rsidRPr="00BE1788">
        <w:t>-2.</w:t>
      </w:r>
      <w:r w:rsidR="00171EF6">
        <w:tab/>
      </w:r>
      <w:r w:rsidRPr="00BE1788">
        <w:t xml:space="preserve">Number of Clients per Treatment </w:t>
      </w:r>
      <w:bookmarkEnd w:id="6"/>
      <w:r w:rsidR="006F27A6">
        <w:t>Arm Completing the 2-Year Study by Original and Revised Power Assumptions</w:t>
      </w:r>
      <w:r w:rsidR="00DF171A">
        <w:t xml:space="preserve"> and Number of Interviews</w:t>
      </w:r>
    </w:p>
    <w:tbl>
      <w:tblPr>
        <w:tblW w:w="9315" w:type="dxa"/>
        <w:jc w:val="center"/>
        <w:tblLook w:val="04A0" w:firstRow="1" w:lastRow="0" w:firstColumn="1" w:lastColumn="0" w:noHBand="0" w:noVBand="1"/>
      </w:tblPr>
      <w:tblGrid>
        <w:gridCol w:w="3221"/>
        <w:gridCol w:w="1392"/>
        <w:gridCol w:w="2351"/>
        <w:gridCol w:w="2351"/>
      </w:tblGrid>
      <w:tr w:rsidRPr="00E61F46" w:rsidR="004B7FFC" w:rsidTr="004B7FFC" w14:paraId="07649883" w14:textId="77777777">
        <w:trPr>
          <w:trHeight w:val="300"/>
          <w:jc w:val="center"/>
        </w:trPr>
        <w:tc>
          <w:tcPr>
            <w:tcW w:w="3120" w:type="dxa"/>
            <w:shd w:val="clear" w:color="auto" w:fill="auto"/>
            <w:noWrap/>
            <w:vAlign w:val="bottom"/>
          </w:tcPr>
          <w:p w:rsidRPr="00171EF6" w:rsidR="004B7FFC" w:rsidP="00555361" w:rsidRDefault="004B7FFC" w14:paraId="2568B6A8" w14:textId="77777777">
            <w:pPr>
              <w:rPr>
                <w:rFonts w:eastAsia="Times New Roman"/>
                <w:b/>
                <w:bCs/>
                <w:color w:val="000000"/>
                <w:sz w:val="18"/>
                <w:szCs w:val="18"/>
              </w:rPr>
            </w:pPr>
          </w:p>
        </w:tc>
        <w:tc>
          <w:tcPr>
            <w:tcW w:w="1348" w:type="dxa"/>
            <w:tcBorders>
              <w:right w:val="single" w:color="auto" w:sz="4" w:space="0"/>
            </w:tcBorders>
            <w:shd w:val="clear" w:color="auto" w:fill="auto"/>
            <w:noWrap/>
            <w:vAlign w:val="bottom"/>
          </w:tcPr>
          <w:p w:rsidRPr="00171EF6" w:rsidR="004B7FFC" w:rsidP="00555361" w:rsidRDefault="004B7FFC" w14:paraId="3D341FB3" w14:textId="77777777">
            <w:pPr>
              <w:rPr>
                <w:rFonts w:eastAsia="Times New Roman"/>
                <w:b/>
                <w:bCs/>
                <w:color w:val="000000"/>
                <w:sz w:val="18"/>
                <w:szCs w:val="18"/>
              </w:rPr>
            </w:pPr>
          </w:p>
        </w:tc>
        <w:tc>
          <w:tcPr>
            <w:tcW w:w="4554" w:type="dxa"/>
            <w:gridSpan w:val="2"/>
            <w:tcBorders>
              <w:left w:val="single" w:color="auto" w:sz="4" w:space="0"/>
            </w:tcBorders>
            <w:vAlign w:val="bottom"/>
          </w:tcPr>
          <w:p w:rsidRPr="006E0175" w:rsidR="004B7FFC" w:rsidP="00555361" w:rsidRDefault="004B7FFC" w14:paraId="13B0F99C" w14:textId="77777777">
            <w:pPr>
              <w:jc w:val="center"/>
              <w:rPr>
                <w:rFonts w:eastAsia="Times New Roman"/>
                <w:b/>
                <w:bCs/>
                <w:color w:val="000000"/>
                <w:sz w:val="18"/>
                <w:szCs w:val="18"/>
                <w:u w:val="single"/>
              </w:rPr>
            </w:pPr>
            <w:r w:rsidRPr="006E0175">
              <w:rPr>
                <w:rFonts w:eastAsia="Times New Roman"/>
                <w:b/>
                <w:bCs/>
                <w:color w:val="000000"/>
                <w:sz w:val="18"/>
                <w:szCs w:val="18"/>
                <w:u w:val="single"/>
              </w:rPr>
              <w:t>2-Sided Test Statistic, 90% Power</w:t>
            </w:r>
          </w:p>
        </w:tc>
      </w:tr>
      <w:tr w:rsidRPr="00E61F46" w:rsidR="004B7FFC" w:rsidTr="004B7FFC" w14:paraId="61DE6901" w14:textId="77777777">
        <w:trPr>
          <w:trHeight w:val="300"/>
          <w:jc w:val="center"/>
        </w:trPr>
        <w:tc>
          <w:tcPr>
            <w:tcW w:w="3120" w:type="dxa"/>
            <w:tcBorders>
              <w:bottom w:val="single" w:color="auto" w:sz="4" w:space="0"/>
            </w:tcBorders>
            <w:shd w:val="clear" w:color="auto" w:fill="auto"/>
            <w:noWrap/>
            <w:vAlign w:val="bottom"/>
            <w:hideMark/>
          </w:tcPr>
          <w:p w:rsidRPr="00171EF6" w:rsidR="004B7FFC" w:rsidP="00555361" w:rsidRDefault="004B7FFC" w14:paraId="393B8DF7" w14:textId="77777777">
            <w:pPr>
              <w:rPr>
                <w:rFonts w:eastAsia="Times New Roman"/>
                <w:b/>
                <w:bCs/>
                <w:color w:val="000000"/>
                <w:sz w:val="18"/>
                <w:szCs w:val="18"/>
              </w:rPr>
            </w:pPr>
            <w:r w:rsidRPr="00171EF6">
              <w:rPr>
                <w:rFonts w:eastAsia="Times New Roman"/>
                <w:b/>
                <w:bCs/>
                <w:color w:val="000000"/>
                <w:sz w:val="18"/>
                <w:szCs w:val="18"/>
              </w:rPr>
              <w:t xml:space="preserve">Power </w:t>
            </w:r>
            <w:r>
              <w:rPr>
                <w:rFonts w:eastAsia="Times New Roman"/>
                <w:b/>
                <w:bCs/>
                <w:color w:val="000000"/>
                <w:sz w:val="18"/>
                <w:szCs w:val="18"/>
              </w:rPr>
              <w:t>Assumptions</w:t>
            </w:r>
          </w:p>
        </w:tc>
        <w:tc>
          <w:tcPr>
            <w:tcW w:w="1348" w:type="dxa"/>
            <w:tcBorders>
              <w:bottom w:val="single" w:color="auto" w:sz="4" w:space="0"/>
              <w:right w:val="single" w:color="auto" w:sz="4" w:space="0"/>
            </w:tcBorders>
            <w:shd w:val="clear" w:color="auto" w:fill="auto"/>
            <w:noWrap/>
            <w:vAlign w:val="bottom"/>
            <w:hideMark/>
          </w:tcPr>
          <w:p w:rsidRPr="00171EF6" w:rsidR="004B7FFC" w:rsidP="00555361" w:rsidRDefault="004B7FFC" w14:paraId="3CC2154C" w14:textId="77777777">
            <w:pPr>
              <w:rPr>
                <w:rFonts w:eastAsia="Times New Roman"/>
                <w:b/>
                <w:bCs/>
                <w:color w:val="000000"/>
                <w:sz w:val="18"/>
                <w:szCs w:val="18"/>
              </w:rPr>
            </w:pPr>
            <w:r w:rsidRPr="00171EF6">
              <w:rPr>
                <w:rFonts w:eastAsia="Times New Roman"/>
                <w:b/>
                <w:bCs/>
                <w:color w:val="000000"/>
                <w:sz w:val="18"/>
                <w:szCs w:val="18"/>
              </w:rPr>
              <w:t>Client ICC</w:t>
            </w:r>
          </w:p>
        </w:tc>
        <w:tc>
          <w:tcPr>
            <w:tcW w:w="2277" w:type="dxa"/>
            <w:tcBorders>
              <w:left w:val="single" w:color="auto" w:sz="4" w:space="0"/>
              <w:bottom w:val="single" w:color="auto" w:sz="4" w:space="0"/>
            </w:tcBorders>
            <w:vAlign w:val="bottom"/>
          </w:tcPr>
          <w:p w:rsidRPr="00171EF6" w:rsidR="004B7FFC" w:rsidP="00555361" w:rsidRDefault="004B7FFC" w14:paraId="7CB7D2E8" w14:textId="77777777">
            <w:pPr>
              <w:jc w:val="right"/>
              <w:rPr>
                <w:rFonts w:eastAsia="Times New Roman"/>
                <w:b/>
                <w:bCs/>
                <w:color w:val="000000"/>
                <w:sz w:val="18"/>
                <w:szCs w:val="18"/>
              </w:rPr>
            </w:pPr>
            <w:r>
              <w:rPr>
                <w:rFonts w:eastAsia="Times New Roman"/>
                <w:b/>
                <w:bCs/>
                <w:color w:val="000000"/>
                <w:sz w:val="18"/>
                <w:szCs w:val="18"/>
              </w:rPr>
              <w:t>3 Client Interviews</w:t>
            </w:r>
          </w:p>
        </w:tc>
        <w:tc>
          <w:tcPr>
            <w:tcW w:w="2277" w:type="dxa"/>
            <w:tcBorders>
              <w:bottom w:val="single" w:color="auto" w:sz="4" w:space="0"/>
            </w:tcBorders>
            <w:shd w:val="clear" w:color="auto" w:fill="auto"/>
            <w:noWrap/>
            <w:vAlign w:val="bottom"/>
          </w:tcPr>
          <w:p w:rsidRPr="00E61F46" w:rsidR="004B7FFC" w:rsidP="00555361" w:rsidRDefault="004B7FFC" w14:paraId="3323075E" w14:textId="77777777">
            <w:pPr>
              <w:jc w:val="right"/>
              <w:rPr>
                <w:rFonts w:eastAsia="Times New Roman"/>
                <w:b/>
                <w:bCs/>
                <w:color w:val="000000"/>
                <w:sz w:val="18"/>
                <w:szCs w:val="18"/>
              </w:rPr>
            </w:pPr>
            <w:r w:rsidRPr="006E0175">
              <w:rPr>
                <w:rFonts w:eastAsia="Times New Roman"/>
                <w:b/>
                <w:bCs/>
                <w:color w:val="000000"/>
                <w:sz w:val="18"/>
                <w:szCs w:val="18"/>
              </w:rPr>
              <w:t>5 Client Interviews</w:t>
            </w:r>
          </w:p>
        </w:tc>
      </w:tr>
      <w:tr w:rsidRPr="00E61F46" w:rsidR="004B7FFC" w:rsidTr="004B7FFC" w14:paraId="4FBCE3AE" w14:textId="77777777">
        <w:trPr>
          <w:trHeight w:val="300"/>
          <w:jc w:val="center"/>
        </w:trPr>
        <w:tc>
          <w:tcPr>
            <w:tcW w:w="3120" w:type="dxa"/>
            <w:tcBorders>
              <w:top w:val="single" w:color="auto" w:sz="4" w:space="0"/>
            </w:tcBorders>
            <w:shd w:val="clear" w:color="auto" w:fill="auto"/>
            <w:noWrap/>
            <w:vAlign w:val="bottom"/>
            <w:hideMark/>
          </w:tcPr>
          <w:p w:rsidRPr="004B7FFC" w:rsidR="004B7FFC" w:rsidP="00555361" w:rsidRDefault="004B7FFC" w14:paraId="2C6F2C9F" w14:textId="77777777">
            <w:pPr>
              <w:jc w:val="both"/>
              <w:rPr>
                <w:rFonts w:eastAsia="Times New Roman"/>
                <w:bCs/>
                <w:color w:val="000000"/>
                <w:sz w:val="18"/>
                <w:szCs w:val="18"/>
              </w:rPr>
            </w:pPr>
            <w:r w:rsidRPr="004B7FFC">
              <w:rPr>
                <w:rFonts w:eastAsia="Times New Roman"/>
                <w:bCs/>
                <w:color w:val="000000"/>
                <w:sz w:val="18"/>
                <w:szCs w:val="18"/>
              </w:rPr>
              <w:t xml:space="preserve"> Original (conservative)</w:t>
            </w:r>
          </w:p>
        </w:tc>
        <w:tc>
          <w:tcPr>
            <w:tcW w:w="1348" w:type="dxa"/>
            <w:tcBorders>
              <w:top w:val="single" w:color="auto" w:sz="4" w:space="0"/>
              <w:right w:val="single" w:color="auto" w:sz="4" w:space="0"/>
            </w:tcBorders>
            <w:shd w:val="clear" w:color="auto" w:fill="auto"/>
            <w:noWrap/>
            <w:vAlign w:val="bottom"/>
            <w:hideMark/>
          </w:tcPr>
          <w:p w:rsidRPr="004B7FFC" w:rsidR="004B7FFC" w:rsidP="00555361" w:rsidRDefault="004B7FFC" w14:paraId="400FA0C2" w14:textId="77777777">
            <w:pPr>
              <w:ind w:firstLine="180" w:firstLineChars="100"/>
              <w:jc w:val="center"/>
              <w:rPr>
                <w:rFonts w:eastAsia="Times New Roman"/>
                <w:bCs/>
                <w:color w:val="000000"/>
                <w:sz w:val="18"/>
                <w:szCs w:val="18"/>
              </w:rPr>
            </w:pPr>
            <w:r w:rsidRPr="004B7FFC">
              <w:rPr>
                <w:rFonts w:eastAsia="Times New Roman"/>
                <w:bCs/>
                <w:color w:val="000000"/>
                <w:sz w:val="18"/>
                <w:szCs w:val="18"/>
              </w:rPr>
              <w:t>0.40</w:t>
            </w:r>
          </w:p>
        </w:tc>
        <w:tc>
          <w:tcPr>
            <w:tcW w:w="2277" w:type="dxa"/>
            <w:tcBorders>
              <w:top w:val="single" w:color="auto" w:sz="4" w:space="0"/>
              <w:left w:val="single" w:color="auto" w:sz="4" w:space="0"/>
            </w:tcBorders>
            <w:vAlign w:val="bottom"/>
          </w:tcPr>
          <w:p w:rsidRPr="00171EF6" w:rsidR="004B7FFC" w:rsidP="00555361" w:rsidRDefault="004B7FFC" w14:paraId="329719E1" w14:textId="77777777">
            <w:pPr>
              <w:jc w:val="right"/>
              <w:rPr>
                <w:rFonts w:eastAsia="Times New Roman"/>
                <w:color w:val="000000"/>
                <w:sz w:val="18"/>
                <w:szCs w:val="18"/>
              </w:rPr>
            </w:pPr>
            <w:r w:rsidRPr="00171EF6">
              <w:rPr>
                <w:rFonts w:eastAsia="Times New Roman"/>
                <w:b/>
                <w:color w:val="000000"/>
                <w:sz w:val="18"/>
                <w:szCs w:val="18"/>
              </w:rPr>
              <w:t xml:space="preserve">445 </w:t>
            </w:r>
            <w:r w:rsidRPr="00171EF6">
              <w:rPr>
                <w:rFonts w:eastAsia="Times New Roman"/>
                <w:color w:val="000000"/>
                <w:sz w:val="18"/>
                <w:szCs w:val="18"/>
                <w:vertAlign w:val="superscript"/>
              </w:rPr>
              <w:t>a</w:t>
            </w:r>
          </w:p>
        </w:tc>
        <w:tc>
          <w:tcPr>
            <w:tcW w:w="2277" w:type="dxa"/>
            <w:tcBorders>
              <w:top w:val="single" w:color="auto" w:sz="4" w:space="0"/>
            </w:tcBorders>
            <w:shd w:val="clear" w:color="auto" w:fill="auto"/>
            <w:noWrap/>
            <w:vAlign w:val="bottom"/>
          </w:tcPr>
          <w:p w:rsidRPr="00C75AEB" w:rsidR="004B7FFC" w:rsidP="00555361" w:rsidRDefault="004B7FFC" w14:paraId="69C899B0" w14:textId="77777777">
            <w:pPr>
              <w:ind w:right="105"/>
              <w:jc w:val="right"/>
              <w:rPr>
                <w:rFonts w:eastAsia="Times New Roman"/>
                <w:color w:val="000000"/>
                <w:sz w:val="18"/>
                <w:szCs w:val="18"/>
              </w:rPr>
            </w:pPr>
            <w:r w:rsidRPr="00C75AEB">
              <w:rPr>
                <w:rFonts w:eastAsia="Times New Roman"/>
                <w:color w:val="000000"/>
                <w:sz w:val="18"/>
                <w:szCs w:val="18"/>
              </w:rPr>
              <w:t>386</w:t>
            </w:r>
          </w:p>
        </w:tc>
      </w:tr>
      <w:tr w:rsidRPr="00E61F46" w:rsidR="004B7FFC" w:rsidTr="004B7FFC" w14:paraId="50B67222" w14:textId="77777777">
        <w:trPr>
          <w:trHeight w:val="300"/>
          <w:jc w:val="center"/>
        </w:trPr>
        <w:tc>
          <w:tcPr>
            <w:tcW w:w="3120" w:type="dxa"/>
            <w:shd w:val="clear" w:color="auto" w:fill="auto"/>
            <w:noWrap/>
            <w:vAlign w:val="bottom"/>
          </w:tcPr>
          <w:p w:rsidRPr="004B7FFC" w:rsidR="004B7FFC" w:rsidP="00555361" w:rsidRDefault="004B7FFC" w14:paraId="1C7775E3" w14:textId="77777777">
            <w:pPr>
              <w:jc w:val="right"/>
              <w:rPr>
                <w:rFonts w:eastAsia="Times New Roman"/>
                <w:color w:val="000000"/>
                <w:sz w:val="18"/>
                <w:szCs w:val="18"/>
              </w:rPr>
            </w:pPr>
          </w:p>
        </w:tc>
        <w:tc>
          <w:tcPr>
            <w:tcW w:w="1348" w:type="dxa"/>
            <w:tcBorders>
              <w:right w:val="single" w:color="auto" w:sz="4" w:space="0"/>
            </w:tcBorders>
            <w:shd w:val="clear" w:color="auto" w:fill="auto"/>
            <w:noWrap/>
            <w:vAlign w:val="bottom"/>
          </w:tcPr>
          <w:p w:rsidRPr="004B7FFC" w:rsidR="004B7FFC" w:rsidP="00555361" w:rsidRDefault="004B7FFC" w14:paraId="2DF2399E" w14:textId="77777777">
            <w:pPr>
              <w:ind w:firstLine="180" w:firstLineChars="100"/>
              <w:jc w:val="center"/>
              <w:rPr>
                <w:rFonts w:eastAsia="Times New Roman"/>
                <w:bCs/>
                <w:color w:val="000000"/>
                <w:sz w:val="18"/>
                <w:szCs w:val="18"/>
              </w:rPr>
            </w:pPr>
          </w:p>
        </w:tc>
        <w:tc>
          <w:tcPr>
            <w:tcW w:w="2277" w:type="dxa"/>
            <w:tcBorders>
              <w:left w:val="single" w:color="auto" w:sz="4" w:space="0"/>
            </w:tcBorders>
            <w:vAlign w:val="bottom"/>
          </w:tcPr>
          <w:p w:rsidRPr="00171EF6" w:rsidR="004B7FFC" w:rsidP="00555361" w:rsidRDefault="004B7FFC" w14:paraId="4099260F" w14:textId="77777777">
            <w:pPr>
              <w:jc w:val="right"/>
              <w:rPr>
                <w:rFonts w:eastAsia="Times New Roman"/>
                <w:color w:val="000000"/>
                <w:sz w:val="18"/>
                <w:szCs w:val="18"/>
              </w:rPr>
            </w:pPr>
          </w:p>
        </w:tc>
        <w:tc>
          <w:tcPr>
            <w:tcW w:w="2277" w:type="dxa"/>
            <w:shd w:val="clear" w:color="auto" w:fill="auto"/>
            <w:noWrap/>
            <w:vAlign w:val="bottom"/>
          </w:tcPr>
          <w:p w:rsidRPr="00C75AEB" w:rsidR="004B7FFC" w:rsidP="00555361" w:rsidRDefault="004B7FFC" w14:paraId="4E55E81D" w14:textId="77777777">
            <w:pPr>
              <w:ind w:right="105"/>
              <w:jc w:val="right"/>
              <w:rPr>
                <w:rFonts w:eastAsia="Times New Roman"/>
                <w:color w:val="000000"/>
                <w:sz w:val="18"/>
                <w:szCs w:val="18"/>
              </w:rPr>
            </w:pPr>
          </w:p>
        </w:tc>
      </w:tr>
      <w:tr w:rsidRPr="00E61F46" w:rsidR="004B7FFC" w:rsidTr="004B7FFC" w14:paraId="0CEB7879" w14:textId="77777777">
        <w:trPr>
          <w:trHeight w:val="300"/>
          <w:jc w:val="center"/>
        </w:trPr>
        <w:tc>
          <w:tcPr>
            <w:tcW w:w="3120" w:type="dxa"/>
            <w:shd w:val="clear" w:color="auto" w:fill="auto"/>
            <w:noWrap/>
            <w:vAlign w:val="bottom"/>
          </w:tcPr>
          <w:p w:rsidRPr="004B7FFC" w:rsidR="004B7FFC" w:rsidP="00555361" w:rsidRDefault="004B7FFC" w14:paraId="024554C7" w14:textId="77777777">
            <w:pPr>
              <w:rPr>
                <w:rFonts w:eastAsia="Times New Roman"/>
                <w:color w:val="000000"/>
                <w:sz w:val="18"/>
                <w:szCs w:val="18"/>
              </w:rPr>
            </w:pPr>
            <w:r w:rsidRPr="004B7FFC">
              <w:rPr>
                <w:rFonts w:eastAsia="Times New Roman"/>
                <w:color w:val="000000"/>
                <w:sz w:val="18"/>
                <w:szCs w:val="18"/>
              </w:rPr>
              <w:t xml:space="preserve"> Revised</w:t>
            </w:r>
          </w:p>
        </w:tc>
        <w:tc>
          <w:tcPr>
            <w:tcW w:w="1348" w:type="dxa"/>
            <w:tcBorders>
              <w:right w:val="single" w:color="auto" w:sz="4" w:space="0"/>
            </w:tcBorders>
            <w:shd w:val="clear" w:color="auto" w:fill="auto"/>
            <w:noWrap/>
            <w:vAlign w:val="bottom"/>
          </w:tcPr>
          <w:p w:rsidRPr="004B7FFC" w:rsidR="004B7FFC" w:rsidP="00555361" w:rsidRDefault="004B7FFC" w14:paraId="38D20247" w14:textId="77777777">
            <w:pPr>
              <w:ind w:firstLine="180" w:firstLineChars="100"/>
              <w:jc w:val="center"/>
              <w:rPr>
                <w:rFonts w:eastAsia="Times New Roman"/>
                <w:bCs/>
                <w:color w:val="000000"/>
                <w:sz w:val="18"/>
                <w:szCs w:val="18"/>
              </w:rPr>
            </w:pPr>
            <w:r w:rsidRPr="004B7FFC">
              <w:rPr>
                <w:rFonts w:eastAsia="Times New Roman"/>
                <w:bCs/>
                <w:color w:val="000000"/>
                <w:sz w:val="18"/>
                <w:szCs w:val="18"/>
              </w:rPr>
              <w:t>0.06</w:t>
            </w:r>
          </w:p>
        </w:tc>
        <w:tc>
          <w:tcPr>
            <w:tcW w:w="2277" w:type="dxa"/>
            <w:tcBorders>
              <w:left w:val="single" w:color="auto" w:sz="4" w:space="0"/>
            </w:tcBorders>
            <w:vAlign w:val="bottom"/>
          </w:tcPr>
          <w:p w:rsidRPr="00171EF6" w:rsidR="004B7FFC" w:rsidP="00555361" w:rsidRDefault="004B7FFC" w14:paraId="6BAE292C" w14:textId="77777777">
            <w:pPr>
              <w:jc w:val="right"/>
              <w:rPr>
                <w:sz w:val="18"/>
                <w:szCs w:val="18"/>
              </w:rPr>
            </w:pPr>
            <w:r w:rsidRPr="00171EF6">
              <w:rPr>
                <w:sz w:val="18"/>
                <w:szCs w:val="18"/>
              </w:rPr>
              <w:t>277</w:t>
            </w:r>
          </w:p>
        </w:tc>
        <w:tc>
          <w:tcPr>
            <w:tcW w:w="2277" w:type="dxa"/>
            <w:shd w:val="clear" w:color="auto" w:fill="auto"/>
            <w:noWrap/>
            <w:vAlign w:val="bottom"/>
          </w:tcPr>
          <w:p w:rsidRPr="00C75AEB" w:rsidR="004B7FFC" w:rsidP="00555361" w:rsidRDefault="004B7FFC" w14:paraId="136E637D" w14:textId="77777777">
            <w:pPr>
              <w:ind w:right="105"/>
              <w:jc w:val="right"/>
              <w:rPr>
                <w:rFonts w:eastAsia="Times New Roman"/>
                <w:color w:val="000000"/>
                <w:sz w:val="18"/>
                <w:szCs w:val="18"/>
              </w:rPr>
            </w:pPr>
            <w:r w:rsidRPr="00C75AEB">
              <w:rPr>
                <w:rFonts w:eastAsia="Times New Roman"/>
                <w:color w:val="000000"/>
                <w:sz w:val="18"/>
                <w:szCs w:val="18"/>
              </w:rPr>
              <w:t>184</w:t>
            </w:r>
          </w:p>
        </w:tc>
      </w:tr>
      <w:tr w:rsidRPr="00E61F46" w:rsidR="004B7FFC" w:rsidTr="004B7FFC" w14:paraId="3876CCF4" w14:textId="77777777">
        <w:trPr>
          <w:trHeight w:val="300"/>
          <w:jc w:val="center"/>
        </w:trPr>
        <w:tc>
          <w:tcPr>
            <w:tcW w:w="3120" w:type="dxa"/>
            <w:shd w:val="clear" w:color="auto" w:fill="auto"/>
            <w:noWrap/>
            <w:vAlign w:val="bottom"/>
          </w:tcPr>
          <w:p w:rsidRPr="004B7FFC" w:rsidR="004B7FFC" w:rsidP="00555361" w:rsidRDefault="004B7FFC" w14:paraId="40796710" w14:textId="77777777">
            <w:pPr>
              <w:rPr>
                <w:rFonts w:eastAsia="Times New Roman"/>
                <w:color w:val="000000"/>
                <w:sz w:val="18"/>
                <w:szCs w:val="18"/>
              </w:rPr>
            </w:pPr>
          </w:p>
        </w:tc>
        <w:tc>
          <w:tcPr>
            <w:tcW w:w="1348" w:type="dxa"/>
            <w:tcBorders>
              <w:right w:val="single" w:color="auto" w:sz="4" w:space="0"/>
            </w:tcBorders>
            <w:shd w:val="clear" w:color="auto" w:fill="auto"/>
            <w:noWrap/>
            <w:vAlign w:val="bottom"/>
          </w:tcPr>
          <w:p w:rsidRPr="004B7FFC" w:rsidR="004B7FFC" w:rsidP="00555361" w:rsidRDefault="004B7FFC" w14:paraId="0C73B7FE" w14:textId="77777777">
            <w:pPr>
              <w:ind w:firstLine="180" w:firstLineChars="100"/>
              <w:jc w:val="center"/>
              <w:rPr>
                <w:rFonts w:eastAsia="Times New Roman"/>
                <w:bCs/>
                <w:color w:val="000000"/>
                <w:sz w:val="18"/>
                <w:szCs w:val="18"/>
              </w:rPr>
            </w:pPr>
            <w:r w:rsidRPr="004B7FFC">
              <w:rPr>
                <w:rFonts w:eastAsia="Times New Roman"/>
                <w:bCs/>
                <w:color w:val="000000"/>
                <w:sz w:val="18"/>
                <w:szCs w:val="18"/>
              </w:rPr>
              <w:t>0.10</w:t>
            </w:r>
          </w:p>
        </w:tc>
        <w:tc>
          <w:tcPr>
            <w:tcW w:w="2277" w:type="dxa"/>
            <w:tcBorders>
              <w:left w:val="single" w:color="auto" w:sz="4" w:space="0"/>
            </w:tcBorders>
            <w:vAlign w:val="bottom"/>
          </w:tcPr>
          <w:p w:rsidRPr="00171EF6" w:rsidR="004B7FFC" w:rsidP="00555361" w:rsidRDefault="004B7FFC" w14:paraId="4E664352" w14:textId="77777777">
            <w:pPr>
              <w:jc w:val="right"/>
              <w:rPr>
                <w:sz w:val="18"/>
                <w:szCs w:val="18"/>
              </w:rPr>
            </w:pPr>
            <w:r w:rsidRPr="00171EF6">
              <w:rPr>
                <w:b/>
                <w:sz w:val="18"/>
                <w:szCs w:val="18"/>
              </w:rPr>
              <w:t xml:space="preserve">297 </w:t>
            </w:r>
            <w:r w:rsidRPr="00171EF6">
              <w:rPr>
                <w:sz w:val="18"/>
                <w:szCs w:val="18"/>
                <w:vertAlign w:val="superscript"/>
              </w:rPr>
              <w:t>b</w:t>
            </w:r>
          </w:p>
        </w:tc>
        <w:tc>
          <w:tcPr>
            <w:tcW w:w="2277" w:type="dxa"/>
            <w:shd w:val="clear" w:color="auto" w:fill="auto"/>
            <w:noWrap/>
            <w:vAlign w:val="bottom"/>
          </w:tcPr>
          <w:p w:rsidRPr="00C75AEB" w:rsidR="004B7FFC" w:rsidP="00555361" w:rsidRDefault="004B7FFC" w14:paraId="44317588" w14:textId="77777777">
            <w:pPr>
              <w:ind w:right="105"/>
              <w:jc w:val="right"/>
              <w:rPr>
                <w:rFonts w:eastAsia="Times New Roman"/>
                <w:color w:val="000000"/>
                <w:sz w:val="18"/>
                <w:szCs w:val="18"/>
              </w:rPr>
            </w:pPr>
            <w:r w:rsidRPr="00C75AEB">
              <w:rPr>
                <w:rFonts w:eastAsia="Times New Roman"/>
                <w:color w:val="000000"/>
                <w:sz w:val="18"/>
                <w:szCs w:val="18"/>
              </w:rPr>
              <w:t>208</w:t>
            </w:r>
          </w:p>
        </w:tc>
      </w:tr>
    </w:tbl>
    <w:p w:rsidR="001B27C7" w:rsidP="00171EF6" w:rsidRDefault="00B16692" w14:paraId="21635F61" w14:textId="77777777">
      <w:pPr>
        <w:spacing w:before="120" w:line="276" w:lineRule="auto"/>
        <w:ind w:left="360"/>
        <w:rPr>
          <w:i/>
          <w:iCs/>
          <w:sz w:val="16"/>
          <w:szCs w:val="16"/>
        </w:rPr>
      </w:pPr>
      <w:r w:rsidRPr="002623CF">
        <w:rPr>
          <w:i/>
          <w:iCs/>
          <w:sz w:val="16"/>
          <w:szCs w:val="16"/>
        </w:rPr>
        <w:t>Note: ICC = intracluster correlation.</w:t>
      </w:r>
    </w:p>
    <w:p w:rsidR="00B16692" w:rsidP="00171EF6" w:rsidRDefault="001B27C7" w14:paraId="3EDD75CC" w14:textId="3D8021A2">
      <w:pPr>
        <w:spacing w:line="276" w:lineRule="auto"/>
        <w:ind w:left="360"/>
        <w:rPr>
          <w:i/>
          <w:iCs/>
          <w:sz w:val="16"/>
          <w:szCs w:val="16"/>
        </w:rPr>
      </w:pPr>
      <w:proofErr w:type="spellStart"/>
      <w:r w:rsidRPr="00A761F4">
        <w:rPr>
          <w:i/>
          <w:iCs/>
          <w:sz w:val="16"/>
          <w:szCs w:val="16"/>
          <w:vertAlign w:val="superscript"/>
        </w:rPr>
        <w:t>a</w:t>
      </w:r>
      <w:proofErr w:type="spellEnd"/>
      <w:r w:rsidRPr="00BF1BBE">
        <w:rPr>
          <w:i/>
          <w:iCs/>
          <w:sz w:val="16"/>
          <w:szCs w:val="16"/>
          <w:vertAlign w:val="subscript"/>
        </w:rPr>
        <w:t xml:space="preserve"> </w:t>
      </w:r>
      <w:r>
        <w:rPr>
          <w:i/>
          <w:iCs/>
          <w:sz w:val="16"/>
          <w:szCs w:val="16"/>
        </w:rPr>
        <w:t>Originally proposed sample size</w:t>
      </w:r>
      <w:r w:rsidRPr="002623CF" w:rsidR="00B16692">
        <w:rPr>
          <w:i/>
          <w:iCs/>
          <w:sz w:val="16"/>
          <w:szCs w:val="16"/>
        </w:rPr>
        <w:t xml:space="preserve"> </w:t>
      </w:r>
      <w:r>
        <w:rPr>
          <w:i/>
          <w:iCs/>
          <w:sz w:val="16"/>
          <w:szCs w:val="16"/>
        </w:rPr>
        <w:t>under conservative power calculation assumptions</w:t>
      </w:r>
      <w:r w:rsidR="00171EF6">
        <w:rPr>
          <w:i/>
          <w:iCs/>
          <w:sz w:val="16"/>
          <w:szCs w:val="16"/>
        </w:rPr>
        <w:t xml:space="preserve"> </w:t>
      </w:r>
      <w:r w:rsidR="003B0F3A">
        <w:rPr>
          <w:i/>
          <w:iCs/>
          <w:sz w:val="16"/>
          <w:szCs w:val="16"/>
        </w:rPr>
        <w:t>with 3 data points</w:t>
      </w:r>
      <w:r>
        <w:rPr>
          <w:i/>
          <w:iCs/>
          <w:sz w:val="16"/>
          <w:szCs w:val="16"/>
        </w:rPr>
        <w:t>.</w:t>
      </w:r>
    </w:p>
    <w:p w:rsidRPr="002623CF" w:rsidR="001B27C7" w:rsidP="00885B09" w:rsidRDefault="00160892" w14:paraId="6330503C" w14:textId="3448FD1A">
      <w:pPr>
        <w:spacing w:after="240" w:line="276" w:lineRule="auto"/>
        <w:ind w:left="360"/>
        <w:rPr>
          <w:i/>
          <w:iCs/>
          <w:sz w:val="16"/>
          <w:szCs w:val="16"/>
        </w:rPr>
      </w:pPr>
      <w:r>
        <w:rPr>
          <w:i/>
          <w:iCs/>
          <w:sz w:val="16"/>
          <w:szCs w:val="16"/>
          <w:vertAlign w:val="superscript"/>
        </w:rPr>
        <w:t>b</w:t>
      </w:r>
      <w:r w:rsidR="004B1501">
        <w:rPr>
          <w:i/>
          <w:iCs/>
          <w:sz w:val="16"/>
          <w:szCs w:val="16"/>
          <w:vertAlign w:val="superscript"/>
        </w:rPr>
        <w:t xml:space="preserve"> </w:t>
      </w:r>
      <w:r w:rsidR="001B27C7">
        <w:rPr>
          <w:i/>
          <w:iCs/>
          <w:sz w:val="16"/>
          <w:szCs w:val="16"/>
        </w:rPr>
        <w:t>Revised sample size</w:t>
      </w:r>
      <w:r w:rsidRPr="002623CF" w:rsidR="001B27C7">
        <w:rPr>
          <w:i/>
          <w:iCs/>
          <w:sz w:val="16"/>
          <w:szCs w:val="16"/>
        </w:rPr>
        <w:t xml:space="preserve"> </w:t>
      </w:r>
      <w:r w:rsidR="001B27C7">
        <w:rPr>
          <w:i/>
          <w:iCs/>
          <w:sz w:val="16"/>
          <w:szCs w:val="16"/>
        </w:rPr>
        <w:t xml:space="preserve">under </w:t>
      </w:r>
      <w:r w:rsidR="0053177D">
        <w:rPr>
          <w:i/>
          <w:iCs/>
          <w:sz w:val="16"/>
          <w:szCs w:val="16"/>
        </w:rPr>
        <w:t xml:space="preserve">less </w:t>
      </w:r>
      <w:r w:rsidR="001B27C7">
        <w:rPr>
          <w:i/>
          <w:iCs/>
          <w:sz w:val="16"/>
          <w:szCs w:val="16"/>
        </w:rPr>
        <w:t>conservative power calculation assumptions</w:t>
      </w:r>
      <w:r w:rsidR="003B0F3A">
        <w:rPr>
          <w:i/>
          <w:iCs/>
          <w:sz w:val="16"/>
          <w:szCs w:val="16"/>
        </w:rPr>
        <w:t xml:space="preserve"> with 3 data points</w:t>
      </w:r>
      <w:r w:rsidR="001B27C7">
        <w:rPr>
          <w:i/>
          <w:iCs/>
          <w:sz w:val="16"/>
          <w:szCs w:val="16"/>
        </w:rPr>
        <w:t>.</w:t>
      </w:r>
    </w:p>
    <w:p w:rsidR="006E07F4" w:rsidP="0053177D" w:rsidRDefault="0053177D" w14:paraId="37BFEE66" w14:textId="0C7A1D2E">
      <w:pPr>
        <w:spacing w:after="160" w:line="320" w:lineRule="exact"/>
      </w:pPr>
      <w:r>
        <w:t xml:space="preserve">We </w:t>
      </w:r>
      <w:r w:rsidR="009F5487">
        <w:t xml:space="preserve">approached the new </w:t>
      </w:r>
      <w:r>
        <w:t>client-level power calculations in a less conservative</w:t>
      </w:r>
      <w:r w:rsidR="004106A9">
        <w:t>, more clinically appropriate</w:t>
      </w:r>
      <w:r>
        <w:t xml:space="preserve"> manner</w:t>
      </w:r>
      <w:r w:rsidR="009F5487">
        <w:t xml:space="preserve">. </w:t>
      </w:r>
      <w:r w:rsidR="006E07F4">
        <w:t>Changes were introduced based on review of recent literature and included:</w:t>
      </w:r>
    </w:p>
    <w:p w:rsidR="006E07F4" w:rsidP="001E515F" w:rsidRDefault="006E07F4" w14:paraId="2BD2BB41" w14:textId="203CE315">
      <w:pPr>
        <w:pStyle w:val="ListParagraph"/>
        <w:numPr>
          <w:ilvl w:val="0"/>
          <w:numId w:val="3"/>
        </w:numPr>
        <w:spacing w:after="160" w:line="320" w:lineRule="exact"/>
      </w:pPr>
      <w:r>
        <w:t xml:space="preserve">Decrease of the </w:t>
      </w:r>
      <w:r w:rsidR="00732E05">
        <w:t>client</w:t>
      </w:r>
      <w:r>
        <w:t xml:space="preserve">-level intracluster correlation coefficient (ICC) from 0.40 to </w:t>
      </w:r>
      <w:r w:rsidR="00737536">
        <w:t xml:space="preserve">approximately </w:t>
      </w:r>
      <w:r>
        <w:t>0.10 (</w:t>
      </w:r>
      <w:proofErr w:type="spellStart"/>
      <w:r w:rsidR="001E515F">
        <w:t>Bachhuber</w:t>
      </w:r>
      <w:proofErr w:type="spellEnd"/>
      <w:r w:rsidR="001E515F">
        <w:t xml:space="preserve"> et al. 2018; </w:t>
      </w:r>
      <w:proofErr w:type="spellStart"/>
      <w:r w:rsidR="001E515F">
        <w:t>DeBar</w:t>
      </w:r>
      <w:proofErr w:type="spellEnd"/>
      <w:r w:rsidR="001E515F">
        <w:t xml:space="preserve"> et al. 2018; Goodwin et al. 2018; Barnhart et al. 2016; </w:t>
      </w:r>
      <w:proofErr w:type="spellStart"/>
      <w:r w:rsidR="001E515F">
        <w:t>Kuo</w:t>
      </w:r>
      <w:proofErr w:type="spellEnd"/>
      <w:r w:rsidR="001E515F">
        <w:t xml:space="preserve"> et al. 2016; Allen et al. 2014; Thompson et al. 2012; Campbell et al. 2005)</w:t>
      </w:r>
      <w:r w:rsidR="009D30C4">
        <w:t>.</w:t>
      </w:r>
    </w:p>
    <w:p w:rsidR="009D30C4" w:rsidP="00A761F4" w:rsidRDefault="00EC627C" w14:paraId="34FE9EB4" w14:textId="64D22A91">
      <w:pPr>
        <w:pStyle w:val="ListParagraph"/>
        <w:numPr>
          <w:ilvl w:val="0"/>
          <w:numId w:val="3"/>
        </w:numPr>
        <w:spacing w:after="160" w:line="320" w:lineRule="exact"/>
      </w:pPr>
      <w:r>
        <w:t xml:space="preserve">Increase in the </w:t>
      </w:r>
      <w:r w:rsidR="007E4B92">
        <w:t>percent of the variance explained in a model-based analyses from 0 (i.e., descriptive statistics only) to 0.20 (</w:t>
      </w:r>
      <w:proofErr w:type="spellStart"/>
      <w:r w:rsidR="007E4B92">
        <w:t>Heidebrecht</w:t>
      </w:r>
      <w:proofErr w:type="spellEnd"/>
      <w:r w:rsidR="007E4B92">
        <w:t xml:space="preserve"> et al. 2018; Levine et al. 2015).</w:t>
      </w:r>
      <w:r w:rsidR="0036616F">
        <w:rPr>
          <w:rStyle w:val="FootnoteReference"/>
        </w:rPr>
        <w:footnoteReference w:id="5"/>
      </w:r>
      <w:r w:rsidR="00D97948">
        <w:t xml:space="preserve"> See discussion of </w:t>
      </w:r>
      <w:r w:rsidRPr="009D218B" w:rsidR="00D97948">
        <w:rPr>
          <w:i/>
        </w:rPr>
        <w:t>ε</w:t>
      </w:r>
      <w:r w:rsidR="009D218B">
        <w:t>=0.20</w:t>
      </w:r>
      <w:r w:rsidR="00D97948">
        <w:t xml:space="preserve"> below for equation (3.2).</w:t>
      </w:r>
    </w:p>
    <w:p w:rsidR="006519AA" w:rsidP="00A761F4" w:rsidRDefault="006519AA" w14:paraId="7E1D561C" w14:textId="3EA23094">
      <w:pPr>
        <w:pStyle w:val="ListParagraph"/>
        <w:numPr>
          <w:ilvl w:val="0"/>
          <w:numId w:val="3"/>
        </w:numPr>
        <w:spacing w:after="160" w:line="320" w:lineRule="exact"/>
      </w:pPr>
      <w:r>
        <w:t xml:space="preserve">Decrease </w:t>
      </w:r>
      <w:r w:rsidR="00737536">
        <w:t xml:space="preserve">of 0.10 </w:t>
      </w:r>
      <w:r>
        <w:t xml:space="preserve">in the </w:t>
      </w:r>
      <w:r w:rsidR="00B950BF">
        <w:t>co</w:t>
      </w:r>
      <w:r>
        <w:t xml:space="preserve">variance </w:t>
      </w:r>
      <w:r w:rsidR="00B950BF">
        <w:t xml:space="preserve">between two </w:t>
      </w:r>
      <w:r>
        <w:t xml:space="preserve">opioid abstinence </w:t>
      </w:r>
      <w:r w:rsidR="00737536">
        <w:t>rates to account for the many participating sites that provide multiple treatment regimens (i.e., arms).</w:t>
      </w:r>
      <w:r>
        <w:t xml:space="preserve"> </w:t>
      </w:r>
      <w:r w:rsidR="00D97948">
        <w:t xml:space="preserve">See discussion of </w:t>
      </w:r>
      <w:r w:rsidRPr="009D218B" w:rsidR="00D97948">
        <w:rPr>
          <w:i/>
        </w:rPr>
        <w:t>ρ</w:t>
      </w:r>
      <w:r w:rsidR="009D218B">
        <w:t>=0.10</w:t>
      </w:r>
      <w:r w:rsidR="00D97948">
        <w:t xml:space="preserve"> below for equation (3.2).</w:t>
      </w:r>
    </w:p>
    <w:p w:rsidR="00737536" w:rsidP="0053177D" w:rsidRDefault="00DA156B" w14:paraId="2568E6A2" w14:textId="36277E28">
      <w:pPr>
        <w:spacing w:after="160" w:line="320" w:lineRule="exact"/>
      </w:pPr>
      <w:r>
        <w:t xml:space="preserve">The proposed </w:t>
      </w:r>
      <w:r w:rsidR="006E1188">
        <w:t xml:space="preserve">reduction </w:t>
      </w:r>
      <w:r>
        <w:t>of</w:t>
      </w:r>
      <w:r w:rsidR="006E1188">
        <w:t xml:space="preserve"> the </w:t>
      </w:r>
      <w:r w:rsidR="00732E05">
        <w:t>client</w:t>
      </w:r>
      <w:r w:rsidR="006E1188">
        <w:t>-level ICC noted above</w:t>
      </w:r>
      <w:r>
        <w:t xml:space="preserve"> to clinically-feasible levels is worth further discussion</w:t>
      </w:r>
      <w:r w:rsidR="006E1188">
        <w:t xml:space="preserve">. Two multisite studies </w:t>
      </w:r>
      <w:r w:rsidR="00802636">
        <w:t xml:space="preserve">found in the literature to have </w:t>
      </w:r>
      <w:r w:rsidR="000775DD">
        <w:t xml:space="preserve">similar </w:t>
      </w:r>
      <w:r w:rsidR="00802636">
        <w:t xml:space="preserve">characteristics </w:t>
      </w:r>
      <w:r w:rsidR="000775DD">
        <w:t xml:space="preserve">to </w:t>
      </w:r>
      <w:r w:rsidR="006E1188">
        <w:t>the MAT Study are the START Study (</w:t>
      </w:r>
      <w:proofErr w:type="spellStart"/>
      <w:r w:rsidR="006E1188">
        <w:t>Hser</w:t>
      </w:r>
      <w:proofErr w:type="spellEnd"/>
      <w:r w:rsidR="006E1188">
        <w:t xml:space="preserve"> et al. 2015) and POATS (Weiss et al. 2015). </w:t>
      </w:r>
      <w:r w:rsidR="00802636">
        <w:t xml:space="preserve">The START Study included MMT and BUP in their evaluation (randomized to treatment within site), and POATS recruited for BUP OUD treatment only. Neither of the comparison studies included as many sites as targeted for the MAT Study—7 for START and 10 for POATS. Both journal articles discuss evaluating the </w:t>
      </w:r>
      <w:r w:rsidR="00732E05">
        <w:t>client</w:t>
      </w:r>
      <w:r w:rsidR="00802636">
        <w:t xml:space="preserve">-level ICC for significance, and both concluded that the values were insignificant, resulting in a site-level fixed effect within their models. </w:t>
      </w:r>
    </w:p>
    <w:p w:rsidR="0033461B" w:rsidP="0053177D" w:rsidRDefault="0033461B" w14:paraId="4A876548" w14:textId="2DC9C07B">
      <w:pPr>
        <w:spacing w:after="160" w:line="320" w:lineRule="exact"/>
      </w:pPr>
      <w:r>
        <w:t xml:space="preserve">As with the original power calculations in our initial proposal, </w:t>
      </w:r>
      <w:r w:rsidR="004106A9">
        <w:t xml:space="preserve">we used a </w:t>
      </w:r>
      <w:r w:rsidRPr="009F5487" w:rsidR="009F5487">
        <w:t xml:space="preserve">50 percent </w:t>
      </w:r>
      <w:r w:rsidR="004106A9">
        <w:t>opio</w:t>
      </w:r>
      <w:r>
        <w:t xml:space="preserve">id </w:t>
      </w:r>
      <w:r w:rsidRPr="009F5487" w:rsidR="009F5487">
        <w:t>abstinence rate</w:t>
      </w:r>
      <w:r w:rsidR="009F5487">
        <w:t xml:space="preserve"> </w:t>
      </w:r>
      <w:r>
        <w:t>with the revised power</w:t>
      </w:r>
      <w:r w:rsidR="009F5487">
        <w:t xml:space="preserve"> calculations. Some studies suggest that this rate </w:t>
      </w:r>
      <w:r w:rsidR="009F5487">
        <w:lastRenderedPageBreak/>
        <w:t xml:space="preserve">may </w:t>
      </w:r>
      <w:r w:rsidR="00DA156B">
        <w:t>be</w:t>
      </w:r>
      <w:r w:rsidR="009F5487">
        <w:t xml:space="preserve"> lower than 50 percent (see, e.g., Zhu et al. 2018;</w:t>
      </w:r>
      <w:r w:rsidR="000A5120">
        <w:t xml:space="preserve"> </w:t>
      </w:r>
      <w:r w:rsidR="006E07F4">
        <w:t xml:space="preserve">Bart 2012; </w:t>
      </w:r>
      <w:r w:rsidRPr="005F1184" w:rsidR="000A5120">
        <w:rPr>
          <w:lang w:val="en"/>
        </w:rPr>
        <w:t>Kleber</w:t>
      </w:r>
      <w:r w:rsidR="000A5120">
        <w:rPr>
          <w:lang w:val="en"/>
        </w:rPr>
        <w:t xml:space="preserve"> 2007</w:t>
      </w:r>
      <w:r w:rsidR="009F5487">
        <w:t>)</w:t>
      </w:r>
      <w:r w:rsidR="00F44F00">
        <w:t>; values smaller than 50 percent would reduce the calculations shown in Table 3-2</w:t>
      </w:r>
      <w:r w:rsidR="0036616F">
        <w:t xml:space="preserve">. </w:t>
      </w:r>
    </w:p>
    <w:p w:rsidR="00820145" w:rsidP="0053177D" w:rsidRDefault="007A5527" w14:paraId="5B410889" w14:textId="60AECC17">
      <w:pPr>
        <w:spacing w:after="160" w:line="320" w:lineRule="exact"/>
      </w:pPr>
      <w:r>
        <w:t>The results in Table 3-2 display the targeted number of clients in the MAT Study at the end of data collection</w:t>
      </w:r>
      <w:r w:rsidR="00F44F00">
        <w:t xml:space="preserve"> (i.e., 24-month interview)</w:t>
      </w:r>
      <w:r w:rsidR="0026229B">
        <w:t xml:space="preserve"> per treatment arm</w:t>
      </w:r>
      <w:r>
        <w:t xml:space="preserve">. Because </w:t>
      </w:r>
      <w:r w:rsidR="005E0CAA">
        <w:t>of</w:t>
      </w:r>
      <w:r>
        <w:t xml:space="preserve"> some study loss (study withdrawal, loss to follow-up), the targeted number of clients was inflated by 50 percent based on experience from the RTI project team</w:t>
      </w:r>
      <w:r w:rsidR="00820145">
        <w:t xml:space="preserve"> (Table 3-3)</w:t>
      </w:r>
      <w:r>
        <w:t xml:space="preserve">. </w:t>
      </w:r>
      <w:r w:rsidR="0026229B">
        <w:t>Therefore, the revised target number of enrolled clients across the four treatment arms is approximately 2,376 (=594 × 4).</w:t>
      </w:r>
    </w:p>
    <w:p w:rsidR="00820145" w:rsidP="00DF171A" w:rsidRDefault="00DF171A" w14:paraId="3812D92C" w14:textId="7284B0CA">
      <w:pPr>
        <w:pStyle w:val="TableTitle"/>
        <w:tabs>
          <w:tab w:val="left" w:pos="1260"/>
        </w:tabs>
        <w:ind w:left="1260" w:hanging="1260"/>
        <w:rPr>
          <w:rFonts w:ascii="Times New Roman" w:hAnsi="Times New Roman" w:eastAsia="Times New Roman"/>
          <w:b w:val="0"/>
          <w:bCs w:val="0"/>
        </w:rPr>
      </w:pPr>
      <w:r w:rsidRPr="00BE1788">
        <w:t xml:space="preserve">Table </w:t>
      </w:r>
      <w:r>
        <w:rPr>
          <w:noProof/>
        </w:rPr>
        <w:t>3</w:t>
      </w:r>
      <w:r w:rsidRPr="00BE1788">
        <w:t>-</w:t>
      </w:r>
      <w:r>
        <w:t>3</w:t>
      </w:r>
      <w:r w:rsidRPr="00BE1788">
        <w:t>.</w:t>
      </w:r>
      <w:r>
        <w:tab/>
      </w:r>
      <w:r w:rsidR="00820145">
        <w:t xml:space="preserve">Target </w:t>
      </w:r>
      <w:r w:rsidRPr="00BE1788" w:rsidR="00820145">
        <w:t xml:space="preserve">Number of </w:t>
      </w:r>
      <w:r w:rsidR="00820145">
        <w:t xml:space="preserve">Completed Baseline Interviews </w:t>
      </w:r>
      <w:r w:rsidRPr="00BE1788" w:rsidR="00820145">
        <w:t xml:space="preserve">per Treatment </w:t>
      </w:r>
      <w:r w:rsidR="00820145">
        <w:t>Arm by Original and Revised Power Assumptions</w:t>
      </w:r>
      <w:r>
        <w:t xml:space="preserve"> and Number of Interviews</w:t>
      </w:r>
    </w:p>
    <w:tbl>
      <w:tblPr>
        <w:tblW w:w="9298" w:type="dxa"/>
        <w:jc w:val="center"/>
        <w:tblLook w:val="04A0" w:firstRow="1" w:lastRow="0" w:firstColumn="1" w:lastColumn="0" w:noHBand="0" w:noVBand="1"/>
      </w:tblPr>
      <w:tblGrid>
        <w:gridCol w:w="3120"/>
        <w:gridCol w:w="1348"/>
        <w:gridCol w:w="2552"/>
        <w:gridCol w:w="2278"/>
      </w:tblGrid>
      <w:tr w:rsidRPr="00E61F46" w:rsidR="00885B09" w:rsidTr="00885B09" w14:paraId="51CEFB2A" w14:textId="77777777">
        <w:trPr>
          <w:trHeight w:val="300"/>
          <w:jc w:val="center"/>
        </w:trPr>
        <w:tc>
          <w:tcPr>
            <w:tcW w:w="3120" w:type="dxa"/>
            <w:shd w:val="clear" w:color="auto" w:fill="auto"/>
            <w:noWrap/>
            <w:vAlign w:val="bottom"/>
          </w:tcPr>
          <w:p w:rsidRPr="00171EF6" w:rsidR="00885B09" w:rsidP="00555361" w:rsidRDefault="00885B09" w14:paraId="5FAE4D39" w14:textId="77777777">
            <w:pPr>
              <w:rPr>
                <w:rFonts w:eastAsia="Times New Roman"/>
                <w:b/>
                <w:bCs/>
                <w:color w:val="000000"/>
                <w:sz w:val="18"/>
                <w:szCs w:val="18"/>
              </w:rPr>
            </w:pPr>
          </w:p>
        </w:tc>
        <w:tc>
          <w:tcPr>
            <w:tcW w:w="1348" w:type="dxa"/>
            <w:tcBorders>
              <w:right w:val="single" w:color="auto" w:sz="4" w:space="0"/>
            </w:tcBorders>
            <w:shd w:val="clear" w:color="auto" w:fill="auto"/>
            <w:noWrap/>
            <w:vAlign w:val="bottom"/>
          </w:tcPr>
          <w:p w:rsidRPr="00171EF6" w:rsidR="00885B09" w:rsidP="00555361" w:rsidRDefault="00885B09" w14:paraId="3CD56D0F" w14:textId="77777777">
            <w:pPr>
              <w:rPr>
                <w:rFonts w:eastAsia="Times New Roman"/>
                <w:b/>
                <w:bCs/>
                <w:color w:val="000000"/>
                <w:sz w:val="18"/>
                <w:szCs w:val="18"/>
              </w:rPr>
            </w:pPr>
          </w:p>
        </w:tc>
        <w:tc>
          <w:tcPr>
            <w:tcW w:w="4827" w:type="dxa"/>
            <w:gridSpan w:val="2"/>
            <w:tcBorders>
              <w:left w:val="single" w:color="auto" w:sz="4" w:space="0"/>
            </w:tcBorders>
            <w:vAlign w:val="bottom"/>
          </w:tcPr>
          <w:p w:rsidR="00885B09" w:rsidP="00555361" w:rsidRDefault="00885B09" w14:paraId="62C59AC2" w14:textId="77777777">
            <w:pPr>
              <w:jc w:val="center"/>
              <w:rPr>
                <w:rFonts w:eastAsia="Times New Roman"/>
                <w:b/>
                <w:bCs/>
                <w:color w:val="000000"/>
                <w:sz w:val="18"/>
                <w:szCs w:val="18"/>
              </w:rPr>
            </w:pPr>
            <w:r w:rsidRPr="006E0175">
              <w:rPr>
                <w:rFonts w:eastAsia="Times New Roman"/>
                <w:b/>
                <w:bCs/>
                <w:color w:val="000000"/>
                <w:sz w:val="18"/>
                <w:szCs w:val="18"/>
                <w:u w:val="single"/>
              </w:rPr>
              <w:t xml:space="preserve">2-Sided Test </w:t>
            </w:r>
            <w:proofErr w:type="spellStart"/>
            <w:r w:rsidRPr="006E0175">
              <w:rPr>
                <w:rFonts w:eastAsia="Times New Roman"/>
                <w:b/>
                <w:bCs/>
                <w:color w:val="000000"/>
                <w:sz w:val="18"/>
                <w:szCs w:val="18"/>
                <w:u w:val="single"/>
              </w:rPr>
              <w:t>Statistic</w:t>
            </w:r>
            <w:r w:rsidRPr="006E0175">
              <w:rPr>
                <w:rFonts w:eastAsia="Times New Roman"/>
                <w:b/>
                <w:bCs/>
                <w:color w:val="000000"/>
                <w:sz w:val="18"/>
                <w:szCs w:val="18"/>
                <w:u w:val="single"/>
                <w:vertAlign w:val="superscript"/>
              </w:rPr>
              <w:t>a</w:t>
            </w:r>
            <w:proofErr w:type="spellEnd"/>
            <w:r w:rsidRPr="006E0175">
              <w:rPr>
                <w:rFonts w:eastAsia="Times New Roman"/>
                <w:b/>
                <w:bCs/>
                <w:color w:val="000000"/>
                <w:sz w:val="18"/>
                <w:szCs w:val="18"/>
                <w:u w:val="single"/>
              </w:rPr>
              <w:t>, 90% Power</w:t>
            </w:r>
          </w:p>
        </w:tc>
      </w:tr>
      <w:tr w:rsidRPr="00E61F46" w:rsidR="00885B09" w:rsidTr="00885B09" w14:paraId="12FBE0FA" w14:textId="77777777">
        <w:trPr>
          <w:trHeight w:val="300"/>
          <w:jc w:val="center"/>
        </w:trPr>
        <w:tc>
          <w:tcPr>
            <w:tcW w:w="3120" w:type="dxa"/>
            <w:tcBorders>
              <w:bottom w:val="single" w:color="auto" w:sz="4" w:space="0"/>
            </w:tcBorders>
            <w:shd w:val="clear" w:color="auto" w:fill="auto"/>
            <w:noWrap/>
            <w:vAlign w:val="bottom"/>
            <w:hideMark/>
          </w:tcPr>
          <w:p w:rsidRPr="00171EF6" w:rsidR="00885B09" w:rsidP="00555361" w:rsidRDefault="00885B09" w14:paraId="0C864950" w14:textId="77777777">
            <w:pPr>
              <w:rPr>
                <w:rFonts w:eastAsia="Times New Roman"/>
                <w:b/>
                <w:bCs/>
                <w:color w:val="000000"/>
                <w:sz w:val="18"/>
                <w:szCs w:val="18"/>
              </w:rPr>
            </w:pPr>
            <w:r w:rsidRPr="00171EF6">
              <w:rPr>
                <w:rFonts w:eastAsia="Times New Roman"/>
                <w:b/>
                <w:bCs/>
                <w:color w:val="000000"/>
                <w:sz w:val="18"/>
                <w:szCs w:val="18"/>
              </w:rPr>
              <w:t xml:space="preserve">Power </w:t>
            </w:r>
            <w:r>
              <w:rPr>
                <w:rFonts w:eastAsia="Times New Roman"/>
                <w:b/>
                <w:bCs/>
                <w:color w:val="000000"/>
                <w:sz w:val="18"/>
                <w:szCs w:val="18"/>
              </w:rPr>
              <w:t>Assumptions</w:t>
            </w:r>
          </w:p>
        </w:tc>
        <w:tc>
          <w:tcPr>
            <w:tcW w:w="1348" w:type="dxa"/>
            <w:tcBorders>
              <w:bottom w:val="single" w:color="auto" w:sz="4" w:space="0"/>
              <w:right w:val="single" w:color="auto" w:sz="4" w:space="0"/>
            </w:tcBorders>
            <w:shd w:val="clear" w:color="auto" w:fill="auto"/>
            <w:noWrap/>
            <w:vAlign w:val="bottom"/>
            <w:hideMark/>
          </w:tcPr>
          <w:p w:rsidRPr="00171EF6" w:rsidR="00885B09" w:rsidP="00555361" w:rsidRDefault="00885B09" w14:paraId="16B72761" w14:textId="77777777">
            <w:pPr>
              <w:rPr>
                <w:rFonts w:eastAsia="Times New Roman"/>
                <w:b/>
                <w:bCs/>
                <w:color w:val="000000"/>
                <w:sz w:val="18"/>
                <w:szCs w:val="18"/>
              </w:rPr>
            </w:pPr>
            <w:r w:rsidRPr="00171EF6">
              <w:rPr>
                <w:rFonts w:eastAsia="Times New Roman"/>
                <w:b/>
                <w:bCs/>
                <w:color w:val="000000"/>
                <w:sz w:val="18"/>
                <w:szCs w:val="18"/>
              </w:rPr>
              <w:t>Client ICC</w:t>
            </w:r>
          </w:p>
        </w:tc>
        <w:tc>
          <w:tcPr>
            <w:tcW w:w="2552" w:type="dxa"/>
            <w:tcBorders>
              <w:left w:val="single" w:color="auto" w:sz="4" w:space="0"/>
              <w:bottom w:val="single" w:color="auto" w:sz="4" w:space="0"/>
            </w:tcBorders>
            <w:vAlign w:val="bottom"/>
          </w:tcPr>
          <w:p w:rsidRPr="006E0175" w:rsidR="00885B09" w:rsidP="00555361" w:rsidRDefault="00885B09" w14:paraId="0B6E7940" w14:textId="77777777">
            <w:pPr>
              <w:jc w:val="right"/>
              <w:rPr>
                <w:rFonts w:eastAsia="Times New Roman"/>
                <w:b/>
                <w:bCs/>
                <w:color w:val="000000"/>
                <w:sz w:val="18"/>
                <w:szCs w:val="18"/>
              </w:rPr>
            </w:pPr>
            <w:r w:rsidRPr="006E0175">
              <w:rPr>
                <w:rFonts w:eastAsia="Times New Roman"/>
                <w:b/>
                <w:bCs/>
                <w:color w:val="000000"/>
                <w:sz w:val="18"/>
                <w:szCs w:val="18"/>
              </w:rPr>
              <w:t>3 Client Interviews</w:t>
            </w:r>
          </w:p>
        </w:tc>
        <w:tc>
          <w:tcPr>
            <w:tcW w:w="2278" w:type="dxa"/>
            <w:tcBorders>
              <w:bottom w:val="single" w:color="auto" w:sz="4" w:space="0"/>
            </w:tcBorders>
            <w:shd w:val="clear" w:color="auto" w:fill="auto"/>
            <w:noWrap/>
            <w:vAlign w:val="bottom"/>
            <w:hideMark/>
          </w:tcPr>
          <w:p w:rsidRPr="00E61F46" w:rsidR="00885B09" w:rsidP="00555361" w:rsidRDefault="00885B09" w14:paraId="282E4AE4" w14:textId="77777777">
            <w:pPr>
              <w:jc w:val="right"/>
              <w:rPr>
                <w:rFonts w:eastAsia="Times New Roman"/>
                <w:b/>
                <w:bCs/>
                <w:color w:val="000000"/>
                <w:sz w:val="18"/>
                <w:szCs w:val="18"/>
              </w:rPr>
            </w:pPr>
            <w:r>
              <w:rPr>
                <w:rFonts w:eastAsia="Times New Roman"/>
                <w:b/>
                <w:bCs/>
                <w:color w:val="000000"/>
                <w:sz w:val="18"/>
                <w:szCs w:val="18"/>
              </w:rPr>
              <w:t>5</w:t>
            </w:r>
            <w:r w:rsidRPr="006E0175">
              <w:rPr>
                <w:rFonts w:eastAsia="Times New Roman"/>
                <w:b/>
                <w:bCs/>
                <w:color w:val="000000"/>
                <w:sz w:val="18"/>
                <w:szCs w:val="18"/>
              </w:rPr>
              <w:t xml:space="preserve"> Client Interviews</w:t>
            </w:r>
          </w:p>
        </w:tc>
      </w:tr>
      <w:tr w:rsidRPr="00E61F46" w:rsidR="00885B09" w:rsidTr="00885B09" w14:paraId="22D4386D" w14:textId="77777777">
        <w:trPr>
          <w:trHeight w:val="300"/>
          <w:jc w:val="center"/>
        </w:trPr>
        <w:tc>
          <w:tcPr>
            <w:tcW w:w="3120" w:type="dxa"/>
            <w:tcBorders>
              <w:top w:val="single" w:color="auto" w:sz="4" w:space="0"/>
            </w:tcBorders>
            <w:shd w:val="clear" w:color="auto" w:fill="auto"/>
            <w:noWrap/>
            <w:vAlign w:val="bottom"/>
            <w:hideMark/>
          </w:tcPr>
          <w:p w:rsidRPr="006E0175" w:rsidR="00885B09" w:rsidP="00555361" w:rsidRDefault="00885B09" w14:paraId="63F2899F" w14:textId="77777777">
            <w:pPr>
              <w:jc w:val="both"/>
              <w:rPr>
                <w:rFonts w:eastAsia="Times New Roman"/>
                <w:bCs/>
                <w:color w:val="000000"/>
                <w:sz w:val="18"/>
                <w:szCs w:val="18"/>
              </w:rPr>
            </w:pPr>
            <w:r w:rsidRPr="006E0175">
              <w:rPr>
                <w:rFonts w:eastAsia="Times New Roman"/>
                <w:bCs/>
                <w:color w:val="000000"/>
                <w:sz w:val="18"/>
                <w:szCs w:val="18"/>
              </w:rPr>
              <w:t xml:space="preserve"> Original (conservative)</w:t>
            </w:r>
            <w:r w:rsidRPr="006E0175">
              <w:rPr>
                <w:rFonts w:eastAsia="Times New Roman"/>
                <w:bCs/>
                <w:color w:val="000000"/>
                <w:sz w:val="18"/>
                <w:szCs w:val="18"/>
                <w:vertAlign w:val="superscript"/>
              </w:rPr>
              <w:t>b</w:t>
            </w:r>
          </w:p>
        </w:tc>
        <w:tc>
          <w:tcPr>
            <w:tcW w:w="1348" w:type="dxa"/>
            <w:tcBorders>
              <w:top w:val="single" w:color="auto" w:sz="4" w:space="0"/>
              <w:right w:val="single" w:color="auto" w:sz="4" w:space="0"/>
            </w:tcBorders>
            <w:shd w:val="clear" w:color="auto" w:fill="auto"/>
            <w:noWrap/>
            <w:vAlign w:val="bottom"/>
            <w:hideMark/>
          </w:tcPr>
          <w:p w:rsidRPr="006E0175" w:rsidR="00885B09" w:rsidP="00555361" w:rsidRDefault="00885B09" w14:paraId="6A967871" w14:textId="77777777">
            <w:pPr>
              <w:ind w:firstLine="180" w:firstLineChars="100"/>
              <w:jc w:val="center"/>
              <w:rPr>
                <w:rFonts w:eastAsia="Times New Roman"/>
                <w:bCs/>
                <w:color w:val="000000"/>
                <w:sz w:val="18"/>
                <w:szCs w:val="18"/>
              </w:rPr>
            </w:pPr>
            <w:r w:rsidRPr="006E0175">
              <w:rPr>
                <w:rFonts w:eastAsia="Times New Roman"/>
                <w:bCs/>
                <w:color w:val="000000"/>
                <w:sz w:val="18"/>
                <w:szCs w:val="18"/>
              </w:rPr>
              <w:t>0.40</w:t>
            </w:r>
          </w:p>
        </w:tc>
        <w:tc>
          <w:tcPr>
            <w:tcW w:w="2552" w:type="dxa"/>
            <w:tcBorders>
              <w:top w:val="single" w:color="auto" w:sz="4" w:space="0"/>
              <w:left w:val="single" w:color="auto" w:sz="4" w:space="0"/>
            </w:tcBorders>
            <w:vAlign w:val="bottom"/>
          </w:tcPr>
          <w:p w:rsidRPr="00171EF6" w:rsidR="00885B09" w:rsidP="00555361" w:rsidRDefault="00885B09" w14:paraId="29978588" w14:textId="77777777">
            <w:pPr>
              <w:ind w:right="527"/>
              <w:jc w:val="right"/>
              <w:rPr>
                <w:rFonts w:eastAsia="Times New Roman"/>
                <w:color w:val="000000"/>
                <w:sz w:val="18"/>
                <w:szCs w:val="18"/>
              </w:rPr>
            </w:pPr>
            <w:r>
              <w:rPr>
                <w:rFonts w:eastAsia="Times New Roman"/>
                <w:b/>
                <w:color w:val="000000"/>
                <w:sz w:val="18"/>
                <w:szCs w:val="18"/>
              </w:rPr>
              <w:t>890</w:t>
            </w:r>
          </w:p>
        </w:tc>
        <w:tc>
          <w:tcPr>
            <w:tcW w:w="2278" w:type="dxa"/>
            <w:tcBorders>
              <w:top w:val="single" w:color="auto" w:sz="4" w:space="0"/>
            </w:tcBorders>
            <w:shd w:val="clear" w:color="auto" w:fill="auto"/>
            <w:noWrap/>
            <w:vAlign w:val="bottom"/>
          </w:tcPr>
          <w:p w:rsidRPr="00C75AEB" w:rsidR="00885B09" w:rsidP="00555361" w:rsidRDefault="00885B09" w14:paraId="34EA7D43" w14:textId="77777777">
            <w:pPr>
              <w:ind w:right="546"/>
              <w:jc w:val="right"/>
              <w:rPr>
                <w:rFonts w:eastAsia="Times New Roman"/>
                <w:color w:val="000000"/>
                <w:sz w:val="18"/>
                <w:szCs w:val="18"/>
              </w:rPr>
            </w:pPr>
            <w:r>
              <w:rPr>
                <w:rFonts w:eastAsia="Times New Roman"/>
                <w:color w:val="000000"/>
                <w:sz w:val="18"/>
                <w:szCs w:val="18"/>
              </w:rPr>
              <w:t>772</w:t>
            </w:r>
          </w:p>
        </w:tc>
      </w:tr>
      <w:tr w:rsidRPr="00E61F46" w:rsidR="00885B09" w:rsidTr="00885B09" w14:paraId="5132CB81" w14:textId="77777777">
        <w:trPr>
          <w:trHeight w:val="300"/>
          <w:jc w:val="center"/>
        </w:trPr>
        <w:tc>
          <w:tcPr>
            <w:tcW w:w="3120" w:type="dxa"/>
            <w:shd w:val="clear" w:color="auto" w:fill="auto"/>
            <w:noWrap/>
            <w:vAlign w:val="bottom"/>
          </w:tcPr>
          <w:p w:rsidRPr="006E0175" w:rsidR="00885B09" w:rsidP="00555361" w:rsidRDefault="00885B09" w14:paraId="42857335" w14:textId="77777777">
            <w:pPr>
              <w:jc w:val="right"/>
              <w:rPr>
                <w:rFonts w:eastAsia="Times New Roman"/>
                <w:color w:val="000000"/>
                <w:sz w:val="18"/>
                <w:szCs w:val="18"/>
              </w:rPr>
            </w:pPr>
          </w:p>
        </w:tc>
        <w:tc>
          <w:tcPr>
            <w:tcW w:w="1348" w:type="dxa"/>
            <w:tcBorders>
              <w:right w:val="single" w:color="auto" w:sz="4" w:space="0"/>
            </w:tcBorders>
            <w:shd w:val="clear" w:color="auto" w:fill="auto"/>
            <w:noWrap/>
            <w:vAlign w:val="bottom"/>
          </w:tcPr>
          <w:p w:rsidRPr="006E0175" w:rsidR="00885B09" w:rsidP="00555361" w:rsidRDefault="00885B09" w14:paraId="14A18848" w14:textId="77777777">
            <w:pPr>
              <w:ind w:firstLine="180" w:firstLineChars="100"/>
              <w:jc w:val="center"/>
              <w:rPr>
                <w:rFonts w:eastAsia="Times New Roman"/>
                <w:bCs/>
                <w:color w:val="000000"/>
                <w:sz w:val="18"/>
                <w:szCs w:val="18"/>
              </w:rPr>
            </w:pPr>
          </w:p>
        </w:tc>
        <w:tc>
          <w:tcPr>
            <w:tcW w:w="2552" w:type="dxa"/>
            <w:tcBorders>
              <w:left w:val="single" w:color="auto" w:sz="4" w:space="0"/>
            </w:tcBorders>
            <w:vAlign w:val="bottom"/>
          </w:tcPr>
          <w:p w:rsidRPr="00171EF6" w:rsidR="00885B09" w:rsidP="00555361" w:rsidRDefault="00885B09" w14:paraId="13F5E556" w14:textId="77777777">
            <w:pPr>
              <w:ind w:right="527"/>
              <w:jc w:val="right"/>
              <w:rPr>
                <w:rFonts w:eastAsia="Times New Roman"/>
                <w:color w:val="000000"/>
                <w:sz w:val="18"/>
                <w:szCs w:val="18"/>
              </w:rPr>
            </w:pPr>
          </w:p>
        </w:tc>
        <w:tc>
          <w:tcPr>
            <w:tcW w:w="2278" w:type="dxa"/>
            <w:shd w:val="clear" w:color="auto" w:fill="auto"/>
            <w:noWrap/>
            <w:vAlign w:val="bottom"/>
          </w:tcPr>
          <w:p w:rsidRPr="00C75AEB" w:rsidR="00885B09" w:rsidP="00555361" w:rsidRDefault="00885B09" w14:paraId="5B6BCA0A" w14:textId="77777777">
            <w:pPr>
              <w:ind w:right="546"/>
              <w:jc w:val="right"/>
              <w:rPr>
                <w:rFonts w:eastAsia="Times New Roman"/>
                <w:color w:val="000000"/>
                <w:sz w:val="18"/>
                <w:szCs w:val="18"/>
              </w:rPr>
            </w:pPr>
          </w:p>
        </w:tc>
      </w:tr>
      <w:tr w:rsidRPr="00E61F46" w:rsidR="00885B09" w:rsidTr="00885B09" w14:paraId="75C00DBE" w14:textId="77777777">
        <w:trPr>
          <w:trHeight w:val="300"/>
          <w:jc w:val="center"/>
        </w:trPr>
        <w:tc>
          <w:tcPr>
            <w:tcW w:w="3120" w:type="dxa"/>
            <w:shd w:val="clear" w:color="auto" w:fill="auto"/>
            <w:noWrap/>
            <w:vAlign w:val="bottom"/>
          </w:tcPr>
          <w:p w:rsidRPr="006E0175" w:rsidR="00885B09" w:rsidP="00555361" w:rsidRDefault="00885B09" w14:paraId="24B606F5" w14:textId="77777777">
            <w:pPr>
              <w:rPr>
                <w:rFonts w:eastAsia="Times New Roman"/>
                <w:color w:val="000000"/>
                <w:sz w:val="18"/>
                <w:szCs w:val="18"/>
              </w:rPr>
            </w:pPr>
            <w:r w:rsidRPr="006E0175">
              <w:rPr>
                <w:rFonts w:eastAsia="Times New Roman"/>
                <w:color w:val="000000"/>
                <w:sz w:val="18"/>
                <w:szCs w:val="18"/>
              </w:rPr>
              <w:t xml:space="preserve"> </w:t>
            </w:r>
            <w:proofErr w:type="spellStart"/>
            <w:r w:rsidRPr="006E0175">
              <w:rPr>
                <w:rFonts w:eastAsia="Times New Roman"/>
                <w:color w:val="000000"/>
                <w:sz w:val="18"/>
                <w:szCs w:val="18"/>
              </w:rPr>
              <w:t>Revised</w:t>
            </w:r>
            <w:r w:rsidRPr="006E0175">
              <w:rPr>
                <w:rFonts w:eastAsia="Times New Roman"/>
                <w:color w:val="000000"/>
                <w:sz w:val="18"/>
                <w:szCs w:val="18"/>
                <w:vertAlign w:val="superscript"/>
              </w:rPr>
              <w:t>c</w:t>
            </w:r>
            <w:proofErr w:type="spellEnd"/>
          </w:p>
        </w:tc>
        <w:tc>
          <w:tcPr>
            <w:tcW w:w="1348" w:type="dxa"/>
            <w:tcBorders>
              <w:right w:val="single" w:color="auto" w:sz="4" w:space="0"/>
            </w:tcBorders>
            <w:shd w:val="clear" w:color="auto" w:fill="auto"/>
            <w:noWrap/>
            <w:vAlign w:val="bottom"/>
          </w:tcPr>
          <w:p w:rsidRPr="006E0175" w:rsidR="00885B09" w:rsidP="00555361" w:rsidRDefault="00885B09" w14:paraId="7635987A" w14:textId="77777777">
            <w:pPr>
              <w:ind w:firstLine="180" w:firstLineChars="100"/>
              <w:jc w:val="center"/>
              <w:rPr>
                <w:rFonts w:eastAsia="Times New Roman"/>
                <w:bCs/>
                <w:color w:val="000000"/>
                <w:sz w:val="18"/>
                <w:szCs w:val="18"/>
              </w:rPr>
            </w:pPr>
            <w:r w:rsidRPr="006E0175">
              <w:rPr>
                <w:rFonts w:eastAsia="Times New Roman"/>
                <w:bCs/>
                <w:color w:val="000000"/>
                <w:sz w:val="18"/>
                <w:szCs w:val="18"/>
              </w:rPr>
              <w:t>0.06</w:t>
            </w:r>
          </w:p>
        </w:tc>
        <w:tc>
          <w:tcPr>
            <w:tcW w:w="2552" w:type="dxa"/>
            <w:tcBorders>
              <w:left w:val="single" w:color="auto" w:sz="4" w:space="0"/>
            </w:tcBorders>
            <w:vAlign w:val="bottom"/>
          </w:tcPr>
          <w:p w:rsidRPr="00171EF6" w:rsidR="00885B09" w:rsidP="00555361" w:rsidRDefault="00885B09" w14:paraId="0127785C" w14:textId="77777777">
            <w:pPr>
              <w:ind w:right="527"/>
              <w:jc w:val="right"/>
              <w:rPr>
                <w:sz w:val="18"/>
                <w:szCs w:val="18"/>
              </w:rPr>
            </w:pPr>
            <w:r>
              <w:rPr>
                <w:sz w:val="18"/>
                <w:szCs w:val="18"/>
              </w:rPr>
              <w:t>554</w:t>
            </w:r>
          </w:p>
        </w:tc>
        <w:tc>
          <w:tcPr>
            <w:tcW w:w="2278" w:type="dxa"/>
            <w:shd w:val="clear" w:color="auto" w:fill="auto"/>
            <w:noWrap/>
            <w:vAlign w:val="bottom"/>
          </w:tcPr>
          <w:p w:rsidRPr="00C75AEB" w:rsidR="00885B09" w:rsidP="00555361" w:rsidRDefault="00885B09" w14:paraId="62411499" w14:textId="77777777">
            <w:pPr>
              <w:ind w:right="546"/>
              <w:jc w:val="right"/>
              <w:rPr>
                <w:rFonts w:eastAsia="Times New Roman"/>
                <w:color w:val="000000"/>
                <w:sz w:val="18"/>
                <w:szCs w:val="18"/>
              </w:rPr>
            </w:pPr>
            <w:r>
              <w:rPr>
                <w:rFonts w:eastAsia="Times New Roman"/>
                <w:color w:val="000000"/>
                <w:sz w:val="18"/>
                <w:szCs w:val="18"/>
              </w:rPr>
              <w:t>368</w:t>
            </w:r>
          </w:p>
        </w:tc>
      </w:tr>
      <w:tr w:rsidRPr="00E61F46" w:rsidR="00885B09" w:rsidTr="00885B09" w14:paraId="590D4A06" w14:textId="77777777">
        <w:trPr>
          <w:trHeight w:val="300"/>
          <w:jc w:val="center"/>
        </w:trPr>
        <w:tc>
          <w:tcPr>
            <w:tcW w:w="3120" w:type="dxa"/>
            <w:shd w:val="clear" w:color="auto" w:fill="auto"/>
            <w:noWrap/>
            <w:vAlign w:val="bottom"/>
          </w:tcPr>
          <w:p w:rsidRPr="006E0175" w:rsidR="00885B09" w:rsidP="00555361" w:rsidRDefault="00885B09" w14:paraId="63DC275C" w14:textId="77777777">
            <w:pPr>
              <w:rPr>
                <w:rFonts w:eastAsia="Times New Roman"/>
                <w:color w:val="000000"/>
                <w:sz w:val="18"/>
                <w:szCs w:val="18"/>
              </w:rPr>
            </w:pPr>
          </w:p>
        </w:tc>
        <w:tc>
          <w:tcPr>
            <w:tcW w:w="1348" w:type="dxa"/>
            <w:tcBorders>
              <w:right w:val="single" w:color="auto" w:sz="4" w:space="0"/>
            </w:tcBorders>
            <w:shd w:val="clear" w:color="auto" w:fill="auto"/>
            <w:noWrap/>
            <w:vAlign w:val="bottom"/>
          </w:tcPr>
          <w:p w:rsidRPr="006E0175" w:rsidR="00885B09" w:rsidP="00555361" w:rsidRDefault="00885B09" w14:paraId="0FDEDFA6" w14:textId="77777777">
            <w:pPr>
              <w:ind w:firstLine="180" w:firstLineChars="100"/>
              <w:jc w:val="center"/>
              <w:rPr>
                <w:rFonts w:eastAsia="Times New Roman"/>
                <w:bCs/>
                <w:color w:val="000000"/>
                <w:sz w:val="18"/>
                <w:szCs w:val="18"/>
              </w:rPr>
            </w:pPr>
            <w:r w:rsidRPr="006E0175">
              <w:rPr>
                <w:rFonts w:eastAsia="Times New Roman"/>
                <w:bCs/>
                <w:color w:val="000000"/>
                <w:sz w:val="18"/>
                <w:szCs w:val="18"/>
              </w:rPr>
              <w:t>0.10</w:t>
            </w:r>
          </w:p>
        </w:tc>
        <w:tc>
          <w:tcPr>
            <w:tcW w:w="2552" w:type="dxa"/>
            <w:tcBorders>
              <w:left w:val="single" w:color="auto" w:sz="4" w:space="0"/>
            </w:tcBorders>
            <w:vAlign w:val="bottom"/>
          </w:tcPr>
          <w:p w:rsidRPr="00171EF6" w:rsidR="00885B09" w:rsidP="00555361" w:rsidRDefault="00885B09" w14:paraId="74369401" w14:textId="77777777">
            <w:pPr>
              <w:ind w:right="527"/>
              <w:jc w:val="right"/>
              <w:rPr>
                <w:sz w:val="18"/>
                <w:szCs w:val="18"/>
              </w:rPr>
            </w:pPr>
            <w:r>
              <w:rPr>
                <w:rFonts w:eastAsia="Times New Roman"/>
                <w:b/>
                <w:color w:val="000000"/>
                <w:sz w:val="18"/>
                <w:szCs w:val="18"/>
              </w:rPr>
              <w:t>594</w:t>
            </w:r>
          </w:p>
        </w:tc>
        <w:tc>
          <w:tcPr>
            <w:tcW w:w="2278" w:type="dxa"/>
            <w:shd w:val="clear" w:color="auto" w:fill="auto"/>
            <w:noWrap/>
            <w:vAlign w:val="bottom"/>
          </w:tcPr>
          <w:p w:rsidRPr="00C75AEB" w:rsidR="00885B09" w:rsidP="00555361" w:rsidRDefault="00885B09" w14:paraId="6CD8ED1C" w14:textId="77777777">
            <w:pPr>
              <w:ind w:right="546"/>
              <w:jc w:val="right"/>
              <w:rPr>
                <w:rFonts w:eastAsia="Times New Roman"/>
                <w:color w:val="000000"/>
                <w:sz w:val="18"/>
                <w:szCs w:val="18"/>
              </w:rPr>
            </w:pPr>
            <w:r>
              <w:rPr>
                <w:rFonts w:eastAsia="Times New Roman"/>
                <w:color w:val="000000"/>
                <w:sz w:val="18"/>
                <w:szCs w:val="18"/>
              </w:rPr>
              <w:t>416</w:t>
            </w:r>
          </w:p>
        </w:tc>
      </w:tr>
    </w:tbl>
    <w:p w:rsidR="00820145" w:rsidP="007F2458" w:rsidRDefault="00820145" w14:paraId="440CFE79" w14:textId="4DC5FFB5">
      <w:pPr>
        <w:spacing w:before="120" w:line="276" w:lineRule="auto"/>
        <w:rPr>
          <w:i/>
          <w:iCs/>
          <w:sz w:val="16"/>
          <w:szCs w:val="16"/>
        </w:rPr>
      </w:pPr>
      <w:r w:rsidRPr="002623CF">
        <w:rPr>
          <w:i/>
          <w:iCs/>
          <w:sz w:val="16"/>
          <w:szCs w:val="16"/>
        </w:rPr>
        <w:t>Note: ICC = intracluster correlation.</w:t>
      </w:r>
    </w:p>
    <w:p w:rsidRPr="004E4E74" w:rsidR="004E4E74" w:rsidP="007F2458" w:rsidRDefault="004E4E74" w14:paraId="0C6A5878" w14:textId="0CECAFC4">
      <w:pPr>
        <w:spacing w:line="276" w:lineRule="auto"/>
        <w:rPr>
          <w:i/>
          <w:iCs/>
          <w:sz w:val="16"/>
          <w:szCs w:val="16"/>
        </w:rPr>
      </w:pPr>
      <w:r w:rsidRPr="004E4E74">
        <w:rPr>
          <w:i/>
          <w:iCs/>
          <w:sz w:val="16"/>
          <w:szCs w:val="16"/>
          <w:vertAlign w:val="superscript"/>
        </w:rPr>
        <w:t xml:space="preserve">a </w:t>
      </w:r>
      <w:r w:rsidRPr="004E4E74">
        <w:rPr>
          <w:i/>
          <w:iCs/>
          <w:sz w:val="16"/>
          <w:szCs w:val="16"/>
        </w:rPr>
        <w:t>As discussed in previous meetings, attaining these numbers for NTX and COUN continue</w:t>
      </w:r>
      <w:r>
        <w:rPr>
          <w:i/>
          <w:iCs/>
          <w:sz w:val="16"/>
          <w:szCs w:val="16"/>
        </w:rPr>
        <w:t>s</w:t>
      </w:r>
      <w:r w:rsidRPr="004E4E74">
        <w:rPr>
          <w:i/>
          <w:iCs/>
          <w:sz w:val="16"/>
          <w:szCs w:val="16"/>
        </w:rPr>
        <w:t xml:space="preserve"> to be challenging.</w:t>
      </w:r>
      <w:r w:rsidRPr="004E4E74">
        <w:t xml:space="preserve"> </w:t>
      </w:r>
      <w:r w:rsidRPr="004E4E74">
        <w:rPr>
          <w:i/>
          <w:iCs/>
          <w:sz w:val="16"/>
          <w:szCs w:val="16"/>
        </w:rPr>
        <w:t>Recruitment results suggest that clients receiving either NTX or COUN may be fewer than originally hypothesized.</w:t>
      </w:r>
    </w:p>
    <w:p w:rsidR="00820145" w:rsidP="007F2458" w:rsidRDefault="004E4E74" w14:paraId="418B43BF" w14:textId="37D1F32A">
      <w:pPr>
        <w:spacing w:line="276" w:lineRule="auto"/>
        <w:rPr>
          <w:i/>
          <w:iCs/>
          <w:sz w:val="16"/>
          <w:szCs w:val="16"/>
        </w:rPr>
      </w:pPr>
      <w:r>
        <w:rPr>
          <w:i/>
          <w:iCs/>
          <w:sz w:val="16"/>
          <w:szCs w:val="16"/>
          <w:vertAlign w:val="superscript"/>
        </w:rPr>
        <w:t>b</w:t>
      </w:r>
      <w:r w:rsidR="00820145">
        <w:rPr>
          <w:i/>
          <w:iCs/>
          <w:sz w:val="16"/>
          <w:szCs w:val="16"/>
        </w:rPr>
        <w:t xml:space="preserve"> Originally proposed sample size</w:t>
      </w:r>
      <w:r w:rsidRPr="002623CF" w:rsidR="00820145">
        <w:rPr>
          <w:i/>
          <w:iCs/>
          <w:sz w:val="16"/>
          <w:szCs w:val="16"/>
        </w:rPr>
        <w:t xml:space="preserve"> </w:t>
      </w:r>
      <w:r w:rsidR="00820145">
        <w:rPr>
          <w:i/>
          <w:iCs/>
          <w:sz w:val="16"/>
          <w:szCs w:val="16"/>
        </w:rPr>
        <w:t>under conservative power calculation assumptions.</w:t>
      </w:r>
    </w:p>
    <w:p w:rsidRPr="002623CF" w:rsidR="00820145" w:rsidP="007F2458" w:rsidRDefault="004E4E74" w14:paraId="16B2BD6C" w14:textId="565FE49B">
      <w:pPr>
        <w:spacing w:line="276" w:lineRule="auto"/>
        <w:rPr>
          <w:i/>
          <w:iCs/>
          <w:sz w:val="16"/>
          <w:szCs w:val="16"/>
        </w:rPr>
      </w:pPr>
      <w:r>
        <w:rPr>
          <w:i/>
          <w:iCs/>
          <w:sz w:val="16"/>
          <w:szCs w:val="16"/>
          <w:vertAlign w:val="superscript"/>
        </w:rPr>
        <w:t>c</w:t>
      </w:r>
      <w:r w:rsidR="00820145">
        <w:rPr>
          <w:i/>
          <w:iCs/>
          <w:sz w:val="16"/>
          <w:szCs w:val="16"/>
          <w:vertAlign w:val="superscript"/>
        </w:rPr>
        <w:t xml:space="preserve"> </w:t>
      </w:r>
      <w:r w:rsidR="00820145">
        <w:rPr>
          <w:i/>
          <w:iCs/>
          <w:sz w:val="16"/>
          <w:szCs w:val="16"/>
        </w:rPr>
        <w:t>Revised sample size</w:t>
      </w:r>
      <w:r w:rsidRPr="002623CF" w:rsidR="00820145">
        <w:rPr>
          <w:i/>
          <w:iCs/>
          <w:sz w:val="16"/>
          <w:szCs w:val="16"/>
        </w:rPr>
        <w:t xml:space="preserve"> </w:t>
      </w:r>
      <w:r w:rsidR="00820145">
        <w:rPr>
          <w:i/>
          <w:iCs/>
          <w:sz w:val="16"/>
          <w:szCs w:val="16"/>
        </w:rPr>
        <w:t>under less conservative power calculation assumptions.</w:t>
      </w:r>
    </w:p>
    <w:p w:rsidRPr="002623CF" w:rsidR="00820145" w:rsidP="00820145" w:rsidRDefault="00820145" w14:paraId="62199334" w14:textId="77777777">
      <w:pPr>
        <w:spacing w:before="120" w:line="276" w:lineRule="auto"/>
        <w:ind w:left="720" w:firstLine="720"/>
        <w:rPr>
          <w:i/>
          <w:iCs/>
          <w:sz w:val="16"/>
          <w:szCs w:val="16"/>
        </w:rPr>
      </w:pPr>
    </w:p>
    <w:p w:rsidR="004B1501" w:rsidP="005B244F" w:rsidRDefault="00E26A9F" w14:paraId="0B4C90B0" w14:textId="564155F6">
      <w:pPr>
        <w:spacing w:line="320" w:lineRule="exact"/>
      </w:pPr>
      <w:r>
        <w:t xml:space="preserve">Note that </w:t>
      </w:r>
      <w:r w:rsidR="000E2784">
        <w:t xml:space="preserve">the </w:t>
      </w:r>
      <w:r>
        <w:t xml:space="preserve">estimated number of baseline interviews (i.e., enrolled study participants) in Table 3-3 is larger than the MMT and BUP </w:t>
      </w:r>
      <w:r w:rsidR="000E2784">
        <w:t xml:space="preserve">enrollment </w:t>
      </w:r>
      <w:r>
        <w:t xml:space="preserve">numbers </w:t>
      </w:r>
      <w:r w:rsidR="000E2784">
        <w:t>for the START Study (</w:t>
      </w:r>
      <w:proofErr w:type="spellStart"/>
      <w:r w:rsidRPr="004700E0" w:rsidR="000E2784">
        <w:rPr>
          <w:rFonts w:eastAsia="Times New Roman"/>
          <w:szCs w:val="20"/>
        </w:rPr>
        <w:t>Hser</w:t>
      </w:r>
      <w:proofErr w:type="spellEnd"/>
      <w:r w:rsidR="000E2784">
        <w:rPr>
          <w:rFonts w:eastAsia="Times New Roman"/>
          <w:szCs w:val="20"/>
        </w:rPr>
        <w:t xml:space="preserve"> et al. 2015)</w:t>
      </w:r>
      <w:r w:rsidR="00F94A28">
        <w:rPr>
          <w:rFonts w:eastAsia="Times New Roman"/>
          <w:szCs w:val="20"/>
        </w:rPr>
        <w:t xml:space="preserve"> and the BUP enrollment numbers for the POATS (Weiss et al. 2015)</w:t>
      </w:r>
      <w:r w:rsidR="000E2784">
        <w:rPr>
          <w:rFonts w:eastAsia="Times New Roman"/>
          <w:szCs w:val="20"/>
        </w:rPr>
        <w:t>.</w:t>
      </w:r>
    </w:p>
    <w:p w:rsidR="0036616F" w:rsidP="0036616F" w:rsidRDefault="0036616F" w14:paraId="48970E56" w14:textId="77777777">
      <w:pPr>
        <w:spacing w:before="360" w:after="160" w:line="320" w:lineRule="exact"/>
        <w:rPr>
          <w:u w:val="single"/>
        </w:rPr>
      </w:pPr>
      <w:r>
        <w:rPr>
          <w:u w:val="single"/>
        </w:rPr>
        <w:t>Power Calculation Details</w:t>
      </w:r>
    </w:p>
    <w:p w:rsidR="00B16692" w:rsidP="00B16692" w:rsidRDefault="00B16692" w14:paraId="10BF279A" w14:textId="0F34E517">
      <w:pPr>
        <w:spacing w:after="160" w:line="320" w:lineRule="exact"/>
        <w:rPr>
          <w:szCs w:val="20"/>
        </w:rPr>
      </w:pPr>
      <w:r w:rsidRPr="00031D3A">
        <w:rPr>
          <w:szCs w:val="20"/>
        </w:rPr>
        <w:t xml:space="preserve">The formulae used to determine site and </w:t>
      </w:r>
      <w:r>
        <w:rPr>
          <w:szCs w:val="20"/>
        </w:rPr>
        <w:t xml:space="preserve">client </w:t>
      </w:r>
      <w:r w:rsidRPr="00031D3A">
        <w:rPr>
          <w:szCs w:val="20"/>
        </w:rPr>
        <w:t>sample sizes to satisfy the statistical power requirements are a function of several components.</w:t>
      </w:r>
      <w:r>
        <w:rPr>
          <w:szCs w:val="20"/>
        </w:rPr>
        <w:t xml:space="preserve"> </w:t>
      </w:r>
      <w:r w:rsidRPr="00031D3A">
        <w:rPr>
          <w:szCs w:val="20"/>
        </w:rPr>
        <w:t xml:space="preserve">First, the intracluster correlation (ICC) </w:t>
      </w:r>
    </w:p>
    <w:p w:rsidR="009D218B" w:rsidP="00BF1BBE" w:rsidRDefault="009D218B" w14:paraId="7B4569B6" w14:textId="46775248">
      <w:pPr>
        <w:spacing w:after="160"/>
        <w:jc w:val="center"/>
        <w:rPr>
          <w:szCs w:val="20"/>
        </w:rPr>
      </w:pPr>
      <w:r w:rsidRPr="00BF1BBE">
        <w:rPr>
          <w:position w:val="-24"/>
          <w:szCs w:val="20"/>
        </w:rPr>
        <w:object w:dxaOrig="1540" w:dyaOrig="639" w14:anchorId="34EBD45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7.4pt;height:31.8pt" o:ole="" type="#_x0000_t75">
            <v:imagedata o:title="" r:id="rId8"/>
          </v:shape>
          <o:OLEObject Type="Embed" ProgID="Equation.DSMT4" ShapeID="_x0000_i1025" DrawAspect="Content" ObjectID="_1668922405" r:id="rId9"/>
        </w:object>
      </w:r>
    </w:p>
    <w:p w:rsidR="00D97948" w:rsidP="00D97948" w:rsidRDefault="00B16692" w14:paraId="45BA638E" w14:textId="77777777">
      <w:pPr>
        <w:spacing w:after="160" w:line="320" w:lineRule="exact"/>
        <w:rPr>
          <w:szCs w:val="20"/>
        </w:rPr>
      </w:pPr>
      <w:r w:rsidRPr="00031D3A">
        <w:rPr>
          <w:szCs w:val="20"/>
        </w:rPr>
        <w:t>measures the relative variation between site estimates</w:t>
      </w:r>
      <w:r>
        <w:rPr>
          <w:szCs w:val="20"/>
        </w:rPr>
        <w:t xml:space="preserve"> </w:t>
      </w:r>
      <w:r w:rsidRPr="00031D3A">
        <w:rPr>
          <w:szCs w:val="20"/>
        </w:rPr>
        <w:t>(</w:t>
      </w:r>
      <w:r w:rsidRPr="00031D3A">
        <w:rPr>
          <w:i/>
          <w:iCs/>
          <w:szCs w:val="20"/>
        </w:rPr>
        <w:t>B</w:t>
      </w:r>
      <w:r w:rsidRPr="00031D3A">
        <w:rPr>
          <w:i/>
          <w:iCs/>
          <w:szCs w:val="20"/>
          <w:vertAlign w:val="superscript"/>
        </w:rPr>
        <w:t>2</w:t>
      </w:r>
      <w:r w:rsidRPr="00031D3A">
        <w:rPr>
          <w:szCs w:val="20"/>
        </w:rPr>
        <w:t>) to the overall variance</w:t>
      </w:r>
      <w:r w:rsidRPr="007F3807">
        <w:rPr>
          <w:szCs w:val="20"/>
        </w:rPr>
        <w:t xml:space="preserve"> for that estimate</w:t>
      </w:r>
      <w:r>
        <w:rPr>
          <w:szCs w:val="20"/>
        </w:rPr>
        <w:t xml:space="preserve"> </w:t>
      </w:r>
      <w:r w:rsidRPr="00031D3A">
        <w:rPr>
          <w:szCs w:val="20"/>
        </w:rPr>
        <w:t>(</w:t>
      </w:r>
      <w:r w:rsidRPr="008E373D">
        <w:rPr>
          <w:i/>
          <w:iCs/>
          <w:szCs w:val="20"/>
        </w:rPr>
        <w:t>B</w:t>
      </w:r>
      <w:r w:rsidRPr="008E373D">
        <w:rPr>
          <w:i/>
          <w:iCs/>
          <w:szCs w:val="20"/>
          <w:vertAlign w:val="superscript"/>
        </w:rPr>
        <w:t>2</w:t>
      </w:r>
      <w:r w:rsidRPr="008E373D">
        <w:rPr>
          <w:szCs w:val="20"/>
        </w:rPr>
        <w:t xml:space="preserve"> + </w:t>
      </w:r>
      <w:r w:rsidRPr="008E373D">
        <w:rPr>
          <w:i/>
          <w:iCs/>
          <w:szCs w:val="20"/>
        </w:rPr>
        <w:t>W</w:t>
      </w:r>
      <w:r w:rsidRPr="008E373D">
        <w:rPr>
          <w:i/>
          <w:iCs/>
          <w:szCs w:val="20"/>
          <w:vertAlign w:val="superscript"/>
        </w:rPr>
        <w:t>2</w:t>
      </w:r>
      <w:r w:rsidRPr="007F3807">
        <w:rPr>
          <w:szCs w:val="20"/>
        </w:rPr>
        <w:t>)</w:t>
      </w:r>
      <w:r>
        <w:rPr>
          <w:szCs w:val="20"/>
        </w:rPr>
        <w:t xml:space="preserve"> where </w:t>
      </w:r>
      <w:r w:rsidRPr="00031D3A">
        <w:rPr>
          <w:szCs w:val="20"/>
        </w:rPr>
        <w:t>(</w:t>
      </w:r>
      <w:r>
        <w:rPr>
          <w:i/>
          <w:iCs/>
          <w:szCs w:val="20"/>
        </w:rPr>
        <w:t>W</w:t>
      </w:r>
      <w:r w:rsidRPr="00031D3A">
        <w:rPr>
          <w:i/>
          <w:iCs/>
          <w:szCs w:val="20"/>
          <w:vertAlign w:val="superscript"/>
        </w:rPr>
        <w:t>2</w:t>
      </w:r>
      <w:r w:rsidRPr="00031D3A">
        <w:rPr>
          <w:szCs w:val="20"/>
        </w:rPr>
        <w:t>)</w:t>
      </w:r>
      <w:r>
        <w:rPr>
          <w:szCs w:val="20"/>
        </w:rPr>
        <w:t xml:space="preserve"> is the “within site” variance component</w:t>
      </w:r>
      <w:r w:rsidRPr="007F3807">
        <w:rPr>
          <w:szCs w:val="20"/>
        </w:rPr>
        <w:t>.</w:t>
      </w:r>
      <w:r>
        <w:rPr>
          <w:szCs w:val="20"/>
        </w:rPr>
        <w:t xml:space="preserve"> </w:t>
      </w:r>
      <w:r w:rsidRPr="007F3807">
        <w:rPr>
          <w:szCs w:val="20"/>
        </w:rPr>
        <w:t xml:space="preserve">The same is true for the homogeneity of estimate across </w:t>
      </w:r>
      <w:r>
        <w:rPr>
          <w:szCs w:val="20"/>
        </w:rPr>
        <w:t>client</w:t>
      </w:r>
      <w:r w:rsidRPr="007F3807">
        <w:rPr>
          <w:szCs w:val="20"/>
        </w:rPr>
        <w:t xml:space="preserve">s in comparison to the change in their data examined across the 2-year </w:t>
      </w:r>
      <w:r>
        <w:rPr>
          <w:szCs w:val="20"/>
        </w:rPr>
        <w:t xml:space="preserve">observation </w:t>
      </w:r>
      <w:r w:rsidRPr="007F3807">
        <w:rPr>
          <w:szCs w:val="20"/>
        </w:rPr>
        <w:t xml:space="preserve">period. Tables </w:t>
      </w:r>
      <w:r>
        <w:rPr>
          <w:szCs w:val="20"/>
        </w:rPr>
        <w:t>3-1</w:t>
      </w:r>
      <w:r w:rsidRPr="00031D3A">
        <w:rPr>
          <w:szCs w:val="20"/>
        </w:rPr>
        <w:t xml:space="preserve"> and 3</w:t>
      </w:r>
      <w:r>
        <w:rPr>
          <w:szCs w:val="20"/>
        </w:rPr>
        <w:t>-2</w:t>
      </w:r>
      <w:r w:rsidRPr="00031D3A">
        <w:rPr>
          <w:szCs w:val="20"/>
        </w:rPr>
        <w:t xml:space="preserve"> </w:t>
      </w:r>
      <w:r>
        <w:rPr>
          <w:szCs w:val="20"/>
        </w:rPr>
        <w:t xml:space="preserve">above </w:t>
      </w:r>
      <w:r w:rsidRPr="00031D3A">
        <w:rPr>
          <w:szCs w:val="20"/>
        </w:rPr>
        <w:t xml:space="preserve">show variability in the minimum participating site and </w:t>
      </w:r>
      <w:r>
        <w:rPr>
          <w:szCs w:val="20"/>
        </w:rPr>
        <w:t>client</w:t>
      </w:r>
      <w:r w:rsidRPr="00031D3A">
        <w:rPr>
          <w:szCs w:val="20"/>
        </w:rPr>
        <w:t xml:space="preserve">s, respectively, for varying levels of ICC. </w:t>
      </w:r>
    </w:p>
    <w:p w:rsidR="00B16692" w:rsidP="00D97948" w:rsidRDefault="00B16692" w14:paraId="4001BA70" w14:textId="3AB17AA2">
      <w:pPr>
        <w:spacing w:after="160" w:line="320" w:lineRule="exact"/>
        <w:rPr>
          <w:szCs w:val="20"/>
        </w:rPr>
      </w:pPr>
      <w:r w:rsidRPr="00031D3A">
        <w:rPr>
          <w:szCs w:val="20"/>
        </w:rPr>
        <w:t xml:space="preserve">The formula used to determine the minimum number of study participants completing the 2-year </w:t>
      </w:r>
      <w:r>
        <w:rPr>
          <w:szCs w:val="20"/>
        </w:rPr>
        <w:t xml:space="preserve">observation period </w:t>
      </w:r>
      <w:r w:rsidRPr="00031D3A">
        <w:rPr>
          <w:szCs w:val="20"/>
        </w:rPr>
        <w:t>(</w:t>
      </w:r>
      <w:r w:rsidRPr="00031D3A">
        <w:rPr>
          <w:i/>
          <w:iCs/>
          <w:szCs w:val="20"/>
        </w:rPr>
        <w:t>n</w:t>
      </w:r>
      <w:r w:rsidRPr="00031D3A">
        <w:rPr>
          <w:szCs w:val="20"/>
        </w:rPr>
        <w:t>) is</w:t>
      </w:r>
      <w:r w:rsidR="00D4077B">
        <w:rPr>
          <w:szCs w:val="20"/>
        </w:rPr>
        <w:t xml:space="preserve"> (Diggle et al. 2002</w:t>
      </w:r>
      <w:r w:rsidR="00714670">
        <w:rPr>
          <w:szCs w:val="20"/>
        </w:rPr>
        <w:t>; Hedeker et al. 1999</w:t>
      </w:r>
      <w:r w:rsidR="00D4077B">
        <w:rPr>
          <w:szCs w:val="20"/>
        </w:rPr>
        <w:t>)</w:t>
      </w:r>
      <w:r w:rsidRPr="00031D3A">
        <w:rPr>
          <w:szCs w:val="20"/>
        </w:rPr>
        <w:t>:</w:t>
      </w:r>
    </w:p>
    <w:p w:rsidR="00B16692" w:rsidP="00D97948" w:rsidRDefault="00D97948" w14:paraId="1D5A264B" w14:textId="31310156">
      <w:pPr>
        <w:tabs>
          <w:tab w:val="center" w:pos="4680"/>
          <w:tab w:val="right" w:pos="9360"/>
        </w:tabs>
        <w:spacing w:after="160"/>
        <w:rPr>
          <w:szCs w:val="20"/>
        </w:rPr>
      </w:pPr>
      <w:r>
        <w:rPr>
          <w:szCs w:val="20"/>
        </w:rPr>
        <w:lastRenderedPageBreak/>
        <w:tab/>
      </w:r>
      <w:r w:rsidRPr="00D97948">
        <w:rPr>
          <w:position w:val="-24"/>
          <w:szCs w:val="20"/>
        </w:rPr>
        <w:object w:dxaOrig="3660" w:dyaOrig="760" w14:anchorId="32F65CFA">
          <v:shape id="_x0000_i1026" style="width:183pt;height:38.4pt" o:ole="" type="#_x0000_t75">
            <v:imagedata o:title="" r:id="rId10"/>
          </v:shape>
          <o:OLEObject Type="Embed" ProgID="Equation.DSMT4" ShapeID="_x0000_i1026" DrawAspect="Content" ObjectID="_1668922406" r:id="rId11"/>
        </w:object>
      </w:r>
      <w:r w:rsidR="00B16692">
        <w:rPr>
          <w:szCs w:val="20"/>
        </w:rPr>
        <w:tab/>
        <w:t>(3.1)</w:t>
      </w:r>
    </w:p>
    <w:p w:rsidR="00006979" w:rsidP="00B16692" w:rsidRDefault="00B16692" w14:paraId="0629688D" w14:textId="06487D00">
      <w:pPr>
        <w:spacing w:after="160" w:line="320" w:lineRule="exact"/>
      </w:pPr>
      <w:r w:rsidRPr="00031D3A">
        <w:rPr>
          <w:szCs w:val="20"/>
        </w:rPr>
        <w:t xml:space="preserve">where </w:t>
      </w:r>
      <w:r w:rsidRPr="00031D3A">
        <w:rPr>
          <w:i/>
          <w:iCs/>
          <w:szCs w:val="20"/>
        </w:rPr>
        <w:t>r</w:t>
      </w:r>
      <w:r w:rsidRPr="00031D3A">
        <w:rPr>
          <w:szCs w:val="20"/>
        </w:rPr>
        <w:t xml:space="preserve"> is the number of </w:t>
      </w:r>
      <w:r w:rsidR="00966FDE">
        <w:rPr>
          <w:szCs w:val="20"/>
        </w:rPr>
        <w:t xml:space="preserve">client interviews </w:t>
      </w:r>
      <w:r w:rsidRPr="00031D3A">
        <w:rPr>
          <w:szCs w:val="20"/>
        </w:rPr>
        <w:t xml:space="preserve">over the 2-year </w:t>
      </w:r>
      <w:r>
        <w:rPr>
          <w:szCs w:val="20"/>
        </w:rPr>
        <w:t xml:space="preserve">observation </w:t>
      </w:r>
      <w:r w:rsidRPr="00031D3A">
        <w:rPr>
          <w:szCs w:val="20"/>
        </w:rPr>
        <w:t xml:space="preserve">period, </w:t>
      </w:r>
      <w:r w:rsidR="004C6693">
        <w:rPr>
          <w:szCs w:val="20"/>
        </w:rPr>
        <w:t>ICC</w:t>
      </w:r>
      <w:r w:rsidRPr="004C6693" w:rsidR="004C6693">
        <w:rPr>
          <w:szCs w:val="20"/>
          <w:vertAlign w:val="subscript"/>
        </w:rPr>
        <w:t>p</w:t>
      </w:r>
      <w:r w:rsidRPr="00031D3A">
        <w:rPr>
          <w:szCs w:val="20"/>
        </w:rPr>
        <w:t xml:space="preserve"> is the </w:t>
      </w:r>
      <w:r w:rsidR="00C516CE">
        <w:rPr>
          <w:szCs w:val="20"/>
        </w:rPr>
        <w:t xml:space="preserve">assumed </w:t>
      </w:r>
      <w:r w:rsidRPr="00031D3A">
        <w:rPr>
          <w:szCs w:val="20"/>
        </w:rPr>
        <w:t xml:space="preserve">participant-level ICC, </w:t>
      </w:r>
      <w:r w:rsidRPr="00031D3A">
        <w:rPr>
          <w:position w:val="-12"/>
          <w:szCs w:val="20"/>
        </w:rPr>
        <w:object w:dxaOrig="420" w:dyaOrig="340" w14:anchorId="2C3C8DDC">
          <v:shape id="_x0000_i1027" style="width:23.4pt;height:17.4pt" o:ole="" type="#_x0000_t75">
            <v:imagedata o:title="" r:id="rId12"/>
          </v:shape>
          <o:OLEObject Type="Embed" ProgID="Equation.DSMT4" ShapeID="_x0000_i1027" DrawAspect="Content" ObjectID="_1668922407" r:id="rId13"/>
        </w:object>
      </w:r>
      <w:r w:rsidR="00966FDE">
        <w:rPr>
          <w:szCs w:val="20"/>
        </w:rPr>
        <w:t>=1.96</w:t>
      </w:r>
      <w:r w:rsidRPr="00031D3A">
        <w:rPr>
          <w:szCs w:val="20"/>
        </w:rPr>
        <w:t xml:space="preserve"> is the z-score associated with the two-sided test with alpha set to 0.05, </w:t>
      </w:r>
      <w:r w:rsidRPr="00031D3A">
        <w:rPr>
          <w:position w:val="-14"/>
          <w:szCs w:val="20"/>
        </w:rPr>
        <w:object w:dxaOrig="420" w:dyaOrig="360" w14:anchorId="2A1AF6AF">
          <v:shape id="_x0000_i1028" style="width:23.4pt;height:17.4pt" o:ole="" type="#_x0000_t75">
            <v:imagedata o:title="" r:id="rId14"/>
          </v:shape>
          <o:OLEObject Type="Embed" ProgID="Equation.DSMT4" ShapeID="_x0000_i1028" DrawAspect="Content" ObjectID="_1668922408" r:id="rId15"/>
        </w:object>
      </w:r>
      <w:r w:rsidRPr="00031D3A">
        <w:rPr>
          <w:szCs w:val="20"/>
        </w:rPr>
        <w:t xml:space="preserve"> is the z-score associated with power of the test</w:t>
      </w:r>
      <w:r w:rsidR="00966FDE">
        <w:rPr>
          <w:szCs w:val="20"/>
        </w:rPr>
        <w:t xml:space="preserve"> (</w:t>
      </w:r>
      <w:r w:rsidR="004B7FFC">
        <w:rPr>
          <w:szCs w:val="20"/>
        </w:rPr>
        <w:t xml:space="preserve">i.e., </w:t>
      </w:r>
      <w:r w:rsidR="00966FDE">
        <w:rPr>
          <w:szCs w:val="20"/>
        </w:rPr>
        <w:t>1.28 for 90%</w:t>
      </w:r>
      <w:r w:rsidR="004B7FFC">
        <w:rPr>
          <w:szCs w:val="20"/>
        </w:rPr>
        <w:t xml:space="preserve"> power</w:t>
      </w:r>
      <w:r w:rsidR="00966FDE">
        <w:rPr>
          <w:szCs w:val="20"/>
        </w:rPr>
        <w:t>)</w:t>
      </w:r>
      <w:r w:rsidRPr="00031D3A">
        <w:rPr>
          <w:szCs w:val="20"/>
        </w:rPr>
        <w:t xml:space="preserve">, and </w:t>
      </w:r>
      <w:r w:rsidRPr="00C516CE" w:rsidR="00B230D8">
        <w:rPr>
          <w:position w:val="-12"/>
          <w:szCs w:val="20"/>
        </w:rPr>
        <w:object w:dxaOrig="1620" w:dyaOrig="360" w14:anchorId="67764F2B">
          <v:shape id="_x0000_i1029" style="width:75.6pt;height:17.4pt" o:ole="" type="#_x0000_t75">
            <v:imagedata o:title="" r:id="rId16"/>
          </v:shape>
          <o:OLEObject Type="Embed" ProgID="Equation.DSMT4" ShapeID="_x0000_i1029" DrawAspect="Content" ObjectID="_1668922409" r:id="rId17"/>
        </w:object>
      </w:r>
      <w:r w:rsidRPr="00031D3A">
        <w:rPr>
          <w:szCs w:val="20"/>
        </w:rPr>
        <w:t xml:space="preserve"> is the </w:t>
      </w:r>
      <w:r w:rsidR="00B230D8">
        <w:rPr>
          <w:szCs w:val="20"/>
        </w:rPr>
        <w:t xml:space="preserve">square of the </w:t>
      </w:r>
      <w:r w:rsidRPr="00031D3A">
        <w:rPr>
          <w:szCs w:val="20"/>
        </w:rPr>
        <w:t xml:space="preserve">specified detectable difference </w:t>
      </w:r>
      <w:r w:rsidR="00D97948">
        <w:rPr>
          <w:szCs w:val="20"/>
        </w:rPr>
        <w:t>between two treatments,</w:t>
      </w:r>
      <w:r w:rsidR="009D218B">
        <w:rPr>
          <w:szCs w:val="20"/>
        </w:rPr>
        <w:t xml:space="preserve"> </w:t>
      </w:r>
      <w:bookmarkStart w:name="MTBlankEqn" w:id="7"/>
      <w:r w:rsidRPr="00D97948" w:rsidR="00D97948">
        <w:rPr>
          <w:position w:val="-10"/>
        </w:rPr>
        <w:object w:dxaOrig="1060" w:dyaOrig="320" w14:anchorId="673ED8D0">
          <v:shape id="_x0000_i1030" style="width:51.6pt;height:16.2pt" o:ole="" type="#_x0000_t75">
            <v:imagedata o:title="" r:id="rId18"/>
          </v:shape>
          <o:OLEObject Type="Embed" ProgID="Equation.DSMT4" ShapeID="_x0000_i1030" DrawAspect="Content" ObjectID="_1668922410" r:id="rId19"/>
        </w:object>
      </w:r>
      <w:bookmarkEnd w:id="7"/>
      <w:r w:rsidR="00C516CE">
        <w:t>=0.1 (</w:t>
      </w:r>
      <w:r w:rsidRPr="00031D3A">
        <w:rPr>
          <w:szCs w:val="20"/>
        </w:rPr>
        <w:t>10</w:t>
      </w:r>
      <w:r w:rsidR="00C516CE">
        <w:t>%)</w:t>
      </w:r>
      <w:r w:rsidR="00D97948">
        <w:t>,</w:t>
      </w:r>
      <w:r w:rsidRPr="00031D3A">
        <w:rPr>
          <w:szCs w:val="20"/>
        </w:rPr>
        <w:t xml:space="preserve"> divided by the pooled variance</w:t>
      </w:r>
      <w:r w:rsidR="00006979">
        <w:t>:</w:t>
      </w:r>
    </w:p>
    <w:p w:rsidR="00006979" w:rsidP="00BF1BBE" w:rsidRDefault="00D97948" w14:paraId="02215B84" w14:textId="6F2E84F0">
      <w:pPr>
        <w:tabs>
          <w:tab w:val="center" w:pos="4680"/>
          <w:tab w:val="right" w:pos="9360"/>
        </w:tabs>
        <w:rPr>
          <w:szCs w:val="20"/>
        </w:rPr>
      </w:pPr>
      <w:r>
        <w:rPr>
          <w:szCs w:val="20"/>
        </w:rPr>
        <w:tab/>
      </w:r>
      <w:r w:rsidRPr="00D97948" w:rsidR="00B950BF">
        <w:rPr>
          <w:position w:val="-22"/>
          <w:szCs w:val="20"/>
        </w:rPr>
        <w:object w:dxaOrig="3920" w:dyaOrig="540" w14:anchorId="10887160">
          <v:shape id="_x0000_i1031" style="width:196.8pt;height:27pt" o:ole="" type="#_x0000_t75">
            <v:imagedata o:title="" r:id="rId20"/>
          </v:shape>
          <o:OLEObject Type="Embed" ProgID="Equation.DSMT4" ShapeID="_x0000_i1031" DrawAspect="Content" ObjectID="_1668922411" r:id="rId21"/>
        </w:object>
      </w:r>
      <w:r w:rsidR="00006979">
        <w:rPr>
          <w:szCs w:val="20"/>
        </w:rPr>
        <w:tab/>
        <w:t>(3.</w:t>
      </w:r>
      <w:r w:rsidR="00FB4CC2">
        <w:rPr>
          <w:szCs w:val="20"/>
        </w:rPr>
        <w:t>2</w:t>
      </w:r>
      <w:r w:rsidR="00006979">
        <w:rPr>
          <w:szCs w:val="20"/>
        </w:rPr>
        <w:t>)</w:t>
      </w:r>
    </w:p>
    <w:p w:rsidR="00966FDE" w:rsidP="00B16692" w:rsidRDefault="00D97948" w14:paraId="066F618D" w14:textId="25F026BE">
      <w:pPr>
        <w:spacing w:after="160" w:line="320" w:lineRule="exact"/>
        <w:rPr>
          <w:szCs w:val="20"/>
        </w:rPr>
      </w:pPr>
      <w:r>
        <w:rPr>
          <w:szCs w:val="20"/>
        </w:rPr>
        <w:t xml:space="preserve">where </w:t>
      </w:r>
      <w:r w:rsidRPr="00D97948">
        <w:rPr>
          <w:position w:val="-16"/>
          <w:szCs w:val="20"/>
        </w:rPr>
        <w:object w:dxaOrig="1540" w:dyaOrig="420" w14:anchorId="4A19FCDF">
          <v:shape id="_x0000_i1032" style="width:77.4pt;height:21pt" o:ole="" type="#_x0000_t75">
            <v:imagedata o:title="" r:id="rId22"/>
          </v:shape>
          <o:OLEObject Type="Embed" ProgID="Equation.DSMT4" ShapeID="_x0000_i1032" DrawAspect="Content" ObjectID="_1668922412" r:id="rId23"/>
        </w:object>
      </w:r>
      <w:r>
        <w:rPr>
          <w:szCs w:val="20"/>
        </w:rPr>
        <w:t xml:space="preserve"> for </w:t>
      </w:r>
      <w:r w:rsidRPr="00D97948">
        <w:rPr>
          <w:i/>
          <w:szCs w:val="20"/>
        </w:rPr>
        <w:t>j</w:t>
      </w:r>
      <w:r>
        <w:rPr>
          <w:szCs w:val="20"/>
        </w:rPr>
        <w:t>=1,2;</w:t>
      </w:r>
      <w:r w:rsidR="009D218B">
        <w:rPr>
          <w:szCs w:val="20"/>
        </w:rPr>
        <w:t xml:space="preserve"> </w:t>
      </w:r>
      <w:r w:rsidRPr="00FC42B9" w:rsidR="009D218B">
        <w:rPr>
          <w:i/>
        </w:rPr>
        <w:t>ρ</w:t>
      </w:r>
      <w:r w:rsidR="009D218B">
        <w:t>=0.10</w:t>
      </w:r>
      <w:r w:rsidR="009D218B">
        <w:rPr>
          <w:szCs w:val="20"/>
        </w:rPr>
        <w:t>,</w:t>
      </w:r>
      <w:r>
        <w:rPr>
          <w:szCs w:val="20"/>
        </w:rPr>
        <w:t xml:space="preserve"> </w:t>
      </w:r>
      <w:r w:rsidR="009D218B">
        <w:rPr>
          <w:szCs w:val="20"/>
        </w:rPr>
        <w:t xml:space="preserve">an estimated </w:t>
      </w:r>
      <w:r>
        <w:rPr>
          <w:szCs w:val="20"/>
        </w:rPr>
        <w:t xml:space="preserve">measure </w:t>
      </w:r>
      <w:r w:rsidR="009D218B">
        <w:rPr>
          <w:szCs w:val="20"/>
        </w:rPr>
        <w:t xml:space="preserve">of association within site across different treatment arms; and </w:t>
      </w:r>
      <w:r w:rsidRPr="00FC42B9" w:rsidR="009D218B">
        <w:rPr>
          <w:i/>
        </w:rPr>
        <w:t>ε</w:t>
      </w:r>
      <w:r w:rsidR="009D218B">
        <w:t>=0.20</w:t>
      </w:r>
      <w:r w:rsidR="009D218B">
        <w:rPr>
          <w:szCs w:val="20"/>
        </w:rPr>
        <w:t>, an estimate of the efficiency gained (i.e., reduction in variance) through a model-based analyses with strong covariates</w:t>
      </w:r>
      <w:r w:rsidRPr="00031D3A" w:rsidR="00B16692">
        <w:rPr>
          <w:szCs w:val="20"/>
        </w:rPr>
        <w:t>.</w:t>
      </w:r>
      <w:r w:rsidR="0026229B">
        <w:rPr>
          <w:szCs w:val="20"/>
        </w:rPr>
        <w:t xml:space="preserve"> Please see the accompanying Excel file</w:t>
      </w:r>
      <w:r w:rsidR="00785526">
        <w:rPr>
          <w:szCs w:val="20"/>
        </w:rPr>
        <w:t>, with additional citations,</w:t>
      </w:r>
      <w:r w:rsidR="0026229B">
        <w:rPr>
          <w:szCs w:val="20"/>
        </w:rPr>
        <w:t xml:space="preserve"> for the direct calculations.</w:t>
      </w:r>
    </w:p>
    <w:p w:rsidR="00F141EB" w:rsidP="0083490E" w:rsidRDefault="00C516CE" w14:paraId="32927D4E" w14:textId="7DB44D24">
      <w:pPr>
        <w:spacing w:after="160" w:line="320" w:lineRule="exact"/>
      </w:pPr>
      <w:r>
        <w:rPr>
          <w:szCs w:val="20"/>
        </w:rPr>
        <w:t xml:space="preserve">For the calculations shown in </w:t>
      </w:r>
      <w:r w:rsidRPr="00483A83">
        <w:rPr>
          <w:b/>
          <w:i/>
          <w:szCs w:val="20"/>
        </w:rPr>
        <w:t>Table 3-2</w:t>
      </w:r>
      <w:r>
        <w:rPr>
          <w:b/>
          <w:i/>
          <w:szCs w:val="20"/>
        </w:rPr>
        <w:t xml:space="preserve">, </w:t>
      </w:r>
      <w:r w:rsidRPr="00031D3A" w:rsidR="00966FDE">
        <w:rPr>
          <w:i/>
          <w:iCs/>
          <w:szCs w:val="20"/>
        </w:rPr>
        <w:t>r</w:t>
      </w:r>
      <w:r w:rsidRPr="00966FDE" w:rsidR="00966FDE">
        <w:rPr>
          <w:iCs/>
          <w:szCs w:val="20"/>
        </w:rPr>
        <w:t>=3</w:t>
      </w:r>
      <w:r w:rsidRPr="00031D3A" w:rsidR="00966FDE">
        <w:rPr>
          <w:szCs w:val="20"/>
        </w:rPr>
        <w:t xml:space="preserve"> is the number of </w:t>
      </w:r>
      <w:r w:rsidR="00966FDE">
        <w:rPr>
          <w:szCs w:val="20"/>
        </w:rPr>
        <w:t>client interviews initially proposed</w:t>
      </w:r>
      <w:r w:rsidR="00AE68C7">
        <w:rPr>
          <w:szCs w:val="20"/>
        </w:rPr>
        <w:t xml:space="preserve"> (i.e., baseline, 12-month, and 24-month)</w:t>
      </w:r>
      <w:r>
        <w:rPr>
          <w:szCs w:val="20"/>
        </w:rPr>
        <w:t>;</w:t>
      </w:r>
      <w:r w:rsidRPr="00031D3A" w:rsidR="00966FDE">
        <w:rPr>
          <w:szCs w:val="20"/>
        </w:rPr>
        <w:t xml:space="preserve"> </w:t>
      </w:r>
      <w:r w:rsidR="00966FDE">
        <w:rPr>
          <w:szCs w:val="20"/>
        </w:rPr>
        <w:t>ICC</w:t>
      </w:r>
      <w:r w:rsidRPr="004C6693" w:rsidR="00966FDE">
        <w:rPr>
          <w:szCs w:val="20"/>
          <w:vertAlign w:val="subscript"/>
        </w:rPr>
        <w:t>p</w:t>
      </w:r>
      <w:r w:rsidRPr="00031D3A" w:rsidR="00966FDE">
        <w:rPr>
          <w:szCs w:val="20"/>
        </w:rPr>
        <w:t xml:space="preserve"> </w:t>
      </w:r>
      <w:r>
        <w:rPr>
          <w:szCs w:val="20"/>
        </w:rPr>
        <w:t xml:space="preserve">= 0.06, 0.1, and 0.4; </w:t>
      </w:r>
      <w:r w:rsidR="00F141EB">
        <w:rPr>
          <w:szCs w:val="20"/>
        </w:rPr>
        <w:t xml:space="preserve">and values of </w:t>
      </w:r>
      <w:r>
        <w:t xml:space="preserve">0.5 (50% abstinence rate) </w:t>
      </w:r>
      <w:r w:rsidR="00F141EB">
        <w:t xml:space="preserve">and 0.4 were used for (generic) treatment </w:t>
      </w:r>
      <w:r>
        <w:t>group</w:t>
      </w:r>
      <w:r w:rsidR="00F141EB">
        <w:t xml:space="preserve"> </w:t>
      </w:r>
      <w:r>
        <w:t xml:space="preserve">1 and 2 </w:t>
      </w:r>
      <w:r w:rsidR="00F141EB">
        <w:t xml:space="preserve">for the detectable difference </w:t>
      </w:r>
      <w:r w:rsidRPr="00C516CE">
        <w:rPr>
          <w:position w:val="-6"/>
        </w:rPr>
        <w:object w:dxaOrig="200" w:dyaOrig="240" w14:anchorId="714BE3C9">
          <v:shape id="_x0000_i1033" style="width:9.6pt;height:12pt" o:ole="" type="#_x0000_t75">
            <v:imagedata o:title="" r:id="rId24"/>
          </v:shape>
          <o:OLEObject Type="Embed" ProgID="Equation.DSMT4" ShapeID="_x0000_i1033" DrawAspect="Content" ObjectID="_1668922413" r:id="rId25"/>
        </w:object>
      </w:r>
      <w:r>
        <w:t>=0.1</w:t>
      </w:r>
      <w:r w:rsidR="00F141EB">
        <w:t xml:space="preserve">. </w:t>
      </w:r>
      <w:r w:rsidR="00DA156B">
        <w:t>We also used t</w:t>
      </w:r>
      <w:r w:rsidR="00F141EB">
        <w:t xml:space="preserve">he treatment rates to calculate the pooled </w:t>
      </w:r>
      <w:r>
        <w:t xml:space="preserve">variance; </w:t>
      </w:r>
      <w:r w:rsidRPr="00C516CE" w:rsidR="00F141EB">
        <w:rPr>
          <w:position w:val="-12"/>
        </w:rPr>
        <w:object w:dxaOrig="720" w:dyaOrig="340" w14:anchorId="233BE003">
          <v:shape id="_x0000_i1034" style="width:36pt;height:17.4pt" o:ole="" type="#_x0000_t75">
            <v:imagedata o:title="" r:id="rId26"/>
          </v:shape>
          <o:OLEObject Type="Embed" ProgID="Equation.DSMT4" ShapeID="_x0000_i1034" DrawAspect="Content" ObjectID="_1668922414" r:id="rId27"/>
        </w:object>
      </w:r>
      <w:r w:rsidR="00F141EB">
        <w:t xml:space="preserve"> was reduced by 0.2</w:t>
      </w:r>
      <w:r w:rsidR="00DA156B">
        <w:t xml:space="preserve"> (i.e., </w:t>
      </w:r>
      <w:r w:rsidR="00F141EB">
        <w:t>model covariates could control 20% of the variability (</w:t>
      </w:r>
      <w:r w:rsidRPr="007E4B92" w:rsidR="00DA156B">
        <w:rPr>
          <w:lang w:val="en"/>
        </w:rPr>
        <w:t>Levine et al. 2015</w:t>
      </w:r>
      <w:r w:rsidR="00F141EB">
        <w:t xml:space="preserve">) and by a small correlation of 0.1 to account for clients within the same treatment facility. </w:t>
      </w:r>
      <w:r w:rsidR="006E389F">
        <w:t xml:space="preserve">As shown in </w:t>
      </w:r>
      <w:r w:rsidRPr="00483A83" w:rsidR="00C01BE8">
        <w:rPr>
          <w:b/>
          <w:i/>
          <w:szCs w:val="20"/>
        </w:rPr>
        <w:t>Table 3-2</w:t>
      </w:r>
      <w:r w:rsidR="00C01BE8">
        <w:rPr>
          <w:b/>
          <w:i/>
          <w:szCs w:val="20"/>
        </w:rPr>
        <w:t xml:space="preserve"> </w:t>
      </w:r>
      <w:r w:rsidR="00C01BE8">
        <w:rPr>
          <w:i/>
          <w:szCs w:val="20"/>
        </w:rPr>
        <w:t xml:space="preserve">and in </w:t>
      </w:r>
      <w:r w:rsidR="006E389F">
        <w:t xml:space="preserve">the accompanying Excel file, sample size requirements (3.1) are greatly reduced if data are analyzed using all </w:t>
      </w:r>
      <w:r w:rsidRPr="00031D3A" w:rsidR="006E389F">
        <w:rPr>
          <w:i/>
          <w:iCs/>
          <w:szCs w:val="20"/>
        </w:rPr>
        <w:t>r</w:t>
      </w:r>
      <w:r w:rsidRPr="00966FDE" w:rsidR="006E389F">
        <w:rPr>
          <w:iCs/>
          <w:szCs w:val="20"/>
        </w:rPr>
        <w:t>=</w:t>
      </w:r>
      <w:r w:rsidR="006E389F">
        <w:rPr>
          <w:iCs/>
          <w:szCs w:val="20"/>
        </w:rPr>
        <w:t xml:space="preserve">5 </w:t>
      </w:r>
      <w:r w:rsidR="006E389F">
        <w:t xml:space="preserve">client interviews. </w:t>
      </w:r>
    </w:p>
    <w:p w:rsidRPr="00031D3A" w:rsidR="00AE68C7" w:rsidP="00B16692" w:rsidRDefault="00C01BE8" w14:paraId="637013F6" w14:textId="264DD13C">
      <w:pPr>
        <w:spacing w:after="160" w:line="320" w:lineRule="exact"/>
        <w:rPr>
          <w:szCs w:val="20"/>
        </w:rPr>
      </w:pPr>
      <w:r>
        <w:rPr>
          <w:szCs w:val="20"/>
        </w:rPr>
        <w:t>The</w:t>
      </w:r>
      <w:r w:rsidRPr="00AE68C7" w:rsidR="00AE68C7">
        <w:rPr>
          <w:szCs w:val="20"/>
        </w:rPr>
        <w:t xml:space="preserve"> Excel spreadsheet accompanies this document for ease in understanding the calculations</w:t>
      </w:r>
      <w:r w:rsidR="00AE68C7">
        <w:rPr>
          <w:szCs w:val="20"/>
        </w:rPr>
        <w:t xml:space="preserve"> and for conducting additional sensitivity analyses through changes in the assumptions</w:t>
      </w:r>
      <w:r w:rsidRPr="00AE68C7" w:rsidR="00AE68C7">
        <w:rPr>
          <w:szCs w:val="20"/>
        </w:rPr>
        <w:t>.</w:t>
      </w:r>
      <w:r w:rsidR="00AE68C7">
        <w:rPr>
          <w:szCs w:val="20"/>
        </w:rPr>
        <w:t xml:space="preserve"> For example, if </w:t>
      </w:r>
      <w:r w:rsidR="00732E05">
        <w:rPr>
          <w:szCs w:val="20"/>
        </w:rPr>
        <w:t>reduce the client-level ICC below 0.6</w:t>
      </w:r>
      <w:r w:rsidR="00AE68C7">
        <w:rPr>
          <w:iCs/>
          <w:szCs w:val="20"/>
        </w:rPr>
        <w:t xml:space="preserve">, then the resulting sample sizes are less than those shown in </w:t>
      </w:r>
      <w:r w:rsidRPr="00483A83" w:rsidR="00AE68C7">
        <w:rPr>
          <w:b/>
          <w:i/>
          <w:szCs w:val="20"/>
        </w:rPr>
        <w:t>Table 3-2</w:t>
      </w:r>
      <w:r w:rsidR="00AE68C7">
        <w:rPr>
          <w:szCs w:val="20"/>
        </w:rPr>
        <w:t>.</w:t>
      </w:r>
    </w:p>
    <w:p w:rsidRPr="00031D3A" w:rsidR="00B16692" w:rsidP="00B16692" w:rsidRDefault="0017128E" w14:paraId="0E9B33B7" w14:textId="1260A6D1">
      <w:pPr>
        <w:spacing w:after="160" w:line="320" w:lineRule="exact"/>
        <w:rPr>
          <w:szCs w:val="20"/>
        </w:rPr>
      </w:pPr>
      <w:r w:rsidRPr="00031D3A">
        <w:rPr>
          <w:szCs w:val="20"/>
        </w:rPr>
        <w:t>Considering</w:t>
      </w:r>
      <w:r w:rsidRPr="00031D3A" w:rsidR="00B16692">
        <w:rPr>
          <w:szCs w:val="20"/>
        </w:rPr>
        <w:t xml:space="preserve"> the minimum number of </w:t>
      </w:r>
      <w:r w:rsidR="00B16692">
        <w:rPr>
          <w:szCs w:val="20"/>
        </w:rPr>
        <w:t>clients</w:t>
      </w:r>
      <w:r w:rsidRPr="00031D3A" w:rsidR="00B16692">
        <w:rPr>
          <w:szCs w:val="20"/>
        </w:rPr>
        <w:t>, the total number of sites (</w:t>
      </w:r>
      <w:r w:rsidRPr="00031D3A" w:rsidR="00B16692">
        <w:rPr>
          <w:i/>
          <w:iCs/>
          <w:szCs w:val="20"/>
        </w:rPr>
        <w:t>m</w:t>
      </w:r>
      <w:r w:rsidRPr="00031D3A" w:rsidR="00B16692">
        <w:rPr>
          <w:szCs w:val="20"/>
        </w:rPr>
        <w:t>) was determined in combination with budgetary caps as</w:t>
      </w:r>
    </w:p>
    <w:p w:rsidRPr="00031D3A" w:rsidR="00B16692" w:rsidP="00B16692" w:rsidRDefault="00B16692" w14:paraId="731BA9F3" w14:textId="3C16425C">
      <w:pPr>
        <w:tabs>
          <w:tab w:val="center" w:pos="4680"/>
          <w:tab w:val="right" w:pos="9360"/>
        </w:tabs>
        <w:spacing w:after="160" w:line="320" w:lineRule="exact"/>
        <w:jc w:val="center"/>
        <w:rPr>
          <w:szCs w:val="20"/>
        </w:rPr>
      </w:pPr>
      <w:r>
        <w:rPr>
          <w:szCs w:val="20"/>
        </w:rPr>
        <w:tab/>
      </w:r>
      <w:r w:rsidRPr="00031D3A">
        <w:rPr>
          <w:position w:val="-22"/>
          <w:szCs w:val="20"/>
        </w:rPr>
        <w:object w:dxaOrig="2580" w:dyaOrig="580" w14:anchorId="40C81C48">
          <v:shape id="_x0000_i1035" style="width:130.8pt;height:30.6pt" o:ole="" type="#_x0000_t75">
            <v:imagedata o:title="" r:id="rId28"/>
          </v:shape>
          <o:OLEObject Type="Embed" ProgID="Equation.DSMT4" ShapeID="_x0000_i1035" DrawAspect="Content" ObjectID="_1668922415" r:id="rId29"/>
        </w:object>
      </w:r>
      <w:r>
        <w:rPr>
          <w:szCs w:val="20"/>
        </w:rPr>
        <w:tab/>
        <w:t>(3.</w:t>
      </w:r>
      <w:r w:rsidR="00006979">
        <w:rPr>
          <w:szCs w:val="20"/>
        </w:rPr>
        <w:t>3</w:t>
      </w:r>
      <w:r>
        <w:rPr>
          <w:szCs w:val="20"/>
        </w:rPr>
        <w:t>)</w:t>
      </w:r>
    </w:p>
    <w:p w:rsidR="00B16692" w:rsidP="00B16692" w:rsidRDefault="00B16692" w14:paraId="0753D182" w14:textId="77777777">
      <w:pPr>
        <w:spacing w:after="160" w:line="320" w:lineRule="exact"/>
        <w:rPr>
          <w:szCs w:val="20"/>
        </w:rPr>
      </w:pPr>
      <w:r w:rsidRPr="00031D3A">
        <w:rPr>
          <w:szCs w:val="20"/>
        </w:rPr>
        <w:t xml:space="preserve">where </w:t>
      </w:r>
      <w:r w:rsidRPr="00031D3A">
        <w:rPr>
          <w:position w:val="-4"/>
          <w:szCs w:val="20"/>
        </w:rPr>
        <w:object w:dxaOrig="200" w:dyaOrig="240" w14:anchorId="57F1D311">
          <v:shape id="_x0000_i1036" style="width:13.8pt;height:13.8pt" o:ole="" type="#_x0000_t75">
            <v:imagedata o:title="" r:id="rId30"/>
          </v:shape>
          <o:OLEObject Type="Embed" ProgID="Equation.DSMT4" ShapeID="_x0000_i1036" DrawAspect="Content" ObjectID="_1668922416" r:id="rId31"/>
        </w:object>
      </w:r>
      <w:r w:rsidRPr="00031D3A">
        <w:rPr>
          <w:szCs w:val="20"/>
        </w:rPr>
        <w:t xml:space="preserve"> is the average number of </w:t>
      </w:r>
      <w:r>
        <w:rPr>
          <w:szCs w:val="20"/>
        </w:rPr>
        <w:t>client</w:t>
      </w:r>
      <w:r w:rsidRPr="00031D3A">
        <w:rPr>
          <w:szCs w:val="20"/>
        </w:rPr>
        <w:t xml:space="preserve">s expected at the end of the 2-year </w:t>
      </w:r>
      <w:r>
        <w:rPr>
          <w:szCs w:val="20"/>
        </w:rPr>
        <w:t xml:space="preserve">observation </w:t>
      </w:r>
      <w:r w:rsidRPr="00031D3A">
        <w:rPr>
          <w:szCs w:val="20"/>
        </w:rPr>
        <w:t xml:space="preserve">period, </w:t>
      </w:r>
      <w:r w:rsidRPr="00031D3A">
        <w:rPr>
          <w:position w:val="-4"/>
          <w:szCs w:val="20"/>
        </w:rPr>
        <w:object w:dxaOrig="220" w:dyaOrig="279" w14:anchorId="733B1601">
          <v:shape id="_x0000_i1037" style="width:13.2pt;height:13.8pt" o:ole="" type="#_x0000_t75">
            <v:imagedata o:title="" r:id="rId32"/>
          </v:shape>
          <o:OLEObject Type="Embed" ProgID="Equation.DSMT4" ShapeID="_x0000_i1037" DrawAspect="Content" ObjectID="_1668922417" r:id="rId33"/>
        </w:object>
      </w:r>
      <w:r w:rsidRPr="00031D3A">
        <w:rPr>
          <w:szCs w:val="20"/>
        </w:rPr>
        <w:t xml:space="preserve">is the coefficient of variation specified in the RFTOP, </w:t>
      </w:r>
      <w:r w:rsidRPr="00A70A21">
        <w:rPr>
          <w:i/>
          <w:szCs w:val="20"/>
        </w:rPr>
        <w:t>C</w:t>
      </w:r>
      <w:r w:rsidRPr="00A70A21">
        <w:rPr>
          <w:szCs w:val="20"/>
          <w:vertAlign w:val="superscript"/>
        </w:rPr>
        <w:t>2</w:t>
      </w:r>
      <w:r w:rsidRPr="00031D3A">
        <w:rPr>
          <w:szCs w:val="20"/>
        </w:rPr>
        <w:t xml:space="preserve"> is the square of the desired effect size</w:t>
      </w:r>
      <w:r>
        <w:rPr>
          <w:szCs w:val="20"/>
        </w:rPr>
        <w:t xml:space="preserve"> (</w:t>
      </w:r>
      <w:r w:rsidRPr="00483A83">
        <w:rPr>
          <w:b/>
          <w:i/>
          <w:szCs w:val="20"/>
        </w:rPr>
        <w:t>Table 3-1</w:t>
      </w:r>
      <w:r>
        <w:rPr>
          <w:szCs w:val="20"/>
        </w:rPr>
        <w:t>)</w:t>
      </w:r>
      <w:r w:rsidRPr="00031D3A">
        <w:rPr>
          <w:szCs w:val="20"/>
        </w:rPr>
        <w:t xml:space="preserve">, and </w:t>
      </w:r>
      <w:r w:rsidRPr="00A70A21">
        <w:rPr>
          <w:i/>
          <w:szCs w:val="20"/>
        </w:rPr>
        <w:t>ICC</w:t>
      </w:r>
      <w:r w:rsidRPr="00A70A21">
        <w:rPr>
          <w:i/>
          <w:szCs w:val="20"/>
          <w:vertAlign w:val="subscript"/>
        </w:rPr>
        <w:t>s</w:t>
      </w:r>
      <w:r w:rsidRPr="00031D3A">
        <w:rPr>
          <w:szCs w:val="20"/>
        </w:rPr>
        <w:t xml:space="preserve"> is the site-level ICC values shown in </w:t>
      </w:r>
      <w:r w:rsidRPr="006F268F">
        <w:rPr>
          <w:b/>
          <w:i/>
          <w:szCs w:val="20"/>
        </w:rPr>
        <w:t>Table 3-2</w:t>
      </w:r>
      <w:r w:rsidRPr="00031D3A">
        <w:rPr>
          <w:szCs w:val="20"/>
        </w:rPr>
        <w:t>.</w:t>
      </w:r>
    </w:p>
    <w:p w:rsidR="00B16692" w:rsidP="00B16692" w:rsidRDefault="00B16692" w14:paraId="4C082E3D" w14:textId="77777777">
      <w:pPr>
        <w:pStyle w:val="BodyText"/>
        <w:spacing w:before="360"/>
      </w:pPr>
      <w:r w:rsidRPr="001F2EC5">
        <w:rPr>
          <w:u w:val="single"/>
        </w:rPr>
        <w:t xml:space="preserve">Analysis of Subgroups within </w:t>
      </w:r>
      <w:r>
        <w:rPr>
          <w:u w:val="single"/>
        </w:rPr>
        <w:t>the MAT Study</w:t>
      </w:r>
      <w:r>
        <w:t xml:space="preserve"> </w:t>
      </w:r>
    </w:p>
    <w:p w:rsidR="00B16692" w:rsidP="00B16692" w:rsidRDefault="004B1501" w14:paraId="70E2AA41" w14:textId="090B1447">
      <w:pPr>
        <w:pStyle w:val="BodyText"/>
      </w:pPr>
      <w:r>
        <w:lastRenderedPageBreak/>
        <w:t>U</w:t>
      </w:r>
      <w:r w:rsidR="00B16692">
        <w:t xml:space="preserve">sing (3.1) </w:t>
      </w:r>
      <w:r>
        <w:t xml:space="preserve">and the revised assumptions discussed above, </w:t>
      </w:r>
      <w:r w:rsidR="00B16692">
        <w:t xml:space="preserve">we anticipate that any subgroup with approximately </w:t>
      </w:r>
      <w:r>
        <w:t xml:space="preserve">300 </w:t>
      </w:r>
      <w:r w:rsidR="00B16692">
        <w:t xml:space="preserve">participants completing the 24-month </w:t>
      </w:r>
      <w:r>
        <w:t xml:space="preserve">study period </w:t>
      </w:r>
      <w:r w:rsidR="00B16692">
        <w:t>by treatment group is sufficient for a 10</w:t>
      </w:r>
      <w:r w:rsidRPr="009733FD" w:rsidR="00B16692">
        <w:t xml:space="preserve"> </w:t>
      </w:r>
      <w:r w:rsidR="00B16692">
        <w:t xml:space="preserve">percent detectable difference with at least </w:t>
      </w:r>
      <w:r>
        <w:t>90</w:t>
      </w:r>
      <w:r w:rsidRPr="009733FD">
        <w:t xml:space="preserve"> </w:t>
      </w:r>
      <w:r w:rsidR="00B16692">
        <w:t xml:space="preserve">percent power. </w:t>
      </w:r>
    </w:p>
    <w:p w:rsidR="004E4E74" w:rsidRDefault="004E4E74" w14:paraId="4D7E6693" w14:textId="0B2D2578">
      <w:pPr>
        <w:spacing w:after="160" w:line="259" w:lineRule="auto"/>
        <w:rPr>
          <w:rFonts w:eastAsia="MS Mincho"/>
          <w:b/>
          <w:bCs/>
          <w:kern w:val="28"/>
          <w:sz w:val="26"/>
          <w:szCs w:val="28"/>
        </w:rPr>
      </w:pPr>
    </w:p>
    <w:p w:rsidRPr="000A6528" w:rsidR="009F5487" w:rsidP="009F5487" w:rsidRDefault="009F5487" w14:paraId="15556D57" w14:textId="54EE1A93">
      <w:pPr>
        <w:pStyle w:val="ESHeading1"/>
      </w:pPr>
      <w:r w:rsidRPr="00B52028">
        <w:t>References</w:t>
      </w:r>
      <w:r w:rsidRPr="000A6528">
        <w:t xml:space="preserve"> </w:t>
      </w:r>
    </w:p>
    <w:p w:rsidR="00D35640" w:rsidP="00D35640" w:rsidRDefault="00D35640" w14:paraId="226F67D7" w14:textId="05063264">
      <w:pPr>
        <w:spacing w:after="160" w:line="320" w:lineRule="exact"/>
        <w:ind w:left="720" w:hanging="720"/>
        <w:rPr>
          <w:lang w:val="en"/>
        </w:rPr>
      </w:pPr>
      <w:r w:rsidRPr="00D35640">
        <w:rPr>
          <w:lang w:val="en"/>
        </w:rPr>
        <w:t xml:space="preserve">Allen, K.D., Bosworth, H.B., Chatterjee, R., et al. (2014). Clinic variation in recruitment metrics, patient characteristics and treatment use in a randomized clinical trial of osteoarthritis management. BMC Musculoskeletal Disorders, 15:413. </w:t>
      </w:r>
      <w:hyperlink w:history="1" r:id="rId34">
        <w:r w:rsidRPr="00C152AC">
          <w:rPr>
            <w:rStyle w:val="Hyperlink"/>
            <w:lang w:val="en"/>
          </w:rPr>
          <w:t>https://bmcmusculoskeletdisord.biomedcentral.com/articles/10.1186/1471-2474-15-413</w:t>
        </w:r>
      </w:hyperlink>
      <w:r>
        <w:rPr>
          <w:lang w:val="en"/>
        </w:rPr>
        <w:t xml:space="preserve"> </w:t>
      </w:r>
    </w:p>
    <w:p w:rsidRPr="00D35640" w:rsidR="00D35640" w:rsidP="00D35640" w:rsidRDefault="00D35640" w14:paraId="7ADF83D2" w14:textId="445BE6D8">
      <w:pPr>
        <w:spacing w:after="160" w:line="320" w:lineRule="exact"/>
        <w:ind w:left="720" w:hanging="720"/>
        <w:rPr>
          <w:lang w:val="en"/>
        </w:rPr>
      </w:pPr>
      <w:r w:rsidRPr="00D35640">
        <w:rPr>
          <w:lang w:val="en"/>
        </w:rPr>
        <w:t xml:space="preserve">Bachhuber, M.A., Nash, D., Southern, W.N., Heo, M., Berger, M., Schepis, M., and Cunningham, C.O. (2018). Reducing the default dispense quantity for new opioid analgesic prescriptions: study protocol for a cluster randomized controlled trial. BMJ Open, 8:e1-e7. </w:t>
      </w:r>
      <w:hyperlink w:history="1" r:id="rId35">
        <w:r w:rsidRPr="00C152AC">
          <w:rPr>
            <w:rStyle w:val="Hyperlink"/>
            <w:lang w:val="en"/>
          </w:rPr>
          <w:t>https://bmjopen.bmj.com/content/bmjopen/8/4/e019559.full.pdf</w:t>
        </w:r>
      </w:hyperlink>
      <w:r>
        <w:rPr>
          <w:lang w:val="en"/>
        </w:rPr>
        <w:t xml:space="preserve"> </w:t>
      </w:r>
      <w:r w:rsidRPr="00D35640">
        <w:rPr>
          <w:lang w:val="en"/>
        </w:rPr>
        <w:t xml:space="preserve"> </w:t>
      </w:r>
    </w:p>
    <w:p w:rsidRPr="00D35640" w:rsidR="00D35640" w:rsidP="00D35640" w:rsidRDefault="00D35640" w14:paraId="7F4DD308" w14:textId="6F987AB6">
      <w:pPr>
        <w:spacing w:after="160" w:line="320" w:lineRule="exact"/>
        <w:ind w:left="720" w:hanging="720"/>
        <w:rPr>
          <w:lang w:val="en"/>
        </w:rPr>
      </w:pPr>
      <w:r w:rsidRPr="00D35640">
        <w:rPr>
          <w:lang w:val="en"/>
        </w:rPr>
        <w:t xml:space="preserve">Barnhart, D., Hertzmark, E., Liu, E., Mungure, E., Muya, A.N. et al. (2016). Intra-cluster correlation estimates for HIV-related outcomes from care and treatment clinics in Dar es Salaam, Tanzania. Contemporary Clinical Trials Communications, 4, 15 December 2016: 161-169. </w:t>
      </w:r>
      <w:hyperlink w:history="1" r:id="rId36">
        <w:r w:rsidRPr="00C152AC">
          <w:rPr>
            <w:rStyle w:val="Hyperlink"/>
            <w:lang w:val="en"/>
          </w:rPr>
          <w:t>https://www.sciencedirect.com/science/article/pii/S2451865416300436</w:t>
        </w:r>
      </w:hyperlink>
      <w:r>
        <w:rPr>
          <w:lang w:val="en"/>
        </w:rPr>
        <w:t xml:space="preserve"> </w:t>
      </w:r>
      <w:r w:rsidRPr="00D35640">
        <w:rPr>
          <w:lang w:val="en"/>
        </w:rPr>
        <w:t xml:space="preserve"> </w:t>
      </w:r>
    </w:p>
    <w:p w:rsidR="00D35640" w:rsidP="00D35640" w:rsidRDefault="00D35640" w14:paraId="1E108FCF" w14:textId="77777777">
      <w:pPr>
        <w:spacing w:after="160" w:line="320" w:lineRule="exact"/>
        <w:ind w:left="720" w:hanging="720"/>
        <w:rPr>
          <w:lang w:val="en"/>
        </w:rPr>
      </w:pPr>
      <w:r w:rsidRPr="006E07F4">
        <w:rPr>
          <w:lang w:val="en"/>
        </w:rPr>
        <w:t>Bart, G. (2012). Maintenance Medication for Opiate Addiction: The Foundation of Recovery</w:t>
      </w:r>
      <w:r>
        <w:rPr>
          <w:lang w:val="en"/>
        </w:rPr>
        <w:t xml:space="preserve">. </w:t>
      </w:r>
      <w:r w:rsidRPr="006E07F4">
        <w:rPr>
          <w:lang w:val="en"/>
        </w:rPr>
        <w:t>J Addict Dis. 2012 Jul; 31(3): 207–225.</w:t>
      </w:r>
    </w:p>
    <w:p w:rsidRPr="00D35640" w:rsidR="00D35640" w:rsidP="00D35640" w:rsidRDefault="00D35640" w14:paraId="67A5D16A" w14:textId="08EA4861">
      <w:pPr>
        <w:spacing w:after="160" w:line="320" w:lineRule="exact"/>
        <w:ind w:left="720" w:hanging="720"/>
        <w:rPr>
          <w:lang w:val="en"/>
        </w:rPr>
      </w:pPr>
      <w:r w:rsidRPr="00D35640">
        <w:rPr>
          <w:lang w:val="en"/>
        </w:rPr>
        <w:t>Campbell, M.K., Fayers, P.M., and Grimshaw, J.M. (2005). Determinants of the intracluster correlation coefficient in cluster randomized trials: the case of implementation research. Clin Trials. 2005;2(2):99-107.</w:t>
      </w:r>
      <w:r>
        <w:rPr>
          <w:lang w:val="en"/>
        </w:rPr>
        <w:t xml:space="preserve"> </w:t>
      </w:r>
      <w:hyperlink w:history="1" r:id="rId37">
        <w:r w:rsidRPr="00C152AC">
          <w:rPr>
            <w:rStyle w:val="Hyperlink"/>
            <w:lang w:val="en"/>
          </w:rPr>
          <w:t>https://www.ncbi.nlm.nih.gov/pubmed/16279131</w:t>
        </w:r>
      </w:hyperlink>
      <w:r>
        <w:rPr>
          <w:lang w:val="en"/>
        </w:rPr>
        <w:t xml:space="preserve"> </w:t>
      </w:r>
      <w:r w:rsidRPr="00D35640">
        <w:rPr>
          <w:lang w:val="en"/>
        </w:rPr>
        <w:t xml:space="preserve"> </w:t>
      </w:r>
    </w:p>
    <w:p w:rsidR="00634262" w:rsidP="00634262" w:rsidRDefault="00634262" w14:paraId="5044E5E8" w14:textId="2A6F0BA8">
      <w:pPr>
        <w:spacing w:after="160" w:line="320" w:lineRule="exact"/>
        <w:ind w:left="720" w:hanging="720"/>
        <w:rPr>
          <w:lang w:val="en"/>
        </w:rPr>
      </w:pPr>
      <w:r w:rsidRPr="00634262">
        <w:rPr>
          <w:lang w:val="en"/>
        </w:rPr>
        <w:t xml:space="preserve">Cohen J. (1988). </w:t>
      </w:r>
      <w:r w:rsidRPr="00634262">
        <w:rPr>
          <w:i/>
          <w:lang w:val="en"/>
        </w:rPr>
        <w:t>Statistical Power Analysis for the Behavioral Sciences</w:t>
      </w:r>
      <w:r w:rsidRPr="00634262">
        <w:rPr>
          <w:lang w:val="en"/>
        </w:rPr>
        <w:t>.</w:t>
      </w:r>
      <w:r>
        <w:rPr>
          <w:lang w:val="en"/>
        </w:rPr>
        <w:t xml:space="preserve"> </w:t>
      </w:r>
      <w:r w:rsidRPr="00634262">
        <w:rPr>
          <w:lang w:val="en"/>
        </w:rPr>
        <w:t>Lawrence Erlbaum Associates, New Jersey.</w:t>
      </w:r>
    </w:p>
    <w:p w:rsidRPr="00D35640" w:rsidR="00D35640" w:rsidP="00D35640" w:rsidRDefault="00D35640" w14:paraId="0C2AEE46" w14:textId="4355DE7B">
      <w:pPr>
        <w:spacing w:after="160" w:line="320" w:lineRule="exact"/>
        <w:ind w:left="720" w:hanging="720"/>
        <w:rPr>
          <w:lang w:val="en"/>
        </w:rPr>
      </w:pPr>
      <w:r w:rsidRPr="00D35640">
        <w:rPr>
          <w:lang w:val="en"/>
        </w:rPr>
        <w:t xml:space="preserve">DeBar, L., Benes, L., Bonifay, A., et al. (2018). Interdisciplinary team-based care for patients with chronic pain on long-term opioid treatment in primary care (PPACT) – Protocol for a pragmatic cluster randomized trial. Contemporary Clinical Trials, 67, April 2018: 91-99. </w:t>
      </w:r>
      <w:hyperlink w:history="1" r:id="rId38">
        <w:r w:rsidRPr="00C152AC">
          <w:rPr>
            <w:rStyle w:val="Hyperlink"/>
            <w:lang w:val="en"/>
          </w:rPr>
          <w:t>https://www.sciencedirect.com/science/article/pii/S1551714417305785</w:t>
        </w:r>
      </w:hyperlink>
      <w:r>
        <w:rPr>
          <w:lang w:val="en"/>
        </w:rPr>
        <w:t xml:space="preserve"> </w:t>
      </w:r>
      <w:r w:rsidRPr="00D35640">
        <w:rPr>
          <w:lang w:val="en"/>
        </w:rPr>
        <w:t xml:space="preserve"> </w:t>
      </w:r>
    </w:p>
    <w:p w:rsidR="006E07F4" w:rsidP="006E07F4" w:rsidRDefault="009F5487" w14:paraId="4FF568B7" w14:textId="77777777">
      <w:pPr>
        <w:spacing w:after="160" w:line="320" w:lineRule="exact"/>
        <w:ind w:left="720" w:hanging="720"/>
        <w:rPr>
          <w:lang w:val="en"/>
        </w:rPr>
      </w:pPr>
      <w:r w:rsidRPr="000C5D67">
        <w:rPr>
          <w:lang w:val="en"/>
        </w:rPr>
        <w:lastRenderedPageBreak/>
        <w:t xml:space="preserve">Desmond, D.P., Maddux, J.F., Johnson, T.H., and Confer, B.A. (1995). Obtaining Follow-Up Interviews for Treatment Evaluation. </w:t>
      </w:r>
      <w:r w:rsidRPr="000C5D67">
        <w:rPr>
          <w:i/>
          <w:lang w:val="en"/>
        </w:rPr>
        <w:t>Journal of Substance Abuse Treatment</w:t>
      </w:r>
      <w:r w:rsidRPr="000C5D67">
        <w:rPr>
          <w:lang w:val="en"/>
        </w:rPr>
        <w:t xml:space="preserve">, </w:t>
      </w:r>
      <w:r w:rsidRPr="000C5D67">
        <w:rPr>
          <w:b/>
          <w:i/>
          <w:lang w:val="en"/>
        </w:rPr>
        <w:t>12</w:t>
      </w:r>
      <w:r w:rsidRPr="000C5D67">
        <w:rPr>
          <w:lang w:val="en"/>
        </w:rPr>
        <w:t>(2): 95-102.</w:t>
      </w:r>
    </w:p>
    <w:p w:rsidR="00D4077B" w:rsidP="00D4077B" w:rsidRDefault="00D4077B" w14:paraId="7B2835C2" w14:textId="0961AFD2">
      <w:pPr>
        <w:spacing w:after="160" w:line="320" w:lineRule="exact"/>
        <w:ind w:left="720" w:hanging="720"/>
        <w:rPr>
          <w:lang w:val="en"/>
        </w:rPr>
      </w:pPr>
      <w:r w:rsidRPr="00D4077B">
        <w:rPr>
          <w:lang w:val="en"/>
        </w:rPr>
        <w:t>Diggle</w:t>
      </w:r>
      <w:r>
        <w:rPr>
          <w:lang w:val="en"/>
        </w:rPr>
        <w:t>,</w:t>
      </w:r>
      <w:r w:rsidRPr="00D4077B">
        <w:rPr>
          <w:lang w:val="en"/>
        </w:rPr>
        <w:t xml:space="preserve"> P</w:t>
      </w:r>
      <w:r>
        <w:rPr>
          <w:lang w:val="en"/>
        </w:rPr>
        <w:t>.</w:t>
      </w:r>
      <w:r w:rsidRPr="00D4077B">
        <w:rPr>
          <w:lang w:val="en"/>
        </w:rPr>
        <w:t>J</w:t>
      </w:r>
      <w:r>
        <w:rPr>
          <w:lang w:val="en"/>
        </w:rPr>
        <w:t>.</w:t>
      </w:r>
      <w:r w:rsidRPr="00D4077B">
        <w:rPr>
          <w:lang w:val="en"/>
        </w:rPr>
        <w:t>, Heagerty</w:t>
      </w:r>
      <w:r>
        <w:rPr>
          <w:lang w:val="en"/>
        </w:rPr>
        <w:t>,</w:t>
      </w:r>
      <w:r w:rsidRPr="00D4077B">
        <w:rPr>
          <w:lang w:val="en"/>
        </w:rPr>
        <w:t xml:space="preserve"> P</w:t>
      </w:r>
      <w:r>
        <w:rPr>
          <w:lang w:val="en"/>
        </w:rPr>
        <w:t>.</w:t>
      </w:r>
      <w:r w:rsidRPr="00D4077B">
        <w:rPr>
          <w:lang w:val="en"/>
        </w:rPr>
        <w:t>J</w:t>
      </w:r>
      <w:r>
        <w:rPr>
          <w:lang w:val="en"/>
        </w:rPr>
        <w:t>.</w:t>
      </w:r>
      <w:r w:rsidRPr="00D4077B">
        <w:rPr>
          <w:lang w:val="en"/>
        </w:rPr>
        <w:t>, Liang K-</w:t>
      </w:r>
      <w:r>
        <w:rPr>
          <w:lang w:val="en"/>
        </w:rPr>
        <w:t>Y.</w:t>
      </w:r>
      <w:r w:rsidRPr="00D4077B">
        <w:rPr>
          <w:lang w:val="en"/>
        </w:rPr>
        <w:t xml:space="preserve">, </w:t>
      </w:r>
      <w:r>
        <w:rPr>
          <w:lang w:val="en"/>
        </w:rPr>
        <w:t xml:space="preserve">and </w:t>
      </w:r>
      <w:r w:rsidRPr="00D4077B">
        <w:rPr>
          <w:lang w:val="en"/>
        </w:rPr>
        <w:t>Zeger</w:t>
      </w:r>
      <w:r>
        <w:rPr>
          <w:lang w:val="en"/>
        </w:rPr>
        <w:t>,</w:t>
      </w:r>
      <w:r w:rsidRPr="00D4077B">
        <w:rPr>
          <w:lang w:val="en"/>
        </w:rPr>
        <w:t xml:space="preserve"> S</w:t>
      </w:r>
      <w:r>
        <w:rPr>
          <w:lang w:val="en"/>
        </w:rPr>
        <w:t>.</w:t>
      </w:r>
      <w:r w:rsidRPr="00D4077B">
        <w:rPr>
          <w:lang w:val="en"/>
        </w:rPr>
        <w:t xml:space="preserve">L. </w:t>
      </w:r>
      <w:r>
        <w:rPr>
          <w:lang w:val="en"/>
        </w:rPr>
        <w:t xml:space="preserve">(2002). </w:t>
      </w:r>
      <w:r w:rsidRPr="00D4077B">
        <w:rPr>
          <w:i/>
          <w:lang w:val="en"/>
        </w:rPr>
        <w:t>Analysis of longitudinal data,</w:t>
      </w:r>
      <w:r>
        <w:rPr>
          <w:lang w:val="en"/>
        </w:rPr>
        <w:t xml:space="preserve"> 2</w:t>
      </w:r>
      <w:r w:rsidRPr="00D4077B">
        <w:rPr>
          <w:vertAlign w:val="superscript"/>
          <w:lang w:val="en"/>
        </w:rPr>
        <w:t>nd</w:t>
      </w:r>
      <w:r>
        <w:rPr>
          <w:lang w:val="en"/>
        </w:rPr>
        <w:t xml:space="preserve"> edition</w:t>
      </w:r>
      <w:r w:rsidRPr="00D4077B">
        <w:rPr>
          <w:lang w:val="en"/>
        </w:rPr>
        <w:t>. Oxford Statistical Science Series.</w:t>
      </w:r>
    </w:p>
    <w:p w:rsidRPr="00D35640" w:rsidR="00D35640" w:rsidP="00D35640" w:rsidRDefault="00D35640" w14:paraId="4B9F9BD0" w14:textId="35B1A588">
      <w:pPr>
        <w:spacing w:after="160" w:line="320" w:lineRule="exact"/>
        <w:ind w:left="720" w:hanging="720"/>
        <w:rPr>
          <w:lang w:val="en"/>
        </w:rPr>
      </w:pPr>
      <w:r w:rsidRPr="00D35640">
        <w:rPr>
          <w:lang w:val="en"/>
        </w:rPr>
        <w:t xml:space="preserve">Goodwin, J.S., Kuo, Y-F., and Brown, D. (2018). Association of Chronic Opioid Use With Presidential Voting Patterns in US Counties in 2016. JAMA Netw Open. 2018;1(2):e180450. doi:10.1001/jamanetworkopen.2018.0450 </w:t>
      </w:r>
      <w:hyperlink w:history="1" r:id="rId39">
        <w:r w:rsidRPr="00C152AC">
          <w:rPr>
            <w:rStyle w:val="Hyperlink"/>
            <w:lang w:val="en"/>
          </w:rPr>
          <w:t>https://jamanetwork.com/journals/jamanetworkopen/fullarticle/2685627</w:t>
        </w:r>
      </w:hyperlink>
      <w:r>
        <w:rPr>
          <w:lang w:val="en"/>
        </w:rPr>
        <w:t xml:space="preserve"> </w:t>
      </w:r>
      <w:r w:rsidRPr="00D35640">
        <w:rPr>
          <w:lang w:val="en"/>
        </w:rPr>
        <w:t xml:space="preserve"> </w:t>
      </w:r>
    </w:p>
    <w:p w:rsidR="00714670" w:rsidP="00714670" w:rsidRDefault="00714670" w14:paraId="0EDD268D" w14:textId="409500B5">
      <w:pPr>
        <w:spacing w:after="160" w:line="320" w:lineRule="exact"/>
        <w:ind w:left="720" w:hanging="720"/>
        <w:rPr>
          <w:lang w:val="en"/>
        </w:rPr>
      </w:pPr>
      <w:r w:rsidRPr="00714670">
        <w:rPr>
          <w:lang w:val="en"/>
        </w:rPr>
        <w:t xml:space="preserve">Hedeker, </w:t>
      </w:r>
      <w:r>
        <w:rPr>
          <w:lang w:val="en"/>
        </w:rPr>
        <w:t xml:space="preserve">D., </w:t>
      </w:r>
      <w:r w:rsidRPr="00714670">
        <w:rPr>
          <w:lang w:val="en"/>
        </w:rPr>
        <w:t xml:space="preserve">Gibbons, </w:t>
      </w:r>
      <w:r>
        <w:rPr>
          <w:lang w:val="en"/>
        </w:rPr>
        <w:t xml:space="preserve">R.D., and </w:t>
      </w:r>
      <w:r w:rsidRPr="00714670">
        <w:rPr>
          <w:lang w:val="en"/>
        </w:rPr>
        <w:t>Waternaux</w:t>
      </w:r>
      <w:r>
        <w:rPr>
          <w:lang w:val="en"/>
        </w:rPr>
        <w:t>, C.</w:t>
      </w:r>
      <w:r w:rsidRPr="00714670">
        <w:rPr>
          <w:lang w:val="en"/>
        </w:rPr>
        <w:t xml:space="preserve"> (1999). Sample size estimation for longitudinal</w:t>
      </w:r>
      <w:r>
        <w:rPr>
          <w:lang w:val="en"/>
        </w:rPr>
        <w:t xml:space="preserve"> </w:t>
      </w:r>
      <w:r w:rsidRPr="00714670">
        <w:rPr>
          <w:lang w:val="en"/>
        </w:rPr>
        <w:t>designs with attrition. Journal of Educational and Behavioral Statistics,</w:t>
      </w:r>
      <w:r>
        <w:rPr>
          <w:lang w:val="en"/>
        </w:rPr>
        <w:t xml:space="preserve"> </w:t>
      </w:r>
      <w:r w:rsidRPr="00714670">
        <w:rPr>
          <w:lang w:val="en"/>
        </w:rPr>
        <w:t>24</w:t>
      </w:r>
      <w:r>
        <w:rPr>
          <w:lang w:val="en"/>
        </w:rPr>
        <w:t>(1)</w:t>
      </w:r>
      <w:r w:rsidRPr="00714670">
        <w:rPr>
          <w:lang w:val="en"/>
        </w:rPr>
        <w:t>:</w:t>
      </w:r>
      <w:r>
        <w:rPr>
          <w:lang w:val="en"/>
        </w:rPr>
        <w:t xml:space="preserve"> </w:t>
      </w:r>
      <w:r w:rsidRPr="00714670">
        <w:rPr>
          <w:lang w:val="en"/>
        </w:rPr>
        <w:t>70-93</w:t>
      </w:r>
      <w:r>
        <w:rPr>
          <w:lang w:val="en"/>
        </w:rPr>
        <w:t>.</w:t>
      </w:r>
    </w:p>
    <w:p w:rsidR="000E2784" w:rsidP="000E2784" w:rsidRDefault="007E4B92" w14:paraId="223BF33D" w14:textId="7C241240">
      <w:pPr>
        <w:spacing w:after="160" w:line="320" w:lineRule="exact"/>
        <w:ind w:left="720" w:hanging="720"/>
        <w:rPr>
          <w:lang w:val="en"/>
        </w:rPr>
      </w:pPr>
      <w:r w:rsidRPr="007E4B92">
        <w:rPr>
          <w:lang w:val="en"/>
        </w:rPr>
        <w:t xml:space="preserve">Heidebrecht, F., MacLeod, M.B., and Dawkins, L. (2018). Predictors of heroin abstinence in opiate substitution therapy in heroin-only users and dual users of heroin and crack. Addictive Behaviors, 77:210–216. </w:t>
      </w:r>
      <w:hyperlink w:history="1" r:id="rId40">
        <w:r w:rsidRPr="00C152AC">
          <w:rPr>
            <w:rStyle w:val="Hyperlink"/>
            <w:lang w:val="en"/>
          </w:rPr>
          <w:t>https://www.sciencedirect.com/science/article/pii/S0306460317303842?via%3Dihub</w:t>
        </w:r>
      </w:hyperlink>
    </w:p>
    <w:p w:rsidRPr="005B244F" w:rsidR="000E2784" w:rsidP="005B244F" w:rsidRDefault="000E2784" w14:paraId="49F0C5C4" w14:textId="0485F606">
      <w:pPr>
        <w:spacing w:after="160" w:line="320" w:lineRule="exact"/>
        <w:ind w:left="720" w:hanging="720"/>
        <w:rPr>
          <w:lang w:val="en"/>
        </w:rPr>
      </w:pPr>
      <w:r w:rsidRPr="004700E0">
        <w:rPr>
          <w:rFonts w:eastAsia="Times New Roman"/>
          <w:szCs w:val="20"/>
        </w:rPr>
        <w:t>Hser,</w:t>
      </w:r>
      <w:r>
        <w:rPr>
          <w:rFonts w:eastAsia="Times New Roman"/>
          <w:szCs w:val="20"/>
        </w:rPr>
        <w:t xml:space="preserve"> Y. </w:t>
      </w:r>
      <w:r w:rsidRPr="004700E0">
        <w:rPr>
          <w:rFonts w:eastAsia="Times New Roman"/>
          <w:szCs w:val="20"/>
        </w:rPr>
        <w:t xml:space="preserve">Evans, </w:t>
      </w:r>
      <w:r>
        <w:rPr>
          <w:rFonts w:eastAsia="Times New Roman"/>
          <w:szCs w:val="20"/>
        </w:rPr>
        <w:t xml:space="preserve">E., </w:t>
      </w:r>
      <w:r w:rsidRPr="004700E0">
        <w:rPr>
          <w:rFonts w:eastAsia="Times New Roman"/>
          <w:szCs w:val="20"/>
        </w:rPr>
        <w:t xml:space="preserve">Huang, </w:t>
      </w:r>
      <w:r>
        <w:rPr>
          <w:rFonts w:eastAsia="Times New Roman"/>
          <w:szCs w:val="20"/>
        </w:rPr>
        <w:t xml:space="preserve">D., </w:t>
      </w:r>
      <w:r w:rsidRPr="004700E0">
        <w:rPr>
          <w:rFonts w:eastAsia="Times New Roman"/>
          <w:szCs w:val="20"/>
        </w:rPr>
        <w:t xml:space="preserve">Weiss, </w:t>
      </w:r>
      <w:r>
        <w:rPr>
          <w:rFonts w:eastAsia="Times New Roman"/>
          <w:szCs w:val="20"/>
        </w:rPr>
        <w:t xml:space="preserve">R., et al. (2015). </w:t>
      </w:r>
      <w:r w:rsidRPr="004700E0">
        <w:rPr>
          <w:rFonts w:eastAsia="Times New Roman"/>
          <w:szCs w:val="20"/>
        </w:rPr>
        <w:t>Long-term outcomes after randomization</w:t>
      </w:r>
      <w:r>
        <w:rPr>
          <w:rFonts w:eastAsia="Times New Roman"/>
          <w:szCs w:val="20"/>
        </w:rPr>
        <w:t xml:space="preserve"> </w:t>
      </w:r>
      <w:r w:rsidRPr="004700E0">
        <w:rPr>
          <w:rFonts w:eastAsia="Times New Roman"/>
          <w:szCs w:val="20"/>
        </w:rPr>
        <w:t>to buprenorphine/naloxone versus methadone</w:t>
      </w:r>
      <w:r>
        <w:rPr>
          <w:rFonts w:eastAsia="Times New Roman"/>
          <w:szCs w:val="20"/>
        </w:rPr>
        <w:t xml:space="preserve"> </w:t>
      </w:r>
      <w:r w:rsidRPr="004700E0">
        <w:rPr>
          <w:rFonts w:eastAsia="Times New Roman"/>
          <w:szCs w:val="20"/>
        </w:rPr>
        <w:t>in a multi-site trial</w:t>
      </w:r>
      <w:r>
        <w:rPr>
          <w:rFonts w:eastAsia="Times New Roman"/>
          <w:szCs w:val="20"/>
        </w:rPr>
        <w:t xml:space="preserve">. </w:t>
      </w:r>
      <w:r w:rsidRPr="004700E0">
        <w:rPr>
          <w:szCs w:val="20"/>
        </w:rPr>
        <w:t>Addiction, 111</w:t>
      </w:r>
      <w:r>
        <w:rPr>
          <w:szCs w:val="20"/>
        </w:rPr>
        <w:t>:</w:t>
      </w:r>
      <w:r w:rsidRPr="004700E0">
        <w:rPr>
          <w:szCs w:val="20"/>
        </w:rPr>
        <w:t>695–705</w:t>
      </w:r>
      <w:r>
        <w:rPr>
          <w:szCs w:val="20"/>
        </w:rPr>
        <w:t>.</w:t>
      </w:r>
    </w:p>
    <w:p w:rsidR="005F1184" w:rsidP="005F1184" w:rsidRDefault="005F1184" w14:paraId="7A88AA36" w14:textId="59079339">
      <w:pPr>
        <w:spacing w:after="160" w:line="320" w:lineRule="exact"/>
        <w:ind w:left="720" w:hanging="720"/>
        <w:rPr>
          <w:lang w:val="en"/>
        </w:rPr>
      </w:pPr>
      <w:r w:rsidRPr="005F1184">
        <w:rPr>
          <w:lang w:val="en"/>
        </w:rPr>
        <w:t xml:space="preserve">Kleber, </w:t>
      </w:r>
      <w:r w:rsidR="000A5120">
        <w:rPr>
          <w:lang w:val="en"/>
        </w:rPr>
        <w:t xml:space="preserve">H.D. (2007). </w:t>
      </w:r>
      <w:r w:rsidRPr="005F1184" w:rsidR="000A5120">
        <w:rPr>
          <w:lang w:val="en"/>
        </w:rPr>
        <w:t>Pharmacologic treatments for opioid dependence: detoxification and maintenance options</w:t>
      </w:r>
      <w:r w:rsidR="000A5120">
        <w:rPr>
          <w:lang w:val="en"/>
        </w:rPr>
        <w:t xml:space="preserve">. </w:t>
      </w:r>
      <w:r w:rsidRPr="005F1184" w:rsidR="000A5120">
        <w:rPr>
          <w:lang w:val="en"/>
        </w:rPr>
        <w:t>Dialogues Clin Neurosci. 2007 Dec; 9(4): 455–470.</w:t>
      </w:r>
    </w:p>
    <w:p w:rsidRPr="00D35640" w:rsidR="00D35640" w:rsidP="00D35640" w:rsidRDefault="00D35640" w14:paraId="2B2173F4" w14:textId="7EAEBCD8">
      <w:pPr>
        <w:spacing w:after="160" w:line="320" w:lineRule="exact"/>
        <w:ind w:left="720" w:hanging="720"/>
        <w:rPr>
          <w:lang w:val="en"/>
        </w:rPr>
      </w:pPr>
      <w:r w:rsidRPr="00D35640">
        <w:rPr>
          <w:lang w:val="en"/>
        </w:rPr>
        <w:t xml:space="preserve">Kuo, Y-F, Mukaila, A.R., Chen, N-W., Hasan, H., Goodwin, J.S. (2016). Trends in Opioid Prescriptions Among Part D Medicare Recipients From 2007 to 2012. The American Journal of Medicine, 129, 221.e21-221.e30. </w:t>
      </w:r>
      <w:hyperlink w:history="1" r:id="rId41">
        <w:r w:rsidRPr="00C152AC">
          <w:rPr>
            <w:rStyle w:val="Hyperlink"/>
            <w:lang w:val="en"/>
          </w:rPr>
          <w:t>https://www.utmb.edu/pcor/App_Assets/assets/pubs/26522794.pdf</w:t>
        </w:r>
      </w:hyperlink>
      <w:r>
        <w:rPr>
          <w:lang w:val="en"/>
        </w:rPr>
        <w:t xml:space="preserve"> </w:t>
      </w:r>
      <w:r w:rsidRPr="00D35640">
        <w:rPr>
          <w:lang w:val="en"/>
        </w:rPr>
        <w:t xml:space="preserve"> </w:t>
      </w:r>
    </w:p>
    <w:p w:rsidR="007E4B92" w:rsidP="009F5487" w:rsidRDefault="007E4B92" w14:paraId="0A9B91ED" w14:textId="66533ABC">
      <w:pPr>
        <w:spacing w:after="160" w:line="320" w:lineRule="exact"/>
        <w:ind w:left="720" w:hanging="720"/>
        <w:rPr>
          <w:lang w:val="en"/>
        </w:rPr>
      </w:pPr>
      <w:r w:rsidRPr="007E4B92">
        <w:rPr>
          <w:lang w:val="en"/>
        </w:rPr>
        <w:t xml:space="preserve">Levine, A.R., Lundahl, L.H., Ledgerwood, D.M., et al. (2015). Gender-Specific Predictors of Retention and Opioid Abstinence During Methadone Maintenance Treatment. Journal of Substance Abuse Treatment, 54: 37–43. </w:t>
      </w:r>
      <w:hyperlink w:history="1" r:id="rId42">
        <w:r w:rsidRPr="00C152AC">
          <w:rPr>
            <w:rStyle w:val="Hyperlink"/>
            <w:lang w:val="en"/>
          </w:rPr>
          <w:t>https://www.sciencedirect.com/science/article/pii/S0740547215000240?via%3Dihub</w:t>
        </w:r>
      </w:hyperlink>
      <w:r>
        <w:rPr>
          <w:lang w:val="en"/>
        </w:rPr>
        <w:t xml:space="preserve"> </w:t>
      </w:r>
    </w:p>
    <w:p w:rsidR="009F5487" w:rsidP="009F5487" w:rsidRDefault="009F5487" w14:paraId="3C335627" w14:textId="7F6CC3AC">
      <w:pPr>
        <w:spacing w:after="160" w:line="320" w:lineRule="exact"/>
        <w:ind w:left="720" w:hanging="720"/>
        <w:rPr>
          <w:lang w:val="en"/>
        </w:rPr>
      </w:pPr>
      <w:r w:rsidRPr="00366B19">
        <w:rPr>
          <w:lang w:val="en"/>
        </w:rPr>
        <w:t xml:space="preserve">Lynn, P., editor (2009). </w:t>
      </w:r>
      <w:r w:rsidRPr="00366B19">
        <w:rPr>
          <w:i/>
          <w:lang w:val="en"/>
        </w:rPr>
        <w:t>Methodology of Longitudinal Surveys</w:t>
      </w:r>
      <w:r w:rsidRPr="00366B19">
        <w:rPr>
          <w:lang w:val="en"/>
        </w:rPr>
        <w:t xml:space="preserve">. United Kingdom: John Wiley </w:t>
      </w:r>
      <w:r>
        <w:rPr>
          <w:lang w:val="en"/>
        </w:rPr>
        <w:t>f</w:t>
      </w:r>
      <w:r w:rsidRPr="00366B19">
        <w:rPr>
          <w:lang w:val="en"/>
        </w:rPr>
        <w:t>&amp; Sons, Ltd.</w:t>
      </w:r>
    </w:p>
    <w:p w:rsidRPr="00D35640" w:rsidR="00D35640" w:rsidP="00D35640" w:rsidRDefault="00D35640" w14:paraId="101EE464" w14:textId="23C4E02F">
      <w:pPr>
        <w:spacing w:after="160" w:line="320" w:lineRule="exact"/>
        <w:ind w:left="720" w:hanging="720"/>
        <w:rPr>
          <w:lang w:val="en"/>
        </w:rPr>
      </w:pPr>
      <w:r w:rsidRPr="00D35640">
        <w:rPr>
          <w:lang w:val="en"/>
        </w:rPr>
        <w:t xml:space="preserve">Thompson, D.M., Fernald, D.H., and Mold, J.W. (2012). Intraclass Correlation Coefficients Typical of Cluster-Randomized Studies: Estimates From the Robert Wood Johnson Prescription for Health Projects. Ann Fam Med. 2012 May; 10(3): 235–240. </w:t>
      </w:r>
      <w:hyperlink w:history="1" r:id="rId43">
        <w:r w:rsidRPr="00C152AC">
          <w:rPr>
            <w:rStyle w:val="Hyperlink"/>
            <w:lang w:val="en"/>
          </w:rPr>
          <w:t>https://www.ncbi.nlm.nih.gov/pmc/articles/PMC3354973/</w:t>
        </w:r>
      </w:hyperlink>
      <w:r>
        <w:rPr>
          <w:lang w:val="en"/>
        </w:rPr>
        <w:t xml:space="preserve"> </w:t>
      </w:r>
      <w:r w:rsidRPr="00D35640">
        <w:rPr>
          <w:lang w:val="en"/>
        </w:rPr>
        <w:t xml:space="preserve"> </w:t>
      </w:r>
    </w:p>
    <w:p w:rsidR="00AD1472" w:rsidP="00D35640" w:rsidRDefault="00AD1472" w14:paraId="23AF8F8F" w14:textId="1A2AA8E1">
      <w:pPr>
        <w:spacing w:after="160" w:line="320" w:lineRule="exact"/>
        <w:ind w:left="720" w:hanging="720"/>
        <w:rPr>
          <w:lang w:val="en"/>
        </w:rPr>
      </w:pPr>
      <w:r w:rsidRPr="00AD1472">
        <w:rPr>
          <w:lang w:val="en"/>
        </w:rPr>
        <w:lastRenderedPageBreak/>
        <w:t>Weiss,</w:t>
      </w:r>
      <w:r>
        <w:rPr>
          <w:lang w:val="en"/>
        </w:rPr>
        <w:t xml:space="preserve"> R.D, </w:t>
      </w:r>
      <w:r w:rsidRPr="00AD1472">
        <w:rPr>
          <w:lang w:val="en"/>
        </w:rPr>
        <w:t>Potter</w:t>
      </w:r>
      <w:r>
        <w:rPr>
          <w:lang w:val="en"/>
        </w:rPr>
        <w:t xml:space="preserve">, J.S., </w:t>
      </w:r>
      <w:r w:rsidRPr="00AD1472">
        <w:rPr>
          <w:lang w:val="en"/>
        </w:rPr>
        <w:t>Griffin,</w:t>
      </w:r>
      <w:r>
        <w:rPr>
          <w:lang w:val="en"/>
        </w:rPr>
        <w:t xml:space="preserve"> M.L., et al. (2015). </w:t>
      </w:r>
      <w:r w:rsidRPr="00AD1472">
        <w:rPr>
          <w:lang w:val="en"/>
        </w:rPr>
        <w:t>Long-term Outcomes from the National Drug Abuse Treatment Clinical Trials Network Prescription Opioid Addiction Treatment Study</w:t>
      </w:r>
      <w:r>
        <w:rPr>
          <w:lang w:val="en"/>
        </w:rPr>
        <w:t xml:space="preserve">. </w:t>
      </w:r>
      <w:r w:rsidRPr="00AD1472">
        <w:rPr>
          <w:lang w:val="en"/>
        </w:rPr>
        <w:t>Drug Alcohol Depend. 2015 May 1; 150: 112–119. doi:10.1016/j.drugalcdep.2015.02.030.</w:t>
      </w:r>
    </w:p>
    <w:p w:rsidRPr="005B244F" w:rsidR="00D35640" w:rsidP="00D35640" w:rsidRDefault="00D35640" w14:paraId="333ED84D" w14:textId="683A67DE">
      <w:pPr>
        <w:spacing w:after="160" w:line="320" w:lineRule="exact"/>
        <w:ind w:left="720" w:hanging="720"/>
        <w:rPr>
          <w:szCs w:val="20"/>
          <w:lang w:val="en"/>
        </w:rPr>
      </w:pPr>
      <w:r w:rsidRPr="009F5487">
        <w:rPr>
          <w:lang w:val="en"/>
        </w:rPr>
        <w:t>Zhu</w:t>
      </w:r>
      <w:r>
        <w:rPr>
          <w:lang w:val="en"/>
        </w:rPr>
        <w:t>,</w:t>
      </w:r>
      <w:r w:rsidRPr="009F5487">
        <w:rPr>
          <w:lang w:val="en"/>
        </w:rPr>
        <w:t xml:space="preserve"> Y</w:t>
      </w:r>
      <w:r>
        <w:rPr>
          <w:lang w:val="en"/>
        </w:rPr>
        <w:t>.</w:t>
      </w:r>
      <w:r w:rsidRPr="009F5487">
        <w:rPr>
          <w:lang w:val="en"/>
        </w:rPr>
        <w:t>, Evans</w:t>
      </w:r>
      <w:r>
        <w:rPr>
          <w:lang w:val="en"/>
        </w:rPr>
        <w:t>,</w:t>
      </w:r>
      <w:r w:rsidRPr="009F5487">
        <w:rPr>
          <w:lang w:val="en"/>
        </w:rPr>
        <w:t xml:space="preserve"> E</w:t>
      </w:r>
      <w:r>
        <w:rPr>
          <w:lang w:val="en"/>
        </w:rPr>
        <w:t>.</w:t>
      </w:r>
      <w:r w:rsidRPr="009F5487">
        <w:rPr>
          <w:lang w:val="en"/>
        </w:rPr>
        <w:t>A</w:t>
      </w:r>
      <w:r>
        <w:rPr>
          <w:lang w:val="en"/>
        </w:rPr>
        <w:t>.</w:t>
      </w:r>
      <w:r w:rsidRPr="009F5487">
        <w:rPr>
          <w:lang w:val="en"/>
        </w:rPr>
        <w:t>, Mooney</w:t>
      </w:r>
      <w:r>
        <w:rPr>
          <w:lang w:val="en"/>
        </w:rPr>
        <w:t>,</w:t>
      </w:r>
      <w:r w:rsidRPr="009F5487">
        <w:rPr>
          <w:lang w:val="en"/>
        </w:rPr>
        <w:t xml:space="preserve"> L</w:t>
      </w:r>
      <w:r>
        <w:rPr>
          <w:lang w:val="en"/>
        </w:rPr>
        <w:t>.</w:t>
      </w:r>
      <w:r w:rsidRPr="009F5487">
        <w:rPr>
          <w:lang w:val="en"/>
        </w:rPr>
        <w:t>J</w:t>
      </w:r>
      <w:r>
        <w:rPr>
          <w:lang w:val="en"/>
        </w:rPr>
        <w:t>.</w:t>
      </w:r>
      <w:r w:rsidRPr="009F5487">
        <w:rPr>
          <w:lang w:val="en"/>
        </w:rPr>
        <w:t>, Saxon</w:t>
      </w:r>
      <w:r>
        <w:rPr>
          <w:lang w:val="en"/>
        </w:rPr>
        <w:t>,</w:t>
      </w:r>
      <w:r w:rsidRPr="009F5487">
        <w:rPr>
          <w:lang w:val="en"/>
        </w:rPr>
        <w:t xml:space="preserve"> A</w:t>
      </w:r>
      <w:r>
        <w:rPr>
          <w:lang w:val="en"/>
        </w:rPr>
        <w:t>.</w:t>
      </w:r>
      <w:r w:rsidRPr="009F5487">
        <w:rPr>
          <w:lang w:val="en"/>
        </w:rPr>
        <w:t>J</w:t>
      </w:r>
      <w:r>
        <w:rPr>
          <w:lang w:val="en"/>
        </w:rPr>
        <w:t>.</w:t>
      </w:r>
      <w:r w:rsidRPr="009F5487">
        <w:rPr>
          <w:lang w:val="en"/>
        </w:rPr>
        <w:t>, Kelleghan</w:t>
      </w:r>
      <w:r>
        <w:rPr>
          <w:lang w:val="en"/>
        </w:rPr>
        <w:t>,</w:t>
      </w:r>
      <w:r w:rsidRPr="009F5487">
        <w:rPr>
          <w:lang w:val="en"/>
        </w:rPr>
        <w:t xml:space="preserve"> A</w:t>
      </w:r>
      <w:r>
        <w:rPr>
          <w:lang w:val="en"/>
        </w:rPr>
        <w:t>.</w:t>
      </w:r>
      <w:r w:rsidRPr="009F5487">
        <w:rPr>
          <w:lang w:val="en"/>
        </w:rPr>
        <w:t>, Yoo</w:t>
      </w:r>
      <w:r>
        <w:rPr>
          <w:lang w:val="en"/>
        </w:rPr>
        <w:t>,</w:t>
      </w:r>
      <w:r w:rsidRPr="009F5487">
        <w:rPr>
          <w:lang w:val="en"/>
        </w:rPr>
        <w:t xml:space="preserve"> C</w:t>
      </w:r>
      <w:r>
        <w:rPr>
          <w:lang w:val="en"/>
        </w:rPr>
        <w:t>.</w:t>
      </w:r>
      <w:r w:rsidRPr="009F5487">
        <w:rPr>
          <w:lang w:val="en"/>
        </w:rPr>
        <w:t xml:space="preserve">, </w:t>
      </w:r>
      <w:r>
        <w:rPr>
          <w:lang w:val="en"/>
        </w:rPr>
        <w:t xml:space="preserve">and </w:t>
      </w:r>
      <w:r w:rsidRPr="009F5487">
        <w:rPr>
          <w:lang w:val="en"/>
        </w:rPr>
        <w:t>Hser</w:t>
      </w:r>
      <w:r>
        <w:rPr>
          <w:lang w:val="en"/>
        </w:rPr>
        <w:t>,</w:t>
      </w:r>
      <w:r w:rsidRPr="009F5487">
        <w:rPr>
          <w:lang w:val="en"/>
        </w:rPr>
        <w:t xml:space="preserve"> Y</w:t>
      </w:r>
      <w:r>
        <w:rPr>
          <w:lang w:val="en"/>
        </w:rPr>
        <w:t>.</w:t>
      </w:r>
      <w:r w:rsidRPr="009F5487">
        <w:rPr>
          <w:lang w:val="en"/>
        </w:rPr>
        <w:t>I.</w:t>
      </w:r>
      <w:r>
        <w:rPr>
          <w:lang w:val="en"/>
        </w:rPr>
        <w:t xml:space="preserve"> (2018). </w:t>
      </w:r>
      <w:r w:rsidRPr="009F5487">
        <w:rPr>
          <w:lang w:val="en"/>
        </w:rPr>
        <w:t>Correlates of Long-Term Opioid Abstinence After Randomization to Methadone Versus Buprenorphine/Naloxone in a Multi-Site Trial.</w:t>
      </w:r>
      <w:r>
        <w:rPr>
          <w:lang w:val="en"/>
        </w:rPr>
        <w:t xml:space="preserve"> </w:t>
      </w:r>
      <w:r w:rsidRPr="009F5487">
        <w:rPr>
          <w:lang w:val="en"/>
        </w:rPr>
        <w:t>J Neuroimmune Pha</w:t>
      </w:r>
      <w:r w:rsidRPr="005B244F">
        <w:rPr>
          <w:szCs w:val="20"/>
          <w:lang w:val="en"/>
        </w:rPr>
        <w:t>rmacol, 13(4):488-497. doi: 10.1007/s11481-018-9801-x. Epub 2018 Aug 9.</w:t>
      </w:r>
    </w:p>
    <w:p w:rsidRPr="005B244F" w:rsidR="004E62D7" w:rsidP="005B244F" w:rsidRDefault="004E62D7" w14:paraId="3FA1B4C1" w14:textId="77777777">
      <w:pPr>
        <w:spacing w:after="160" w:line="320" w:lineRule="exact"/>
        <w:rPr>
          <w:szCs w:val="20"/>
        </w:rPr>
      </w:pPr>
    </w:p>
    <w:sectPr w:rsidRPr="005B244F" w:rsidR="004E62D7">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CD718" w14:textId="77777777" w:rsidR="00555361" w:rsidRDefault="00555361" w:rsidP="00B16692">
      <w:r>
        <w:separator/>
      </w:r>
    </w:p>
  </w:endnote>
  <w:endnote w:type="continuationSeparator" w:id="0">
    <w:p w14:paraId="414426C6" w14:textId="77777777" w:rsidR="00555361" w:rsidRDefault="00555361" w:rsidP="00B16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BC6C5" w14:textId="77777777" w:rsidR="00555361" w:rsidRDefault="00555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7B16" w14:textId="08D035BC" w:rsidR="00555361" w:rsidRPr="001B27C7" w:rsidRDefault="00555361" w:rsidP="00005E25">
    <w:pPr>
      <w:pStyle w:val="Footer"/>
      <w:rPr>
        <w:i/>
      </w:rPr>
    </w:pPr>
    <w:r>
      <w:rPr>
        <w:i/>
      </w:rPr>
      <w:t>January 30, 2019</w:t>
    </w:r>
    <w:r>
      <w:rPr>
        <w:i/>
      </w:rPr>
      <w:tab/>
    </w:r>
    <w:r>
      <w:rPr>
        <w:i/>
      </w:rPr>
      <w:tab/>
    </w:r>
    <w:r w:rsidRPr="001B27C7">
      <w:rPr>
        <w:i/>
      </w:rPr>
      <w:t xml:space="preserve">Page </w:t>
    </w:r>
    <w:r w:rsidRPr="001B27C7">
      <w:rPr>
        <w:i/>
      </w:rPr>
      <w:fldChar w:fldCharType="begin"/>
    </w:r>
    <w:r w:rsidRPr="001B27C7">
      <w:rPr>
        <w:i/>
      </w:rPr>
      <w:instrText xml:space="preserve"> PAGE   \* MERGEFORMAT </w:instrText>
    </w:r>
    <w:r w:rsidRPr="001B27C7">
      <w:rPr>
        <w:i/>
      </w:rPr>
      <w:fldChar w:fldCharType="separate"/>
    </w:r>
    <w:r>
      <w:rPr>
        <w:i/>
        <w:noProof/>
      </w:rPr>
      <w:t>5</w:t>
    </w:r>
    <w:r w:rsidRPr="001B27C7">
      <w:rPr>
        <w:i/>
      </w:rPr>
      <w:fldChar w:fldCharType="end"/>
    </w:r>
    <w:r w:rsidRPr="001B27C7">
      <w:rPr>
        <w:i/>
      </w:rPr>
      <w:t xml:space="preserve"> of </w:t>
    </w:r>
    <w:r w:rsidRPr="001B27C7">
      <w:rPr>
        <w:i/>
      </w:rPr>
      <w:fldChar w:fldCharType="begin"/>
    </w:r>
    <w:r w:rsidRPr="001B27C7">
      <w:rPr>
        <w:i/>
      </w:rPr>
      <w:instrText xml:space="preserve"> NUMPAGES   \* MERGEFORMAT </w:instrText>
    </w:r>
    <w:r w:rsidRPr="001B27C7">
      <w:rPr>
        <w:i/>
      </w:rPr>
      <w:fldChar w:fldCharType="separate"/>
    </w:r>
    <w:r>
      <w:rPr>
        <w:i/>
        <w:noProof/>
      </w:rPr>
      <w:t>8</w:t>
    </w:r>
    <w:r w:rsidRPr="001B27C7">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EFC25" w14:textId="77777777" w:rsidR="00555361" w:rsidRDefault="00555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9819B" w14:textId="77777777" w:rsidR="00555361" w:rsidRDefault="00555361" w:rsidP="00B16692">
      <w:r>
        <w:separator/>
      </w:r>
    </w:p>
  </w:footnote>
  <w:footnote w:type="continuationSeparator" w:id="0">
    <w:p w14:paraId="37240F55" w14:textId="77777777" w:rsidR="00555361" w:rsidRDefault="00555361" w:rsidP="00B16692">
      <w:r>
        <w:continuationSeparator/>
      </w:r>
    </w:p>
  </w:footnote>
  <w:footnote w:id="1">
    <w:p w14:paraId="741F2179" w14:textId="037E355B" w:rsidR="00555361" w:rsidRPr="00F212A4" w:rsidRDefault="00555361" w:rsidP="00B16692">
      <w:pPr>
        <w:pStyle w:val="FootnoteText"/>
        <w:rPr>
          <w:sz w:val="16"/>
          <w:szCs w:val="16"/>
        </w:rPr>
      </w:pPr>
      <w:r w:rsidRPr="00240AC8">
        <w:rPr>
          <w:rStyle w:val="FootnoteReference"/>
          <w:sz w:val="16"/>
          <w:szCs w:val="16"/>
        </w:rPr>
        <w:footnoteRef/>
      </w:r>
      <w:r w:rsidRPr="00240AC8">
        <w:rPr>
          <w:sz w:val="16"/>
          <w:szCs w:val="16"/>
        </w:rPr>
        <w:t xml:space="preserve"> Power calculations were tabulated for </w:t>
      </w:r>
      <w:r>
        <w:rPr>
          <w:sz w:val="16"/>
          <w:szCs w:val="16"/>
        </w:rPr>
        <w:t>two</w:t>
      </w:r>
      <w:r w:rsidRPr="00240AC8">
        <w:rPr>
          <w:sz w:val="16"/>
          <w:szCs w:val="16"/>
        </w:rPr>
        <w:t xml:space="preserve"> arm</w:t>
      </w:r>
      <w:r>
        <w:rPr>
          <w:sz w:val="16"/>
          <w:szCs w:val="16"/>
        </w:rPr>
        <w:t>s</w:t>
      </w:r>
      <w:r w:rsidRPr="00240AC8">
        <w:rPr>
          <w:sz w:val="16"/>
          <w:szCs w:val="16"/>
        </w:rPr>
        <w:t xml:space="preserve"> using a conservative 50 percent abstinence rate to generate the largest variance. </w:t>
      </w:r>
    </w:p>
  </w:footnote>
  <w:footnote w:id="2">
    <w:p w14:paraId="298CAB61" w14:textId="0B9EDC2E" w:rsidR="00555361" w:rsidRDefault="00555361">
      <w:pPr>
        <w:pStyle w:val="FootnoteText"/>
      </w:pPr>
      <w:r w:rsidRPr="001B27C7">
        <w:rPr>
          <w:rStyle w:val="FootnoteReference"/>
          <w:sz w:val="16"/>
          <w:szCs w:val="16"/>
        </w:rPr>
        <w:footnoteRef/>
      </w:r>
      <w:r w:rsidRPr="001B27C7">
        <w:rPr>
          <w:sz w:val="16"/>
          <w:szCs w:val="16"/>
        </w:rPr>
        <w:t xml:space="preserve"> Study </w:t>
      </w:r>
      <w:r>
        <w:rPr>
          <w:sz w:val="16"/>
          <w:szCs w:val="16"/>
        </w:rPr>
        <w:t>retention is associated only with participation in the MAT Study and not with retention in treatment. Participants are eligible for the MAT Study even if they drop out of OUD treatment entirely.</w:t>
      </w:r>
    </w:p>
  </w:footnote>
  <w:footnote w:id="3">
    <w:p w14:paraId="7E5FFEA9" w14:textId="5CFE8CA6" w:rsidR="00555361" w:rsidRPr="003B0F3A" w:rsidRDefault="00555361">
      <w:pPr>
        <w:pStyle w:val="FootnoteText"/>
        <w:rPr>
          <w:sz w:val="16"/>
          <w:szCs w:val="16"/>
        </w:rPr>
      </w:pPr>
      <w:r w:rsidRPr="006E389F">
        <w:rPr>
          <w:rStyle w:val="FootnoteReference"/>
          <w:sz w:val="16"/>
          <w:szCs w:val="16"/>
        </w:rPr>
        <w:footnoteRef/>
      </w:r>
      <w:r w:rsidRPr="006E389F">
        <w:rPr>
          <w:sz w:val="16"/>
          <w:szCs w:val="16"/>
        </w:rPr>
        <w:t xml:space="preserve"> RTI is currently </w:t>
      </w:r>
      <w:r>
        <w:rPr>
          <w:sz w:val="16"/>
          <w:szCs w:val="16"/>
        </w:rPr>
        <w:t>recruiting sites in three new MSAs (Boston, Denver, and Raleigh/Durham) and anticipates adding to the study</w:t>
      </w:r>
      <w:r w:rsidRPr="003B0F3A">
        <w:rPr>
          <w:sz w:val="16"/>
          <w:szCs w:val="16"/>
        </w:rPr>
        <w:t xml:space="preserve"> approximately four sites per MSA in February 2019.</w:t>
      </w:r>
    </w:p>
  </w:footnote>
  <w:footnote w:id="4">
    <w:p w14:paraId="66AADBAD" w14:textId="750E551B" w:rsidR="00555361" w:rsidRDefault="00555361">
      <w:pPr>
        <w:pStyle w:val="FootnoteText"/>
      </w:pPr>
      <w:r w:rsidRPr="003B0F3A">
        <w:rPr>
          <w:rStyle w:val="FootnoteReference"/>
          <w:sz w:val="16"/>
          <w:szCs w:val="16"/>
        </w:rPr>
        <w:footnoteRef/>
      </w:r>
      <w:r w:rsidRPr="003B0F3A">
        <w:rPr>
          <w:sz w:val="16"/>
          <w:szCs w:val="16"/>
        </w:rPr>
        <w:t xml:space="preserve"> </w:t>
      </w:r>
      <w:r>
        <w:rPr>
          <w:sz w:val="16"/>
          <w:szCs w:val="16"/>
        </w:rPr>
        <w:t>RTI and CDC held i</w:t>
      </w:r>
      <w:r w:rsidRPr="003B0F3A">
        <w:rPr>
          <w:sz w:val="16"/>
          <w:szCs w:val="16"/>
        </w:rPr>
        <w:t>nitial discussions about power prior to the inclusion of the 3- and 6-month Check-in interviews.</w:t>
      </w:r>
      <w:r>
        <w:rPr>
          <w:sz w:val="16"/>
          <w:szCs w:val="16"/>
        </w:rPr>
        <w:t xml:space="preserve"> Therefore, we include power calculations for both 3 and 5 data points (client interviews).</w:t>
      </w:r>
    </w:p>
  </w:footnote>
  <w:footnote w:id="5">
    <w:p w14:paraId="6C54F089" w14:textId="6D3C546F" w:rsidR="00555361" w:rsidRPr="005B244F" w:rsidRDefault="00555361">
      <w:pPr>
        <w:pStyle w:val="FootnoteText"/>
        <w:rPr>
          <w:sz w:val="16"/>
          <w:szCs w:val="16"/>
        </w:rPr>
      </w:pPr>
      <w:r w:rsidRPr="00A761F4">
        <w:rPr>
          <w:rStyle w:val="FootnoteReference"/>
          <w:sz w:val="16"/>
          <w:szCs w:val="16"/>
        </w:rPr>
        <w:footnoteRef/>
      </w:r>
      <w:r w:rsidRPr="00A761F4">
        <w:rPr>
          <w:sz w:val="16"/>
          <w:szCs w:val="16"/>
        </w:rPr>
        <w:t xml:space="preserve"> Candidate covariates include key health, quality of life, and socioeconomic outcomes as well as client- and provider-level characteristics such as sex and geolocation.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50186" w14:textId="77777777" w:rsidR="00555361" w:rsidRDefault="00555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9A5F4" w14:textId="77777777" w:rsidR="00555361" w:rsidRDefault="005553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A0A9" w14:textId="77777777" w:rsidR="00555361" w:rsidRDefault="005553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7CCC"/>
    <w:multiLevelType w:val="multilevel"/>
    <w:tmpl w:val="F11C66DE"/>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3B6730B9"/>
    <w:multiLevelType w:val="multilevel"/>
    <w:tmpl w:val="7BDAF33C"/>
    <w:styleLink w:val="Format45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329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E654A49"/>
    <w:multiLevelType w:val="hybridMultilevel"/>
    <w:tmpl w:val="36165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5"/>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692"/>
    <w:rsid w:val="00003A09"/>
    <w:rsid w:val="00005E25"/>
    <w:rsid w:val="00006979"/>
    <w:rsid w:val="00022C07"/>
    <w:rsid w:val="000465ED"/>
    <w:rsid w:val="0007504B"/>
    <w:rsid w:val="000775DD"/>
    <w:rsid w:val="000A2442"/>
    <w:rsid w:val="000A5120"/>
    <w:rsid w:val="000E2784"/>
    <w:rsid w:val="001169CE"/>
    <w:rsid w:val="00117FF5"/>
    <w:rsid w:val="001353FF"/>
    <w:rsid w:val="00155967"/>
    <w:rsid w:val="00160892"/>
    <w:rsid w:val="0016400A"/>
    <w:rsid w:val="0016653A"/>
    <w:rsid w:val="0017128E"/>
    <w:rsid w:val="00171EF6"/>
    <w:rsid w:val="001818D3"/>
    <w:rsid w:val="001904A3"/>
    <w:rsid w:val="001A059D"/>
    <w:rsid w:val="001A48B1"/>
    <w:rsid w:val="001B27C7"/>
    <w:rsid w:val="001C269D"/>
    <w:rsid w:val="001C6278"/>
    <w:rsid w:val="001D20DD"/>
    <w:rsid w:val="001E515F"/>
    <w:rsid w:val="0020101C"/>
    <w:rsid w:val="00201D66"/>
    <w:rsid w:val="00205388"/>
    <w:rsid w:val="0026229B"/>
    <w:rsid w:val="00275119"/>
    <w:rsid w:val="00297B36"/>
    <w:rsid w:val="002A5F1B"/>
    <w:rsid w:val="002B3565"/>
    <w:rsid w:val="002C1AC5"/>
    <w:rsid w:val="002D16F1"/>
    <w:rsid w:val="002F2B9B"/>
    <w:rsid w:val="0033461B"/>
    <w:rsid w:val="00352595"/>
    <w:rsid w:val="0036616F"/>
    <w:rsid w:val="00393E57"/>
    <w:rsid w:val="003B0F3A"/>
    <w:rsid w:val="003E6DA4"/>
    <w:rsid w:val="004106A9"/>
    <w:rsid w:val="00414B7D"/>
    <w:rsid w:val="004A1D74"/>
    <w:rsid w:val="004B1501"/>
    <w:rsid w:val="004B7FFC"/>
    <w:rsid w:val="004C6693"/>
    <w:rsid w:val="004E4E74"/>
    <w:rsid w:val="004E62D7"/>
    <w:rsid w:val="00510E4A"/>
    <w:rsid w:val="00522DA2"/>
    <w:rsid w:val="0053177D"/>
    <w:rsid w:val="00555361"/>
    <w:rsid w:val="00590C3B"/>
    <w:rsid w:val="005B244F"/>
    <w:rsid w:val="005D1DC4"/>
    <w:rsid w:val="005D2B5F"/>
    <w:rsid w:val="005E0CAA"/>
    <w:rsid w:val="005F1184"/>
    <w:rsid w:val="00602EBA"/>
    <w:rsid w:val="00603F20"/>
    <w:rsid w:val="00634262"/>
    <w:rsid w:val="00635875"/>
    <w:rsid w:val="006519AA"/>
    <w:rsid w:val="00682D4C"/>
    <w:rsid w:val="00691C3A"/>
    <w:rsid w:val="006B6E43"/>
    <w:rsid w:val="006E07F4"/>
    <w:rsid w:val="006E1188"/>
    <w:rsid w:val="006E389F"/>
    <w:rsid w:val="006F27A6"/>
    <w:rsid w:val="007051A0"/>
    <w:rsid w:val="00714670"/>
    <w:rsid w:val="00721226"/>
    <w:rsid w:val="00732E05"/>
    <w:rsid w:val="00737536"/>
    <w:rsid w:val="00771124"/>
    <w:rsid w:val="00785526"/>
    <w:rsid w:val="007A5527"/>
    <w:rsid w:val="007B02B3"/>
    <w:rsid w:val="007B0A10"/>
    <w:rsid w:val="007C76DE"/>
    <w:rsid w:val="007D5337"/>
    <w:rsid w:val="007D690D"/>
    <w:rsid w:val="007E4B92"/>
    <w:rsid w:val="007F2458"/>
    <w:rsid w:val="00802636"/>
    <w:rsid w:val="00812577"/>
    <w:rsid w:val="00820145"/>
    <w:rsid w:val="0083490E"/>
    <w:rsid w:val="00844710"/>
    <w:rsid w:val="00885B09"/>
    <w:rsid w:val="008E3C3E"/>
    <w:rsid w:val="00904092"/>
    <w:rsid w:val="00914A70"/>
    <w:rsid w:val="009604B6"/>
    <w:rsid w:val="009622C7"/>
    <w:rsid w:val="00963203"/>
    <w:rsid w:val="00966FDE"/>
    <w:rsid w:val="009C34A3"/>
    <w:rsid w:val="009D218B"/>
    <w:rsid w:val="009D30C4"/>
    <w:rsid w:val="009F5487"/>
    <w:rsid w:val="00A12EFA"/>
    <w:rsid w:val="00A170B8"/>
    <w:rsid w:val="00A6167A"/>
    <w:rsid w:val="00A6268E"/>
    <w:rsid w:val="00A761F4"/>
    <w:rsid w:val="00A93351"/>
    <w:rsid w:val="00A965E0"/>
    <w:rsid w:val="00AB1055"/>
    <w:rsid w:val="00AD1472"/>
    <w:rsid w:val="00AE68C7"/>
    <w:rsid w:val="00AF04DB"/>
    <w:rsid w:val="00B16692"/>
    <w:rsid w:val="00B230D8"/>
    <w:rsid w:val="00B66C28"/>
    <w:rsid w:val="00B950BF"/>
    <w:rsid w:val="00BE12E9"/>
    <w:rsid w:val="00BF1BBE"/>
    <w:rsid w:val="00BF4FB6"/>
    <w:rsid w:val="00C01BE8"/>
    <w:rsid w:val="00C030D7"/>
    <w:rsid w:val="00C35084"/>
    <w:rsid w:val="00C516CE"/>
    <w:rsid w:val="00C75AEB"/>
    <w:rsid w:val="00C95223"/>
    <w:rsid w:val="00CA6F61"/>
    <w:rsid w:val="00CE632F"/>
    <w:rsid w:val="00CF06DE"/>
    <w:rsid w:val="00D14B88"/>
    <w:rsid w:val="00D24F63"/>
    <w:rsid w:val="00D35640"/>
    <w:rsid w:val="00D4077B"/>
    <w:rsid w:val="00D81D7E"/>
    <w:rsid w:val="00D959EC"/>
    <w:rsid w:val="00D97948"/>
    <w:rsid w:val="00DA156B"/>
    <w:rsid w:val="00DF171A"/>
    <w:rsid w:val="00E218D9"/>
    <w:rsid w:val="00E26A9F"/>
    <w:rsid w:val="00E45C6B"/>
    <w:rsid w:val="00EC627C"/>
    <w:rsid w:val="00F00C08"/>
    <w:rsid w:val="00F07EEA"/>
    <w:rsid w:val="00F141EB"/>
    <w:rsid w:val="00F159C7"/>
    <w:rsid w:val="00F212A4"/>
    <w:rsid w:val="00F22930"/>
    <w:rsid w:val="00F44F00"/>
    <w:rsid w:val="00F66FB0"/>
    <w:rsid w:val="00F86885"/>
    <w:rsid w:val="00F94A28"/>
    <w:rsid w:val="00FB4CC2"/>
    <w:rsid w:val="00FC2830"/>
    <w:rsid w:val="00FF3E3E"/>
    <w:rsid w:val="00FF5553"/>
    <w:rsid w:val="00FF71B5"/>
    <w:rsid w:val="00FF7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062C5B"/>
  <w15:chartTrackingRefBased/>
  <w15:docId w15:val="{89661047-7437-48F4-BB55-E1EA81F7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692"/>
    <w:pPr>
      <w:spacing w:after="0" w:line="240" w:lineRule="auto"/>
    </w:pPr>
    <w:rPr>
      <w:rFonts w:ascii="Verdana" w:eastAsiaTheme="minorEastAsia" w:hAnsi="Verdana" w:cs="Times New Roman"/>
      <w:sz w:val="20"/>
      <w:szCs w:val="24"/>
    </w:rPr>
  </w:style>
  <w:style w:type="paragraph" w:styleId="Heading1">
    <w:name w:val="heading 1"/>
    <w:basedOn w:val="Normal"/>
    <w:next w:val="Normal"/>
    <w:link w:val="Heading1Char"/>
    <w:uiPriority w:val="9"/>
    <w:qFormat/>
    <w:rsid w:val="00B16692"/>
    <w:pPr>
      <w:keepNext/>
      <w:numPr>
        <w:numId w:val="1"/>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iPriority w:val="9"/>
    <w:unhideWhenUsed/>
    <w:qFormat/>
    <w:rsid w:val="00B16692"/>
    <w:pPr>
      <w:keepNext/>
      <w:keepLines/>
      <w:numPr>
        <w:ilvl w:val="1"/>
        <w:numId w:val="1"/>
      </w:numPr>
      <w:spacing w:before="240" w:after="120"/>
      <w:outlineLvl w:val="1"/>
    </w:pPr>
    <w:rPr>
      <w:rFonts w:eastAsia="MS Mincho"/>
      <w:b/>
      <w:sz w:val="24"/>
    </w:rPr>
  </w:style>
  <w:style w:type="paragraph" w:styleId="Heading3">
    <w:name w:val="heading 3"/>
    <w:basedOn w:val="Normal"/>
    <w:next w:val="Normal"/>
    <w:link w:val="Heading3Char"/>
    <w:unhideWhenUsed/>
    <w:qFormat/>
    <w:rsid w:val="00B16692"/>
    <w:pPr>
      <w:keepNext/>
      <w:keepLines/>
      <w:numPr>
        <w:ilvl w:val="2"/>
        <w:numId w:val="1"/>
      </w:numPr>
      <w:spacing w:before="240" w:after="120"/>
      <w:ind w:left="900"/>
      <w:outlineLvl w:val="2"/>
    </w:pPr>
    <w:rPr>
      <w:rFonts w:eastAsia="MS Mincho"/>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692"/>
    <w:rPr>
      <w:rFonts w:ascii="Verdana" w:eastAsia="MS Mincho" w:hAnsi="Verdana" w:cs="Times New Roman"/>
      <w:b/>
      <w:caps/>
      <w:kern w:val="28"/>
      <w:sz w:val="26"/>
      <w:szCs w:val="28"/>
    </w:rPr>
  </w:style>
  <w:style w:type="character" w:customStyle="1" w:styleId="Heading2Char">
    <w:name w:val="Heading 2 Char"/>
    <w:basedOn w:val="DefaultParagraphFont"/>
    <w:link w:val="Heading2"/>
    <w:uiPriority w:val="9"/>
    <w:rsid w:val="00B16692"/>
    <w:rPr>
      <w:rFonts w:ascii="Verdana" w:eastAsia="MS Mincho" w:hAnsi="Verdana" w:cs="Times New Roman"/>
      <w:b/>
      <w:sz w:val="24"/>
      <w:szCs w:val="24"/>
    </w:rPr>
  </w:style>
  <w:style w:type="character" w:customStyle="1" w:styleId="Heading3Char">
    <w:name w:val="Heading 3 Char"/>
    <w:basedOn w:val="DefaultParagraphFont"/>
    <w:link w:val="Heading3"/>
    <w:rsid w:val="00B16692"/>
    <w:rPr>
      <w:rFonts w:ascii="Verdana" w:eastAsia="MS Mincho" w:hAnsi="Verdana" w:cs="Times New Roman"/>
      <w:b/>
      <w:i/>
      <w:szCs w:val="20"/>
    </w:rPr>
  </w:style>
  <w:style w:type="paragraph" w:styleId="ListParagraph">
    <w:name w:val="List Paragraph"/>
    <w:basedOn w:val="Normal"/>
    <w:uiPriority w:val="34"/>
    <w:qFormat/>
    <w:rsid w:val="00B16692"/>
    <w:pPr>
      <w:ind w:left="720"/>
      <w:contextualSpacing/>
    </w:pPr>
  </w:style>
  <w:style w:type="paragraph" w:customStyle="1" w:styleId="TableTitle">
    <w:name w:val="Table Title"/>
    <w:basedOn w:val="Caption"/>
    <w:rsid w:val="00B16692"/>
    <w:pPr>
      <w:keepNext/>
      <w:keepLines/>
      <w:spacing w:before="320" w:after="120"/>
      <w:ind w:left="1440" w:hanging="1440"/>
    </w:pPr>
    <w:rPr>
      <w:rFonts w:eastAsia="MS Mincho"/>
      <w:b/>
      <w:bCs/>
      <w:i w:val="0"/>
      <w:iCs w:val="0"/>
      <w:color w:val="auto"/>
      <w:sz w:val="20"/>
      <w:szCs w:val="20"/>
    </w:rPr>
  </w:style>
  <w:style w:type="paragraph" w:styleId="BodyText">
    <w:name w:val="Body Text"/>
    <w:basedOn w:val="Normal"/>
    <w:link w:val="BodyTextChar1"/>
    <w:uiPriority w:val="99"/>
    <w:qFormat/>
    <w:rsid w:val="00B16692"/>
    <w:pPr>
      <w:spacing w:after="160" w:line="320" w:lineRule="exact"/>
    </w:pPr>
    <w:rPr>
      <w:rFonts w:eastAsia="MS Mincho"/>
      <w:snapToGrid w:val="0"/>
      <w:szCs w:val="20"/>
    </w:rPr>
  </w:style>
  <w:style w:type="character" w:customStyle="1" w:styleId="BodyTextChar">
    <w:name w:val="Body Text Char"/>
    <w:basedOn w:val="DefaultParagraphFont"/>
    <w:uiPriority w:val="99"/>
    <w:semiHidden/>
    <w:rsid w:val="00B16692"/>
    <w:rPr>
      <w:rFonts w:ascii="Verdana" w:eastAsiaTheme="minorEastAsia" w:hAnsi="Verdana" w:cs="Times New Roman"/>
      <w:sz w:val="20"/>
      <w:szCs w:val="24"/>
    </w:rPr>
  </w:style>
  <w:style w:type="character" w:customStyle="1" w:styleId="BodyTextChar1">
    <w:name w:val="Body Text Char1"/>
    <w:link w:val="BodyText"/>
    <w:uiPriority w:val="99"/>
    <w:rsid w:val="00B16692"/>
    <w:rPr>
      <w:rFonts w:ascii="Verdana" w:eastAsia="MS Mincho" w:hAnsi="Verdana" w:cs="Times New Roman"/>
      <w:snapToGrid w:val="0"/>
      <w:sz w:val="20"/>
      <w:szCs w:val="20"/>
    </w:rPr>
  </w:style>
  <w:style w:type="numbering" w:customStyle="1" w:styleId="Format4508">
    <w:name w:val="Format4_508"/>
    <w:uiPriority w:val="99"/>
    <w:rsid w:val="00B16692"/>
    <w:pPr>
      <w:numPr>
        <w:numId w:val="1"/>
      </w:numPr>
    </w:pPr>
  </w:style>
  <w:style w:type="paragraph" w:styleId="FootnoteText">
    <w:name w:val="footnote text"/>
    <w:aliases w:val="fo,fo1,footnote text,footnote text Char,ft,ft1"/>
    <w:basedOn w:val="Normal"/>
    <w:link w:val="FootnoteTextChar"/>
    <w:rsid w:val="00B16692"/>
    <w:rPr>
      <w:sz w:val="18"/>
      <w:szCs w:val="20"/>
    </w:rPr>
  </w:style>
  <w:style w:type="character" w:customStyle="1" w:styleId="FootnoteTextChar">
    <w:name w:val="Footnote Text Char"/>
    <w:aliases w:val="fo Char,fo1 Char,footnote text Char1,footnote text Char Char,ft Char,ft1 Char"/>
    <w:basedOn w:val="DefaultParagraphFont"/>
    <w:link w:val="FootnoteText"/>
    <w:rsid w:val="00B16692"/>
    <w:rPr>
      <w:rFonts w:ascii="Verdana" w:eastAsiaTheme="minorEastAsia" w:hAnsi="Verdana" w:cs="Times New Roman"/>
      <w:sz w:val="18"/>
      <w:szCs w:val="20"/>
    </w:rPr>
  </w:style>
  <w:style w:type="character" w:styleId="FootnoteReference">
    <w:name w:val="footnote reference"/>
    <w:aliases w:val="footnote reference,fr"/>
    <w:basedOn w:val="DefaultParagraphFont"/>
    <w:rsid w:val="00B16692"/>
    <w:rPr>
      <w:color w:val="auto"/>
      <w:vertAlign w:val="superscript"/>
    </w:rPr>
  </w:style>
  <w:style w:type="character" w:styleId="CommentReference">
    <w:name w:val="annotation reference"/>
    <w:basedOn w:val="DefaultParagraphFont"/>
    <w:uiPriority w:val="99"/>
    <w:unhideWhenUsed/>
    <w:rsid w:val="00B16692"/>
    <w:rPr>
      <w:sz w:val="16"/>
      <w:szCs w:val="16"/>
    </w:rPr>
  </w:style>
  <w:style w:type="paragraph" w:styleId="CommentText">
    <w:name w:val="annotation text"/>
    <w:basedOn w:val="Normal"/>
    <w:link w:val="CommentTextChar"/>
    <w:uiPriority w:val="99"/>
    <w:unhideWhenUsed/>
    <w:rsid w:val="00B16692"/>
    <w:pPr>
      <w:spacing w:after="160"/>
    </w:pPr>
    <w:rPr>
      <w:rFonts w:ascii="Calibri" w:eastAsia="Calibri" w:hAnsi="Calibri" w:cs="Arial"/>
      <w:szCs w:val="20"/>
    </w:rPr>
  </w:style>
  <w:style w:type="character" w:customStyle="1" w:styleId="CommentTextChar">
    <w:name w:val="Comment Text Char"/>
    <w:basedOn w:val="DefaultParagraphFont"/>
    <w:link w:val="CommentText"/>
    <w:uiPriority w:val="99"/>
    <w:rsid w:val="00B16692"/>
    <w:rPr>
      <w:rFonts w:ascii="Calibri" w:eastAsia="Calibri" w:hAnsi="Calibri" w:cs="Arial"/>
      <w:sz w:val="20"/>
      <w:szCs w:val="20"/>
    </w:rPr>
  </w:style>
  <w:style w:type="paragraph" w:customStyle="1" w:styleId="aquote">
    <w:name w:val="aquote"/>
    <w:basedOn w:val="Normal"/>
    <w:qFormat/>
    <w:rsid w:val="00B16692"/>
    <w:pPr>
      <w:spacing w:after="160" w:line="320" w:lineRule="exact"/>
      <w:ind w:left="720" w:right="720"/>
    </w:pPr>
    <w:rPr>
      <w:i/>
      <w:sz w:val="18"/>
      <w:szCs w:val="18"/>
    </w:rPr>
  </w:style>
  <w:style w:type="paragraph" w:styleId="Caption">
    <w:name w:val="caption"/>
    <w:basedOn w:val="Normal"/>
    <w:next w:val="Normal"/>
    <w:uiPriority w:val="35"/>
    <w:semiHidden/>
    <w:unhideWhenUsed/>
    <w:qFormat/>
    <w:rsid w:val="00B16692"/>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B166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692"/>
    <w:rPr>
      <w:rFonts w:ascii="Segoe UI" w:eastAsiaTheme="minorEastAsia" w:hAnsi="Segoe UI" w:cs="Segoe UI"/>
      <w:sz w:val="18"/>
      <w:szCs w:val="18"/>
    </w:rPr>
  </w:style>
  <w:style w:type="paragraph" w:styleId="Header">
    <w:name w:val="header"/>
    <w:basedOn w:val="Normal"/>
    <w:link w:val="HeaderChar"/>
    <w:uiPriority w:val="99"/>
    <w:unhideWhenUsed/>
    <w:rsid w:val="00F86885"/>
    <w:pPr>
      <w:tabs>
        <w:tab w:val="center" w:pos="4680"/>
        <w:tab w:val="right" w:pos="9360"/>
      </w:tabs>
    </w:pPr>
  </w:style>
  <w:style w:type="character" w:customStyle="1" w:styleId="HeaderChar">
    <w:name w:val="Header Char"/>
    <w:basedOn w:val="DefaultParagraphFont"/>
    <w:link w:val="Header"/>
    <w:uiPriority w:val="99"/>
    <w:rsid w:val="00F86885"/>
    <w:rPr>
      <w:rFonts w:ascii="Verdana" w:eastAsiaTheme="minorEastAsia" w:hAnsi="Verdana" w:cs="Times New Roman"/>
      <w:sz w:val="20"/>
      <w:szCs w:val="24"/>
    </w:rPr>
  </w:style>
  <w:style w:type="paragraph" w:styleId="Footer">
    <w:name w:val="footer"/>
    <w:basedOn w:val="Normal"/>
    <w:link w:val="FooterChar"/>
    <w:uiPriority w:val="99"/>
    <w:unhideWhenUsed/>
    <w:rsid w:val="00F86885"/>
    <w:pPr>
      <w:tabs>
        <w:tab w:val="center" w:pos="4680"/>
        <w:tab w:val="right" w:pos="9360"/>
      </w:tabs>
    </w:pPr>
  </w:style>
  <w:style w:type="character" w:customStyle="1" w:styleId="FooterChar">
    <w:name w:val="Footer Char"/>
    <w:basedOn w:val="DefaultParagraphFont"/>
    <w:link w:val="Footer"/>
    <w:uiPriority w:val="99"/>
    <w:rsid w:val="00F86885"/>
    <w:rPr>
      <w:rFonts w:ascii="Verdana" w:eastAsiaTheme="minorEastAsia" w:hAnsi="Verdana" w:cs="Times New Roman"/>
      <w:sz w:val="20"/>
      <w:szCs w:val="24"/>
    </w:rPr>
  </w:style>
  <w:style w:type="paragraph" w:styleId="CommentSubject">
    <w:name w:val="annotation subject"/>
    <w:basedOn w:val="CommentText"/>
    <w:next w:val="CommentText"/>
    <w:link w:val="CommentSubjectChar"/>
    <w:uiPriority w:val="99"/>
    <w:semiHidden/>
    <w:unhideWhenUsed/>
    <w:rsid w:val="00D959EC"/>
    <w:pPr>
      <w:spacing w:after="0"/>
    </w:pPr>
    <w:rPr>
      <w:rFonts w:ascii="Verdana" w:eastAsiaTheme="minorEastAsia" w:hAnsi="Verdana" w:cs="Times New Roman"/>
      <w:b/>
      <w:bCs/>
    </w:rPr>
  </w:style>
  <w:style w:type="character" w:customStyle="1" w:styleId="CommentSubjectChar">
    <w:name w:val="Comment Subject Char"/>
    <w:basedOn w:val="CommentTextChar"/>
    <w:link w:val="CommentSubject"/>
    <w:uiPriority w:val="99"/>
    <w:semiHidden/>
    <w:rsid w:val="00D959EC"/>
    <w:rPr>
      <w:rFonts w:ascii="Verdana" w:eastAsiaTheme="minorEastAsia" w:hAnsi="Verdana" w:cs="Times New Roman"/>
      <w:b/>
      <w:bCs/>
      <w:sz w:val="20"/>
      <w:szCs w:val="20"/>
    </w:rPr>
  </w:style>
  <w:style w:type="paragraph" w:customStyle="1" w:styleId="ESHeading1">
    <w:name w:val="ES Heading 1"/>
    <w:basedOn w:val="Normal"/>
    <w:rsid w:val="009F5487"/>
    <w:pPr>
      <w:keepNext/>
      <w:spacing w:before="240" w:after="240"/>
      <w:jc w:val="center"/>
      <w:outlineLvl w:val="0"/>
    </w:pPr>
    <w:rPr>
      <w:rFonts w:eastAsia="MS Mincho"/>
      <w:b/>
      <w:bCs/>
      <w:kern w:val="28"/>
      <w:sz w:val="26"/>
      <w:szCs w:val="28"/>
    </w:rPr>
  </w:style>
  <w:style w:type="paragraph" w:styleId="Bibliography">
    <w:name w:val="Bibliography"/>
    <w:basedOn w:val="Normal"/>
    <w:next w:val="Normal"/>
    <w:uiPriority w:val="37"/>
    <w:semiHidden/>
    <w:unhideWhenUsed/>
    <w:rsid w:val="009F5487"/>
  </w:style>
  <w:style w:type="character" w:styleId="Hyperlink">
    <w:name w:val="Hyperlink"/>
    <w:uiPriority w:val="99"/>
    <w:rsid w:val="009F5487"/>
    <w:rPr>
      <w:color w:val="3333FF"/>
      <w:u w:val="single"/>
    </w:rPr>
  </w:style>
  <w:style w:type="character" w:customStyle="1" w:styleId="UnresolvedMention1">
    <w:name w:val="Unresolved Mention1"/>
    <w:basedOn w:val="DefaultParagraphFont"/>
    <w:uiPriority w:val="99"/>
    <w:semiHidden/>
    <w:unhideWhenUsed/>
    <w:rsid w:val="00D35640"/>
    <w:rPr>
      <w:color w:val="605E5C"/>
      <w:shd w:val="clear" w:color="auto" w:fill="E1DFDD"/>
    </w:rPr>
  </w:style>
  <w:style w:type="paragraph" w:styleId="Revision">
    <w:name w:val="Revision"/>
    <w:hidden/>
    <w:uiPriority w:val="99"/>
    <w:semiHidden/>
    <w:rsid w:val="00785526"/>
    <w:pPr>
      <w:spacing w:after="0" w:line="240" w:lineRule="auto"/>
    </w:pPr>
    <w:rPr>
      <w:rFonts w:ascii="Verdana" w:eastAsiaTheme="minorEastAsia" w:hAnsi="Verdan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410324">
      <w:bodyDiv w:val="1"/>
      <w:marLeft w:val="0"/>
      <w:marRight w:val="0"/>
      <w:marTop w:val="0"/>
      <w:marBottom w:val="0"/>
      <w:divBdr>
        <w:top w:val="none" w:sz="0" w:space="0" w:color="auto"/>
        <w:left w:val="none" w:sz="0" w:space="0" w:color="auto"/>
        <w:bottom w:val="none" w:sz="0" w:space="0" w:color="auto"/>
        <w:right w:val="none" w:sz="0" w:space="0" w:color="auto"/>
      </w:divBdr>
    </w:div>
    <w:div w:id="1293095388">
      <w:bodyDiv w:val="1"/>
      <w:marLeft w:val="0"/>
      <w:marRight w:val="0"/>
      <w:marTop w:val="0"/>
      <w:marBottom w:val="0"/>
      <w:divBdr>
        <w:top w:val="none" w:sz="0" w:space="0" w:color="auto"/>
        <w:left w:val="none" w:sz="0" w:space="0" w:color="auto"/>
        <w:bottom w:val="none" w:sz="0" w:space="0" w:color="auto"/>
        <w:right w:val="none" w:sz="0" w:space="0" w:color="auto"/>
      </w:divBdr>
    </w:div>
    <w:div w:id="137504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hyperlink" Target="https://jamanetwork.com/journals/jamanetworkopen/fullarticle/2685627" TargetMode="External"/><Relationship Id="rId21" Type="http://schemas.openxmlformats.org/officeDocument/2006/relationships/oleObject" Target="embeddings/oleObject7.bin"/><Relationship Id="rId34" Type="http://schemas.openxmlformats.org/officeDocument/2006/relationships/hyperlink" Target="https://bmcmusculoskeletdisord.biomedcentral.com/articles/10.1186/1471-2474-15-413" TargetMode="External"/><Relationship Id="rId42" Type="http://schemas.openxmlformats.org/officeDocument/2006/relationships/hyperlink" Target="https://www.sciencedirect.com/science/article/pii/S0740547215000240?via%3Dihub"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hyperlink" Target="https://www.ncbi.nlm.nih.gov/pubmed/16279131" TargetMode="External"/><Relationship Id="rId40" Type="http://schemas.openxmlformats.org/officeDocument/2006/relationships/hyperlink" Target="https://www.sciencedirect.com/science/article/pii/S0306460317303842?via%3Dihub"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hyperlink" Target="https://www.sciencedirect.com/science/article/pii/S2451865416300436" TargetMode="External"/><Relationship Id="rId49"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hyperlink" Target="https://bmjopen.bmj.com/content/bmjopen/8/4/e019559.full.pdf" TargetMode="External"/><Relationship Id="rId43" Type="http://schemas.openxmlformats.org/officeDocument/2006/relationships/hyperlink" Target="https://www.ncbi.nlm.nih.gov/pmc/articles/PMC3354973/" TargetMode="External"/><Relationship Id="rId48" Type="http://schemas.openxmlformats.org/officeDocument/2006/relationships/header" Target="header3.xml"/><Relationship Id="rId8" Type="http://schemas.openxmlformats.org/officeDocument/2006/relationships/image" Target="media/image1.w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hyperlink" Target="https://www.sciencedirect.com/science/article/pii/S1551714417305785" TargetMode="External"/><Relationship Id="rId46"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hyperlink" Target="https://www.utmb.edu/pcor/App_Assets/assets/pubs/26522794.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054A4-5E76-44A3-B9E9-D5538B768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2648</Words>
  <Characters>15098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Dever, Jill</dc:creator>
  <cp:keywords/>
  <dc:description/>
  <cp:lastModifiedBy>Angel, Karen C. (CDC/DDNID/NCIPC/OD)</cp:lastModifiedBy>
  <cp:revision>3</cp:revision>
  <cp:lastPrinted>2018-11-26T15:00:00Z</cp:lastPrinted>
  <dcterms:created xsi:type="dcterms:W3CDTF">2020-11-16T03:31:00Z</dcterms:created>
  <dcterms:modified xsi:type="dcterms:W3CDTF">2020-12-08T13:47:00Z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2020-11-14T19:53:00Z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2151c55a-b836-4ae7-aa76-44657b9d673f</vt:lpwstr>
  </property>
  <property fmtid="{D5CDD505-2E9C-101B-9397-08002B2CF9AE}" pid="8" name="MSIP_Label_7b94a7b8-f06c-4dfe-bdcc-9b548fd58c31_ContentBits">
    <vt:lpwstr>0</vt:lpwstr>
  </property>
</Properties>
</file>