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07" w:rsidP="00EE1BC8" w:rsidRDefault="00192EA7" w14:paraId="763D8BD7" w14:textId="6766BB56">
      <w:pPr>
        <w:spacing w:after="0" w:line="240" w:lineRule="auto"/>
        <w:rPr>
          <w:rFonts w:cs="Arial"/>
        </w:rPr>
      </w:pPr>
      <w:r>
        <w:rPr>
          <w:rFonts w:cs="Arial"/>
        </w:rPr>
        <w:t>December</w:t>
      </w:r>
      <w:r w:rsidR="00396740">
        <w:rPr>
          <w:rFonts w:cs="Arial"/>
        </w:rPr>
        <w:t xml:space="preserve"> </w:t>
      </w:r>
      <w:r w:rsidR="00616D1E">
        <w:rPr>
          <w:rFonts w:cs="Arial"/>
        </w:rPr>
        <w:t>18</w:t>
      </w:r>
      <w:r w:rsidR="008B3F06">
        <w:rPr>
          <w:rFonts w:cs="Arial"/>
        </w:rPr>
        <w:t>, 2020</w:t>
      </w:r>
    </w:p>
    <w:p w:rsidRPr="00B03C0A" w:rsidR="00EE1BC8" w:rsidP="00EE1BC8" w:rsidRDefault="00EE1BC8" w14:paraId="7E61D479" w14:textId="77777777">
      <w:pPr>
        <w:spacing w:after="0" w:line="240" w:lineRule="auto"/>
        <w:rPr>
          <w:rFonts w:cs="Arial"/>
        </w:rPr>
      </w:pPr>
    </w:p>
    <w:p w:rsidR="00EB4F23" w:rsidP="00EE1BC8" w:rsidRDefault="00EE1BC8" w14:paraId="37CE18C2" w14:textId="33E91BFF">
      <w:pPr>
        <w:spacing w:after="0" w:line="240" w:lineRule="auto"/>
        <w:rPr>
          <w:b/>
          <w:color w:val="000000"/>
        </w:rPr>
      </w:pPr>
      <w:r>
        <w:rPr>
          <w:b/>
          <w:color w:val="000000"/>
        </w:rPr>
        <w:t xml:space="preserve">Change Request for </w:t>
      </w:r>
      <w:r w:rsidRPr="00A06101" w:rsidR="00A06101">
        <w:rPr>
          <w:b/>
          <w:color w:val="000000"/>
        </w:rPr>
        <w:t xml:space="preserve">OMB </w:t>
      </w:r>
      <w:r w:rsidR="00F82429">
        <w:rPr>
          <w:b/>
          <w:color w:val="000000"/>
        </w:rPr>
        <w:t>Control No.</w:t>
      </w:r>
      <w:r w:rsidR="00832B1F">
        <w:rPr>
          <w:b/>
          <w:color w:val="000000"/>
        </w:rPr>
        <w:t xml:space="preserve"> </w:t>
      </w:r>
      <w:r w:rsidRPr="00953214" w:rsidR="00953214">
        <w:rPr>
          <w:b/>
          <w:color w:val="000000"/>
        </w:rPr>
        <w:t>0923-0062</w:t>
      </w:r>
    </w:p>
    <w:p w:rsidRPr="00A06101" w:rsidR="00396740" w:rsidP="00EE1BC8" w:rsidRDefault="00396740" w14:paraId="5B3ECA4F" w14:textId="77777777">
      <w:pPr>
        <w:spacing w:after="0" w:line="240" w:lineRule="auto"/>
        <w:rPr>
          <w:rFonts w:cs="Arial"/>
          <w:b/>
        </w:rPr>
      </w:pPr>
    </w:p>
    <w:p w:rsidR="00EE1BC8" w:rsidP="00EE1BC8" w:rsidRDefault="00EE1BC8" w14:paraId="3F608496" w14:textId="77777777">
      <w:pPr>
        <w:autoSpaceDE w:val="0"/>
        <w:autoSpaceDN w:val="0"/>
        <w:adjustRightInd w:val="0"/>
        <w:spacing w:after="0" w:line="240" w:lineRule="auto"/>
        <w:rPr>
          <w:b/>
          <w:color w:val="000000"/>
          <w:u w:val="single"/>
        </w:rPr>
      </w:pPr>
    </w:p>
    <w:p w:rsidRPr="00EE1BC8" w:rsidR="00EB4F23" w:rsidP="00E619F4" w:rsidRDefault="00EE1BC8" w14:paraId="141826BA" w14:textId="260CDD23">
      <w:pPr>
        <w:autoSpaceDE w:val="0"/>
        <w:autoSpaceDN w:val="0"/>
        <w:adjustRightInd w:val="0"/>
        <w:spacing w:after="0"/>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sidR="00EB4F23">
        <w:rPr>
          <w:color w:val="000000"/>
          <w:u w:val="single"/>
        </w:rPr>
        <w:t xml:space="preserve"> </w:t>
      </w:r>
      <w:r w:rsidRPr="00EE1BC8">
        <w:rPr>
          <w:color w:val="000000"/>
          <w:u w:val="single"/>
        </w:rPr>
        <w:t xml:space="preserve">the </w:t>
      </w:r>
      <w:r w:rsidRPr="00EE1BC8" w:rsidR="00EB4F23">
        <w:rPr>
          <w:color w:val="000000"/>
          <w:u w:val="single"/>
        </w:rPr>
        <w:t>Change Request</w:t>
      </w:r>
    </w:p>
    <w:p w:rsidRPr="00B03C0A" w:rsidR="00EE1BC8" w:rsidP="00E619F4" w:rsidRDefault="00EE1BC8" w14:paraId="0D193F83" w14:textId="77777777">
      <w:pPr>
        <w:autoSpaceDE w:val="0"/>
        <w:autoSpaceDN w:val="0"/>
        <w:adjustRightInd w:val="0"/>
        <w:spacing w:after="0"/>
        <w:rPr>
          <w:color w:val="000000"/>
        </w:rPr>
      </w:pPr>
    </w:p>
    <w:p w:rsidR="00C52A0C" w:rsidP="00C52A0C" w:rsidRDefault="00C52A0C" w14:paraId="644206F3" w14:textId="1426A530">
      <w:pPr>
        <w:spacing w:after="0"/>
        <w:rPr>
          <w:rFonts w:cs="Arial"/>
          <w:i/>
          <w:iCs/>
          <w:color w:val="000000"/>
        </w:rPr>
      </w:pPr>
      <w:r>
        <w:rPr>
          <w:rFonts w:cs="Arial"/>
          <w:i/>
          <w:iCs/>
          <w:color w:val="000000"/>
        </w:rPr>
        <w:t xml:space="preserve">The Request: </w:t>
      </w:r>
      <w:r w:rsidRPr="00B03C0A">
        <w:rPr>
          <w:rFonts w:cs="Arial"/>
          <w:color w:val="000000"/>
        </w:rPr>
        <w:t>This is a non</w:t>
      </w:r>
      <w:r>
        <w:rPr>
          <w:rFonts w:cs="Arial"/>
          <w:color w:val="000000"/>
        </w:rPr>
        <w:t>-</w:t>
      </w:r>
      <w:r w:rsidRPr="00B03C0A">
        <w:rPr>
          <w:rFonts w:cs="Arial"/>
          <w:color w:val="000000"/>
        </w:rPr>
        <w:t xml:space="preserve">material/non-substantive change request for </w:t>
      </w:r>
      <w:r w:rsidRPr="00D27AFC">
        <w:rPr>
          <w:rFonts w:cs="Arial"/>
          <w:color w:val="000000"/>
        </w:rPr>
        <w:t>“</w:t>
      </w:r>
      <w:r w:rsidRPr="00EA2790">
        <w:rPr>
          <w:rFonts w:cs="Arial"/>
        </w:rPr>
        <w:t xml:space="preserve">Supplemental Measurements for Exploratory Research regarding Exposure during Activities Conducted on Synthetic Turf Fields with Tire Crumb Rubber Infill </w:t>
      </w:r>
      <w:r w:rsidRPr="00D27AFC">
        <w:rPr>
          <w:rFonts w:cs="Arial"/>
          <w:color w:val="000000"/>
        </w:rPr>
        <w:t xml:space="preserve">“(OMB Control No. </w:t>
      </w:r>
      <w:r w:rsidRPr="00EA2790">
        <w:rPr>
          <w:rFonts w:cs="Arial"/>
          <w:color w:val="000000"/>
        </w:rPr>
        <w:t>0923-0062</w:t>
      </w:r>
      <w:r w:rsidRPr="00D27AFC">
        <w:rPr>
          <w:rFonts w:cs="Arial"/>
          <w:color w:val="000000"/>
        </w:rPr>
        <w:t xml:space="preserve">; expiration date </w:t>
      </w:r>
      <w:r>
        <w:rPr>
          <w:rFonts w:cs="Arial"/>
          <w:color w:val="000000"/>
        </w:rPr>
        <w:t>October</w:t>
      </w:r>
      <w:r w:rsidRPr="00D27AFC">
        <w:rPr>
          <w:rFonts w:cs="Arial"/>
          <w:color w:val="000000"/>
        </w:rPr>
        <w:t xml:space="preserve"> 3</w:t>
      </w:r>
      <w:r>
        <w:rPr>
          <w:rFonts w:cs="Arial"/>
          <w:color w:val="000000"/>
        </w:rPr>
        <w:t>1, 2021</w:t>
      </w:r>
      <w:r w:rsidRPr="00B03C0A">
        <w:rPr>
          <w:rFonts w:cs="Arial"/>
          <w:color w:val="000000"/>
        </w:rPr>
        <w:t>).</w:t>
      </w:r>
      <w:r>
        <w:rPr>
          <w:rFonts w:cs="Arial"/>
          <w:color w:val="000000"/>
        </w:rPr>
        <w:t xml:space="preserve"> This change request reflects modifications to the currently approved information collection request (ICR) and reflects the need to practice social distancing to the extent possible. Where necessary, ATSDR has modified its scripts and forms to let the public know of the COVID-19 precautions that the agency is implementing. </w:t>
      </w:r>
      <w:r w:rsidR="0099144C">
        <w:rPr>
          <w:rFonts w:cs="Arial"/>
          <w:color w:val="000000"/>
        </w:rPr>
        <w:t xml:space="preserve">We are requesting </w:t>
      </w:r>
      <w:r w:rsidR="00F5670B">
        <w:rPr>
          <w:rFonts w:cs="Arial"/>
          <w:color w:val="000000"/>
        </w:rPr>
        <w:t xml:space="preserve">OMB </w:t>
      </w:r>
      <w:r w:rsidR="0099144C">
        <w:rPr>
          <w:rFonts w:cs="Arial"/>
          <w:color w:val="000000"/>
        </w:rPr>
        <w:t xml:space="preserve">approval by February </w:t>
      </w:r>
      <w:r w:rsidR="00DC60F9">
        <w:rPr>
          <w:rFonts w:cs="Arial"/>
          <w:color w:val="000000"/>
        </w:rPr>
        <w:t>1,</w:t>
      </w:r>
      <w:r w:rsidR="0099144C">
        <w:rPr>
          <w:rFonts w:cs="Arial"/>
          <w:color w:val="000000"/>
        </w:rPr>
        <w:t xml:space="preserve"> 2021. We </w:t>
      </w:r>
      <w:r w:rsidR="00DC60F9">
        <w:rPr>
          <w:rFonts w:cs="Arial"/>
          <w:color w:val="000000"/>
        </w:rPr>
        <w:t xml:space="preserve">will then contact and select facilities, and </w:t>
      </w:r>
      <w:r w:rsidR="0099144C">
        <w:rPr>
          <w:rFonts w:cs="Arial"/>
          <w:color w:val="000000"/>
        </w:rPr>
        <w:t>plan to be in the field for recruitment and sample collection</w:t>
      </w:r>
      <w:r w:rsidR="00DC60F9">
        <w:rPr>
          <w:rFonts w:cs="Arial"/>
          <w:color w:val="000000"/>
        </w:rPr>
        <w:t>,</w:t>
      </w:r>
      <w:r w:rsidR="0099144C">
        <w:rPr>
          <w:rFonts w:cs="Arial"/>
          <w:color w:val="000000"/>
        </w:rPr>
        <w:t xml:space="preserve"> in </w:t>
      </w:r>
      <w:r w:rsidR="00DC60F9">
        <w:rPr>
          <w:rFonts w:cs="Arial"/>
          <w:color w:val="000000"/>
        </w:rPr>
        <w:t xml:space="preserve">early </w:t>
      </w:r>
      <w:proofErr w:type="gramStart"/>
      <w:r w:rsidR="0099144C">
        <w:rPr>
          <w:rFonts w:cs="Arial"/>
          <w:color w:val="000000"/>
        </w:rPr>
        <w:t>March</w:t>
      </w:r>
      <w:r w:rsidR="0058710D">
        <w:rPr>
          <w:rFonts w:cs="Arial"/>
          <w:color w:val="000000"/>
        </w:rPr>
        <w:t>,</w:t>
      </w:r>
      <w:proofErr w:type="gramEnd"/>
      <w:r w:rsidR="0099144C">
        <w:rPr>
          <w:rFonts w:cs="Arial"/>
          <w:color w:val="000000"/>
        </w:rPr>
        <w:t xml:space="preserve"> 2021. </w:t>
      </w:r>
    </w:p>
    <w:p w:rsidR="00C52A0C" w:rsidP="00C52A0C" w:rsidRDefault="00C52A0C" w14:paraId="28DC5404" w14:textId="77777777">
      <w:pPr>
        <w:spacing w:after="0"/>
        <w:rPr>
          <w:rFonts w:cs="Arial"/>
          <w:color w:val="000000"/>
        </w:rPr>
      </w:pPr>
    </w:p>
    <w:p w:rsidRPr="00432592" w:rsidR="00432592" w:rsidP="0058710D" w:rsidRDefault="00321B8A" w14:paraId="76E2E4BE" w14:textId="7537EC8D">
      <w:pPr>
        <w:spacing w:after="0"/>
      </w:pPr>
      <w:r>
        <w:rPr>
          <w:rFonts w:cs="Arial"/>
          <w:i/>
          <w:iCs/>
          <w:color w:val="000000"/>
        </w:rPr>
        <w:t>Background:</w:t>
      </w:r>
      <w:r>
        <w:rPr>
          <w:rFonts w:cs="Arial"/>
          <w:color w:val="000000"/>
        </w:rPr>
        <w:t xml:space="preserve"> ATSDR </w:t>
      </w:r>
      <w:r w:rsidR="00EA2790">
        <w:rPr>
          <w:rFonts w:cs="Arial"/>
          <w:color w:val="000000"/>
        </w:rPr>
        <w:t>is planning to start Synthetic Turf recruitment and sampling activities in the Spring of 2021</w:t>
      </w:r>
      <w:r>
        <w:rPr>
          <w:rFonts w:cs="Arial"/>
          <w:color w:val="000000"/>
        </w:rPr>
        <w:t xml:space="preserve">. </w:t>
      </w:r>
      <w:r w:rsidR="00EA2790">
        <w:t xml:space="preserve">Precautions will </w:t>
      </w:r>
      <w:r w:rsidR="00432592">
        <w:t xml:space="preserve">be put in place to ensure that staff, contractors, and members of the public are protected from COVID-19. This plan is based on interim CDC guidance for non-COVID-19 public health activities that require face-to-face interaction during the COVID-19 pandemic and will be used to outline practices for conducting </w:t>
      </w:r>
      <w:r w:rsidR="00EA2790">
        <w:t xml:space="preserve">Synthetic Turf </w:t>
      </w:r>
      <w:r w:rsidR="00432592">
        <w:t xml:space="preserve">activities </w:t>
      </w:r>
      <w:hyperlink w:history="1" r:id="rId8">
        <w:r w:rsidR="00432592">
          <w:rPr>
            <w:rStyle w:val="Hyperlink"/>
          </w:rPr>
          <w:t>https://www.cdc.gov/coronavirus/2019-ncov/hcp/non-covid-19-client-interaction.html</w:t>
        </w:r>
      </w:hyperlink>
      <w:r w:rsidR="00432592">
        <w:t>.</w:t>
      </w:r>
    </w:p>
    <w:p w:rsidR="00432592" w:rsidP="00364896" w:rsidRDefault="00321B8A" w14:paraId="3CEFC8D7" w14:textId="0A6E4308">
      <w:pPr>
        <w:autoSpaceDE w:val="0"/>
        <w:autoSpaceDN w:val="0"/>
        <w:adjustRightInd w:val="0"/>
        <w:spacing w:after="0"/>
      </w:pPr>
      <w:r>
        <w:rPr>
          <w:rFonts w:cs="Arial"/>
          <w:color w:val="000000"/>
        </w:rPr>
        <w:t xml:space="preserve">Since that time, the agency has developed its plan in </w:t>
      </w:r>
      <w:r w:rsidR="003B6C2C">
        <w:rPr>
          <w:rFonts w:cs="Arial"/>
          <w:color w:val="000000"/>
        </w:rPr>
        <w:t xml:space="preserve">collaboration with, and reviewed and approved by, the CDC </w:t>
      </w:r>
      <w:r w:rsidR="003B6C2C">
        <w:t>Office of Safety, Security, and Asset Management (OSSAM), CDC Leadership, the CDC Emergency Operation Center (EOC) Joint Information Center (JIC), and CDC EOC COVID-19 Task Force</w:t>
      </w:r>
      <w:r w:rsidR="00FA0A45">
        <w:t xml:space="preserve">s including Environmental Health, Epidemiology and Surveillance, State Tribal Local and Territorial, and Health Systems and Worker Safety. </w:t>
      </w:r>
    </w:p>
    <w:p w:rsidR="00432592" w:rsidP="00364896" w:rsidRDefault="00432592" w14:paraId="4141B340" w14:textId="77777777">
      <w:pPr>
        <w:autoSpaceDE w:val="0"/>
        <w:autoSpaceDN w:val="0"/>
        <w:adjustRightInd w:val="0"/>
        <w:spacing w:after="0"/>
      </w:pPr>
    </w:p>
    <w:p w:rsidRPr="00D27AFC" w:rsidR="00D27AFC" w:rsidP="0058710D" w:rsidRDefault="00721A2E" w14:paraId="77D99A82" w14:textId="7AE1F838">
      <w:pPr>
        <w:autoSpaceDE w:val="0"/>
        <w:autoSpaceDN w:val="0"/>
        <w:adjustRightInd w:val="0"/>
        <w:spacing w:after="0"/>
        <w:rPr>
          <w:rFonts w:cs="Arial"/>
          <w:b/>
        </w:rPr>
      </w:pPr>
      <w:r>
        <w:rPr>
          <w:rFonts w:cs="Arial"/>
          <w:color w:val="000000"/>
        </w:rPr>
        <w:t xml:space="preserve">ATSDR plans </w:t>
      </w:r>
      <w:r w:rsidR="008F1BFA">
        <w:t xml:space="preserve">for resumption of field work activities will be determined on a site by site basis. Work at </w:t>
      </w:r>
      <w:r w:rsidR="009733BE">
        <w:t>the sites will be staggered</w:t>
      </w:r>
      <w:r w:rsidR="008F1BFA">
        <w:t xml:space="preserve">. Decisions about when to </w:t>
      </w:r>
      <w:r w:rsidR="00EA2790">
        <w:t>start</w:t>
      </w:r>
      <w:r w:rsidR="008F1BFA">
        <w:t xml:space="preserve"> activities will be made in consultation with regional ATSDR staff as well as state and local public health officials.</w:t>
      </w:r>
    </w:p>
    <w:p w:rsidR="00EA2790" w:rsidP="00E619F4" w:rsidRDefault="00EA2790" w14:paraId="09BBA6CE" w14:textId="77777777">
      <w:pPr>
        <w:spacing w:after="0"/>
      </w:pPr>
    </w:p>
    <w:p w:rsidRPr="00566CB5" w:rsidR="009060FD" w:rsidP="00E619F4" w:rsidRDefault="00364896" w14:paraId="0C076EE9" w14:textId="37A1273A">
      <w:pPr>
        <w:spacing w:after="0"/>
        <w:rPr>
          <w:rFonts w:cs="Times New Roman"/>
        </w:rPr>
      </w:pPr>
      <w:r>
        <w:rPr>
          <w:i/>
          <w:iCs/>
        </w:rPr>
        <w:t xml:space="preserve">Summary of the </w:t>
      </w:r>
      <w:r w:rsidR="00EA2790">
        <w:rPr>
          <w:i/>
          <w:iCs/>
        </w:rPr>
        <w:t>Field Work</w:t>
      </w:r>
      <w:r>
        <w:rPr>
          <w:i/>
          <w:iCs/>
        </w:rPr>
        <w:t xml:space="preserve"> Plan: </w:t>
      </w:r>
      <w:r w:rsidRPr="00566CB5" w:rsidR="00566CB5">
        <w:t xml:space="preserve">Appropriate safety precautions, including the use of all appropriate personal protective equipment (PPE), will be implemented to keep the </w:t>
      </w:r>
      <w:r w:rsidR="00EA2790">
        <w:t>Synthetic Turf</w:t>
      </w:r>
      <w:r w:rsidRPr="00566CB5" w:rsidR="00566CB5">
        <w:t xml:space="preserve"> team and participants safe during the </w:t>
      </w:r>
      <w:r w:rsidR="00EA2790">
        <w:t>study</w:t>
      </w:r>
      <w:r w:rsidRPr="00566CB5" w:rsidR="00566CB5">
        <w:t xml:space="preserve">. </w:t>
      </w:r>
      <w:r w:rsidRPr="00064550" w:rsidR="00566CB5">
        <w:t xml:space="preserve">Appendix </w:t>
      </w:r>
      <w:r w:rsidRPr="00064550" w:rsidR="00064550">
        <w:t>N8</w:t>
      </w:r>
      <w:r w:rsidRPr="00064550" w:rsidR="00566CB5">
        <w:t xml:space="preserve">, the </w:t>
      </w:r>
      <w:r w:rsidRPr="00064550" w:rsidR="00EA2790">
        <w:t>Synthetic Turf COVID-19 Precaution</w:t>
      </w:r>
      <w:r w:rsidRPr="00064550" w:rsidR="00566CB5">
        <w:t xml:space="preserve"> Plan,</w:t>
      </w:r>
      <w:r w:rsidRPr="00566CB5" w:rsidR="00566CB5">
        <w:t xml:space="preserve"> has been included that outlines the additional procedures that will be implemented during recruitment, field work and community meetings to ensure that </w:t>
      </w:r>
      <w:r w:rsidR="00EA2790">
        <w:t>recruitment and sampling activities</w:t>
      </w:r>
      <w:r w:rsidRPr="00566CB5" w:rsidR="00566CB5">
        <w:t xml:space="preserve"> are completed in compliance with state, local and CDC requirements. </w:t>
      </w:r>
    </w:p>
    <w:p w:rsidR="00364896" w:rsidP="00E619F4" w:rsidRDefault="00364896" w14:paraId="707D662C" w14:textId="77777777">
      <w:pPr>
        <w:spacing w:after="0"/>
      </w:pPr>
    </w:p>
    <w:p w:rsidRPr="00566CB5" w:rsidR="00780D22" w:rsidP="00E619F4" w:rsidRDefault="00780D22" w14:paraId="40EFDAF0" w14:textId="6B106EF4">
      <w:pPr>
        <w:spacing w:after="0"/>
      </w:pPr>
      <w:r w:rsidRPr="00566CB5">
        <w:t>The activities that will be modified include:</w:t>
      </w:r>
    </w:p>
    <w:p w:rsidRPr="00566CB5" w:rsidR="00780D22" w:rsidP="00E619F4" w:rsidRDefault="00780D22" w14:paraId="6EE08E8F" w14:textId="606B4C61">
      <w:pPr>
        <w:pStyle w:val="ListParagraph"/>
        <w:numPr>
          <w:ilvl w:val="0"/>
          <w:numId w:val="17"/>
        </w:numPr>
        <w:spacing w:after="0"/>
        <w:contextualSpacing w:val="0"/>
      </w:pPr>
      <w:r w:rsidRPr="00566CB5">
        <w:t xml:space="preserve">Ensuring that social distancing and the use of PPE are employed to comply with </w:t>
      </w:r>
      <w:r w:rsidR="004312FA">
        <w:t xml:space="preserve">local, state and </w:t>
      </w:r>
      <w:r w:rsidRPr="00566CB5">
        <w:t xml:space="preserve">CDC </w:t>
      </w:r>
      <w:r w:rsidR="004312FA">
        <w:t xml:space="preserve">COVID-19 </w:t>
      </w:r>
      <w:r w:rsidRPr="00566CB5">
        <w:t xml:space="preserve">guidelines during </w:t>
      </w:r>
      <w:r w:rsidR="00EA2790">
        <w:t>field</w:t>
      </w:r>
      <w:r w:rsidRPr="00566CB5">
        <w:t xml:space="preserve"> recruitment.</w:t>
      </w:r>
    </w:p>
    <w:p w:rsidRPr="00566CB5" w:rsidR="00780D22" w:rsidP="00E619F4" w:rsidRDefault="00780D22" w14:paraId="5C4D5B11" w14:textId="37979521">
      <w:pPr>
        <w:pStyle w:val="ListParagraph"/>
        <w:numPr>
          <w:ilvl w:val="0"/>
          <w:numId w:val="17"/>
        </w:numPr>
        <w:spacing w:after="0"/>
        <w:contextualSpacing w:val="0"/>
      </w:pPr>
      <w:r w:rsidRPr="00566CB5">
        <w:t xml:space="preserve">Asking participants about their and their family’s health/COVID-19-status prior to beginning the testing process. </w:t>
      </w:r>
    </w:p>
    <w:p w:rsidRPr="00566CB5" w:rsidR="00780D22" w:rsidP="00E619F4" w:rsidRDefault="00780D22" w14:paraId="1EAB93F6" w14:textId="161F7D26">
      <w:pPr>
        <w:pStyle w:val="ListParagraph"/>
        <w:numPr>
          <w:ilvl w:val="0"/>
          <w:numId w:val="17"/>
        </w:numPr>
        <w:spacing w:after="0"/>
        <w:contextualSpacing w:val="0"/>
      </w:pPr>
      <w:r w:rsidRPr="00566CB5">
        <w:t xml:space="preserve">Monitoring the temperature of </w:t>
      </w:r>
      <w:r w:rsidR="00EA2790">
        <w:t>field</w:t>
      </w:r>
      <w:r w:rsidRPr="00566CB5">
        <w:t xml:space="preserve"> team members (CDC/ATSDR) twice daily and taking participant’s temperatures prior to entering the </w:t>
      </w:r>
      <w:r w:rsidR="00EA2790">
        <w:t>sampling area</w:t>
      </w:r>
      <w:r w:rsidRPr="00566CB5">
        <w:t>.</w:t>
      </w:r>
    </w:p>
    <w:p w:rsidRPr="00E90E11" w:rsidR="00780D22" w:rsidP="000E209C" w:rsidRDefault="00780D22" w14:paraId="375816B7" w14:textId="2F00DF88">
      <w:pPr>
        <w:pStyle w:val="ListParagraph"/>
        <w:numPr>
          <w:ilvl w:val="0"/>
          <w:numId w:val="17"/>
        </w:numPr>
        <w:spacing w:after="0"/>
        <w:contextualSpacing w:val="0"/>
      </w:pPr>
      <w:r w:rsidRPr="00E90E11">
        <w:t>Administering the questionnaire</w:t>
      </w:r>
      <w:r w:rsidRPr="00E90E11" w:rsidR="00E90E11">
        <w:t xml:space="preserve"> and collection of urine samples</w:t>
      </w:r>
      <w:r w:rsidRPr="00E90E11">
        <w:t xml:space="preserve"> </w:t>
      </w:r>
      <w:r w:rsidRPr="00E90E11" w:rsidR="000E209C">
        <w:t>with appropriate social distancing precautions in plac</w:t>
      </w:r>
      <w:r w:rsidRPr="00E90E11" w:rsidR="00E90E11">
        <w:t>e</w:t>
      </w:r>
      <w:r w:rsidR="00671FA1">
        <w:t>.</w:t>
      </w:r>
    </w:p>
    <w:p w:rsidR="00364896" w:rsidP="00E619F4" w:rsidRDefault="00364896" w14:paraId="582F6C15" w14:textId="77777777">
      <w:pPr>
        <w:autoSpaceDE w:val="0"/>
        <w:autoSpaceDN w:val="0"/>
        <w:adjustRightInd w:val="0"/>
        <w:spacing w:after="0"/>
        <w:rPr>
          <w:rFonts w:cs="Arial"/>
          <w:color w:val="000000"/>
        </w:rPr>
      </w:pPr>
    </w:p>
    <w:p w:rsidR="00514650" w:rsidP="00E619F4" w:rsidRDefault="00FB2B08" w14:paraId="3ED61726" w14:textId="430E6E90">
      <w:pPr>
        <w:autoSpaceDE w:val="0"/>
        <w:autoSpaceDN w:val="0"/>
        <w:adjustRightInd w:val="0"/>
        <w:spacing w:after="0"/>
        <w:rPr>
          <w:rFonts w:cs="Arial"/>
        </w:rPr>
      </w:pPr>
      <w:r>
        <w:rPr>
          <w:rFonts w:cs="Arial"/>
          <w:color w:val="000000"/>
        </w:rPr>
        <w:lastRenderedPageBreak/>
        <w:t xml:space="preserve">Below is the change request </w:t>
      </w:r>
      <w:proofErr w:type="gramStart"/>
      <w:r>
        <w:rPr>
          <w:rFonts w:cs="Arial"/>
          <w:color w:val="000000"/>
        </w:rPr>
        <w:t>cross-walk</w:t>
      </w:r>
      <w:proofErr w:type="gramEnd"/>
      <w:r>
        <w:rPr>
          <w:rFonts w:cs="Arial"/>
          <w:color w:val="000000"/>
        </w:rPr>
        <w:t xml:space="preserve"> table.  </w:t>
      </w:r>
      <w:r w:rsidRPr="00B03C0A" w:rsidR="00495502">
        <w:rPr>
          <w:rFonts w:cs="Arial"/>
          <w:color w:val="000000"/>
        </w:rPr>
        <w:t xml:space="preserve">Attached please find </w:t>
      </w:r>
      <w:r w:rsidR="00F910AC">
        <w:rPr>
          <w:rFonts w:cs="Arial"/>
          <w:color w:val="000000"/>
        </w:rPr>
        <w:t xml:space="preserve">the </w:t>
      </w:r>
      <w:r w:rsidRPr="00B03C0A" w:rsidR="00495502">
        <w:rPr>
          <w:rFonts w:cs="Arial"/>
          <w:color w:val="000000"/>
        </w:rPr>
        <w:t xml:space="preserve">revised </w:t>
      </w:r>
      <w:r w:rsidR="00836EAD">
        <w:rPr>
          <w:rFonts w:cs="Arial"/>
          <w:color w:val="000000"/>
        </w:rPr>
        <w:t xml:space="preserve">protocol </w:t>
      </w:r>
      <w:r w:rsidR="004312FA">
        <w:rPr>
          <w:rFonts w:cs="Arial"/>
          <w:color w:val="000000"/>
        </w:rPr>
        <w:t>and modified forms and appendices</w:t>
      </w:r>
      <w:r w:rsidRPr="00B03C0A" w:rsidR="00495502">
        <w:rPr>
          <w:rFonts w:cs="Arial"/>
          <w:color w:val="000000"/>
        </w:rPr>
        <w:t xml:space="preserve">. </w:t>
      </w:r>
      <w:r w:rsidR="00B03C0A">
        <w:rPr>
          <w:rFonts w:cs="Arial"/>
          <w:color w:val="000000"/>
        </w:rPr>
        <w:t xml:space="preserve"> </w:t>
      </w:r>
      <w:r w:rsidRPr="00B03C0A" w:rsidR="00EB4F23">
        <w:rPr>
          <w:rFonts w:cs="Arial"/>
        </w:rPr>
        <w:t xml:space="preserve">The overall number of respondents and requested burden hours </w:t>
      </w:r>
      <w:r w:rsidR="00B03C0A">
        <w:rPr>
          <w:rFonts w:cs="Arial"/>
        </w:rPr>
        <w:t>r</w:t>
      </w:r>
      <w:r w:rsidRPr="00B03C0A" w:rsidR="00EB4F23">
        <w:rPr>
          <w:rFonts w:cs="Arial"/>
        </w:rPr>
        <w:t xml:space="preserve">emain the same. </w:t>
      </w:r>
      <w:r w:rsidR="00D45365">
        <w:rPr>
          <w:rFonts w:cs="Arial"/>
        </w:rPr>
        <w:t xml:space="preserve">Once these changes are approved by OMB, ATSDR will submit the protocol </w:t>
      </w:r>
      <w:r w:rsidR="00DC60F9">
        <w:rPr>
          <w:rFonts w:cs="Arial"/>
        </w:rPr>
        <w:t xml:space="preserve">to the CDC IRB </w:t>
      </w:r>
      <w:r w:rsidR="00D45365">
        <w:rPr>
          <w:rFonts w:cs="Arial"/>
        </w:rPr>
        <w:t>for Amendment #6.</w:t>
      </w:r>
    </w:p>
    <w:p w:rsidR="00281243" w:rsidP="00E619F4" w:rsidRDefault="00281243" w14:paraId="0E9E2AA4" w14:textId="77777777">
      <w:pPr>
        <w:autoSpaceDE w:val="0"/>
        <w:autoSpaceDN w:val="0"/>
        <w:adjustRightInd w:val="0"/>
        <w:spacing w:after="0"/>
        <w:rPr>
          <w:rFonts w:cs="Arial"/>
        </w:rPr>
      </w:pPr>
    </w:p>
    <w:p w:rsidRPr="00281243" w:rsidR="00281243" w:rsidP="00E619F4" w:rsidRDefault="00281243" w14:paraId="13F03FCC" w14:textId="76BB098C">
      <w:pPr>
        <w:pStyle w:val="PlainText"/>
        <w:spacing w:line="276" w:lineRule="auto"/>
        <w:rPr>
          <w:rFonts w:cs="Arial" w:asciiTheme="minorHAnsi" w:hAnsiTheme="minorHAnsi"/>
          <w:sz w:val="22"/>
          <w:szCs w:val="22"/>
        </w:rPr>
      </w:pPr>
    </w:p>
    <w:p w:rsidR="00281243" w:rsidP="00EE1BC8" w:rsidRDefault="00281243" w14:paraId="64D67FC3" w14:textId="74E0CAB3">
      <w:pPr>
        <w:autoSpaceDE w:val="0"/>
        <w:autoSpaceDN w:val="0"/>
        <w:adjustRightInd w:val="0"/>
        <w:spacing w:after="0" w:line="240" w:lineRule="auto"/>
        <w:rPr>
          <w:rFonts w:cs="Times New Roman"/>
        </w:rPr>
      </w:pPr>
    </w:p>
    <w:tbl>
      <w:tblPr>
        <w:tblStyle w:val="TableGrid"/>
        <w:tblW w:w="0" w:type="auto"/>
        <w:tblInd w:w="108" w:type="dxa"/>
        <w:tblLayout w:type="fixed"/>
        <w:tblLook w:val="04A0" w:firstRow="1" w:lastRow="0" w:firstColumn="1" w:lastColumn="0" w:noHBand="0" w:noVBand="1"/>
      </w:tblPr>
      <w:tblGrid>
        <w:gridCol w:w="1867"/>
        <w:gridCol w:w="4413"/>
        <w:gridCol w:w="4237"/>
      </w:tblGrid>
      <w:tr w:rsidRPr="00AF5A3A" w:rsidR="00EE1BC8" w:rsidTr="00810F7A" w14:paraId="5523BFDD" w14:textId="75E2FF8A">
        <w:trPr>
          <w:trHeight w:val="251"/>
        </w:trPr>
        <w:tc>
          <w:tcPr>
            <w:tcW w:w="1867" w:type="dxa"/>
          </w:tcPr>
          <w:p w:rsidRPr="00D45365" w:rsidR="00EE1BC8" w:rsidP="008E34F9" w:rsidRDefault="00AF47AE" w14:paraId="7623AED7" w14:textId="2C80A090">
            <w:pPr>
              <w:autoSpaceDE w:val="0"/>
              <w:autoSpaceDN w:val="0"/>
              <w:adjustRightInd w:val="0"/>
              <w:jc w:val="center"/>
              <w:rPr>
                <w:rFonts w:cs="Times New Roman"/>
                <w:b/>
                <w:sz w:val="21"/>
                <w:szCs w:val="21"/>
              </w:rPr>
            </w:pPr>
            <w:bookmarkStart w:name="_Hlk59109358" w:id="0"/>
            <w:r w:rsidRPr="00D45365">
              <w:rPr>
                <w:rFonts w:cs="Times New Roman"/>
                <w:b/>
                <w:sz w:val="21"/>
                <w:szCs w:val="21"/>
              </w:rPr>
              <w:t>ICR Files</w:t>
            </w:r>
          </w:p>
        </w:tc>
        <w:tc>
          <w:tcPr>
            <w:tcW w:w="4413" w:type="dxa"/>
          </w:tcPr>
          <w:p w:rsidRPr="00C52A0C" w:rsidR="00EE1BC8" w:rsidP="00EE1BC8" w:rsidRDefault="00EE1BC8" w14:paraId="1B7AE805" w14:textId="6EC7036C">
            <w:pPr>
              <w:autoSpaceDE w:val="0"/>
              <w:autoSpaceDN w:val="0"/>
              <w:adjustRightInd w:val="0"/>
              <w:jc w:val="center"/>
              <w:rPr>
                <w:rFonts w:cs="Times New Roman"/>
                <w:b/>
                <w:sz w:val="21"/>
                <w:szCs w:val="21"/>
              </w:rPr>
            </w:pPr>
            <w:r w:rsidRPr="00C52A0C">
              <w:rPr>
                <w:rFonts w:cs="Times New Roman"/>
                <w:b/>
                <w:sz w:val="21"/>
                <w:szCs w:val="21"/>
              </w:rPr>
              <w:t>Requested Change</w:t>
            </w:r>
          </w:p>
        </w:tc>
        <w:tc>
          <w:tcPr>
            <w:tcW w:w="4237" w:type="dxa"/>
          </w:tcPr>
          <w:p w:rsidRPr="002A7E5E" w:rsidR="00EE1BC8" w:rsidP="00EE1BC8" w:rsidRDefault="00EE1BC8" w14:paraId="20724E31" w14:textId="19434415">
            <w:pPr>
              <w:autoSpaceDE w:val="0"/>
              <w:autoSpaceDN w:val="0"/>
              <w:adjustRightInd w:val="0"/>
              <w:jc w:val="center"/>
              <w:rPr>
                <w:rFonts w:cs="Times New Roman"/>
                <w:b/>
                <w:sz w:val="21"/>
                <w:szCs w:val="21"/>
              </w:rPr>
            </w:pPr>
            <w:r w:rsidRPr="002A7E5E">
              <w:rPr>
                <w:rFonts w:cs="Times New Roman"/>
                <w:b/>
                <w:sz w:val="21"/>
                <w:szCs w:val="21"/>
              </w:rPr>
              <w:t>Justification</w:t>
            </w:r>
          </w:p>
        </w:tc>
      </w:tr>
      <w:tr w:rsidRPr="00AF5A3A" w:rsidR="007D4F94" w:rsidTr="00525486" w14:paraId="165587A2" w14:textId="77777777">
        <w:trPr>
          <w:trHeight w:val="251"/>
        </w:trPr>
        <w:tc>
          <w:tcPr>
            <w:tcW w:w="1867" w:type="dxa"/>
          </w:tcPr>
          <w:p w:rsidRPr="0058710D" w:rsidR="007D4F94" w:rsidP="007D4F94" w:rsidRDefault="007D4F94" w14:paraId="707675B2" w14:textId="51148C0D">
            <w:pPr>
              <w:autoSpaceDE w:val="0"/>
              <w:autoSpaceDN w:val="0"/>
              <w:adjustRightInd w:val="0"/>
              <w:jc w:val="center"/>
              <w:rPr>
                <w:rFonts w:cs="Times New Roman"/>
                <w:bCs/>
                <w:i/>
                <w:iCs/>
                <w:sz w:val="21"/>
                <w:szCs w:val="21"/>
              </w:rPr>
            </w:pPr>
            <w:r w:rsidRPr="0058710D">
              <w:rPr>
                <w:rFonts w:cs="Times New Roman"/>
                <w:bCs/>
                <w:i/>
                <w:iCs/>
                <w:sz w:val="21"/>
                <w:szCs w:val="21"/>
              </w:rPr>
              <w:t>Supporting Statement A</w:t>
            </w:r>
          </w:p>
        </w:tc>
        <w:tc>
          <w:tcPr>
            <w:tcW w:w="4413" w:type="dxa"/>
          </w:tcPr>
          <w:p w:rsidRPr="0058710D" w:rsidR="007D4F94" w:rsidP="007D4F94" w:rsidRDefault="007D4F94" w14:paraId="70868039" w14:textId="312B8736">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cs="Times New Roman"/>
                <w:bCs/>
                <w:sz w:val="21"/>
                <w:szCs w:val="21"/>
              </w:rPr>
            </w:pPr>
            <w:r>
              <w:rPr>
                <w:rFonts w:ascii="Calibri" w:hAnsi="Calibri" w:eastAsia="Times New Roman" w:cs="Arial"/>
                <w:color w:val="000000"/>
                <w:sz w:val="21"/>
                <w:szCs w:val="21"/>
              </w:rPr>
              <w:t xml:space="preserve">Additional information has been added to the goals of the research study section. </w:t>
            </w:r>
          </w:p>
          <w:p w:rsidR="003C3B7C" w:rsidP="003C3B7C" w:rsidRDefault="003C3B7C" w14:paraId="6DEEDF3B" w14:textId="7FF6D89C">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p>
          <w:p w:rsidRPr="0058710D" w:rsidR="003C3B7C" w:rsidP="0058710D" w:rsidRDefault="003C3B7C" w14:paraId="3BE0D461"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cs="Times New Roman"/>
                <w:bCs/>
                <w:sz w:val="21"/>
                <w:szCs w:val="21"/>
              </w:rPr>
            </w:pPr>
          </w:p>
          <w:p w:rsidRPr="0058710D" w:rsidR="007D4F94" w:rsidP="007D4F94" w:rsidRDefault="007D4F94" w14:paraId="2031148E" w14:textId="3B4062E2">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cs="Times New Roman"/>
                <w:bCs/>
                <w:sz w:val="21"/>
                <w:szCs w:val="21"/>
              </w:rPr>
            </w:pPr>
            <w:r>
              <w:rPr>
                <w:rFonts w:ascii="Calibri" w:hAnsi="Calibri" w:eastAsia="Times New Roman" w:cs="Arial"/>
                <w:color w:val="000000"/>
                <w:sz w:val="21"/>
                <w:szCs w:val="21"/>
              </w:rPr>
              <w:t>Changed attachment numbers</w:t>
            </w:r>
            <w:r w:rsidR="00E871DF">
              <w:rPr>
                <w:rFonts w:ascii="Calibri" w:hAnsi="Calibri" w:eastAsia="Times New Roman" w:cs="Arial"/>
                <w:color w:val="000000"/>
                <w:sz w:val="21"/>
                <w:szCs w:val="21"/>
              </w:rPr>
              <w:t xml:space="preserve"> in the table of contents and in the text</w:t>
            </w:r>
            <w:r>
              <w:rPr>
                <w:rFonts w:ascii="Calibri" w:hAnsi="Calibri" w:eastAsia="Times New Roman" w:cs="Arial"/>
                <w:color w:val="000000"/>
                <w:sz w:val="21"/>
                <w:szCs w:val="21"/>
              </w:rPr>
              <w:t>.</w:t>
            </w:r>
          </w:p>
          <w:p w:rsidR="003C3B7C" w:rsidP="003C3B7C" w:rsidRDefault="003C3B7C" w14:paraId="301E432E" w14:textId="56E0643E">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p>
          <w:p w:rsidR="003C3B7C" w:rsidP="003C3B7C" w:rsidRDefault="003C3B7C" w14:paraId="79728386" w14:textId="392CA630">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p>
          <w:p w:rsidR="003C3B7C" w:rsidP="003C3B7C" w:rsidRDefault="003C3B7C" w14:paraId="00F058AE" w14:textId="1F86CB80">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p>
          <w:p w:rsidR="003C3B7C" w:rsidP="003C3B7C" w:rsidRDefault="003C3B7C" w14:paraId="1139C180" w14:textId="6FC0FBDD">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p>
          <w:p w:rsidRPr="0058710D" w:rsidR="003C3B7C" w:rsidP="0058710D" w:rsidRDefault="003C3B7C" w14:paraId="598B43DC" w14:textId="77777777">
            <w:p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p>
          <w:p w:rsidRPr="0058710D" w:rsidR="00E871DF" w:rsidP="0058710D" w:rsidRDefault="00E871DF" w14:paraId="0B8E2E3F" w14:textId="3877D252">
            <w:pPr>
              <w:pStyle w:val="ListParagraph"/>
              <w:numPr>
                <w:ilvl w:val="0"/>
                <w:numId w:val="15"/>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cs="Times New Roman"/>
                <w:bCs/>
                <w:sz w:val="21"/>
                <w:szCs w:val="21"/>
              </w:rPr>
            </w:pPr>
            <w:r>
              <w:rPr>
                <w:rFonts w:ascii="Calibri" w:hAnsi="Calibri" w:eastAsia="Times New Roman" w:cs="Arial"/>
                <w:color w:val="000000"/>
                <w:sz w:val="21"/>
                <w:szCs w:val="21"/>
              </w:rPr>
              <w:t xml:space="preserve">Additional information on changes have been added to section A.15. </w:t>
            </w:r>
          </w:p>
        </w:tc>
        <w:tc>
          <w:tcPr>
            <w:tcW w:w="4237" w:type="dxa"/>
          </w:tcPr>
          <w:p w:rsidRPr="0058710D" w:rsidR="007D4F94" w:rsidP="007D4F94" w:rsidRDefault="007D4F94" w14:paraId="17B21AFD" w14:textId="77777777">
            <w:pPr>
              <w:pStyle w:val="ListParagraph"/>
              <w:numPr>
                <w:ilvl w:val="0"/>
                <w:numId w:val="38"/>
              </w:numPr>
              <w:autoSpaceDE w:val="0"/>
              <w:autoSpaceDN w:val="0"/>
              <w:adjustRightInd w:val="0"/>
              <w:rPr>
                <w:rFonts w:cs="Times New Roman"/>
                <w:bCs/>
                <w:sz w:val="21"/>
                <w:szCs w:val="21"/>
              </w:rPr>
            </w:pPr>
            <w:r>
              <w:rPr>
                <w:rFonts w:ascii="Calibri" w:hAnsi="Calibri" w:eastAsia="Times New Roman" w:cs="Arial"/>
                <w:color w:val="000000"/>
                <w:sz w:val="21"/>
                <w:szCs w:val="21"/>
              </w:rPr>
              <w:t xml:space="preserve">Information on the COVID-19 prevention and protection measures should be included as this is the reason for the change request. </w:t>
            </w:r>
          </w:p>
          <w:p w:rsidRPr="0058710D" w:rsidR="007D4F94" w:rsidP="007D4F94" w:rsidRDefault="007D4F94" w14:paraId="7368BC11" w14:textId="77777777">
            <w:pPr>
              <w:pStyle w:val="ListParagraph"/>
              <w:numPr>
                <w:ilvl w:val="0"/>
                <w:numId w:val="38"/>
              </w:numPr>
              <w:autoSpaceDE w:val="0"/>
              <w:autoSpaceDN w:val="0"/>
              <w:adjustRightInd w:val="0"/>
              <w:rPr>
                <w:rFonts w:cs="Times New Roman"/>
                <w:bCs/>
                <w:sz w:val="21"/>
                <w:szCs w:val="21"/>
              </w:rPr>
            </w:pPr>
            <w:r w:rsidRPr="00D45365">
              <w:rPr>
                <w:rFonts w:ascii="Calibri" w:hAnsi="Calibri" w:eastAsia="Times New Roman" w:cs="Arial"/>
                <w:color w:val="000000"/>
                <w:sz w:val="21"/>
                <w:szCs w:val="21"/>
              </w:rPr>
              <w:t>To facilitate IRB review and minimize</w:t>
            </w:r>
            <w:r w:rsidRPr="00C52A0C">
              <w:rPr>
                <w:rFonts w:ascii="Calibri" w:hAnsi="Calibri" w:eastAsia="Times New Roman" w:cs="Arial"/>
                <w:color w:val="000000"/>
                <w:sz w:val="21"/>
                <w:szCs w:val="21"/>
              </w:rPr>
              <w:t xml:space="preserve"> further confusion to ICR preparers, the List of Attachments</w:t>
            </w:r>
            <w:r w:rsidRPr="002A7E5E">
              <w:rPr>
                <w:rFonts w:ascii="Calibri" w:hAnsi="Calibri" w:eastAsia="Times New Roman" w:cs="Arial"/>
                <w:color w:val="000000"/>
                <w:sz w:val="21"/>
                <w:szCs w:val="21"/>
              </w:rPr>
              <w:t xml:space="preserve"> and Protocol Appendices have been modified in SS</w:t>
            </w:r>
            <w:r w:rsidRPr="00D45365">
              <w:rPr>
                <w:rFonts w:ascii="Calibri" w:hAnsi="Calibri" w:eastAsia="Times New Roman" w:cs="Arial"/>
                <w:color w:val="000000"/>
                <w:sz w:val="21"/>
                <w:szCs w:val="21"/>
              </w:rPr>
              <w:t>-A and SS-B to reflect the format that is IRB-approved. This will make IRB amendments easier to submit.</w:t>
            </w:r>
          </w:p>
          <w:p w:rsidRPr="0058710D" w:rsidR="00E871DF" w:rsidP="0058710D" w:rsidRDefault="00E871DF" w14:paraId="6890CEAC" w14:textId="3AFF5088">
            <w:pPr>
              <w:pStyle w:val="ListParagraph"/>
              <w:numPr>
                <w:ilvl w:val="0"/>
                <w:numId w:val="38"/>
              </w:numPr>
              <w:autoSpaceDE w:val="0"/>
              <w:autoSpaceDN w:val="0"/>
              <w:adjustRightInd w:val="0"/>
              <w:rPr>
                <w:rFonts w:cs="Times New Roman"/>
                <w:bCs/>
                <w:sz w:val="21"/>
                <w:szCs w:val="21"/>
              </w:rPr>
            </w:pPr>
            <w:r>
              <w:rPr>
                <w:rFonts w:cs="Times New Roman"/>
                <w:bCs/>
                <w:sz w:val="21"/>
                <w:szCs w:val="21"/>
              </w:rPr>
              <w:t xml:space="preserve">All changes should be included in section A15 including information on COVID-19 prevention and protection measures and any changes to the protocol appendices. </w:t>
            </w:r>
          </w:p>
        </w:tc>
      </w:tr>
      <w:tr w:rsidRPr="00AF5A3A" w:rsidR="007D4F94" w:rsidTr="00525486" w14:paraId="75B7A3B2" w14:textId="77777777">
        <w:trPr>
          <w:trHeight w:val="251"/>
        </w:trPr>
        <w:tc>
          <w:tcPr>
            <w:tcW w:w="1867" w:type="dxa"/>
          </w:tcPr>
          <w:p w:rsidRPr="0058710D" w:rsidR="007D4F94" w:rsidP="007D4F94" w:rsidRDefault="007D4F94" w14:paraId="6A4121F3" w14:textId="6474C1C8">
            <w:pPr>
              <w:autoSpaceDE w:val="0"/>
              <w:autoSpaceDN w:val="0"/>
              <w:adjustRightInd w:val="0"/>
              <w:jc w:val="center"/>
              <w:rPr>
                <w:rFonts w:cs="Times New Roman"/>
                <w:bCs/>
                <w:i/>
                <w:iCs/>
                <w:sz w:val="21"/>
                <w:szCs w:val="21"/>
              </w:rPr>
            </w:pPr>
            <w:r w:rsidRPr="0058710D">
              <w:rPr>
                <w:rFonts w:cs="Times New Roman"/>
                <w:bCs/>
                <w:i/>
                <w:iCs/>
                <w:sz w:val="21"/>
                <w:szCs w:val="21"/>
              </w:rPr>
              <w:t>Supporting Statement B</w:t>
            </w:r>
          </w:p>
        </w:tc>
        <w:tc>
          <w:tcPr>
            <w:tcW w:w="4413" w:type="dxa"/>
          </w:tcPr>
          <w:p w:rsidRPr="0058710D" w:rsidR="007D4F94" w:rsidP="006B70F4" w:rsidRDefault="006B70F4" w14:paraId="17267215" w14:textId="4EB726D0">
            <w:pPr>
              <w:pStyle w:val="ListParagraph"/>
              <w:numPr>
                <w:ilvl w:val="0"/>
                <w:numId w:val="38"/>
              </w:numPr>
              <w:autoSpaceDE w:val="0"/>
              <w:autoSpaceDN w:val="0"/>
              <w:adjustRightInd w:val="0"/>
              <w:rPr>
                <w:rFonts w:cs="Times New Roman"/>
                <w:bCs/>
                <w:sz w:val="21"/>
                <w:szCs w:val="21"/>
              </w:rPr>
            </w:pPr>
            <w:r w:rsidRPr="0058710D">
              <w:rPr>
                <w:rFonts w:ascii="Calibri" w:hAnsi="Calibri" w:eastAsia="Times New Roman" w:cs="Arial"/>
                <w:color w:val="000000"/>
                <w:sz w:val="21"/>
                <w:szCs w:val="21"/>
              </w:rPr>
              <w:t xml:space="preserve">Additional information has been added to </w:t>
            </w:r>
            <w:r>
              <w:rPr>
                <w:rFonts w:ascii="Calibri" w:hAnsi="Calibri" w:eastAsia="Times New Roman" w:cs="Arial"/>
                <w:color w:val="000000"/>
                <w:sz w:val="21"/>
                <w:szCs w:val="21"/>
              </w:rPr>
              <w:t>section B.1.</w:t>
            </w:r>
          </w:p>
          <w:p w:rsidR="003C3B7C" w:rsidP="003C3B7C" w:rsidRDefault="003C3B7C" w14:paraId="6358D5DF" w14:textId="6211C3D2">
            <w:pPr>
              <w:pStyle w:val="ListParagraph"/>
              <w:autoSpaceDE w:val="0"/>
              <w:autoSpaceDN w:val="0"/>
              <w:adjustRightInd w:val="0"/>
              <w:ind w:left="360"/>
              <w:rPr>
                <w:rFonts w:ascii="Calibri" w:hAnsi="Calibri" w:eastAsia="Times New Roman" w:cs="Arial"/>
                <w:color w:val="000000"/>
                <w:sz w:val="21"/>
                <w:szCs w:val="21"/>
              </w:rPr>
            </w:pPr>
          </w:p>
          <w:p w:rsidR="003C3B7C" w:rsidP="003C3B7C" w:rsidRDefault="003C3B7C" w14:paraId="5E923A23" w14:textId="2ACD2B4E">
            <w:pPr>
              <w:pStyle w:val="ListParagraph"/>
              <w:autoSpaceDE w:val="0"/>
              <w:autoSpaceDN w:val="0"/>
              <w:adjustRightInd w:val="0"/>
              <w:ind w:left="360"/>
              <w:rPr>
                <w:rFonts w:ascii="Calibri" w:hAnsi="Calibri" w:eastAsia="Times New Roman" w:cs="Arial"/>
                <w:color w:val="000000"/>
                <w:sz w:val="21"/>
                <w:szCs w:val="21"/>
              </w:rPr>
            </w:pPr>
          </w:p>
          <w:p w:rsidRPr="0058710D" w:rsidR="003C3B7C" w:rsidP="0058710D" w:rsidRDefault="003C3B7C" w14:paraId="1C0319F8" w14:textId="77777777">
            <w:pPr>
              <w:pStyle w:val="ListParagraph"/>
              <w:autoSpaceDE w:val="0"/>
              <w:autoSpaceDN w:val="0"/>
              <w:adjustRightInd w:val="0"/>
              <w:ind w:left="360"/>
              <w:rPr>
                <w:rFonts w:cs="Times New Roman"/>
                <w:bCs/>
                <w:sz w:val="21"/>
                <w:szCs w:val="21"/>
              </w:rPr>
            </w:pPr>
          </w:p>
          <w:p w:rsidRPr="0058710D" w:rsidR="006B70F4" w:rsidP="0058710D" w:rsidRDefault="006B70F4" w14:paraId="5FC047C9" w14:textId="7C114933">
            <w:pPr>
              <w:pStyle w:val="ListParagraph"/>
              <w:numPr>
                <w:ilvl w:val="0"/>
                <w:numId w:val="3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Times New Roman"/>
                <w:bCs/>
                <w:sz w:val="21"/>
                <w:szCs w:val="21"/>
              </w:rPr>
            </w:pPr>
            <w:r>
              <w:rPr>
                <w:rFonts w:ascii="Calibri" w:hAnsi="Calibri" w:eastAsia="Times New Roman" w:cs="Arial"/>
                <w:color w:val="000000"/>
                <w:sz w:val="21"/>
                <w:szCs w:val="21"/>
              </w:rPr>
              <w:t>Changed attachment numbers in the table of contents and in the text.</w:t>
            </w:r>
          </w:p>
        </w:tc>
        <w:tc>
          <w:tcPr>
            <w:tcW w:w="4237" w:type="dxa"/>
          </w:tcPr>
          <w:p w:rsidRPr="0058710D" w:rsidR="006B70F4" w:rsidP="00FF3FD6" w:rsidRDefault="006B70F4" w14:paraId="7E892384" w14:textId="508D9B21">
            <w:pPr>
              <w:pStyle w:val="ListParagraph"/>
              <w:numPr>
                <w:ilvl w:val="0"/>
                <w:numId w:val="39"/>
              </w:numPr>
              <w:autoSpaceDE w:val="0"/>
              <w:autoSpaceDN w:val="0"/>
              <w:adjustRightInd w:val="0"/>
              <w:rPr>
                <w:rFonts w:cs="Times New Roman"/>
                <w:bCs/>
                <w:sz w:val="21"/>
                <w:szCs w:val="21"/>
              </w:rPr>
            </w:pPr>
            <w:r w:rsidRPr="0058710D">
              <w:rPr>
                <w:rFonts w:cs="Times New Roman"/>
                <w:bCs/>
                <w:sz w:val="21"/>
                <w:szCs w:val="21"/>
              </w:rPr>
              <w:t>i</w:t>
            </w:r>
            <w:r w:rsidRPr="0058710D">
              <w:rPr>
                <w:rFonts w:ascii="Calibri" w:hAnsi="Calibri" w:eastAsia="Times New Roman" w:cs="Arial"/>
                <w:color w:val="000000"/>
                <w:sz w:val="21"/>
                <w:szCs w:val="21"/>
              </w:rPr>
              <w:t>nformation on the change request and addition of COVID-19 prevention and protection measures should be included as it impacts recruitment and sampling methods.</w:t>
            </w:r>
          </w:p>
          <w:p w:rsidRPr="0058710D" w:rsidR="006B70F4" w:rsidP="00FF3FD6" w:rsidRDefault="006B70F4" w14:paraId="63853427" w14:textId="332D75A0">
            <w:pPr>
              <w:pStyle w:val="ListParagraph"/>
              <w:numPr>
                <w:ilvl w:val="0"/>
                <w:numId w:val="39"/>
              </w:numPr>
              <w:autoSpaceDE w:val="0"/>
              <w:autoSpaceDN w:val="0"/>
              <w:adjustRightInd w:val="0"/>
              <w:rPr>
                <w:rFonts w:cs="Times New Roman"/>
                <w:bCs/>
                <w:sz w:val="21"/>
                <w:szCs w:val="21"/>
              </w:rPr>
            </w:pPr>
            <w:r w:rsidRPr="00D45365">
              <w:rPr>
                <w:rFonts w:ascii="Calibri" w:hAnsi="Calibri" w:eastAsia="Times New Roman" w:cs="Arial"/>
                <w:color w:val="000000"/>
                <w:sz w:val="21"/>
                <w:szCs w:val="21"/>
              </w:rPr>
              <w:t>To facilitate IRB review and minimize</w:t>
            </w:r>
            <w:r w:rsidRPr="00C52A0C">
              <w:rPr>
                <w:rFonts w:ascii="Calibri" w:hAnsi="Calibri" w:eastAsia="Times New Roman" w:cs="Arial"/>
                <w:color w:val="000000"/>
                <w:sz w:val="21"/>
                <w:szCs w:val="21"/>
              </w:rPr>
              <w:t xml:space="preserve"> further confusion to ICR preparers, the List of Attachments</w:t>
            </w:r>
            <w:r w:rsidRPr="002A7E5E">
              <w:rPr>
                <w:rFonts w:ascii="Calibri" w:hAnsi="Calibri" w:eastAsia="Times New Roman" w:cs="Arial"/>
                <w:color w:val="000000"/>
                <w:sz w:val="21"/>
                <w:szCs w:val="21"/>
              </w:rPr>
              <w:t xml:space="preserve"> and Protocol Appendices have been modified in SS</w:t>
            </w:r>
            <w:r w:rsidRPr="00D45365">
              <w:rPr>
                <w:rFonts w:ascii="Calibri" w:hAnsi="Calibri" w:eastAsia="Times New Roman" w:cs="Arial"/>
                <w:color w:val="000000"/>
                <w:sz w:val="21"/>
                <w:szCs w:val="21"/>
              </w:rPr>
              <w:t>-A and SS-B to reflect the format that is IRB-approved. This will make IRB amendments easier to submit.</w:t>
            </w:r>
          </w:p>
          <w:p w:rsidRPr="0058710D" w:rsidR="007D4F94" w:rsidP="0058710D" w:rsidRDefault="007D4F94" w14:paraId="6E8EC20F" w14:textId="6E2486B8">
            <w:pPr>
              <w:autoSpaceDE w:val="0"/>
              <w:autoSpaceDN w:val="0"/>
              <w:adjustRightInd w:val="0"/>
              <w:rPr>
                <w:rFonts w:cs="Times New Roman"/>
                <w:bCs/>
                <w:sz w:val="21"/>
                <w:szCs w:val="21"/>
              </w:rPr>
            </w:pPr>
          </w:p>
        </w:tc>
      </w:tr>
      <w:tr w:rsidRPr="00AF5A3A" w:rsidR="007D4F94" w:rsidTr="00707104" w14:paraId="03833BC0" w14:textId="77777777">
        <w:trPr>
          <w:trHeight w:val="1367"/>
        </w:trPr>
        <w:tc>
          <w:tcPr>
            <w:tcW w:w="1867" w:type="dxa"/>
          </w:tcPr>
          <w:p w:rsidRPr="002A7E5E" w:rsidR="007D4F94" w:rsidP="007D4F94" w:rsidRDefault="007D4F94" w14:paraId="020154BF" w14:textId="2400EEA1">
            <w:pPr>
              <w:autoSpaceDE w:val="0"/>
              <w:autoSpaceDN w:val="0"/>
              <w:adjustRightInd w:val="0"/>
              <w:jc w:val="center"/>
              <w:rPr>
                <w:rFonts w:cs="Times New Roman"/>
                <w:i/>
                <w:iCs/>
                <w:sz w:val="21"/>
                <w:szCs w:val="21"/>
              </w:rPr>
            </w:pPr>
            <w:r w:rsidRPr="00D45365">
              <w:rPr>
                <w:rFonts w:cs="Times New Roman"/>
                <w:i/>
                <w:iCs/>
                <w:sz w:val="21"/>
                <w:szCs w:val="21"/>
              </w:rPr>
              <w:t>List of Attachments and Protocol Appendices</w:t>
            </w:r>
            <w:r w:rsidRPr="00C52A0C">
              <w:rPr>
                <w:rFonts w:cs="Times New Roman"/>
                <w:i/>
                <w:iCs/>
                <w:sz w:val="21"/>
                <w:szCs w:val="21"/>
              </w:rPr>
              <w:t xml:space="preserve"> in SS-A and SS-B</w:t>
            </w:r>
          </w:p>
        </w:tc>
        <w:tc>
          <w:tcPr>
            <w:tcW w:w="4413" w:type="dxa"/>
          </w:tcPr>
          <w:p w:rsidRPr="0058710D" w:rsidR="007D4F94" w:rsidP="0058710D" w:rsidRDefault="007D4F94" w14:paraId="081CD332" w14:textId="68FF3E84">
            <w:pPr>
              <w:pStyle w:val="ListParagraph"/>
              <w:numPr>
                <w:ilvl w:val="0"/>
                <w:numId w:val="39"/>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color w:val="000000"/>
                <w:sz w:val="21"/>
                <w:szCs w:val="21"/>
              </w:rPr>
            </w:pPr>
            <w:r w:rsidRPr="0058710D">
              <w:rPr>
                <w:rFonts w:ascii="Calibri" w:hAnsi="Calibri" w:eastAsia="Times New Roman" w:cs="Arial"/>
                <w:color w:val="000000"/>
                <w:sz w:val="21"/>
                <w:szCs w:val="21"/>
              </w:rPr>
              <w:t>The research protocol has been pulled out of the list of ICR attachments, and protocol appendices have been renumbered to reflect the way they are currently IRB-approved.</w:t>
            </w:r>
            <w:r w:rsidR="003C3B7C">
              <w:rPr>
                <w:rFonts w:ascii="Calibri" w:hAnsi="Calibri" w:eastAsia="Times New Roman" w:cs="Arial"/>
                <w:color w:val="000000"/>
                <w:sz w:val="21"/>
                <w:szCs w:val="21"/>
              </w:rPr>
              <w:t xml:space="preserve"> </w:t>
            </w:r>
            <w:r w:rsidRPr="0058710D">
              <w:rPr>
                <w:rFonts w:ascii="Calibri" w:hAnsi="Calibri" w:eastAsia="Times New Roman" w:cs="Arial"/>
                <w:color w:val="000000"/>
                <w:sz w:val="21"/>
                <w:szCs w:val="21"/>
              </w:rPr>
              <w:t>The remaining attachment numbers have been adjusted accordingly. See below.</w:t>
            </w:r>
          </w:p>
        </w:tc>
        <w:tc>
          <w:tcPr>
            <w:tcW w:w="4237" w:type="dxa"/>
          </w:tcPr>
          <w:p w:rsidRPr="0058710D" w:rsidR="007D4F94" w:rsidP="00FF3FD6" w:rsidRDefault="007D4F94" w14:paraId="54DED44C" w14:textId="2D67C69B">
            <w:pPr>
              <w:pStyle w:val="ListParagraph"/>
              <w:numPr>
                <w:ilvl w:val="0"/>
                <w:numId w:val="40"/>
              </w:numPr>
              <w:autoSpaceDE w:val="0"/>
              <w:autoSpaceDN w:val="0"/>
              <w:adjustRightInd w:val="0"/>
              <w:rPr>
                <w:rFonts w:cs="Times New Roman"/>
                <w:sz w:val="21"/>
                <w:szCs w:val="21"/>
              </w:rPr>
            </w:pPr>
            <w:r w:rsidRPr="00D45365">
              <w:rPr>
                <w:rFonts w:ascii="Calibri" w:hAnsi="Calibri" w:eastAsia="Times New Roman" w:cs="Arial"/>
                <w:color w:val="000000"/>
                <w:sz w:val="21"/>
                <w:szCs w:val="21"/>
              </w:rPr>
              <w:t>To facilitate IRB review and minimize</w:t>
            </w:r>
            <w:r w:rsidRPr="00C52A0C">
              <w:rPr>
                <w:rFonts w:ascii="Calibri" w:hAnsi="Calibri" w:eastAsia="Times New Roman" w:cs="Arial"/>
                <w:color w:val="000000"/>
                <w:sz w:val="21"/>
                <w:szCs w:val="21"/>
              </w:rPr>
              <w:t xml:space="preserve"> further confusion to ICR preparers, the List of Attachments</w:t>
            </w:r>
            <w:r w:rsidRPr="002A7E5E">
              <w:rPr>
                <w:rFonts w:ascii="Calibri" w:hAnsi="Calibri" w:eastAsia="Times New Roman" w:cs="Arial"/>
                <w:color w:val="000000"/>
                <w:sz w:val="21"/>
                <w:szCs w:val="21"/>
              </w:rPr>
              <w:t xml:space="preserve"> and Protocol Appendices have been modified in SS</w:t>
            </w:r>
            <w:r w:rsidRPr="00D45365">
              <w:rPr>
                <w:rFonts w:ascii="Calibri" w:hAnsi="Calibri" w:eastAsia="Times New Roman" w:cs="Arial"/>
                <w:color w:val="000000"/>
                <w:sz w:val="21"/>
                <w:szCs w:val="21"/>
              </w:rPr>
              <w:t>-A and SS-B to reflect the format that is IRB-approved. This will make IRB amendments easier to submit.</w:t>
            </w:r>
          </w:p>
        </w:tc>
      </w:tr>
      <w:tr w:rsidRPr="00AF5A3A" w:rsidR="007D4F94" w:rsidTr="00525486" w14:paraId="421482B2" w14:textId="77777777">
        <w:trPr>
          <w:trHeight w:val="1367"/>
        </w:trPr>
        <w:tc>
          <w:tcPr>
            <w:tcW w:w="1867" w:type="dxa"/>
          </w:tcPr>
          <w:p w:rsidRPr="00D45365" w:rsidR="007D4F94" w:rsidP="007D4F94" w:rsidRDefault="007D4F94" w14:paraId="34E7435B" w14:textId="79F764F7">
            <w:pPr>
              <w:autoSpaceDE w:val="0"/>
              <w:autoSpaceDN w:val="0"/>
              <w:adjustRightInd w:val="0"/>
              <w:jc w:val="center"/>
              <w:rPr>
                <w:rFonts w:cs="Times New Roman"/>
                <w:i/>
                <w:iCs/>
                <w:sz w:val="21"/>
                <w:szCs w:val="21"/>
              </w:rPr>
            </w:pPr>
            <w:r w:rsidRPr="00D45365">
              <w:rPr>
                <w:rFonts w:cs="Times New Roman"/>
                <w:i/>
                <w:iCs/>
                <w:sz w:val="21"/>
                <w:szCs w:val="21"/>
              </w:rPr>
              <w:t>Privacy Impact Assessment</w:t>
            </w:r>
          </w:p>
        </w:tc>
        <w:tc>
          <w:tcPr>
            <w:tcW w:w="4413" w:type="dxa"/>
          </w:tcPr>
          <w:p w:rsidRPr="0058710D" w:rsidR="007D4F94" w:rsidP="0058710D" w:rsidRDefault="007D4F94" w14:paraId="270FB853" w14:textId="3DD27375">
            <w:pPr>
              <w:pStyle w:val="ListParagraph"/>
              <w:numPr>
                <w:ilvl w:val="0"/>
                <w:numId w:val="39"/>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58710D">
              <w:rPr>
                <w:rFonts w:ascii="Calibri" w:hAnsi="Calibri" w:eastAsia="Times New Roman" w:cs="Arial"/>
                <w:color w:val="000000"/>
                <w:sz w:val="21"/>
                <w:szCs w:val="21"/>
              </w:rPr>
              <w:t>Change attachment number from 4 to 3</w:t>
            </w:r>
            <w:r>
              <w:rPr>
                <w:rFonts w:ascii="Calibri" w:hAnsi="Calibri" w:eastAsia="Times New Roman" w:cs="Arial"/>
                <w:color w:val="000000"/>
                <w:sz w:val="21"/>
                <w:szCs w:val="21"/>
              </w:rPr>
              <w:t>.</w:t>
            </w:r>
          </w:p>
        </w:tc>
        <w:tc>
          <w:tcPr>
            <w:tcW w:w="4237" w:type="dxa"/>
          </w:tcPr>
          <w:p w:rsidRPr="0058710D" w:rsidR="007D4F94" w:rsidP="0058710D" w:rsidRDefault="007D4F94" w14:paraId="211F1FD2" w14:textId="143CECA3">
            <w:pPr>
              <w:pStyle w:val="ListParagraph"/>
              <w:numPr>
                <w:ilvl w:val="0"/>
                <w:numId w:val="41"/>
              </w:numPr>
              <w:autoSpaceDE w:val="0"/>
              <w:autoSpaceDN w:val="0"/>
              <w:adjustRightInd w:val="0"/>
              <w:rPr>
                <w:rFonts w:cs="Times New Roman"/>
                <w:sz w:val="21"/>
                <w:szCs w:val="21"/>
              </w:rPr>
            </w:pPr>
            <w:r w:rsidRPr="0058710D">
              <w:rPr>
                <w:rFonts w:cs="Times New Roman"/>
                <w:sz w:val="21"/>
                <w:szCs w:val="21"/>
              </w:rPr>
              <w:t>See List of Attachments and Appendices justification above.</w:t>
            </w:r>
          </w:p>
        </w:tc>
      </w:tr>
      <w:tr w:rsidRPr="00AF5A3A" w:rsidR="007D4F94" w:rsidTr="00525486" w14:paraId="493360DE" w14:textId="77777777">
        <w:trPr>
          <w:trHeight w:val="1367"/>
        </w:trPr>
        <w:tc>
          <w:tcPr>
            <w:tcW w:w="1867" w:type="dxa"/>
          </w:tcPr>
          <w:p w:rsidRPr="00D45365" w:rsidR="007D4F94" w:rsidP="007D4F94" w:rsidRDefault="007D4F94" w14:paraId="27E6C47A" w14:textId="69E4EF02">
            <w:pPr>
              <w:autoSpaceDE w:val="0"/>
              <w:autoSpaceDN w:val="0"/>
              <w:adjustRightInd w:val="0"/>
              <w:jc w:val="center"/>
              <w:rPr>
                <w:rFonts w:cs="Times New Roman"/>
                <w:i/>
                <w:iCs/>
                <w:sz w:val="21"/>
                <w:szCs w:val="21"/>
              </w:rPr>
            </w:pPr>
            <w:r w:rsidRPr="00D45365">
              <w:rPr>
                <w:rFonts w:cs="Times New Roman"/>
                <w:i/>
                <w:iCs/>
                <w:sz w:val="21"/>
                <w:szCs w:val="21"/>
              </w:rPr>
              <w:lastRenderedPageBreak/>
              <w:t>CDC IRB Amendment Approval Memo</w:t>
            </w:r>
          </w:p>
        </w:tc>
        <w:tc>
          <w:tcPr>
            <w:tcW w:w="4413" w:type="dxa"/>
          </w:tcPr>
          <w:p w:rsidRPr="0058710D" w:rsidR="007D4F94" w:rsidP="0058710D" w:rsidRDefault="007D4F94" w14:paraId="5B0C3FAE" w14:textId="4DA43255">
            <w:pPr>
              <w:pStyle w:val="ListParagraph"/>
              <w:numPr>
                <w:ilvl w:val="0"/>
                <w:numId w:val="41"/>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58710D">
              <w:rPr>
                <w:rFonts w:ascii="Calibri" w:hAnsi="Calibri" w:eastAsia="Times New Roman" w:cs="Arial"/>
                <w:color w:val="000000"/>
                <w:sz w:val="21"/>
                <w:szCs w:val="21"/>
              </w:rPr>
              <w:t>Change attachment number from 6 to 4</w:t>
            </w:r>
            <w:r>
              <w:rPr>
                <w:rFonts w:ascii="Calibri" w:hAnsi="Calibri" w:eastAsia="Times New Roman" w:cs="Arial"/>
                <w:color w:val="000000"/>
                <w:sz w:val="21"/>
                <w:szCs w:val="21"/>
              </w:rPr>
              <w:t>.</w:t>
            </w:r>
          </w:p>
        </w:tc>
        <w:tc>
          <w:tcPr>
            <w:tcW w:w="4237" w:type="dxa"/>
          </w:tcPr>
          <w:p w:rsidRPr="0058710D" w:rsidR="007D4F94" w:rsidP="0058710D" w:rsidRDefault="007D4F94" w14:paraId="7FF3DB5C" w14:textId="00CDCC97">
            <w:pPr>
              <w:pStyle w:val="ListParagraph"/>
              <w:numPr>
                <w:ilvl w:val="0"/>
                <w:numId w:val="42"/>
              </w:numPr>
              <w:autoSpaceDE w:val="0"/>
              <w:autoSpaceDN w:val="0"/>
              <w:adjustRightInd w:val="0"/>
              <w:rPr>
                <w:rFonts w:cs="Times New Roman"/>
                <w:sz w:val="21"/>
                <w:szCs w:val="21"/>
              </w:rPr>
            </w:pPr>
            <w:r w:rsidRPr="00D45365">
              <w:rPr>
                <w:rFonts w:cs="Times New Roman"/>
                <w:sz w:val="21"/>
                <w:szCs w:val="21"/>
              </w:rPr>
              <w:t>See List of Attachments and Appendices justification above.</w:t>
            </w:r>
          </w:p>
        </w:tc>
      </w:tr>
      <w:tr w:rsidRPr="00AF5A3A" w:rsidR="007D4F94" w:rsidTr="0058710D" w14:paraId="4C50E41D" w14:textId="77777777">
        <w:trPr>
          <w:trHeight w:val="989"/>
        </w:trPr>
        <w:tc>
          <w:tcPr>
            <w:tcW w:w="1867" w:type="dxa"/>
          </w:tcPr>
          <w:p w:rsidRPr="00D45365" w:rsidR="007D4F94" w:rsidP="007D4F94" w:rsidRDefault="007D4F94" w14:paraId="5317F5A5" w14:textId="1E701CD3">
            <w:pPr>
              <w:autoSpaceDE w:val="0"/>
              <w:autoSpaceDN w:val="0"/>
              <w:adjustRightInd w:val="0"/>
              <w:jc w:val="center"/>
              <w:rPr>
                <w:rFonts w:cs="Times New Roman"/>
                <w:i/>
                <w:iCs/>
                <w:sz w:val="21"/>
                <w:szCs w:val="21"/>
              </w:rPr>
            </w:pPr>
            <w:r w:rsidRPr="00D45365">
              <w:rPr>
                <w:rFonts w:cs="Times New Roman"/>
                <w:i/>
                <w:iCs/>
                <w:sz w:val="21"/>
                <w:szCs w:val="21"/>
              </w:rPr>
              <w:t>Supplemental Exposure Measurement Study Materials</w:t>
            </w:r>
          </w:p>
        </w:tc>
        <w:tc>
          <w:tcPr>
            <w:tcW w:w="4413" w:type="dxa"/>
          </w:tcPr>
          <w:p w:rsidRPr="0058710D" w:rsidR="007D4F94" w:rsidP="0058710D" w:rsidRDefault="007D4F94" w14:paraId="5937A257" w14:textId="3FE89DD9">
            <w:pPr>
              <w:pStyle w:val="ListParagraph"/>
              <w:numPr>
                <w:ilvl w:val="0"/>
                <w:numId w:val="42"/>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58710D">
              <w:rPr>
                <w:rFonts w:ascii="Calibri" w:hAnsi="Calibri" w:eastAsia="Times New Roman" w:cs="Arial"/>
                <w:color w:val="000000"/>
                <w:sz w:val="21"/>
                <w:szCs w:val="21"/>
              </w:rPr>
              <w:t>All Attachment 3 subfiles have been renumbered a</w:t>
            </w:r>
            <w:r>
              <w:rPr>
                <w:rFonts w:ascii="Calibri" w:hAnsi="Calibri" w:eastAsia="Times New Roman" w:cs="Arial"/>
                <w:color w:val="000000"/>
                <w:sz w:val="21"/>
                <w:szCs w:val="21"/>
              </w:rPr>
              <w:t>s</w:t>
            </w:r>
            <w:r w:rsidRPr="0058710D">
              <w:rPr>
                <w:rFonts w:ascii="Calibri" w:hAnsi="Calibri" w:eastAsia="Times New Roman" w:cs="Arial"/>
                <w:color w:val="000000"/>
                <w:sz w:val="21"/>
                <w:szCs w:val="21"/>
              </w:rPr>
              <w:t xml:space="preserve"> they are IRB-approved in the protocol. See below for the specific changes.</w:t>
            </w:r>
          </w:p>
        </w:tc>
        <w:tc>
          <w:tcPr>
            <w:tcW w:w="4237" w:type="dxa"/>
          </w:tcPr>
          <w:p w:rsidRPr="0058710D" w:rsidR="007D4F94" w:rsidP="0058710D" w:rsidRDefault="007D4F94" w14:paraId="465BD6EC" w14:textId="0C60F4FF">
            <w:pPr>
              <w:pStyle w:val="ListParagraph"/>
              <w:numPr>
                <w:ilvl w:val="0"/>
                <w:numId w:val="43"/>
              </w:numPr>
              <w:autoSpaceDE w:val="0"/>
              <w:autoSpaceDN w:val="0"/>
              <w:adjustRightInd w:val="0"/>
              <w:rPr>
                <w:rFonts w:cs="Times New Roman"/>
                <w:sz w:val="21"/>
                <w:szCs w:val="21"/>
              </w:rPr>
            </w:pPr>
            <w:r w:rsidRPr="00D45365">
              <w:rPr>
                <w:rFonts w:cs="Times New Roman"/>
                <w:sz w:val="21"/>
                <w:szCs w:val="21"/>
              </w:rPr>
              <w:t>See List of Attachments and Appendices justification above.</w:t>
            </w:r>
          </w:p>
        </w:tc>
      </w:tr>
      <w:tr w:rsidRPr="00AF5A3A" w:rsidR="007D4F94" w:rsidTr="00707104" w14:paraId="2E0EB570" w14:textId="5C2E72F5">
        <w:trPr>
          <w:trHeight w:val="1367"/>
        </w:trPr>
        <w:tc>
          <w:tcPr>
            <w:tcW w:w="1867" w:type="dxa"/>
          </w:tcPr>
          <w:p w:rsidRPr="00C52A0C" w:rsidR="007D4F94" w:rsidP="007D4F94" w:rsidRDefault="007D4F94" w14:paraId="57845607" w14:textId="5821E5A1">
            <w:pPr>
              <w:autoSpaceDE w:val="0"/>
              <w:autoSpaceDN w:val="0"/>
              <w:adjustRightInd w:val="0"/>
              <w:jc w:val="center"/>
              <w:rPr>
                <w:rFonts w:cs="Times New Roman"/>
                <w:i/>
                <w:iCs/>
                <w:sz w:val="21"/>
                <w:szCs w:val="21"/>
              </w:rPr>
            </w:pPr>
            <w:r w:rsidRPr="00D45365">
              <w:rPr>
                <w:rFonts w:cs="Times New Roman"/>
                <w:i/>
                <w:iCs/>
                <w:sz w:val="21"/>
                <w:szCs w:val="21"/>
              </w:rPr>
              <w:t>Protocol</w:t>
            </w:r>
          </w:p>
        </w:tc>
        <w:tc>
          <w:tcPr>
            <w:tcW w:w="4413" w:type="dxa"/>
          </w:tcPr>
          <w:p w:rsidRPr="0058710D" w:rsidR="007D4F94" w:rsidP="0058710D" w:rsidRDefault="007D4F94" w14:paraId="5660BAA1" w14:textId="7D2E0416">
            <w:pPr>
              <w:pStyle w:val="ListParagraph"/>
              <w:numPr>
                <w:ilvl w:val="0"/>
                <w:numId w:val="43"/>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C52A0C">
              <w:rPr>
                <w:rFonts w:ascii="Calibri" w:hAnsi="Calibri" w:eastAsia="Times New Roman" w:cs="Arial"/>
                <w:color w:val="000000"/>
                <w:sz w:val="21"/>
                <w:szCs w:val="21"/>
              </w:rPr>
              <w:t xml:space="preserve">Remove Attachment 4 label and present </w:t>
            </w:r>
            <w:r w:rsidR="003C3B7C">
              <w:rPr>
                <w:rFonts w:ascii="Calibri" w:hAnsi="Calibri" w:eastAsia="Times New Roman" w:cs="Arial"/>
                <w:color w:val="000000"/>
                <w:sz w:val="21"/>
                <w:szCs w:val="21"/>
              </w:rPr>
              <w:t xml:space="preserve">the protocol </w:t>
            </w:r>
            <w:r w:rsidRPr="00C52A0C">
              <w:rPr>
                <w:rFonts w:ascii="Calibri" w:hAnsi="Calibri" w:eastAsia="Times New Roman" w:cs="Arial"/>
                <w:color w:val="000000"/>
                <w:sz w:val="21"/>
                <w:szCs w:val="21"/>
              </w:rPr>
              <w:t>as a standalone document</w:t>
            </w:r>
            <w:r>
              <w:rPr>
                <w:rFonts w:ascii="Calibri" w:hAnsi="Calibri" w:eastAsia="Times New Roman" w:cs="Arial"/>
                <w:color w:val="000000"/>
                <w:sz w:val="21"/>
                <w:szCs w:val="21"/>
              </w:rPr>
              <w:t>.</w:t>
            </w:r>
          </w:p>
          <w:p w:rsidRPr="00D45365" w:rsidR="007D4F94" w:rsidP="0058710D" w:rsidRDefault="007D4F94" w14:paraId="5B64E126" w14:textId="077609C0">
            <w:pPr>
              <w:pStyle w:val="ListParagraph"/>
              <w:numPr>
                <w:ilvl w:val="0"/>
                <w:numId w:val="43"/>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r w:rsidRPr="00D45365">
              <w:rPr>
                <w:rFonts w:ascii="Calibri" w:hAnsi="Calibri" w:eastAsia="Times New Roman" w:cs="Arial"/>
                <w:color w:val="000000"/>
                <w:sz w:val="21"/>
                <w:szCs w:val="21"/>
              </w:rPr>
              <w:t xml:space="preserve">Appendix </w:t>
            </w:r>
            <w:r w:rsidRPr="00C52A0C">
              <w:rPr>
                <w:rFonts w:ascii="Calibri" w:hAnsi="Calibri" w:eastAsia="Times New Roman" w:cs="Arial"/>
                <w:color w:val="000000"/>
                <w:sz w:val="21"/>
                <w:szCs w:val="21"/>
              </w:rPr>
              <w:t>N7(Site Health and Safety Plan) and Appendix N8(Synthetic Turf COVID-19 Precaution Plan</w:t>
            </w:r>
            <w:r w:rsidRPr="002A7E5E">
              <w:rPr>
                <w:rFonts w:ascii="Calibri" w:hAnsi="Calibri" w:eastAsia="Times New Roman" w:cs="Arial"/>
                <w:color w:val="000000"/>
                <w:sz w:val="21"/>
                <w:szCs w:val="21"/>
              </w:rPr>
              <w:t xml:space="preserve">) have been added and </w:t>
            </w:r>
            <w:r w:rsidRPr="00D45365">
              <w:rPr>
                <w:rFonts w:ascii="Calibri" w:hAnsi="Calibri" w:eastAsia="Times New Roman" w:cs="Arial"/>
                <w:color w:val="000000"/>
                <w:sz w:val="21"/>
                <w:szCs w:val="21"/>
              </w:rPr>
              <w:t xml:space="preserve">indexed in the protocol table of contents. </w:t>
            </w:r>
          </w:p>
          <w:p w:rsidRPr="00D45365" w:rsidR="007D4F94" w:rsidP="007D4F94" w:rsidRDefault="007D4F94" w14:paraId="4EC13D7F" w14:textId="7777777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p>
          <w:p w:rsidRPr="00D45365" w:rsidR="007D4F94" w:rsidP="007D4F94" w:rsidRDefault="007D4F94" w14:paraId="16329870" w14:textId="4D40EB67">
            <w:pPr>
              <w:pStyle w:val="ListParagraph"/>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color w:val="000000"/>
                <w:sz w:val="21"/>
                <w:szCs w:val="21"/>
              </w:rPr>
            </w:pPr>
          </w:p>
        </w:tc>
        <w:tc>
          <w:tcPr>
            <w:tcW w:w="4237" w:type="dxa"/>
          </w:tcPr>
          <w:p w:rsidRPr="0058710D" w:rsidR="007D4F94" w:rsidP="0058710D" w:rsidRDefault="007D4F94" w14:paraId="7FBCF0B5" w14:textId="5D18BDA8">
            <w:pPr>
              <w:pStyle w:val="ListParagraph"/>
              <w:numPr>
                <w:ilvl w:val="0"/>
                <w:numId w:val="44"/>
              </w:numPr>
              <w:autoSpaceDE w:val="0"/>
              <w:autoSpaceDN w:val="0"/>
              <w:adjustRightInd w:val="0"/>
              <w:rPr>
                <w:rFonts w:cs="Times New Roman"/>
                <w:sz w:val="21"/>
                <w:szCs w:val="21"/>
              </w:rPr>
            </w:pPr>
            <w:r w:rsidRPr="00D45365">
              <w:rPr>
                <w:rFonts w:cs="Times New Roman"/>
                <w:sz w:val="21"/>
                <w:szCs w:val="21"/>
              </w:rPr>
              <w:t>See List of Attachments and Appendices justification above.</w:t>
            </w:r>
          </w:p>
          <w:p w:rsidRPr="00C52A0C" w:rsidR="007D4F94" w:rsidP="0058710D" w:rsidRDefault="007D4F94" w14:paraId="7CFD13F1" w14:textId="7191C199">
            <w:pPr>
              <w:pStyle w:val="ListParagraph"/>
              <w:numPr>
                <w:ilvl w:val="0"/>
                <w:numId w:val="44"/>
              </w:numPr>
              <w:autoSpaceDE w:val="0"/>
              <w:autoSpaceDN w:val="0"/>
              <w:adjustRightInd w:val="0"/>
              <w:ind w:left="340"/>
              <w:rPr>
                <w:rFonts w:cs="Times New Roman"/>
                <w:sz w:val="21"/>
                <w:szCs w:val="21"/>
              </w:rPr>
            </w:pPr>
            <w:r w:rsidRPr="00D45365">
              <w:rPr>
                <w:rFonts w:cs="Times New Roman"/>
                <w:sz w:val="21"/>
                <w:szCs w:val="21"/>
              </w:rPr>
              <w:t xml:space="preserve">Appendix N7 documents general site health and safety measures for field work. Appendix </w:t>
            </w:r>
            <w:r w:rsidRPr="00C52A0C">
              <w:rPr>
                <w:rFonts w:cs="Times New Roman"/>
                <w:sz w:val="21"/>
                <w:szCs w:val="21"/>
              </w:rPr>
              <w:t>N8 documents the precautions that ATSDR is undertaking to protect the public and its workers from COVID-19.</w:t>
            </w:r>
          </w:p>
        </w:tc>
      </w:tr>
      <w:tr w:rsidRPr="001C5130" w:rsidR="007D4F94" w:rsidTr="00707104" w14:paraId="1C2B41D7" w14:textId="77777777">
        <w:trPr>
          <w:trHeight w:val="1259"/>
        </w:trPr>
        <w:tc>
          <w:tcPr>
            <w:tcW w:w="1867" w:type="dxa"/>
          </w:tcPr>
          <w:p w:rsidRPr="0058710D" w:rsidR="007D4F94" w:rsidP="007D4F94" w:rsidRDefault="007D4F94" w14:paraId="427792DD" w14:textId="1C3D0147">
            <w:pPr>
              <w:autoSpaceDE w:val="0"/>
              <w:autoSpaceDN w:val="0"/>
              <w:adjustRightInd w:val="0"/>
              <w:jc w:val="center"/>
              <w:rPr>
                <w:rFonts w:cs="Times New Roman"/>
                <w:i/>
                <w:iCs/>
                <w:sz w:val="21"/>
                <w:szCs w:val="21"/>
              </w:rPr>
            </w:pPr>
            <w:r w:rsidRPr="0058710D">
              <w:rPr>
                <w:rFonts w:cs="Times New Roman"/>
                <w:i/>
                <w:iCs/>
                <w:sz w:val="21"/>
                <w:szCs w:val="21"/>
              </w:rPr>
              <w:t>Fact Sheets</w:t>
            </w:r>
          </w:p>
        </w:tc>
        <w:tc>
          <w:tcPr>
            <w:tcW w:w="4413" w:type="dxa"/>
          </w:tcPr>
          <w:p w:rsidRPr="00C52A0C" w:rsidR="007D4F94" w:rsidP="0058710D" w:rsidRDefault="007D4F94" w14:paraId="16168C00" w14:textId="2DAB0242">
            <w:pPr>
              <w:pStyle w:val="ListParagraph"/>
              <w:numPr>
                <w:ilvl w:val="0"/>
                <w:numId w:val="44"/>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sz w:val="21"/>
                <w:szCs w:val="21"/>
              </w:rPr>
            </w:pPr>
            <w:r w:rsidRPr="00D45365">
              <w:rPr>
                <w:rFonts w:ascii="Calibri" w:hAnsi="Calibri" w:eastAsia="Times New Roman" w:cs="Arial"/>
                <w:sz w:val="21"/>
                <w:szCs w:val="21"/>
              </w:rPr>
              <w:t>Change from Attachment 3a and 3b to Appendix N</w:t>
            </w:r>
            <w:r w:rsidRPr="00C52A0C">
              <w:rPr>
                <w:rFonts w:ascii="Calibri" w:hAnsi="Calibri" w:eastAsia="Times New Roman" w:cs="Arial"/>
                <w:sz w:val="21"/>
                <w:szCs w:val="21"/>
              </w:rPr>
              <w:t>1a and N1b.</w:t>
            </w:r>
          </w:p>
          <w:p w:rsidRPr="00C52A0C" w:rsidR="007D4F94" w:rsidP="0058710D" w:rsidRDefault="007D4F94" w14:paraId="004A12B0" w14:textId="6B66B46B">
            <w:pPr>
              <w:pStyle w:val="ListParagraph"/>
              <w:numPr>
                <w:ilvl w:val="0"/>
                <w:numId w:val="44"/>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340"/>
              <w:textAlignment w:val="baseline"/>
              <w:rPr>
                <w:rFonts w:ascii="Calibri" w:hAnsi="Calibri" w:eastAsia="Times New Roman" w:cs="Arial"/>
                <w:sz w:val="21"/>
                <w:szCs w:val="21"/>
              </w:rPr>
            </w:pPr>
            <w:r w:rsidRPr="00C52A0C">
              <w:rPr>
                <w:rFonts w:ascii="Calibri" w:hAnsi="Calibri" w:eastAsia="Times New Roman" w:cs="Arial"/>
                <w:sz w:val="21"/>
                <w:szCs w:val="21"/>
              </w:rPr>
              <w:t>Recruitment materials will include information on procedures that CDC/ATSDR will be taking to address concerns associated with COVID-19.</w:t>
            </w:r>
          </w:p>
        </w:tc>
        <w:tc>
          <w:tcPr>
            <w:tcW w:w="4237" w:type="dxa"/>
          </w:tcPr>
          <w:p w:rsidRPr="0058710D" w:rsidR="007D4F94" w:rsidP="0058710D" w:rsidRDefault="007D4F94" w14:paraId="6CF35651" w14:textId="1411049C">
            <w:pPr>
              <w:pStyle w:val="ListParagraph"/>
              <w:numPr>
                <w:ilvl w:val="0"/>
                <w:numId w:val="45"/>
              </w:numPr>
              <w:autoSpaceDE w:val="0"/>
              <w:autoSpaceDN w:val="0"/>
              <w:adjustRightInd w:val="0"/>
              <w:rPr>
                <w:rFonts w:cs="Times New Roman"/>
                <w:sz w:val="21"/>
                <w:szCs w:val="21"/>
              </w:rPr>
            </w:pPr>
            <w:r w:rsidRPr="0058710D">
              <w:rPr>
                <w:rFonts w:cs="Times New Roman"/>
                <w:sz w:val="21"/>
                <w:szCs w:val="21"/>
              </w:rPr>
              <w:t>See List of Attachments and Appendices justification above.</w:t>
            </w:r>
          </w:p>
          <w:p w:rsidRPr="0058710D" w:rsidR="007D4F94" w:rsidP="0058710D" w:rsidRDefault="007D4F94" w14:paraId="34BB9AB8" w14:textId="3196DBD5">
            <w:pPr>
              <w:pStyle w:val="ListParagraph"/>
              <w:numPr>
                <w:ilvl w:val="0"/>
                <w:numId w:val="45"/>
              </w:numPr>
              <w:autoSpaceDE w:val="0"/>
              <w:autoSpaceDN w:val="0"/>
              <w:adjustRightInd w:val="0"/>
              <w:ind w:left="340"/>
              <w:rPr>
                <w:rFonts w:cs="Times New Roman"/>
                <w:sz w:val="21"/>
                <w:szCs w:val="21"/>
              </w:rPr>
            </w:pPr>
            <w:r w:rsidRPr="00D45365">
              <w:rPr>
                <w:rFonts w:cs="Times New Roman"/>
                <w:sz w:val="21"/>
                <w:szCs w:val="21"/>
              </w:rPr>
              <w:t xml:space="preserve">The recruitment materials </w:t>
            </w:r>
            <w:r w:rsidRPr="00C52A0C">
              <w:rPr>
                <w:rFonts w:cs="Times New Roman"/>
                <w:sz w:val="21"/>
                <w:szCs w:val="21"/>
              </w:rPr>
              <w:t xml:space="preserve">will provide information to potential participants on the procedures that CDC/ATSDR will take to comply with local, state and CDC guidelines at the time of Synthetic Turf field activities. </w:t>
            </w:r>
          </w:p>
        </w:tc>
      </w:tr>
      <w:tr w:rsidRPr="001C5130" w:rsidR="007D4F94" w:rsidTr="00707104" w14:paraId="0E6B57C3" w14:textId="77777777">
        <w:trPr>
          <w:trHeight w:val="1259"/>
        </w:trPr>
        <w:tc>
          <w:tcPr>
            <w:tcW w:w="1867" w:type="dxa"/>
          </w:tcPr>
          <w:p w:rsidRPr="0058710D" w:rsidR="007D4F94" w:rsidDel="00591079" w:rsidP="007D4F94" w:rsidRDefault="007D4F94" w14:paraId="21088008" w14:textId="2B26F65F">
            <w:pPr>
              <w:autoSpaceDE w:val="0"/>
              <w:autoSpaceDN w:val="0"/>
              <w:adjustRightInd w:val="0"/>
              <w:jc w:val="center"/>
              <w:rPr>
                <w:rFonts w:cs="Times New Roman"/>
                <w:i/>
                <w:iCs/>
                <w:sz w:val="21"/>
                <w:szCs w:val="21"/>
              </w:rPr>
            </w:pPr>
            <w:r w:rsidRPr="0058710D">
              <w:rPr>
                <w:rFonts w:cs="Times New Roman"/>
                <w:i/>
                <w:iCs/>
                <w:sz w:val="21"/>
                <w:szCs w:val="21"/>
              </w:rPr>
              <w:t>Eligibility Screening</w:t>
            </w:r>
          </w:p>
        </w:tc>
        <w:tc>
          <w:tcPr>
            <w:tcW w:w="4413" w:type="dxa"/>
          </w:tcPr>
          <w:p w:rsidRPr="0058710D" w:rsidR="007D4F94" w:rsidP="0058710D" w:rsidRDefault="007D4F94" w14:paraId="311D5B6B" w14:textId="2C6E48DC">
            <w:pPr>
              <w:pStyle w:val="ListParagraph"/>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Change from Attachment 3</w:t>
            </w:r>
            <w:r w:rsidR="001A6660">
              <w:rPr>
                <w:rFonts w:ascii="Calibri" w:hAnsi="Calibri" w:eastAsia="Times New Roman" w:cs="Arial"/>
                <w:sz w:val="21"/>
                <w:szCs w:val="21"/>
              </w:rPr>
              <w:t>c</w:t>
            </w:r>
            <w:r w:rsidRPr="00D45365">
              <w:rPr>
                <w:rFonts w:ascii="Calibri" w:hAnsi="Calibri" w:eastAsia="Times New Roman" w:cs="Arial"/>
                <w:sz w:val="21"/>
                <w:szCs w:val="21"/>
              </w:rPr>
              <w:t xml:space="preserve"> to Appendix N</w:t>
            </w:r>
            <w:r w:rsidR="001A6660">
              <w:rPr>
                <w:rFonts w:ascii="Calibri" w:hAnsi="Calibri" w:eastAsia="Times New Roman" w:cs="Arial"/>
                <w:sz w:val="21"/>
                <w:szCs w:val="21"/>
              </w:rPr>
              <w:t>2</w:t>
            </w:r>
            <w:r w:rsidRPr="00D45365">
              <w:rPr>
                <w:rFonts w:ascii="Calibri" w:hAnsi="Calibri" w:eastAsia="Times New Roman" w:cs="Arial"/>
                <w:sz w:val="21"/>
                <w:szCs w:val="21"/>
              </w:rPr>
              <w:t>.</w:t>
            </w:r>
            <w:bookmarkStart w:name="_GoBack" w:id="1"/>
            <w:bookmarkEnd w:id="1"/>
          </w:p>
          <w:p w:rsidR="007D4F94" w:rsidP="00FF3FD6" w:rsidRDefault="007D4F94" w14:paraId="4EA488FC" w14:textId="72278144">
            <w:pPr>
              <w:pStyle w:val="ListParagraph"/>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Eligibility screening will include information on procedures that CDC/ATSDR will be taking to address concerns associated with COVID-19.</w:t>
            </w:r>
          </w:p>
          <w:p w:rsidR="007D4F94" w:rsidP="007D4F94" w:rsidRDefault="007D4F94" w14:paraId="70970390" w14:textId="788BB9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sz w:val="21"/>
                <w:szCs w:val="21"/>
              </w:rPr>
            </w:pPr>
          </w:p>
          <w:p w:rsidRPr="0058710D" w:rsidR="007D4F94" w:rsidP="0058710D" w:rsidRDefault="007D4F94" w14:paraId="23478C7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ascii="Calibri" w:hAnsi="Calibri" w:eastAsia="Times New Roman" w:cs="Arial"/>
                <w:sz w:val="21"/>
                <w:szCs w:val="21"/>
              </w:rPr>
            </w:pPr>
          </w:p>
          <w:p w:rsidRPr="00C52A0C" w:rsidR="007D4F94" w:rsidP="0058710D" w:rsidRDefault="007D4F94" w14:paraId="5E246D46" w14:textId="50073337">
            <w:pPr>
              <w:pStyle w:val="ListParagraph"/>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Pr>
                <w:rFonts w:ascii="Calibri" w:hAnsi="Calibri" w:eastAsia="Times New Roman" w:cs="Arial"/>
                <w:sz w:val="21"/>
                <w:szCs w:val="21"/>
              </w:rPr>
              <w:t xml:space="preserve">Change mode of data collection from </w:t>
            </w:r>
            <w:proofErr w:type="spellStart"/>
            <w:r>
              <w:rPr>
                <w:rFonts w:ascii="Calibri" w:hAnsi="Calibri" w:eastAsia="Times New Roman" w:cs="Arial"/>
                <w:sz w:val="21"/>
                <w:szCs w:val="21"/>
              </w:rPr>
              <w:t>EpiInfo</w:t>
            </w:r>
            <w:proofErr w:type="spellEnd"/>
            <w:r>
              <w:rPr>
                <w:rFonts w:ascii="Calibri" w:hAnsi="Calibri" w:eastAsia="Times New Roman" w:cs="Arial"/>
                <w:sz w:val="21"/>
                <w:szCs w:val="21"/>
              </w:rPr>
              <w:t xml:space="preserve"> to Survey123.</w:t>
            </w:r>
          </w:p>
        </w:tc>
        <w:tc>
          <w:tcPr>
            <w:tcW w:w="4237" w:type="dxa"/>
          </w:tcPr>
          <w:p w:rsidRPr="0058710D" w:rsidR="007D4F94" w:rsidP="0058710D" w:rsidRDefault="007D4F94" w14:paraId="52EAF086" w14:textId="36236C3C">
            <w:pPr>
              <w:pStyle w:val="ListParagraph"/>
              <w:numPr>
                <w:ilvl w:val="0"/>
                <w:numId w:val="46"/>
              </w:numPr>
              <w:autoSpaceDE w:val="0"/>
              <w:autoSpaceDN w:val="0"/>
              <w:adjustRightInd w:val="0"/>
              <w:rPr>
                <w:rFonts w:cs="Times New Roman"/>
                <w:sz w:val="21"/>
                <w:szCs w:val="21"/>
              </w:rPr>
            </w:pPr>
            <w:r w:rsidRPr="00C52A0C">
              <w:rPr>
                <w:rFonts w:cs="Times New Roman"/>
                <w:sz w:val="21"/>
                <w:szCs w:val="21"/>
              </w:rPr>
              <w:t>See List of Attachments and Appendices justification above.</w:t>
            </w:r>
          </w:p>
          <w:p w:rsidR="007D4F94" w:rsidP="00FF3FD6" w:rsidRDefault="007D4F94" w14:paraId="489E982A" w14:textId="77777777">
            <w:pPr>
              <w:pStyle w:val="ListParagraph"/>
              <w:numPr>
                <w:ilvl w:val="0"/>
                <w:numId w:val="46"/>
              </w:numPr>
              <w:autoSpaceDE w:val="0"/>
              <w:autoSpaceDN w:val="0"/>
              <w:adjustRightInd w:val="0"/>
              <w:ind w:left="430" w:hanging="450"/>
              <w:rPr>
                <w:rFonts w:cs="Times New Roman"/>
                <w:sz w:val="21"/>
                <w:szCs w:val="21"/>
              </w:rPr>
            </w:pPr>
            <w:r w:rsidRPr="00D45365">
              <w:rPr>
                <w:rFonts w:cs="Times New Roman"/>
                <w:sz w:val="21"/>
                <w:szCs w:val="21"/>
              </w:rPr>
              <w:t>The eligibility screening materials</w:t>
            </w:r>
            <w:r w:rsidRPr="00C52A0C">
              <w:rPr>
                <w:rFonts w:cs="Times New Roman"/>
                <w:sz w:val="21"/>
                <w:szCs w:val="21"/>
              </w:rPr>
              <w:t xml:space="preserve"> will provide information to potential participants on the procedures that CDC/ATSDR will take to comply with local, state and CDC guidelines at the time of Synthetic Turf field activities. </w:t>
            </w:r>
          </w:p>
          <w:p w:rsidRPr="0058710D" w:rsidR="007D4F94" w:rsidP="0058710D" w:rsidRDefault="007D4F94" w14:paraId="36810360" w14:textId="5216ECC4">
            <w:pPr>
              <w:pStyle w:val="ListParagraph"/>
              <w:numPr>
                <w:ilvl w:val="0"/>
                <w:numId w:val="46"/>
              </w:numPr>
              <w:autoSpaceDE w:val="0"/>
              <w:autoSpaceDN w:val="0"/>
              <w:adjustRightInd w:val="0"/>
              <w:ind w:left="430" w:hanging="450"/>
              <w:rPr>
                <w:rFonts w:cs="Times New Roman"/>
                <w:sz w:val="21"/>
                <w:szCs w:val="21"/>
              </w:rPr>
            </w:pPr>
            <w:r>
              <w:rPr>
                <w:rFonts w:cs="Times New Roman"/>
                <w:sz w:val="21"/>
                <w:szCs w:val="21"/>
              </w:rPr>
              <w:t xml:space="preserve">Survey123 is easier to use in the field on tablets than </w:t>
            </w:r>
            <w:proofErr w:type="spellStart"/>
            <w:r>
              <w:rPr>
                <w:rFonts w:cs="Times New Roman"/>
                <w:sz w:val="21"/>
                <w:szCs w:val="21"/>
              </w:rPr>
              <w:t>EpiInfo</w:t>
            </w:r>
            <w:proofErr w:type="spellEnd"/>
            <w:r>
              <w:rPr>
                <w:rFonts w:cs="Times New Roman"/>
                <w:sz w:val="21"/>
                <w:szCs w:val="21"/>
              </w:rPr>
              <w:t xml:space="preserve"> for the eligibility screening. This technology will also allow for fewer data entry errors with built in checks before submission.</w:t>
            </w:r>
          </w:p>
        </w:tc>
      </w:tr>
      <w:tr w:rsidRPr="001C5130" w:rsidR="007D4F94" w:rsidTr="0058710D" w14:paraId="1185D84D" w14:textId="77777777">
        <w:trPr>
          <w:trHeight w:val="269"/>
        </w:trPr>
        <w:tc>
          <w:tcPr>
            <w:tcW w:w="1867" w:type="dxa"/>
          </w:tcPr>
          <w:p w:rsidRPr="0058710D" w:rsidR="007D4F94" w:rsidDel="00D82722" w:rsidP="007D4F94" w:rsidRDefault="007D4F94" w14:paraId="69BCCACD" w14:textId="6B9B3FFF">
            <w:pPr>
              <w:autoSpaceDE w:val="0"/>
              <w:autoSpaceDN w:val="0"/>
              <w:adjustRightInd w:val="0"/>
              <w:jc w:val="center"/>
              <w:rPr>
                <w:rFonts w:cs="Times New Roman"/>
                <w:i/>
                <w:iCs/>
                <w:sz w:val="21"/>
                <w:szCs w:val="21"/>
              </w:rPr>
            </w:pPr>
            <w:r w:rsidRPr="0058710D">
              <w:rPr>
                <w:rFonts w:cs="Times New Roman"/>
                <w:i/>
                <w:iCs/>
                <w:sz w:val="21"/>
                <w:szCs w:val="21"/>
              </w:rPr>
              <w:t>Consent Forms</w:t>
            </w:r>
          </w:p>
        </w:tc>
        <w:tc>
          <w:tcPr>
            <w:tcW w:w="4413" w:type="dxa"/>
          </w:tcPr>
          <w:p w:rsidRPr="00D45365" w:rsidR="007D4F94" w:rsidP="0058710D" w:rsidRDefault="007D4F94" w14:paraId="0ABD1788" w14:textId="37A2A4EF">
            <w:pPr>
              <w:pStyle w:val="ListParagraph"/>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Change from Attachment 3d to Appendix N3.</w:t>
            </w:r>
          </w:p>
        </w:tc>
        <w:tc>
          <w:tcPr>
            <w:tcW w:w="4237" w:type="dxa"/>
          </w:tcPr>
          <w:p w:rsidRPr="0058710D" w:rsidR="007D4F94" w:rsidP="0058710D" w:rsidRDefault="007D4F94" w14:paraId="133C75F4" w14:textId="2BBDEA94">
            <w:pPr>
              <w:pStyle w:val="ListParagraph"/>
              <w:numPr>
                <w:ilvl w:val="0"/>
                <w:numId w:val="47"/>
              </w:numPr>
              <w:autoSpaceDE w:val="0"/>
              <w:autoSpaceDN w:val="0"/>
              <w:adjustRightInd w:val="0"/>
              <w:rPr>
                <w:rFonts w:cs="Times New Roman"/>
                <w:sz w:val="21"/>
                <w:szCs w:val="21"/>
              </w:rPr>
            </w:pPr>
            <w:r w:rsidRPr="00D45365">
              <w:rPr>
                <w:rFonts w:cs="Times New Roman"/>
                <w:sz w:val="21"/>
                <w:szCs w:val="21"/>
              </w:rPr>
              <w:t>See List of Attachments and Appendices justi</w:t>
            </w:r>
            <w:r w:rsidRPr="00C52A0C">
              <w:rPr>
                <w:rFonts w:cs="Times New Roman"/>
                <w:sz w:val="21"/>
                <w:szCs w:val="21"/>
              </w:rPr>
              <w:t>fication above.</w:t>
            </w:r>
          </w:p>
        </w:tc>
      </w:tr>
      <w:tr w:rsidRPr="001C5130" w:rsidR="007D4F94" w:rsidTr="0058710D" w14:paraId="77C905DA" w14:textId="77777777">
        <w:trPr>
          <w:trHeight w:val="287"/>
        </w:trPr>
        <w:tc>
          <w:tcPr>
            <w:tcW w:w="1867" w:type="dxa"/>
          </w:tcPr>
          <w:p w:rsidRPr="0058710D" w:rsidR="007D4F94" w:rsidDel="00D82722" w:rsidP="007D4F94" w:rsidRDefault="007D4F94" w14:paraId="02235C03" w14:textId="53A418FB">
            <w:pPr>
              <w:autoSpaceDE w:val="0"/>
              <w:autoSpaceDN w:val="0"/>
              <w:adjustRightInd w:val="0"/>
              <w:jc w:val="center"/>
              <w:rPr>
                <w:rFonts w:cs="Times New Roman"/>
                <w:i/>
                <w:iCs/>
                <w:sz w:val="21"/>
                <w:szCs w:val="21"/>
              </w:rPr>
            </w:pPr>
            <w:r w:rsidRPr="0058710D">
              <w:rPr>
                <w:rFonts w:cs="Times New Roman"/>
                <w:i/>
                <w:iCs/>
                <w:sz w:val="21"/>
                <w:szCs w:val="21"/>
              </w:rPr>
              <w:t>Questionnaires</w:t>
            </w:r>
          </w:p>
        </w:tc>
        <w:tc>
          <w:tcPr>
            <w:tcW w:w="4413" w:type="dxa"/>
          </w:tcPr>
          <w:p w:rsidR="007D4F94" w:rsidP="00FF3FD6" w:rsidRDefault="007D4F94" w14:paraId="1736DDE7" w14:textId="77777777">
            <w:pPr>
              <w:pStyle w:val="ListParagraph"/>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Change from Attachment 3e and 3f to Appendix N4a and N4b.</w:t>
            </w:r>
          </w:p>
          <w:p w:rsidRPr="00D45365" w:rsidR="007D4F94" w:rsidP="0058710D" w:rsidRDefault="007D4F94" w14:paraId="218D9CC2" w14:textId="312EC429">
            <w:pPr>
              <w:pStyle w:val="ListParagraph"/>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Pr>
                <w:rFonts w:ascii="Calibri" w:hAnsi="Calibri" w:eastAsia="Times New Roman" w:cs="Arial"/>
                <w:sz w:val="21"/>
                <w:szCs w:val="21"/>
              </w:rPr>
              <w:t xml:space="preserve">Change mode of data collection from </w:t>
            </w:r>
            <w:proofErr w:type="spellStart"/>
            <w:r>
              <w:rPr>
                <w:rFonts w:ascii="Calibri" w:hAnsi="Calibri" w:eastAsia="Times New Roman" w:cs="Arial"/>
                <w:sz w:val="21"/>
                <w:szCs w:val="21"/>
              </w:rPr>
              <w:t>EpiInfo</w:t>
            </w:r>
            <w:proofErr w:type="spellEnd"/>
            <w:r>
              <w:rPr>
                <w:rFonts w:ascii="Calibri" w:hAnsi="Calibri" w:eastAsia="Times New Roman" w:cs="Arial"/>
                <w:sz w:val="21"/>
                <w:szCs w:val="21"/>
              </w:rPr>
              <w:t xml:space="preserve"> to Survey 123.</w:t>
            </w:r>
          </w:p>
        </w:tc>
        <w:tc>
          <w:tcPr>
            <w:tcW w:w="4237" w:type="dxa"/>
          </w:tcPr>
          <w:p w:rsidR="007D4F94" w:rsidP="00FF3FD6" w:rsidRDefault="007D4F94" w14:paraId="365AAE49" w14:textId="77777777">
            <w:pPr>
              <w:pStyle w:val="ListParagraph"/>
              <w:numPr>
                <w:ilvl w:val="0"/>
                <w:numId w:val="48"/>
              </w:numPr>
              <w:autoSpaceDE w:val="0"/>
              <w:autoSpaceDN w:val="0"/>
              <w:adjustRightInd w:val="0"/>
              <w:rPr>
                <w:rFonts w:cs="Times New Roman"/>
                <w:sz w:val="21"/>
                <w:szCs w:val="21"/>
              </w:rPr>
            </w:pPr>
            <w:r w:rsidRPr="00D45365">
              <w:rPr>
                <w:rFonts w:cs="Times New Roman"/>
                <w:sz w:val="21"/>
                <w:szCs w:val="21"/>
              </w:rPr>
              <w:t>See List of Attachments and Appendices justi</w:t>
            </w:r>
            <w:r w:rsidRPr="00C52A0C">
              <w:rPr>
                <w:rFonts w:cs="Times New Roman"/>
                <w:sz w:val="21"/>
                <w:szCs w:val="21"/>
              </w:rPr>
              <w:t>fication above.</w:t>
            </w:r>
          </w:p>
          <w:p w:rsidRPr="00C52A0C" w:rsidR="007D4F94" w:rsidP="0058710D" w:rsidRDefault="007D4F94" w14:paraId="50C384C3" w14:textId="3555334B">
            <w:pPr>
              <w:pStyle w:val="ListParagraph"/>
              <w:numPr>
                <w:ilvl w:val="0"/>
                <w:numId w:val="48"/>
              </w:numPr>
              <w:autoSpaceDE w:val="0"/>
              <w:autoSpaceDN w:val="0"/>
              <w:adjustRightInd w:val="0"/>
              <w:ind w:left="430" w:hanging="450"/>
              <w:rPr>
                <w:rFonts w:cs="Times New Roman"/>
                <w:sz w:val="21"/>
                <w:szCs w:val="21"/>
              </w:rPr>
            </w:pPr>
            <w:r>
              <w:rPr>
                <w:rFonts w:cs="Times New Roman"/>
                <w:sz w:val="21"/>
                <w:szCs w:val="21"/>
              </w:rPr>
              <w:t xml:space="preserve">Survey123 is easier to use in the field on tablets than </w:t>
            </w:r>
            <w:proofErr w:type="spellStart"/>
            <w:r>
              <w:rPr>
                <w:rFonts w:cs="Times New Roman"/>
                <w:sz w:val="21"/>
                <w:szCs w:val="21"/>
              </w:rPr>
              <w:t>EpiInfo</w:t>
            </w:r>
            <w:proofErr w:type="spellEnd"/>
            <w:r>
              <w:rPr>
                <w:rFonts w:cs="Times New Roman"/>
                <w:sz w:val="21"/>
                <w:szCs w:val="21"/>
              </w:rPr>
              <w:t xml:space="preserve"> for the questionnaires. This technology will also allow for fewer data entry errors with built in checks before submission. </w:t>
            </w:r>
          </w:p>
        </w:tc>
      </w:tr>
      <w:tr w:rsidRPr="001C5130" w:rsidR="007D4F94" w:rsidTr="0058710D" w14:paraId="30F73BAA" w14:textId="77777777">
        <w:trPr>
          <w:trHeight w:val="710"/>
        </w:trPr>
        <w:tc>
          <w:tcPr>
            <w:tcW w:w="1867" w:type="dxa"/>
          </w:tcPr>
          <w:p w:rsidRPr="00C52A0C" w:rsidR="007D4F94" w:rsidP="007D4F94" w:rsidRDefault="007D4F94" w14:paraId="075BE099" w14:textId="667ABBA2">
            <w:pPr>
              <w:autoSpaceDE w:val="0"/>
              <w:autoSpaceDN w:val="0"/>
              <w:adjustRightInd w:val="0"/>
              <w:jc w:val="center"/>
              <w:rPr>
                <w:rFonts w:cs="Times New Roman"/>
                <w:i/>
                <w:iCs/>
                <w:sz w:val="21"/>
                <w:szCs w:val="21"/>
              </w:rPr>
            </w:pPr>
            <w:r w:rsidRPr="00C52A0C">
              <w:rPr>
                <w:rFonts w:cs="Times New Roman"/>
                <w:i/>
                <w:iCs/>
                <w:sz w:val="21"/>
                <w:szCs w:val="21"/>
              </w:rPr>
              <w:t>Exposure Measurements Forms</w:t>
            </w:r>
          </w:p>
        </w:tc>
        <w:tc>
          <w:tcPr>
            <w:tcW w:w="4413" w:type="dxa"/>
          </w:tcPr>
          <w:p w:rsidRPr="0058710D" w:rsidR="007D4F94" w:rsidP="0058710D" w:rsidRDefault="007D4F94" w14:paraId="650FD9F0" w14:textId="44DC52A7">
            <w:pPr>
              <w:pStyle w:val="ListParagraph"/>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C52A0C">
              <w:rPr>
                <w:rFonts w:ascii="Calibri" w:hAnsi="Calibri" w:eastAsia="Times New Roman" w:cs="Arial"/>
                <w:sz w:val="21"/>
                <w:szCs w:val="21"/>
              </w:rPr>
              <w:t>Change from Attachment 3h1, 3h2, and 3g to Appendix N</w:t>
            </w:r>
            <w:r w:rsidRPr="002A7E5E">
              <w:rPr>
                <w:rFonts w:ascii="Calibri" w:hAnsi="Calibri" w:eastAsia="Times New Roman" w:cs="Arial"/>
                <w:sz w:val="21"/>
                <w:szCs w:val="21"/>
              </w:rPr>
              <w:t>5a,</w:t>
            </w:r>
            <w:r w:rsidRPr="00D45365">
              <w:rPr>
                <w:rFonts w:ascii="Calibri" w:hAnsi="Calibri" w:eastAsia="Times New Roman" w:cs="Arial"/>
                <w:sz w:val="21"/>
                <w:szCs w:val="21"/>
              </w:rPr>
              <w:t xml:space="preserve"> N5b, and N6.</w:t>
            </w:r>
          </w:p>
          <w:p w:rsidRPr="0058710D" w:rsidR="007D4F94" w:rsidP="0058710D" w:rsidRDefault="007D4F94" w14:paraId="6AC3F824" w14:textId="31BBEB52">
            <w:pPr>
              <w:pStyle w:val="ListParagraph"/>
              <w:numPr>
                <w:ilvl w:val="0"/>
                <w:numId w:val="47"/>
              </w:numPr>
              <w:tabs>
                <w:tab w:val="left" w:pos="0"/>
                <w:tab w:val="left" w:pos="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The exposure measurement forms were modified to include</w:t>
            </w:r>
            <w:r w:rsidRPr="00C52A0C">
              <w:rPr>
                <w:rFonts w:ascii="Calibri" w:hAnsi="Calibri" w:eastAsia="Times New Roman" w:cs="Arial"/>
                <w:sz w:val="21"/>
                <w:szCs w:val="21"/>
              </w:rPr>
              <w:t xml:space="preserve"> information on procedures that CDC/ATSDR will be taking </w:t>
            </w:r>
            <w:r w:rsidRPr="00C52A0C">
              <w:rPr>
                <w:rFonts w:ascii="Calibri" w:hAnsi="Calibri" w:eastAsia="Times New Roman" w:cs="Arial"/>
                <w:sz w:val="21"/>
                <w:szCs w:val="21"/>
              </w:rPr>
              <w:lastRenderedPageBreak/>
              <w:t>to address concerns associated with COVID-19 and include a screening and temperature check for COVID-19.</w:t>
            </w:r>
          </w:p>
        </w:tc>
        <w:tc>
          <w:tcPr>
            <w:tcW w:w="4237" w:type="dxa"/>
          </w:tcPr>
          <w:p w:rsidRPr="00C52A0C" w:rsidR="007D4F94" w:rsidP="0058710D" w:rsidRDefault="007D4F94" w14:paraId="19D878E1" w14:textId="4338AB7F">
            <w:pPr>
              <w:pStyle w:val="ListParagraph"/>
              <w:numPr>
                <w:ilvl w:val="0"/>
                <w:numId w:val="48"/>
              </w:numPr>
              <w:autoSpaceDE w:val="0"/>
              <w:autoSpaceDN w:val="0"/>
              <w:adjustRightInd w:val="0"/>
              <w:ind w:left="430" w:hanging="450"/>
              <w:rPr>
                <w:rFonts w:cs="Times New Roman"/>
                <w:sz w:val="21"/>
                <w:szCs w:val="21"/>
              </w:rPr>
            </w:pPr>
            <w:r w:rsidRPr="00D45365">
              <w:rPr>
                <w:rFonts w:cs="Times New Roman"/>
                <w:sz w:val="21"/>
                <w:szCs w:val="21"/>
              </w:rPr>
              <w:lastRenderedPageBreak/>
              <w:t>See List of Attachments and Appendices justification above.</w:t>
            </w:r>
          </w:p>
          <w:p w:rsidRPr="00C52A0C" w:rsidR="007D4F94" w:rsidP="0058710D" w:rsidRDefault="007D4F94" w14:paraId="7B135D82" w14:textId="78C432A9">
            <w:pPr>
              <w:pStyle w:val="ListParagraph"/>
              <w:numPr>
                <w:ilvl w:val="0"/>
                <w:numId w:val="48"/>
              </w:numPr>
              <w:autoSpaceDE w:val="0"/>
              <w:autoSpaceDN w:val="0"/>
              <w:adjustRightInd w:val="0"/>
              <w:ind w:left="430" w:hanging="450"/>
              <w:rPr>
                <w:rFonts w:cs="Times New Roman"/>
                <w:sz w:val="21"/>
                <w:szCs w:val="21"/>
              </w:rPr>
            </w:pPr>
            <w:r w:rsidRPr="00C52A0C">
              <w:rPr>
                <w:rFonts w:cs="Times New Roman"/>
                <w:sz w:val="21"/>
                <w:szCs w:val="21"/>
              </w:rPr>
              <w:t xml:space="preserve">A screening for self-reported COVID-19 symptoms and a temperature check will </w:t>
            </w:r>
            <w:r w:rsidRPr="00C52A0C">
              <w:rPr>
                <w:rFonts w:cs="Times New Roman"/>
                <w:sz w:val="21"/>
                <w:szCs w:val="21"/>
              </w:rPr>
              <w:lastRenderedPageBreak/>
              <w:t>be conducted prior to participants entering the sampling area.</w:t>
            </w:r>
          </w:p>
        </w:tc>
      </w:tr>
      <w:tr w:rsidRPr="001C5130" w:rsidR="007D4F94" w:rsidTr="00707104" w14:paraId="3487134A" w14:textId="77777777">
        <w:trPr>
          <w:trHeight w:val="917"/>
        </w:trPr>
        <w:tc>
          <w:tcPr>
            <w:tcW w:w="1867" w:type="dxa"/>
          </w:tcPr>
          <w:p w:rsidRPr="0058710D" w:rsidR="007D4F94" w:rsidP="007D4F94" w:rsidRDefault="007D4F94" w14:paraId="1FD3F532" w14:textId="2B4A8673">
            <w:pPr>
              <w:autoSpaceDE w:val="0"/>
              <w:autoSpaceDN w:val="0"/>
              <w:adjustRightInd w:val="0"/>
              <w:jc w:val="center"/>
              <w:rPr>
                <w:rFonts w:cs="Times New Roman"/>
                <w:i/>
                <w:iCs/>
                <w:sz w:val="21"/>
                <w:szCs w:val="21"/>
              </w:rPr>
            </w:pPr>
            <w:r w:rsidRPr="0058710D">
              <w:rPr>
                <w:rFonts w:cs="Times New Roman"/>
                <w:i/>
                <w:iCs/>
                <w:sz w:val="21"/>
                <w:szCs w:val="21"/>
              </w:rPr>
              <w:lastRenderedPageBreak/>
              <w:t>Site Health and Safety Plan</w:t>
            </w:r>
          </w:p>
        </w:tc>
        <w:tc>
          <w:tcPr>
            <w:tcW w:w="4413" w:type="dxa"/>
          </w:tcPr>
          <w:p w:rsidRPr="00C52A0C" w:rsidR="007D4F94" w:rsidP="0058710D" w:rsidRDefault="007D4F94" w14:paraId="217244B3" w14:textId="23BD93EB">
            <w:pPr>
              <w:pStyle w:val="ListParagraph"/>
              <w:numPr>
                <w:ilvl w:val="0"/>
                <w:numId w:val="48"/>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ascii="Calibri" w:hAnsi="Calibri" w:eastAsia="Times New Roman" w:cs="Arial"/>
                <w:sz w:val="21"/>
                <w:szCs w:val="21"/>
              </w:rPr>
              <w:t xml:space="preserve">Appendix N7 has been added to provide </w:t>
            </w:r>
            <w:r w:rsidRPr="00C52A0C">
              <w:rPr>
                <w:rFonts w:ascii="Calibri" w:hAnsi="Calibri" w:eastAsia="Times New Roman" w:cs="Arial"/>
                <w:sz w:val="21"/>
                <w:szCs w:val="21"/>
              </w:rPr>
              <w:t xml:space="preserve">information on PPE requirements and safety procedures. </w:t>
            </w:r>
          </w:p>
        </w:tc>
        <w:tc>
          <w:tcPr>
            <w:tcW w:w="4237" w:type="dxa"/>
          </w:tcPr>
          <w:p w:rsidRPr="002A7E5E" w:rsidR="007D4F94" w:rsidP="0058710D" w:rsidRDefault="007D4F94" w14:paraId="37C25015" w14:textId="39181ACC">
            <w:pPr>
              <w:pStyle w:val="ListParagraph"/>
              <w:numPr>
                <w:ilvl w:val="0"/>
                <w:numId w:val="49"/>
              </w:numPr>
              <w:autoSpaceDE w:val="0"/>
              <w:autoSpaceDN w:val="0"/>
              <w:adjustRightInd w:val="0"/>
              <w:rPr>
                <w:rFonts w:cs="Times New Roman"/>
                <w:sz w:val="21"/>
                <w:szCs w:val="21"/>
              </w:rPr>
            </w:pPr>
            <w:r w:rsidRPr="00C52A0C">
              <w:rPr>
                <w:rFonts w:cs="Times New Roman"/>
                <w:sz w:val="21"/>
                <w:szCs w:val="21"/>
              </w:rPr>
              <w:t xml:space="preserve">The Site Health and Safety Plan is needed for safety measures for federal employees, and the general public. </w:t>
            </w:r>
          </w:p>
        </w:tc>
      </w:tr>
      <w:tr w:rsidRPr="001C5130" w:rsidR="007D4F94" w:rsidTr="00707104" w14:paraId="7B89526C" w14:textId="77777777">
        <w:trPr>
          <w:trHeight w:val="440"/>
        </w:trPr>
        <w:tc>
          <w:tcPr>
            <w:tcW w:w="1867" w:type="dxa"/>
          </w:tcPr>
          <w:p w:rsidRPr="0058710D" w:rsidR="007D4F94" w:rsidP="007D4F94" w:rsidRDefault="007D4F94" w14:paraId="159AFAF7" w14:textId="349291EF">
            <w:pPr>
              <w:autoSpaceDE w:val="0"/>
              <w:autoSpaceDN w:val="0"/>
              <w:adjustRightInd w:val="0"/>
              <w:jc w:val="center"/>
              <w:rPr>
                <w:rFonts w:cs="Times New Roman"/>
                <w:i/>
                <w:iCs/>
                <w:sz w:val="21"/>
                <w:szCs w:val="21"/>
              </w:rPr>
            </w:pPr>
            <w:r w:rsidRPr="0058710D">
              <w:rPr>
                <w:rFonts w:cs="Times New Roman"/>
                <w:i/>
                <w:iCs/>
                <w:sz w:val="21"/>
                <w:szCs w:val="21"/>
              </w:rPr>
              <w:t>Synthetic Turf COVID-19 Precaution Plan</w:t>
            </w:r>
          </w:p>
        </w:tc>
        <w:tc>
          <w:tcPr>
            <w:tcW w:w="4413" w:type="dxa"/>
          </w:tcPr>
          <w:p w:rsidRPr="0058710D" w:rsidR="007D4F94" w:rsidP="0058710D" w:rsidRDefault="007D4F94" w14:paraId="759A9185" w14:textId="394F7855">
            <w:pPr>
              <w:pStyle w:val="ListParagraph"/>
              <w:numPr>
                <w:ilvl w:val="0"/>
                <w:numId w:val="49"/>
              </w:numPr>
              <w:tabs>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430" w:hanging="430"/>
              <w:textAlignment w:val="baseline"/>
              <w:rPr>
                <w:rFonts w:ascii="Calibri" w:hAnsi="Calibri" w:eastAsia="Times New Roman" w:cs="Arial"/>
                <w:sz w:val="21"/>
                <w:szCs w:val="21"/>
              </w:rPr>
            </w:pPr>
            <w:r w:rsidRPr="00D45365">
              <w:rPr>
                <w:rFonts w:cs="Arial"/>
                <w:sz w:val="21"/>
                <w:szCs w:val="21"/>
              </w:rPr>
              <w:t xml:space="preserve">Appendix N8 has been added to provide methodology for safely completing field activities in compliance with state, local and CDC COVID-19 guidelines in place at the time the </w:t>
            </w:r>
            <w:r w:rsidRPr="00C52A0C">
              <w:rPr>
                <w:rFonts w:cs="Arial"/>
                <w:sz w:val="21"/>
                <w:szCs w:val="21"/>
              </w:rPr>
              <w:t>field activities are conducted</w:t>
            </w:r>
            <w:r w:rsidRPr="00C52A0C">
              <w:rPr>
                <w:sz w:val="21"/>
                <w:szCs w:val="21"/>
              </w:rPr>
              <w:t>.</w:t>
            </w:r>
          </w:p>
        </w:tc>
        <w:tc>
          <w:tcPr>
            <w:tcW w:w="4237" w:type="dxa"/>
          </w:tcPr>
          <w:p w:rsidRPr="00C52A0C" w:rsidR="007D4F94" w:rsidP="0058710D" w:rsidRDefault="007D4F94" w14:paraId="45CD9992" w14:textId="7248B939">
            <w:pPr>
              <w:pStyle w:val="ListParagraph"/>
              <w:numPr>
                <w:ilvl w:val="0"/>
                <w:numId w:val="50"/>
              </w:numPr>
              <w:autoSpaceDE w:val="0"/>
              <w:autoSpaceDN w:val="0"/>
              <w:adjustRightInd w:val="0"/>
              <w:rPr>
                <w:rFonts w:cs="Times New Roman"/>
                <w:sz w:val="21"/>
                <w:szCs w:val="21"/>
              </w:rPr>
            </w:pPr>
            <w:r w:rsidRPr="00D45365">
              <w:rPr>
                <w:rFonts w:cs="Times New Roman"/>
                <w:sz w:val="21"/>
                <w:szCs w:val="21"/>
              </w:rPr>
              <w:t>Policies and procedures must</w:t>
            </w:r>
            <w:r w:rsidRPr="00C52A0C">
              <w:rPr>
                <w:rFonts w:cs="Times New Roman"/>
                <w:sz w:val="21"/>
                <w:szCs w:val="21"/>
              </w:rPr>
              <w:t xml:space="preserve"> be followed to modify activities to address concerns associated with COVID-19. Procedures will comply with the guidance in place at the time an activity is conducted.</w:t>
            </w:r>
          </w:p>
        </w:tc>
      </w:tr>
      <w:bookmarkEnd w:id="0"/>
    </w:tbl>
    <w:p w:rsidRPr="001C5130" w:rsidR="00FB2B08" w:rsidP="00FB36DA" w:rsidRDefault="00FB2B08" w14:paraId="64CCA1F8" w14:textId="77777777">
      <w:pPr>
        <w:autoSpaceDE w:val="0"/>
        <w:autoSpaceDN w:val="0"/>
        <w:adjustRightInd w:val="0"/>
        <w:spacing w:after="0" w:line="240" w:lineRule="auto"/>
        <w:rPr>
          <w:rFonts w:cs="Times New Roman"/>
          <w:color w:val="FF0000"/>
        </w:rPr>
      </w:pPr>
    </w:p>
    <w:sectPr w:rsidRPr="001C5130" w:rsidR="00FB2B08" w:rsidSect="00FB36D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5FB3" w14:textId="77777777" w:rsidR="00AF5A3A" w:rsidRDefault="00AF5A3A" w:rsidP="00FC432B">
      <w:pPr>
        <w:spacing w:after="0" w:line="240" w:lineRule="auto"/>
      </w:pPr>
      <w:r>
        <w:separator/>
      </w:r>
    </w:p>
  </w:endnote>
  <w:endnote w:type="continuationSeparator" w:id="0">
    <w:p w14:paraId="508777F3" w14:textId="77777777" w:rsidR="00AF5A3A" w:rsidRDefault="00AF5A3A"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1F30" w14:textId="77777777" w:rsidR="00EA2790" w:rsidRDefault="00EA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398673"/>
      <w:docPartObj>
        <w:docPartGallery w:val="Page Numbers (Bottom of Page)"/>
        <w:docPartUnique/>
      </w:docPartObj>
    </w:sdtPr>
    <w:sdtEndPr>
      <w:rPr>
        <w:noProof/>
      </w:rPr>
    </w:sdtEndPr>
    <w:sdtContent>
      <w:p w14:paraId="5623F01E" w14:textId="57FCA65C" w:rsidR="00AF5A3A" w:rsidRDefault="00AF5A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283497" w14:textId="5C522360" w:rsidR="00AF5A3A" w:rsidRPr="00D86410" w:rsidRDefault="00AF5A3A" w:rsidP="00FC432B">
    <w:pPr>
      <w:pStyle w:val="Footer"/>
      <w:jc w:val="center"/>
      <w:rPr>
        <w:rFonts w:ascii="Proxima Nova Rg" w:hAnsi="Proxima Nova Rg"/>
        <w:color w:val="64656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DB77" w14:textId="77777777" w:rsidR="00EA2790" w:rsidRDefault="00EA2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81C3" w14:textId="77777777" w:rsidR="00AF5A3A" w:rsidRDefault="00AF5A3A" w:rsidP="00FC432B">
      <w:pPr>
        <w:spacing w:after="0" w:line="240" w:lineRule="auto"/>
      </w:pPr>
      <w:r>
        <w:separator/>
      </w:r>
    </w:p>
  </w:footnote>
  <w:footnote w:type="continuationSeparator" w:id="0">
    <w:p w14:paraId="3B604A0C" w14:textId="77777777" w:rsidR="00AF5A3A" w:rsidRDefault="00AF5A3A" w:rsidP="00FC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1C44" w14:textId="77777777" w:rsidR="00EA2790" w:rsidRDefault="00EA2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4745" w14:textId="77777777" w:rsidR="00EA2790" w:rsidRDefault="00EA2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E257" w14:textId="77777777" w:rsidR="00EA2790" w:rsidRDefault="00EA2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793"/>
    <w:multiLevelType w:val="hybridMultilevel"/>
    <w:tmpl w:val="7A16378A"/>
    <w:lvl w:ilvl="0" w:tplc="0662212C">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085505"/>
    <w:multiLevelType w:val="hybridMultilevel"/>
    <w:tmpl w:val="1C428AB0"/>
    <w:lvl w:ilvl="0" w:tplc="904422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646E9"/>
    <w:multiLevelType w:val="hybridMultilevel"/>
    <w:tmpl w:val="44FCF7B0"/>
    <w:lvl w:ilvl="0" w:tplc="95C88B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39A"/>
    <w:multiLevelType w:val="hybridMultilevel"/>
    <w:tmpl w:val="154C4700"/>
    <w:lvl w:ilvl="0" w:tplc="87F2BBD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26FD8"/>
    <w:multiLevelType w:val="hybridMultilevel"/>
    <w:tmpl w:val="E2A2FD50"/>
    <w:lvl w:ilvl="0" w:tplc="8D1C0D1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81027"/>
    <w:multiLevelType w:val="hybridMultilevel"/>
    <w:tmpl w:val="CF5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B23AA"/>
    <w:multiLevelType w:val="hybridMultilevel"/>
    <w:tmpl w:val="AE3EF842"/>
    <w:lvl w:ilvl="0" w:tplc="E334F33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9936B5"/>
    <w:multiLevelType w:val="hybridMultilevel"/>
    <w:tmpl w:val="14D459EE"/>
    <w:lvl w:ilvl="0" w:tplc="201C1496">
      <w:start w:val="4"/>
      <w:numFmt w:val="decimal"/>
      <w:lvlText w:val="%1."/>
      <w:lvlJc w:val="left"/>
      <w:pPr>
        <w:ind w:left="360" w:hanging="360"/>
      </w:pPr>
      <w:rPr>
        <w:rFonts w:ascii="Calibri" w:eastAsia="Times New Roman" w:hAnsi="Calibri"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41DCF"/>
    <w:multiLevelType w:val="hybridMultilevel"/>
    <w:tmpl w:val="877AC5F4"/>
    <w:lvl w:ilvl="0" w:tplc="66C2A70E">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4444D"/>
    <w:multiLevelType w:val="hybridMultilevel"/>
    <w:tmpl w:val="05FCF7E6"/>
    <w:lvl w:ilvl="0" w:tplc="D61EF5C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D2AB4"/>
    <w:multiLevelType w:val="hybridMultilevel"/>
    <w:tmpl w:val="0CC8A206"/>
    <w:lvl w:ilvl="0" w:tplc="3A96FA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443D3"/>
    <w:multiLevelType w:val="hybridMultilevel"/>
    <w:tmpl w:val="8AC2BFF4"/>
    <w:lvl w:ilvl="0" w:tplc="64F6D1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65360"/>
    <w:multiLevelType w:val="hybridMultilevel"/>
    <w:tmpl w:val="B45801A2"/>
    <w:lvl w:ilvl="0" w:tplc="1E1EE1A0">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F4E00"/>
    <w:multiLevelType w:val="hybridMultilevel"/>
    <w:tmpl w:val="2BB8905A"/>
    <w:lvl w:ilvl="0" w:tplc="EA9C21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A64"/>
    <w:multiLevelType w:val="hybridMultilevel"/>
    <w:tmpl w:val="383016FE"/>
    <w:lvl w:ilvl="0" w:tplc="B5B2154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027FE"/>
    <w:multiLevelType w:val="hybridMultilevel"/>
    <w:tmpl w:val="DA768842"/>
    <w:lvl w:ilvl="0" w:tplc="8594E39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B49E1"/>
    <w:multiLevelType w:val="hybridMultilevel"/>
    <w:tmpl w:val="47AAC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501CC"/>
    <w:multiLevelType w:val="hybridMultilevel"/>
    <w:tmpl w:val="5B7E540A"/>
    <w:lvl w:ilvl="0" w:tplc="FFC8660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E605A"/>
    <w:multiLevelType w:val="hybridMultilevel"/>
    <w:tmpl w:val="EED6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601F4"/>
    <w:multiLevelType w:val="hybridMultilevel"/>
    <w:tmpl w:val="516E3D04"/>
    <w:lvl w:ilvl="0" w:tplc="5BA687D4">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B413C"/>
    <w:multiLevelType w:val="hybridMultilevel"/>
    <w:tmpl w:val="A4E2F8AE"/>
    <w:lvl w:ilvl="0" w:tplc="1FC05F1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B77AB"/>
    <w:multiLevelType w:val="hybridMultilevel"/>
    <w:tmpl w:val="5B7E540A"/>
    <w:lvl w:ilvl="0" w:tplc="FFC8660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FE7805"/>
    <w:multiLevelType w:val="hybridMultilevel"/>
    <w:tmpl w:val="32124208"/>
    <w:lvl w:ilvl="0" w:tplc="E2D6BFF4">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3198E"/>
    <w:multiLevelType w:val="hybridMultilevel"/>
    <w:tmpl w:val="12AC901C"/>
    <w:lvl w:ilvl="0" w:tplc="4AD2CA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025F0"/>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1F1567"/>
    <w:multiLevelType w:val="hybridMultilevel"/>
    <w:tmpl w:val="83C4870A"/>
    <w:lvl w:ilvl="0" w:tplc="5F64078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FFD74D0"/>
    <w:multiLevelType w:val="hybridMultilevel"/>
    <w:tmpl w:val="510CB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82384E"/>
    <w:multiLevelType w:val="hybridMultilevel"/>
    <w:tmpl w:val="7F44B90E"/>
    <w:lvl w:ilvl="0" w:tplc="5CE2DD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E40971"/>
    <w:multiLevelType w:val="hybridMultilevel"/>
    <w:tmpl w:val="C150AA78"/>
    <w:lvl w:ilvl="0" w:tplc="1444C60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D1111F"/>
    <w:multiLevelType w:val="hybridMultilevel"/>
    <w:tmpl w:val="0FB62494"/>
    <w:lvl w:ilvl="0" w:tplc="470E322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8C1132B"/>
    <w:multiLevelType w:val="hybridMultilevel"/>
    <w:tmpl w:val="7340BA82"/>
    <w:lvl w:ilvl="0" w:tplc="0206FC74">
      <w:start w:val="1"/>
      <w:numFmt w:val="decimal"/>
      <w:lvlText w:val="%1."/>
      <w:lvlJc w:val="left"/>
      <w:pPr>
        <w:ind w:left="360" w:hanging="360"/>
      </w:pPr>
      <w:rPr>
        <w:rFonts w:ascii="Calibri" w:eastAsia="Times New Roman" w:hAnsi="Calibri"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94D0488"/>
    <w:multiLevelType w:val="hybridMultilevel"/>
    <w:tmpl w:val="0F4668AA"/>
    <w:lvl w:ilvl="0" w:tplc="0936B2B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5788E"/>
    <w:multiLevelType w:val="hybridMultilevel"/>
    <w:tmpl w:val="44FCF7B0"/>
    <w:lvl w:ilvl="0" w:tplc="95C88B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4201CC"/>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414A36"/>
    <w:multiLevelType w:val="hybridMultilevel"/>
    <w:tmpl w:val="8020C604"/>
    <w:lvl w:ilvl="0" w:tplc="46E8C89E">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9"/>
  </w:num>
  <w:num w:numId="3">
    <w:abstractNumId w:val="40"/>
  </w:num>
  <w:num w:numId="4">
    <w:abstractNumId w:val="27"/>
  </w:num>
  <w:num w:numId="5">
    <w:abstractNumId w:val="8"/>
  </w:num>
  <w:num w:numId="6">
    <w:abstractNumId w:val="33"/>
  </w:num>
  <w:num w:numId="7">
    <w:abstractNumId w:val="47"/>
  </w:num>
  <w:num w:numId="8">
    <w:abstractNumId w:val="19"/>
  </w:num>
  <w:num w:numId="9">
    <w:abstractNumId w:val="1"/>
  </w:num>
  <w:num w:numId="10">
    <w:abstractNumId w:val="35"/>
  </w:num>
  <w:num w:numId="11">
    <w:abstractNumId w:val="22"/>
  </w:num>
  <w:num w:numId="12">
    <w:abstractNumId w:val="15"/>
  </w:num>
  <w:num w:numId="1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6"/>
  </w:num>
  <w:num w:numId="16">
    <w:abstractNumId w:val="45"/>
  </w:num>
  <w:num w:numId="17">
    <w:abstractNumId w:val="16"/>
  </w:num>
  <w:num w:numId="18">
    <w:abstractNumId w:val="32"/>
  </w:num>
  <w:num w:numId="19">
    <w:abstractNumId w:val="14"/>
  </w:num>
  <w:num w:numId="20">
    <w:abstractNumId w:val="44"/>
  </w:num>
  <w:num w:numId="21">
    <w:abstractNumId w:val="29"/>
  </w:num>
  <w:num w:numId="22">
    <w:abstractNumId w:val="3"/>
  </w:num>
  <w:num w:numId="23">
    <w:abstractNumId w:val="24"/>
  </w:num>
  <w:num w:numId="24">
    <w:abstractNumId w:val="0"/>
  </w:num>
  <w:num w:numId="25">
    <w:abstractNumId w:val="34"/>
  </w:num>
  <w:num w:numId="26">
    <w:abstractNumId w:val="21"/>
  </w:num>
  <w:num w:numId="27">
    <w:abstractNumId w:val="20"/>
  </w:num>
  <w:num w:numId="28">
    <w:abstractNumId w:val="37"/>
  </w:num>
  <w:num w:numId="29">
    <w:abstractNumId w:val="2"/>
  </w:num>
  <w:num w:numId="30">
    <w:abstractNumId w:val="18"/>
  </w:num>
  <w:num w:numId="31">
    <w:abstractNumId w:val="31"/>
  </w:num>
  <w:num w:numId="32">
    <w:abstractNumId w:val="7"/>
  </w:num>
  <w:num w:numId="33">
    <w:abstractNumId w:val="13"/>
  </w:num>
  <w:num w:numId="34">
    <w:abstractNumId w:val="5"/>
  </w:num>
  <w:num w:numId="35">
    <w:abstractNumId w:val="23"/>
  </w:num>
  <w:num w:numId="36">
    <w:abstractNumId w:val="36"/>
  </w:num>
  <w:num w:numId="37">
    <w:abstractNumId w:val="25"/>
  </w:num>
  <w:num w:numId="38">
    <w:abstractNumId w:val="41"/>
  </w:num>
  <w:num w:numId="39">
    <w:abstractNumId w:val="10"/>
  </w:num>
  <w:num w:numId="40">
    <w:abstractNumId w:val="42"/>
  </w:num>
  <w:num w:numId="41">
    <w:abstractNumId w:val="38"/>
  </w:num>
  <w:num w:numId="42">
    <w:abstractNumId w:val="39"/>
  </w:num>
  <w:num w:numId="43">
    <w:abstractNumId w:val="28"/>
  </w:num>
  <w:num w:numId="44">
    <w:abstractNumId w:val="12"/>
  </w:num>
  <w:num w:numId="45">
    <w:abstractNumId w:val="26"/>
  </w:num>
  <w:num w:numId="46">
    <w:abstractNumId w:val="4"/>
  </w:num>
  <w:num w:numId="47">
    <w:abstractNumId w:val="11"/>
  </w:num>
  <w:num w:numId="48">
    <w:abstractNumId w:val="30"/>
  </w:num>
  <w:num w:numId="49">
    <w:abstractNumId w:val="4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63B3"/>
    <w:rsid w:val="00007963"/>
    <w:rsid w:val="000116BD"/>
    <w:rsid w:val="00012129"/>
    <w:rsid w:val="0001435F"/>
    <w:rsid w:val="000145DD"/>
    <w:rsid w:val="00014969"/>
    <w:rsid w:val="00015D6B"/>
    <w:rsid w:val="000247D0"/>
    <w:rsid w:val="000269DF"/>
    <w:rsid w:val="000301D2"/>
    <w:rsid w:val="000333E6"/>
    <w:rsid w:val="00040F45"/>
    <w:rsid w:val="00041A93"/>
    <w:rsid w:val="00042363"/>
    <w:rsid w:val="00051356"/>
    <w:rsid w:val="00054D70"/>
    <w:rsid w:val="00061DBA"/>
    <w:rsid w:val="00064550"/>
    <w:rsid w:val="00072250"/>
    <w:rsid w:val="00072A7A"/>
    <w:rsid w:val="00072AB1"/>
    <w:rsid w:val="000761C8"/>
    <w:rsid w:val="00080D10"/>
    <w:rsid w:val="00080FBD"/>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69B8"/>
    <w:rsid w:val="000C71E5"/>
    <w:rsid w:val="000C781A"/>
    <w:rsid w:val="000D0378"/>
    <w:rsid w:val="000D0A15"/>
    <w:rsid w:val="000D1859"/>
    <w:rsid w:val="000D2864"/>
    <w:rsid w:val="000E209C"/>
    <w:rsid w:val="000E22E7"/>
    <w:rsid w:val="000E2B04"/>
    <w:rsid w:val="000E2F62"/>
    <w:rsid w:val="000E4211"/>
    <w:rsid w:val="000E5A35"/>
    <w:rsid w:val="000E64B7"/>
    <w:rsid w:val="000F4BA5"/>
    <w:rsid w:val="000F4E00"/>
    <w:rsid w:val="000F50AE"/>
    <w:rsid w:val="000F703C"/>
    <w:rsid w:val="001035AE"/>
    <w:rsid w:val="00103899"/>
    <w:rsid w:val="00105DE6"/>
    <w:rsid w:val="00106802"/>
    <w:rsid w:val="0011287B"/>
    <w:rsid w:val="00113DC8"/>
    <w:rsid w:val="00117228"/>
    <w:rsid w:val="001173D7"/>
    <w:rsid w:val="00117E01"/>
    <w:rsid w:val="00120DF5"/>
    <w:rsid w:val="00121C3E"/>
    <w:rsid w:val="001223C3"/>
    <w:rsid w:val="001228A6"/>
    <w:rsid w:val="00123161"/>
    <w:rsid w:val="00123FB2"/>
    <w:rsid w:val="001249DB"/>
    <w:rsid w:val="0012522D"/>
    <w:rsid w:val="00130171"/>
    <w:rsid w:val="00131653"/>
    <w:rsid w:val="001323DB"/>
    <w:rsid w:val="00137FB3"/>
    <w:rsid w:val="00143222"/>
    <w:rsid w:val="00146808"/>
    <w:rsid w:val="00147429"/>
    <w:rsid w:val="00151404"/>
    <w:rsid w:val="001525BC"/>
    <w:rsid w:val="00156607"/>
    <w:rsid w:val="00166EC7"/>
    <w:rsid w:val="0017098A"/>
    <w:rsid w:val="00170C30"/>
    <w:rsid w:val="0017118A"/>
    <w:rsid w:val="00171C50"/>
    <w:rsid w:val="001727B7"/>
    <w:rsid w:val="00174E1A"/>
    <w:rsid w:val="00184104"/>
    <w:rsid w:val="00186175"/>
    <w:rsid w:val="00187672"/>
    <w:rsid w:val="00192EA7"/>
    <w:rsid w:val="001930B2"/>
    <w:rsid w:val="00196634"/>
    <w:rsid w:val="0019713D"/>
    <w:rsid w:val="001A0A6D"/>
    <w:rsid w:val="001A6660"/>
    <w:rsid w:val="001A6D3E"/>
    <w:rsid w:val="001A6E32"/>
    <w:rsid w:val="001A7376"/>
    <w:rsid w:val="001A7B39"/>
    <w:rsid w:val="001B743D"/>
    <w:rsid w:val="001C2F11"/>
    <w:rsid w:val="001C5130"/>
    <w:rsid w:val="001D4CBB"/>
    <w:rsid w:val="001D7808"/>
    <w:rsid w:val="001D790B"/>
    <w:rsid w:val="001E0458"/>
    <w:rsid w:val="001E0B2A"/>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3CD1"/>
    <w:rsid w:val="00214EA2"/>
    <w:rsid w:val="00216F0A"/>
    <w:rsid w:val="0021799D"/>
    <w:rsid w:val="00217BCC"/>
    <w:rsid w:val="00220846"/>
    <w:rsid w:val="002231F6"/>
    <w:rsid w:val="002240A5"/>
    <w:rsid w:val="00224A7D"/>
    <w:rsid w:val="002266D0"/>
    <w:rsid w:val="002306E5"/>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69EA"/>
    <w:rsid w:val="00287159"/>
    <w:rsid w:val="00287316"/>
    <w:rsid w:val="00287AE6"/>
    <w:rsid w:val="00293BDD"/>
    <w:rsid w:val="0029542F"/>
    <w:rsid w:val="00295C92"/>
    <w:rsid w:val="002A207D"/>
    <w:rsid w:val="002A6906"/>
    <w:rsid w:val="002A78F0"/>
    <w:rsid w:val="002A7E5E"/>
    <w:rsid w:val="002B003F"/>
    <w:rsid w:val="002B4A2A"/>
    <w:rsid w:val="002B6D59"/>
    <w:rsid w:val="002C2349"/>
    <w:rsid w:val="002C5E6F"/>
    <w:rsid w:val="002D1F1F"/>
    <w:rsid w:val="002D4328"/>
    <w:rsid w:val="002D5DC4"/>
    <w:rsid w:val="002E3281"/>
    <w:rsid w:val="002E4AE4"/>
    <w:rsid w:val="002E7684"/>
    <w:rsid w:val="002F051B"/>
    <w:rsid w:val="002F3B5F"/>
    <w:rsid w:val="003005F9"/>
    <w:rsid w:val="00303821"/>
    <w:rsid w:val="00310BFA"/>
    <w:rsid w:val="003142DC"/>
    <w:rsid w:val="003158E5"/>
    <w:rsid w:val="00321B8A"/>
    <w:rsid w:val="00323EF8"/>
    <w:rsid w:val="003243EB"/>
    <w:rsid w:val="00325704"/>
    <w:rsid w:val="00325B42"/>
    <w:rsid w:val="0033134E"/>
    <w:rsid w:val="0033232C"/>
    <w:rsid w:val="00332DB5"/>
    <w:rsid w:val="00333EC2"/>
    <w:rsid w:val="0035288B"/>
    <w:rsid w:val="00352EE0"/>
    <w:rsid w:val="00356C41"/>
    <w:rsid w:val="003617CF"/>
    <w:rsid w:val="0036453C"/>
    <w:rsid w:val="00364896"/>
    <w:rsid w:val="003736FE"/>
    <w:rsid w:val="00374914"/>
    <w:rsid w:val="00375100"/>
    <w:rsid w:val="00380651"/>
    <w:rsid w:val="003844BF"/>
    <w:rsid w:val="00386920"/>
    <w:rsid w:val="00387BDA"/>
    <w:rsid w:val="00387DB5"/>
    <w:rsid w:val="00390A56"/>
    <w:rsid w:val="00391331"/>
    <w:rsid w:val="00392F6A"/>
    <w:rsid w:val="003953D8"/>
    <w:rsid w:val="0039617E"/>
    <w:rsid w:val="00396740"/>
    <w:rsid w:val="003A2E08"/>
    <w:rsid w:val="003A669B"/>
    <w:rsid w:val="003A6D2E"/>
    <w:rsid w:val="003B1738"/>
    <w:rsid w:val="003B5AD6"/>
    <w:rsid w:val="003B6C2C"/>
    <w:rsid w:val="003C0CD5"/>
    <w:rsid w:val="003C3B7C"/>
    <w:rsid w:val="003C6F1A"/>
    <w:rsid w:val="003C7BEF"/>
    <w:rsid w:val="003D1C4B"/>
    <w:rsid w:val="003D2EEA"/>
    <w:rsid w:val="003D3381"/>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13B"/>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12FA"/>
    <w:rsid w:val="00432592"/>
    <w:rsid w:val="00432D23"/>
    <w:rsid w:val="00433051"/>
    <w:rsid w:val="004333F1"/>
    <w:rsid w:val="00433A69"/>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5F75"/>
    <w:rsid w:val="004C6134"/>
    <w:rsid w:val="004C6413"/>
    <w:rsid w:val="004D156C"/>
    <w:rsid w:val="004D72E1"/>
    <w:rsid w:val="004E1A52"/>
    <w:rsid w:val="004E407F"/>
    <w:rsid w:val="004E4A45"/>
    <w:rsid w:val="004E6BBF"/>
    <w:rsid w:val="004F1155"/>
    <w:rsid w:val="004F2311"/>
    <w:rsid w:val="004F505E"/>
    <w:rsid w:val="004F65DF"/>
    <w:rsid w:val="004F7AF3"/>
    <w:rsid w:val="00501D0C"/>
    <w:rsid w:val="00505F8D"/>
    <w:rsid w:val="00507181"/>
    <w:rsid w:val="00510E3B"/>
    <w:rsid w:val="00514650"/>
    <w:rsid w:val="00516840"/>
    <w:rsid w:val="00523492"/>
    <w:rsid w:val="005276A9"/>
    <w:rsid w:val="00535049"/>
    <w:rsid w:val="00535AC7"/>
    <w:rsid w:val="00540CE4"/>
    <w:rsid w:val="00543081"/>
    <w:rsid w:val="005444CB"/>
    <w:rsid w:val="00544EF4"/>
    <w:rsid w:val="00546072"/>
    <w:rsid w:val="00561292"/>
    <w:rsid w:val="00561353"/>
    <w:rsid w:val="0056294D"/>
    <w:rsid w:val="00566CB5"/>
    <w:rsid w:val="005670E1"/>
    <w:rsid w:val="0057240E"/>
    <w:rsid w:val="00573960"/>
    <w:rsid w:val="00575645"/>
    <w:rsid w:val="00576FAC"/>
    <w:rsid w:val="00577210"/>
    <w:rsid w:val="00581097"/>
    <w:rsid w:val="00581AF4"/>
    <w:rsid w:val="0058308C"/>
    <w:rsid w:val="005839CC"/>
    <w:rsid w:val="00583B0A"/>
    <w:rsid w:val="005861B4"/>
    <w:rsid w:val="00586FC6"/>
    <w:rsid w:val="0058710D"/>
    <w:rsid w:val="00591079"/>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498"/>
    <w:rsid w:val="005C0BF9"/>
    <w:rsid w:val="005C2768"/>
    <w:rsid w:val="005C428F"/>
    <w:rsid w:val="005C51F3"/>
    <w:rsid w:val="005C62FF"/>
    <w:rsid w:val="005D2AC5"/>
    <w:rsid w:val="005D372D"/>
    <w:rsid w:val="005D5530"/>
    <w:rsid w:val="005D78A3"/>
    <w:rsid w:val="005E0E11"/>
    <w:rsid w:val="005E27C8"/>
    <w:rsid w:val="005E5BCE"/>
    <w:rsid w:val="005E6031"/>
    <w:rsid w:val="005E6748"/>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16D1E"/>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41372"/>
    <w:rsid w:val="006416E7"/>
    <w:rsid w:val="00641E81"/>
    <w:rsid w:val="00643A72"/>
    <w:rsid w:val="006644CA"/>
    <w:rsid w:val="00666BDD"/>
    <w:rsid w:val="0067065C"/>
    <w:rsid w:val="00670C9A"/>
    <w:rsid w:val="00671FA1"/>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B70F4"/>
    <w:rsid w:val="006C40F5"/>
    <w:rsid w:val="006C4E16"/>
    <w:rsid w:val="006C501E"/>
    <w:rsid w:val="006C5367"/>
    <w:rsid w:val="006D1EB2"/>
    <w:rsid w:val="006D6381"/>
    <w:rsid w:val="006D7224"/>
    <w:rsid w:val="006E09ED"/>
    <w:rsid w:val="006E126A"/>
    <w:rsid w:val="006E42E8"/>
    <w:rsid w:val="006E6A74"/>
    <w:rsid w:val="006F31CA"/>
    <w:rsid w:val="006F573C"/>
    <w:rsid w:val="006F7E1A"/>
    <w:rsid w:val="006F7F0F"/>
    <w:rsid w:val="007007B5"/>
    <w:rsid w:val="00701E6E"/>
    <w:rsid w:val="00701F4A"/>
    <w:rsid w:val="007036A4"/>
    <w:rsid w:val="00703A13"/>
    <w:rsid w:val="00705AA5"/>
    <w:rsid w:val="00707104"/>
    <w:rsid w:val="0070717D"/>
    <w:rsid w:val="007121C1"/>
    <w:rsid w:val="00715E1A"/>
    <w:rsid w:val="00720C1A"/>
    <w:rsid w:val="0072157E"/>
    <w:rsid w:val="00721A2E"/>
    <w:rsid w:val="00722E5E"/>
    <w:rsid w:val="00723EA0"/>
    <w:rsid w:val="007241DA"/>
    <w:rsid w:val="00726FD5"/>
    <w:rsid w:val="0072740D"/>
    <w:rsid w:val="0074166C"/>
    <w:rsid w:val="0074215F"/>
    <w:rsid w:val="00743277"/>
    <w:rsid w:val="007457BA"/>
    <w:rsid w:val="0074648B"/>
    <w:rsid w:val="00765B23"/>
    <w:rsid w:val="00765FB2"/>
    <w:rsid w:val="007719BE"/>
    <w:rsid w:val="00773901"/>
    <w:rsid w:val="00774457"/>
    <w:rsid w:val="00775EE9"/>
    <w:rsid w:val="007765E0"/>
    <w:rsid w:val="00780D22"/>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4F94"/>
    <w:rsid w:val="007D6E5A"/>
    <w:rsid w:val="007D7A48"/>
    <w:rsid w:val="007E0D49"/>
    <w:rsid w:val="007E0E11"/>
    <w:rsid w:val="007E3CA7"/>
    <w:rsid w:val="007E6673"/>
    <w:rsid w:val="007E70FB"/>
    <w:rsid w:val="007F4950"/>
    <w:rsid w:val="007F555C"/>
    <w:rsid w:val="007F60AD"/>
    <w:rsid w:val="007F672D"/>
    <w:rsid w:val="00800B5F"/>
    <w:rsid w:val="0080240F"/>
    <w:rsid w:val="00802ABC"/>
    <w:rsid w:val="00803859"/>
    <w:rsid w:val="008064B9"/>
    <w:rsid w:val="00807429"/>
    <w:rsid w:val="00807C1D"/>
    <w:rsid w:val="00810A81"/>
    <w:rsid w:val="00810F7A"/>
    <w:rsid w:val="008119BB"/>
    <w:rsid w:val="008146B4"/>
    <w:rsid w:val="008203E6"/>
    <w:rsid w:val="00824E6F"/>
    <w:rsid w:val="00825AD9"/>
    <w:rsid w:val="00830E93"/>
    <w:rsid w:val="00832B1F"/>
    <w:rsid w:val="0083300F"/>
    <w:rsid w:val="00833B31"/>
    <w:rsid w:val="008362AB"/>
    <w:rsid w:val="00836819"/>
    <w:rsid w:val="00836EAD"/>
    <w:rsid w:val="008374A1"/>
    <w:rsid w:val="0084102A"/>
    <w:rsid w:val="008431FE"/>
    <w:rsid w:val="00850211"/>
    <w:rsid w:val="00851B38"/>
    <w:rsid w:val="00851CF2"/>
    <w:rsid w:val="008526F7"/>
    <w:rsid w:val="008575D9"/>
    <w:rsid w:val="00866825"/>
    <w:rsid w:val="008711CB"/>
    <w:rsid w:val="008711EF"/>
    <w:rsid w:val="00873A1E"/>
    <w:rsid w:val="00880769"/>
    <w:rsid w:val="008819DF"/>
    <w:rsid w:val="00882590"/>
    <w:rsid w:val="008846CB"/>
    <w:rsid w:val="00885BA4"/>
    <w:rsid w:val="00891FF6"/>
    <w:rsid w:val="00894DC3"/>
    <w:rsid w:val="008A4879"/>
    <w:rsid w:val="008A5102"/>
    <w:rsid w:val="008B2195"/>
    <w:rsid w:val="008B3F06"/>
    <w:rsid w:val="008B42ED"/>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1BFA"/>
    <w:rsid w:val="008F5246"/>
    <w:rsid w:val="008F5BA6"/>
    <w:rsid w:val="00900567"/>
    <w:rsid w:val="009016D3"/>
    <w:rsid w:val="00901F65"/>
    <w:rsid w:val="009060FD"/>
    <w:rsid w:val="00907637"/>
    <w:rsid w:val="009128FB"/>
    <w:rsid w:val="0091324C"/>
    <w:rsid w:val="00914F6D"/>
    <w:rsid w:val="009201FD"/>
    <w:rsid w:val="0092147F"/>
    <w:rsid w:val="00922374"/>
    <w:rsid w:val="00925674"/>
    <w:rsid w:val="009270C6"/>
    <w:rsid w:val="00927CC2"/>
    <w:rsid w:val="0093469E"/>
    <w:rsid w:val="009355DF"/>
    <w:rsid w:val="009407B9"/>
    <w:rsid w:val="00941B03"/>
    <w:rsid w:val="0094355F"/>
    <w:rsid w:val="0095033D"/>
    <w:rsid w:val="00953214"/>
    <w:rsid w:val="00953756"/>
    <w:rsid w:val="009551AD"/>
    <w:rsid w:val="0095633C"/>
    <w:rsid w:val="009637F7"/>
    <w:rsid w:val="00964272"/>
    <w:rsid w:val="00965DDA"/>
    <w:rsid w:val="00970A0D"/>
    <w:rsid w:val="009721FA"/>
    <w:rsid w:val="009733BE"/>
    <w:rsid w:val="00977A99"/>
    <w:rsid w:val="00981E6A"/>
    <w:rsid w:val="009841D0"/>
    <w:rsid w:val="00984388"/>
    <w:rsid w:val="009845EB"/>
    <w:rsid w:val="00985DE3"/>
    <w:rsid w:val="00987967"/>
    <w:rsid w:val="00990CA5"/>
    <w:rsid w:val="0099144C"/>
    <w:rsid w:val="00991676"/>
    <w:rsid w:val="00991C27"/>
    <w:rsid w:val="00991F57"/>
    <w:rsid w:val="00994F9A"/>
    <w:rsid w:val="00995F53"/>
    <w:rsid w:val="00996867"/>
    <w:rsid w:val="00996D1A"/>
    <w:rsid w:val="009A5F53"/>
    <w:rsid w:val="009A6115"/>
    <w:rsid w:val="009B34BD"/>
    <w:rsid w:val="009C0E37"/>
    <w:rsid w:val="009C0FF0"/>
    <w:rsid w:val="009C15B9"/>
    <w:rsid w:val="009C194B"/>
    <w:rsid w:val="009C1F6C"/>
    <w:rsid w:val="009C2868"/>
    <w:rsid w:val="009C4A99"/>
    <w:rsid w:val="009C7260"/>
    <w:rsid w:val="009D14D3"/>
    <w:rsid w:val="009D1617"/>
    <w:rsid w:val="009D23A2"/>
    <w:rsid w:val="009D5A90"/>
    <w:rsid w:val="009D6CBC"/>
    <w:rsid w:val="009D7B2F"/>
    <w:rsid w:val="009E0182"/>
    <w:rsid w:val="009E5F35"/>
    <w:rsid w:val="009E6067"/>
    <w:rsid w:val="009E65E3"/>
    <w:rsid w:val="009E666C"/>
    <w:rsid w:val="009E7D35"/>
    <w:rsid w:val="009F162B"/>
    <w:rsid w:val="009F4DF7"/>
    <w:rsid w:val="00A03B9C"/>
    <w:rsid w:val="00A05FB1"/>
    <w:rsid w:val="00A06101"/>
    <w:rsid w:val="00A0771C"/>
    <w:rsid w:val="00A135CF"/>
    <w:rsid w:val="00A166C6"/>
    <w:rsid w:val="00A271DD"/>
    <w:rsid w:val="00A2742D"/>
    <w:rsid w:val="00A31499"/>
    <w:rsid w:val="00A33A05"/>
    <w:rsid w:val="00A354A8"/>
    <w:rsid w:val="00A37F64"/>
    <w:rsid w:val="00A42A46"/>
    <w:rsid w:val="00A47B4C"/>
    <w:rsid w:val="00A47EF1"/>
    <w:rsid w:val="00A5741F"/>
    <w:rsid w:val="00A6105E"/>
    <w:rsid w:val="00A61C81"/>
    <w:rsid w:val="00A61E47"/>
    <w:rsid w:val="00A633D5"/>
    <w:rsid w:val="00A63AB0"/>
    <w:rsid w:val="00A67875"/>
    <w:rsid w:val="00A713F5"/>
    <w:rsid w:val="00A71A03"/>
    <w:rsid w:val="00A71C7C"/>
    <w:rsid w:val="00A73102"/>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47AE"/>
    <w:rsid w:val="00AF5A3A"/>
    <w:rsid w:val="00AF66CF"/>
    <w:rsid w:val="00B017A6"/>
    <w:rsid w:val="00B03C0A"/>
    <w:rsid w:val="00B05E2B"/>
    <w:rsid w:val="00B06396"/>
    <w:rsid w:val="00B06F6A"/>
    <w:rsid w:val="00B1072B"/>
    <w:rsid w:val="00B11CDE"/>
    <w:rsid w:val="00B12842"/>
    <w:rsid w:val="00B12C68"/>
    <w:rsid w:val="00B14732"/>
    <w:rsid w:val="00B153A0"/>
    <w:rsid w:val="00B155D9"/>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0CEA"/>
    <w:rsid w:val="00BE2323"/>
    <w:rsid w:val="00BE3CE3"/>
    <w:rsid w:val="00BE7AB2"/>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7C5A"/>
    <w:rsid w:val="00C31AC2"/>
    <w:rsid w:val="00C32B3B"/>
    <w:rsid w:val="00C33DF2"/>
    <w:rsid w:val="00C34B5E"/>
    <w:rsid w:val="00C370B9"/>
    <w:rsid w:val="00C418AB"/>
    <w:rsid w:val="00C428A2"/>
    <w:rsid w:val="00C45731"/>
    <w:rsid w:val="00C45C08"/>
    <w:rsid w:val="00C50489"/>
    <w:rsid w:val="00C52A0C"/>
    <w:rsid w:val="00C60BD1"/>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03E"/>
    <w:rsid w:val="00D27AFC"/>
    <w:rsid w:val="00D27D30"/>
    <w:rsid w:val="00D27D57"/>
    <w:rsid w:val="00D31B10"/>
    <w:rsid w:val="00D37370"/>
    <w:rsid w:val="00D37D96"/>
    <w:rsid w:val="00D425F2"/>
    <w:rsid w:val="00D45365"/>
    <w:rsid w:val="00D53D9D"/>
    <w:rsid w:val="00D5472D"/>
    <w:rsid w:val="00D559AC"/>
    <w:rsid w:val="00D608BE"/>
    <w:rsid w:val="00D62D69"/>
    <w:rsid w:val="00D62E8C"/>
    <w:rsid w:val="00D640BD"/>
    <w:rsid w:val="00D64E79"/>
    <w:rsid w:val="00D65A78"/>
    <w:rsid w:val="00D71102"/>
    <w:rsid w:val="00D722BF"/>
    <w:rsid w:val="00D73960"/>
    <w:rsid w:val="00D7479F"/>
    <w:rsid w:val="00D7606F"/>
    <w:rsid w:val="00D801DF"/>
    <w:rsid w:val="00D80323"/>
    <w:rsid w:val="00D81517"/>
    <w:rsid w:val="00D82722"/>
    <w:rsid w:val="00D830FF"/>
    <w:rsid w:val="00D83E0C"/>
    <w:rsid w:val="00D86410"/>
    <w:rsid w:val="00D87550"/>
    <w:rsid w:val="00D9020C"/>
    <w:rsid w:val="00D93062"/>
    <w:rsid w:val="00D93BDC"/>
    <w:rsid w:val="00D94CC5"/>
    <w:rsid w:val="00D95A21"/>
    <w:rsid w:val="00D96037"/>
    <w:rsid w:val="00D974C3"/>
    <w:rsid w:val="00DA1957"/>
    <w:rsid w:val="00DA27CA"/>
    <w:rsid w:val="00DA38E0"/>
    <w:rsid w:val="00DA6B12"/>
    <w:rsid w:val="00DA7544"/>
    <w:rsid w:val="00DB0819"/>
    <w:rsid w:val="00DB27EA"/>
    <w:rsid w:val="00DB35CA"/>
    <w:rsid w:val="00DC0B3A"/>
    <w:rsid w:val="00DC3859"/>
    <w:rsid w:val="00DC60F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2947"/>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56D20"/>
    <w:rsid w:val="00E619F4"/>
    <w:rsid w:val="00E62845"/>
    <w:rsid w:val="00E6359A"/>
    <w:rsid w:val="00E674DA"/>
    <w:rsid w:val="00E7182E"/>
    <w:rsid w:val="00E73987"/>
    <w:rsid w:val="00E77AAE"/>
    <w:rsid w:val="00E81322"/>
    <w:rsid w:val="00E8134E"/>
    <w:rsid w:val="00E8154F"/>
    <w:rsid w:val="00E82838"/>
    <w:rsid w:val="00E871DF"/>
    <w:rsid w:val="00E90E11"/>
    <w:rsid w:val="00E91B3D"/>
    <w:rsid w:val="00E93A11"/>
    <w:rsid w:val="00E93CE6"/>
    <w:rsid w:val="00E94FA7"/>
    <w:rsid w:val="00E96232"/>
    <w:rsid w:val="00E97314"/>
    <w:rsid w:val="00EA2790"/>
    <w:rsid w:val="00EA44B1"/>
    <w:rsid w:val="00EA5B4B"/>
    <w:rsid w:val="00EA7366"/>
    <w:rsid w:val="00EA78BD"/>
    <w:rsid w:val="00EA7AEF"/>
    <w:rsid w:val="00EB0B60"/>
    <w:rsid w:val="00EB4F23"/>
    <w:rsid w:val="00EB7D8F"/>
    <w:rsid w:val="00EC1BE3"/>
    <w:rsid w:val="00EC5101"/>
    <w:rsid w:val="00EC533C"/>
    <w:rsid w:val="00EC7A6E"/>
    <w:rsid w:val="00EC7C36"/>
    <w:rsid w:val="00EC7FF8"/>
    <w:rsid w:val="00ED04A7"/>
    <w:rsid w:val="00ED72D2"/>
    <w:rsid w:val="00ED72F4"/>
    <w:rsid w:val="00EE0862"/>
    <w:rsid w:val="00EE1BC8"/>
    <w:rsid w:val="00EE3587"/>
    <w:rsid w:val="00EE3D8B"/>
    <w:rsid w:val="00EE6739"/>
    <w:rsid w:val="00EF14F7"/>
    <w:rsid w:val="00EF27A4"/>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535"/>
    <w:rsid w:val="00F5670B"/>
    <w:rsid w:val="00F62359"/>
    <w:rsid w:val="00F6451B"/>
    <w:rsid w:val="00F65D2A"/>
    <w:rsid w:val="00F66838"/>
    <w:rsid w:val="00F67121"/>
    <w:rsid w:val="00F73227"/>
    <w:rsid w:val="00F7609F"/>
    <w:rsid w:val="00F82429"/>
    <w:rsid w:val="00F82C70"/>
    <w:rsid w:val="00F85961"/>
    <w:rsid w:val="00F85D96"/>
    <w:rsid w:val="00F8656A"/>
    <w:rsid w:val="00F8690A"/>
    <w:rsid w:val="00F86EF7"/>
    <w:rsid w:val="00F910AC"/>
    <w:rsid w:val="00F91696"/>
    <w:rsid w:val="00F9250F"/>
    <w:rsid w:val="00F92A31"/>
    <w:rsid w:val="00F95B05"/>
    <w:rsid w:val="00F9638D"/>
    <w:rsid w:val="00F96C3D"/>
    <w:rsid w:val="00FA0A45"/>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2AB4"/>
    <w:rsid w:val="00FE4014"/>
    <w:rsid w:val="00FE587B"/>
    <w:rsid w:val="00FE59F0"/>
    <w:rsid w:val="00FF3FD6"/>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2273"/>
    <o:shapelayout v:ext="edit">
      <o:idmap v:ext="edit" data="1"/>
    </o:shapelayout>
  </w:shapeDefaults>
  <w:decimalSymbol w:val="."/>
  <w:listSeparator w:val=","/>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link w:val="ListParagraphChar"/>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character" w:customStyle="1" w:styleId="ListParagraphChar">
    <w:name w:val="List Paragraph Char"/>
    <w:basedOn w:val="DefaultParagraphFont"/>
    <w:link w:val="ListParagraph"/>
    <w:uiPriority w:val="34"/>
    <w:rsid w:val="00780D22"/>
  </w:style>
  <w:style w:type="character" w:styleId="Hyperlink">
    <w:name w:val="Hyperlink"/>
    <w:basedOn w:val="DefaultParagraphFont"/>
    <w:uiPriority w:val="99"/>
    <w:unhideWhenUsed/>
    <w:rsid w:val="00566CB5"/>
    <w:rPr>
      <w:color w:val="0000FF" w:themeColor="hyperlink"/>
      <w:u w:val="single"/>
    </w:rPr>
  </w:style>
  <w:style w:type="paragraph" w:styleId="Revision">
    <w:name w:val="Revision"/>
    <w:hidden/>
    <w:uiPriority w:val="99"/>
    <w:semiHidden/>
    <w:rsid w:val="00991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on-covid-19-client-interactio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9547-AFE9-4C77-89E3-34F1FD5E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Joyce, Kevin J. (CDC/DDPHSS/OS/OSI)</cp:lastModifiedBy>
  <cp:revision>3</cp:revision>
  <cp:lastPrinted>2015-02-24T14:58:00Z</cp:lastPrinted>
  <dcterms:created xsi:type="dcterms:W3CDTF">2021-01-12T16:53:00Z</dcterms:created>
  <dcterms:modified xsi:type="dcterms:W3CDTF">2021-01-12T16:53:00Z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2020-10-29T17:00:38Z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69c0e63b-52de-4bb0-b3d3-2b94fb2f3665</vt:lpwstr>
  </property>
  <property fmtid="{D5CDD505-2E9C-101B-9397-08002B2CF9AE}" pid="8" name="MSIP_Label_7b94a7b8-f06c-4dfe-bdcc-9b548fd58c31_ContentBits">
    <vt:lpwstr>0</vt:lpwstr>
  </property>
</Properties>
</file>