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7D44" w:rsidR="00840D32" w:rsidP="000D7D44" w:rsidRDefault="009F482C" w14:paraId="5088836F" w14:textId="6617D629">
      <w:pPr>
        <w:spacing w:after="0" w:line="240" w:lineRule="auto"/>
        <w:jc w:val="center"/>
        <w:rPr>
          <w:b/>
        </w:rPr>
      </w:pPr>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4951B6" w:rsidR="004951B6" w:rsidP="004951B6" w:rsidRDefault="004951B6" w14:paraId="7B526C52" w14:textId="77777777">
      <w:pPr>
        <w:pStyle w:val="ReportCover-Title"/>
        <w:rPr>
          <w:rFonts w:ascii="Arial" w:hAnsi="Arial" w:eastAsia="Arial Unicode MS" w:cs="Arial"/>
          <w:noProof/>
          <w:color w:val="auto"/>
        </w:rPr>
      </w:pPr>
      <w:r w:rsidRPr="004951B6">
        <w:rPr>
          <w:rFonts w:ascii="Arial" w:hAnsi="Arial" w:eastAsia="Arial Unicode MS" w:cs="Arial"/>
          <w:noProof/>
          <w:color w:val="auto"/>
        </w:rPr>
        <w:t>Expanding Evidence on Replicable Recovery and Reunification Interventions for Families (R3)</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4951B6" w:rsidR="009B3DFB" w:rsidP="009B3DFB" w:rsidRDefault="009B3DFB" w14:paraId="2D942086" w14:textId="77777777">
      <w:pPr>
        <w:pStyle w:val="ReportCover-Title"/>
        <w:jc w:val="center"/>
        <w:rPr>
          <w:rFonts w:ascii="Arial" w:hAnsi="Arial" w:cs="Arial"/>
          <w:color w:val="auto"/>
          <w:sz w:val="32"/>
          <w:szCs w:val="32"/>
        </w:rPr>
      </w:pPr>
      <w:r w:rsidRPr="004951B6">
        <w:rPr>
          <w:rFonts w:ascii="Arial" w:hAnsi="Arial" w:cs="Arial"/>
          <w:color w:val="auto"/>
          <w:sz w:val="32"/>
          <w:szCs w:val="32"/>
        </w:rPr>
        <w:t>Formative Data Collections for ACF Research</w:t>
      </w:r>
    </w:p>
    <w:p w:rsidRPr="004951B6"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2C95BB2F">
      <w:pPr>
        <w:pStyle w:val="ReportCover-Title"/>
        <w:jc w:val="center"/>
        <w:rPr>
          <w:rFonts w:ascii="Arial" w:hAnsi="Arial" w:cs="Arial"/>
          <w:color w:val="auto"/>
          <w:sz w:val="32"/>
          <w:szCs w:val="32"/>
        </w:rPr>
      </w:pPr>
      <w:r w:rsidRPr="004951B6">
        <w:rPr>
          <w:rFonts w:ascii="Arial" w:hAnsi="Arial" w:cs="Arial"/>
          <w:color w:val="auto"/>
          <w:sz w:val="32"/>
          <w:szCs w:val="32"/>
        </w:rPr>
        <w:t>0970 - 035</w:t>
      </w:r>
      <w:r w:rsidR="004951B6">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997B48" w14:paraId="6AE3DDAE" w14:textId="7CB9E11F">
      <w:pPr>
        <w:pStyle w:val="ReportCover-Date"/>
        <w:jc w:val="center"/>
        <w:rPr>
          <w:rFonts w:ascii="Arial" w:hAnsi="Arial" w:cs="Arial"/>
          <w:color w:val="auto"/>
        </w:rPr>
      </w:pPr>
      <w:r>
        <w:rPr>
          <w:rFonts w:ascii="Arial" w:hAnsi="Arial" w:cs="Arial"/>
          <w:color w:val="auto"/>
        </w:rPr>
        <w:t>NOVEMBER</w:t>
      </w:r>
      <w:bookmarkStart w:name="_GoBack" w:id="0"/>
      <w:bookmarkEnd w:id="0"/>
      <w:r w:rsidR="004951B6">
        <w:rPr>
          <w:rFonts w:ascii="Arial" w:hAnsi="Arial" w:cs="Arial"/>
          <w:color w:val="auto"/>
        </w:rPr>
        <w:t xml:space="preserve"> 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D51337" w:rsidP="00D51337"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004951B6" w:rsidP="00D51337" w:rsidRDefault="004951B6" w14:paraId="1698D585" w14:textId="4F22D546">
      <w:pPr>
        <w:spacing w:after="0" w:line="240" w:lineRule="auto"/>
        <w:jc w:val="center"/>
        <w:rPr>
          <w:rFonts w:ascii="Arial" w:hAnsi="Arial" w:cs="Arial"/>
        </w:rPr>
      </w:pPr>
      <w:r>
        <w:rPr>
          <w:rFonts w:ascii="Arial" w:hAnsi="Arial" w:cs="Arial"/>
        </w:rPr>
        <w:t>Calonie Gray</w:t>
      </w:r>
    </w:p>
    <w:p w:rsidRPr="002C4F75" w:rsidR="004951B6" w:rsidP="00D51337" w:rsidRDefault="004951B6" w14:paraId="00441694" w14:textId="065CD067">
      <w:pPr>
        <w:spacing w:after="0" w:line="240" w:lineRule="auto"/>
        <w:jc w:val="center"/>
        <w:rPr>
          <w:rFonts w:ascii="Arial" w:hAnsi="Arial" w:cs="Arial"/>
        </w:rPr>
      </w:pPr>
      <w:r>
        <w:rPr>
          <w:rFonts w:ascii="Arial" w:hAnsi="Arial" w:cs="Arial"/>
        </w:rPr>
        <w:t xml:space="preserve">Kelly </w:t>
      </w:r>
      <w:proofErr w:type="spellStart"/>
      <w:r>
        <w:rPr>
          <w:rFonts w:ascii="Arial" w:hAnsi="Arial" w:cs="Arial"/>
        </w:rPr>
        <w:t>Jedd</w:t>
      </w:r>
      <w:proofErr w:type="spellEnd"/>
      <w:r>
        <w:rPr>
          <w:rFonts w:ascii="Arial" w:hAnsi="Arial" w:cs="Arial"/>
        </w:rPr>
        <w:t xml:space="preserve"> McKenzie</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B57F2C" w:rsidR="0072072F" w:rsidP="00B57F2C" w:rsidRDefault="0072072F" w14:paraId="1272B640" w14:textId="5D691798">
      <w:pPr>
        <w:spacing w:after="60" w:line="240" w:lineRule="auto"/>
        <w:rPr>
          <w:i/>
        </w:rPr>
      </w:pPr>
      <w:r w:rsidRPr="0072072F">
        <w:rPr>
          <w:i/>
        </w:rPr>
        <w:t>Study Objectives</w:t>
      </w:r>
    </w:p>
    <w:p w:rsidR="00005051" w:rsidP="0072072F" w:rsidRDefault="00005051" w14:paraId="7F1F70B7" w14:textId="4ADA54E2">
      <w:pPr>
        <w:spacing w:after="0" w:line="240" w:lineRule="auto"/>
        <w:rPr>
          <w:rFonts w:cs="Calibri"/>
        </w:rPr>
      </w:pPr>
      <w:r>
        <w:rPr>
          <w:rFonts w:cs="Calibri"/>
        </w:rPr>
        <w:t>T</w:t>
      </w:r>
      <w:r w:rsidRPr="000B153C">
        <w:rPr>
          <w:rFonts w:cs="Calibri"/>
        </w:rPr>
        <w:t xml:space="preserve">he </w:t>
      </w:r>
      <w:r w:rsidR="00C91BDE">
        <w:rPr>
          <w:rFonts w:cs="Calibri"/>
        </w:rPr>
        <w:t>objectives</w:t>
      </w:r>
      <w:r>
        <w:rPr>
          <w:rFonts w:cs="Calibri"/>
        </w:rPr>
        <w:t xml:space="preserve"> of the </w:t>
      </w:r>
      <w:r w:rsidR="009455F5">
        <w:rPr>
          <w:rFonts w:cs="Calibri"/>
        </w:rPr>
        <w:t xml:space="preserve">overarching </w:t>
      </w:r>
      <w:r w:rsidRPr="000B153C">
        <w:rPr>
          <w:rFonts w:cs="Calibri"/>
        </w:rPr>
        <w:t>Expanding Evidence on Replicable Recovery and Reunification Interventions for Families (R3) project</w:t>
      </w:r>
      <w:r>
        <w:rPr>
          <w:rFonts w:cs="Calibri"/>
        </w:rPr>
        <w:t xml:space="preserve"> are to:</w:t>
      </w:r>
    </w:p>
    <w:p w:rsidR="00005051" w:rsidP="0072072F" w:rsidRDefault="00005051" w14:paraId="0BAE73EA" w14:textId="77777777">
      <w:pPr>
        <w:spacing w:after="0" w:line="240" w:lineRule="auto"/>
        <w:rPr>
          <w:rFonts w:cs="Calibri"/>
        </w:rPr>
      </w:pPr>
    </w:p>
    <w:p w:rsidRPr="00005051" w:rsidR="00005051" w:rsidP="00005051" w:rsidRDefault="00005051" w14:paraId="0DD96391" w14:textId="77777777">
      <w:pPr>
        <w:numPr>
          <w:ilvl w:val="0"/>
          <w:numId w:val="30"/>
        </w:numPr>
        <w:spacing w:after="0" w:line="240" w:lineRule="auto"/>
        <w:rPr>
          <w:rFonts w:cs="Calibri"/>
        </w:rPr>
      </w:pPr>
      <w:r w:rsidRPr="00005051">
        <w:rPr>
          <w:rFonts w:cs="Calibri"/>
        </w:rPr>
        <w:t>Compile and disseminate to the field current evidence on recovery and reunification interventions that use recovery coaches in child welfare settings.</w:t>
      </w:r>
    </w:p>
    <w:p w:rsidRPr="00005051" w:rsidR="00005051" w:rsidP="00005051" w:rsidRDefault="00005051" w14:paraId="67CD6048" w14:textId="77777777">
      <w:pPr>
        <w:numPr>
          <w:ilvl w:val="0"/>
          <w:numId w:val="30"/>
        </w:numPr>
        <w:spacing w:after="0" w:line="240" w:lineRule="auto"/>
        <w:rPr>
          <w:rFonts w:cs="Calibri"/>
        </w:rPr>
      </w:pPr>
      <w:r w:rsidRPr="00005051">
        <w:rPr>
          <w:rFonts w:cs="Calibri"/>
        </w:rPr>
        <w:t xml:space="preserve">Determine the feasibility of conducting a rigorous evaluation of one or more potentially replicable and scalable interventions. </w:t>
      </w:r>
    </w:p>
    <w:p w:rsidR="00005051" w:rsidP="0072072F" w:rsidRDefault="00005051" w14:paraId="59F0974E" w14:textId="77777777">
      <w:pPr>
        <w:spacing w:after="0" w:line="240" w:lineRule="auto"/>
        <w:rPr>
          <w:rFonts w:cs="Calibri"/>
        </w:rPr>
      </w:pPr>
    </w:p>
    <w:p w:rsidR="009455F5" w:rsidP="0072072F" w:rsidRDefault="00005051" w14:paraId="367A7FA9" w14:textId="77777777">
      <w:pPr>
        <w:spacing w:after="0" w:line="240" w:lineRule="auto"/>
        <w:rPr>
          <w:rFonts w:eastAsia="Calibri"/>
        </w:rPr>
      </w:pPr>
      <w:r w:rsidRPr="00005051">
        <w:rPr>
          <w:rFonts w:cs="Calibri"/>
        </w:rPr>
        <w:t xml:space="preserve">The purpose of this information collection is to </w:t>
      </w:r>
      <w:r w:rsidRPr="00C91BDE" w:rsidR="00C91BDE">
        <w:rPr>
          <w:rFonts w:cs="Calibri"/>
        </w:rPr>
        <w:t xml:space="preserve">conduct a feasibility study of </w:t>
      </w:r>
      <w:r w:rsidR="0052168A">
        <w:rPr>
          <w:rFonts w:cs="Calibri"/>
        </w:rPr>
        <w:t>one or more</w:t>
      </w:r>
      <w:r w:rsidRPr="00C91BDE" w:rsidR="00C91BDE">
        <w:rPr>
          <w:rFonts w:cs="Calibri"/>
        </w:rPr>
        <w:t xml:space="preserve"> promising family recovery and reunification intervention</w:t>
      </w:r>
      <w:r w:rsidR="0052168A">
        <w:rPr>
          <w:rFonts w:cs="Calibri"/>
        </w:rPr>
        <w:t>s</w:t>
      </w:r>
      <w:r w:rsidRPr="00C91BDE" w:rsidR="00C91BDE">
        <w:rPr>
          <w:rFonts w:cs="Calibri"/>
        </w:rPr>
        <w:t xml:space="preserve"> that use recovery coaches</w:t>
      </w:r>
      <w:r w:rsidRPr="00005051">
        <w:rPr>
          <w:rFonts w:cs="Calibri"/>
        </w:rPr>
        <w:t xml:space="preserve">. </w:t>
      </w:r>
      <w:r w:rsidR="009455F5">
        <w:rPr>
          <w:rFonts w:eastAsia="Calibri"/>
        </w:rPr>
        <w:t>Recovery coaching is a promising approach to support parents who are working toward treatment completion, recovery,</w:t>
      </w:r>
      <w:r w:rsidRPr="00797C34" w:rsidR="009455F5">
        <w:rPr>
          <w:rFonts w:eastAsia="Calibri"/>
        </w:rPr>
        <w:t xml:space="preserve"> and </w:t>
      </w:r>
      <w:r w:rsidR="009455F5">
        <w:rPr>
          <w:rFonts w:eastAsia="Calibri"/>
        </w:rPr>
        <w:t xml:space="preserve">ultimately </w:t>
      </w:r>
      <w:r w:rsidRPr="00797C34" w:rsidR="009455F5">
        <w:rPr>
          <w:rFonts w:eastAsia="Calibri"/>
        </w:rPr>
        <w:t>reunif</w:t>
      </w:r>
      <w:r w:rsidR="009455F5">
        <w:rPr>
          <w:rFonts w:eastAsia="Calibri"/>
        </w:rPr>
        <w:t>ication</w:t>
      </w:r>
      <w:r w:rsidRPr="00797C34" w:rsidR="009455F5">
        <w:rPr>
          <w:rFonts w:eastAsia="Calibri"/>
        </w:rPr>
        <w:t xml:space="preserve"> with their children when possible.</w:t>
      </w:r>
      <w:r w:rsidR="009455F5">
        <w:rPr>
          <w:rFonts w:eastAsia="Calibri"/>
        </w:rPr>
        <w:t xml:space="preserve"> </w:t>
      </w:r>
    </w:p>
    <w:p w:rsidR="009455F5" w:rsidP="0072072F" w:rsidRDefault="009455F5" w14:paraId="5409F0F4" w14:textId="77777777">
      <w:pPr>
        <w:spacing w:after="0" w:line="240" w:lineRule="auto"/>
        <w:rPr>
          <w:rFonts w:eastAsia="Calibri"/>
        </w:rPr>
      </w:pPr>
    </w:p>
    <w:p w:rsidR="00BB2925" w:rsidP="0072072F" w:rsidRDefault="00005051" w14:paraId="6EC0106B" w14:textId="4B8D3FE0">
      <w:pPr>
        <w:spacing w:after="0" w:line="240" w:lineRule="auto"/>
        <w:rPr>
          <w:rFonts w:cs="Calibri"/>
        </w:rPr>
      </w:pPr>
      <w:r>
        <w:rPr>
          <w:rFonts w:cs="Calibri"/>
        </w:rPr>
        <w:t xml:space="preserve">Through phone calls and site visits with programs that use recovery coaching in a child welfare setting, the study team will 1) </w:t>
      </w:r>
      <w:r w:rsidR="001F60CA">
        <w:rPr>
          <w:rFonts w:cs="Calibri"/>
        </w:rPr>
        <w:t xml:space="preserve">select </w:t>
      </w:r>
      <w:r>
        <w:rPr>
          <w:rFonts w:cs="Calibri"/>
        </w:rPr>
        <w:t>sites for</w:t>
      </w:r>
      <w:r w:rsidR="009455F5">
        <w:rPr>
          <w:rFonts w:cs="Calibri"/>
        </w:rPr>
        <w:t xml:space="preserve"> participation in </w:t>
      </w:r>
      <w:r>
        <w:rPr>
          <w:rFonts w:cs="Calibri"/>
        </w:rPr>
        <w:t>a feasibility study, and 2) conduct a feasibility study by assessing sites’ readiness for a future rigorous evaluation.</w:t>
      </w:r>
    </w:p>
    <w:p w:rsidR="00C91BDE" w:rsidP="0072072F" w:rsidRDefault="00C91BDE" w14:paraId="3CDFD9C5" w14:textId="77777777">
      <w:pPr>
        <w:spacing w:after="0" w:line="240" w:lineRule="auto"/>
        <w:rPr>
          <w:rFonts w:cs="Calibri"/>
        </w:rPr>
      </w:pPr>
    </w:p>
    <w:p w:rsidRPr="00005051" w:rsidR="00C91BDE" w:rsidP="0072072F" w:rsidRDefault="00C91BDE" w14:paraId="72B23813" w14:textId="1B97A340">
      <w:pPr>
        <w:spacing w:after="0" w:line="240" w:lineRule="auto"/>
        <w:rPr>
          <w:rFonts w:cs="Calibri"/>
        </w:rPr>
      </w:pPr>
      <w:r>
        <w:rPr>
          <w:rFonts w:cs="Calibri"/>
        </w:rPr>
        <w:t>The current request is the first submission for the R3 project.</w:t>
      </w:r>
      <w:r w:rsidR="00984D78">
        <w:rPr>
          <w:rFonts w:cs="Calibri"/>
        </w:rPr>
        <w:t xml:space="preserve"> </w:t>
      </w:r>
    </w:p>
    <w:p w:rsidR="00BB2925" w:rsidP="0072072F" w:rsidRDefault="00BB2925" w14:paraId="13F28F66" w14:textId="77777777">
      <w:pPr>
        <w:spacing w:after="0" w:line="240" w:lineRule="auto"/>
      </w:pPr>
    </w:p>
    <w:p w:rsidRPr="00B57F2C" w:rsidR="0072072F" w:rsidP="00B57F2C" w:rsidRDefault="0072072F" w14:paraId="6EAD90E1" w14:textId="6A691C21">
      <w:pPr>
        <w:spacing w:after="60" w:line="240" w:lineRule="auto"/>
      </w:pPr>
      <w:r>
        <w:rPr>
          <w:i/>
        </w:rPr>
        <w:t xml:space="preserve">Generalizability of Results </w:t>
      </w:r>
    </w:p>
    <w:p w:rsidR="00BB2925" w:rsidP="0072072F" w:rsidRDefault="00005051" w14:paraId="0743856C" w14:textId="04D86286">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This study is intended to </w:t>
      </w:r>
      <w:r>
        <w:t xml:space="preserve">assess the </w:t>
      </w:r>
      <w:r w:rsidR="0052168A">
        <w:t xml:space="preserve">feasibility </w:t>
      </w:r>
      <w:r w:rsidR="0052168A">
        <w:rPr>
          <w:rFonts w:eastAsia="Times New Roman" w:cstheme="minorHAnsi"/>
          <w:color w:val="000000"/>
        </w:rPr>
        <w:t>of</w:t>
      </w:r>
      <w:r>
        <w:rPr>
          <w:rFonts w:eastAsia="Times New Roman" w:cstheme="minorHAnsi"/>
          <w:color w:val="000000"/>
        </w:rPr>
        <w:t xml:space="preserve"> a future rigorous impact evaluation</w:t>
      </w:r>
      <w:r w:rsidR="00E03DE2">
        <w:rPr>
          <w:rFonts w:eastAsia="Times New Roman" w:cstheme="minorHAnsi"/>
          <w:color w:val="000000"/>
        </w:rPr>
        <w:t xml:space="preserve"> in </w:t>
      </w:r>
      <w:r w:rsidR="001F60CA">
        <w:rPr>
          <w:rFonts w:eastAsia="Times New Roman" w:cstheme="minorHAnsi"/>
          <w:color w:val="000000"/>
        </w:rPr>
        <w:t xml:space="preserve">selected </w:t>
      </w:r>
      <w:r w:rsidR="00E03DE2">
        <w:rPr>
          <w:rFonts w:eastAsia="Times New Roman" w:cstheme="minorHAnsi"/>
          <w:color w:val="000000"/>
        </w:rPr>
        <w:t>sites</w:t>
      </w:r>
      <w:r w:rsidRPr="00005051">
        <w:rPr>
          <w:rFonts w:eastAsia="Times New Roman" w:cstheme="minorHAnsi"/>
          <w:color w:val="000000"/>
        </w:rPr>
        <w:t>, not to promote statistical generalization to othe</w:t>
      </w:r>
      <w:r>
        <w:rPr>
          <w:rFonts w:eastAsia="Times New Roman" w:cstheme="minorHAnsi"/>
          <w:color w:val="000000"/>
        </w:rPr>
        <w:t>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00B57F2C" w:rsidP="00B57F2C" w:rsidRDefault="0072072F" w14:paraId="1FF1BD71" w14:textId="77777777">
      <w:pPr>
        <w:autoSpaceDE w:val="0"/>
        <w:autoSpaceDN w:val="0"/>
        <w:adjustRightInd w:val="0"/>
        <w:spacing w:after="12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Pr="00B57F2C" w:rsidR="0001221C" w:rsidP="00B57F2C" w:rsidRDefault="005C7E12" w14:paraId="32CAF087" w14:textId="17FD5532">
      <w:pPr>
        <w:autoSpaceDE w:val="0"/>
        <w:autoSpaceDN w:val="0"/>
        <w:adjustRightInd w:val="0"/>
        <w:spacing w:after="0" w:line="240" w:lineRule="atLeast"/>
        <w:rPr>
          <w:rFonts w:eastAsia="Times New Roman" w:cstheme="minorHAnsi"/>
          <w:color w:val="000000"/>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8027FE" w:rsidR="00BB2925" w:rsidP="008027FE" w:rsidRDefault="00723BE5" w14:paraId="0C4F0DEF" w14:textId="604FC5B5">
      <w:pPr>
        <w:spacing w:before="100" w:beforeAutospacing="1" w:after="100" w:afterAutospacing="1" w:line="240" w:lineRule="auto"/>
        <w:rPr>
          <w:rFonts w:eastAsia="Times New Roman" w:cstheme="minorHAnsi"/>
        </w:rPr>
      </w:pPr>
      <w:r>
        <w:rPr>
          <w:rFonts w:eastAsia="Times New Roman" w:cstheme="minorHAnsi"/>
        </w:rPr>
        <w:t xml:space="preserve">Using a feasibility study design for the R3 project allows ACF to understand </w:t>
      </w:r>
      <w:r w:rsidR="0052168A">
        <w:rPr>
          <w:rFonts w:eastAsia="Times New Roman" w:cstheme="minorHAnsi"/>
        </w:rPr>
        <w:t>sites</w:t>
      </w:r>
      <w:r>
        <w:rPr>
          <w:rFonts w:eastAsia="Times New Roman" w:cstheme="minorHAnsi"/>
        </w:rPr>
        <w:t xml:space="preserve">’ evaluation readiness before initiating a rigorous impact evaluation. </w:t>
      </w:r>
      <w:r w:rsidR="008E77F6">
        <w:rPr>
          <w:rFonts w:eastAsia="Times New Roman" w:cstheme="minorHAnsi"/>
        </w:rPr>
        <w:t xml:space="preserve">This design is appropriate based on the </w:t>
      </w:r>
      <w:r w:rsidR="00535B37">
        <w:rPr>
          <w:rFonts w:eastAsia="Times New Roman" w:cstheme="minorHAnsi"/>
        </w:rPr>
        <w:t xml:space="preserve">early </w:t>
      </w:r>
      <w:r w:rsidR="008E77F6">
        <w:rPr>
          <w:rFonts w:eastAsia="Times New Roman" w:cstheme="minorHAnsi"/>
        </w:rPr>
        <w:t xml:space="preserve">state of practice and research </w:t>
      </w:r>
      <w:r w:rsidR="0052168A">
        <w:rPr>
          <w:rFonts w:eastAsia="Times New Roman" w:cstheme="minorHAnsi"/>
        </w:rPr>
        <w:t>on</w:t>
      </w:r>
      <w:r w:rsidR="008E77F6">
        <w:rPr>
          <w:rFonts w:eastAsia="Times New Roman" w:cstheme="minorHAnsi"/>
        </w:rPr>
        <w:t xml:space="preserve"> interventions using recovery coaching in a child welfare setting. With the exception of a few long-standing </w:t>
      </w:r>
      <w:r w:rsidR="0052168A">
        <w:rPr>
          <w:rFonts w:eastAsia="Times New Roman" w:cstheme="minorHAnsi"/>
        </w:rPr>
        <w:t>interventions</w:t>
      </w:r>
      <w:r w:rsidR="008E77F6">
        <w:rPr>
          <w:rFonts w:eastAsia="Times New Roman" w:cstheme="minorHAnsi"/>
        </w:rPr>
        <w:t xml:space="preserve">, recovery coaching for child welfare-involved families has only recently gained interest, and there is relatively little research base or other published material from which to draw information. Collecting information directly from </w:t>
      </w:r>
      <w:r w:rsidR="0052168A">
        <w:rPr>
          <w:rFonts w:eastAsia="Times New Roman" w:cstheme="minorHAnsi"/>
        </w:rPr>
        <w:t>sites</w:t>
      </w:r>
      <w:r w:rsidR="008E77F6">
        <w:rPr>
          <w:rFonts w:eastAsia="Times New Roman" w:cstheme="minorHAnsi"/>
        </w:rPr>
        <w:t xml:space="preserve"> will provide current, detailed information to assess their readiness for rigorous evaluation.</w:t>
      </w:r>
      <w:r>
        <w:rPr>
          <w:rFonts w:eastAsia="Times New Roman" w:cstheme="minorHAnsi"/>
        </w:rPr>
        <w:t xml:space="preserve"> </w:t>
      </w: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B57F2C" w:rsidRDefault="0072072F" w14:paraId="542973ED" w14:textId="4BD18752">
      <w:pPr>
        <w:autoSpaceDE w:val="0"/>
        <w:autoSpaceDN w:val="0"/>
        <w:adjustRightInd w:val="0"/>
        <w:spacing w:after="120" w:line="240" w:lineRule="atLeast"/>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BB2925" w:rsidP="0072072F" w:rsidRDefault="004951B6" w14:paraId="1E51CBD6" w14:textId="34283F6E">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w:t>
      </w:r>
      <w:r w:rsidR="0052168A">
        <w:rPr>
          <w:rFonts w:eastAsia="Times New Roman" w:cstheme="minorHAnsi"/>
          <w:color w:val="000000"/>
        </w:rPr>
        <w:t xml:space="preserve">feasibility </w:t>
      </w:r>
      <w:r>
        <w:rPr>
          <w:rFonts w:eastAsia="Times New Roman" w:cstheme="minorHAnsi"/>
          <w:color w:val="000000"/>
        </w:rPr>
        <w:t xml:space="preserve">study’s target population is </w:t>
      </w:r>
      <w:r w:rsidR="0011632C">
        <w:rPr>
          <w:rFonts w:eastAsia="Times New Roman" w:cstheme="minorHAnsi"/>
          <w:color w:val="000000"/>
        </w:rPr>
        <w:t>programs</w:t>
      </w:r>
      <w:r w:rsidR="0052168A">
        <w:rPr>
          <w:rFonts w:eastAsia="Times New Roman" w:cstheme="minorHAnsi"/>
          <w:color w:val="000000"/>
        </w:rPr>
        <w:t xml:space="preserve"> and sites</w:t>
      </w:r>
      <w:r w:rsidR="0011632C">
        <w:rPr>
          <w:rFonts w:eastAsia="Times New Roman" w:cstheme="minorHAnsi"/>
          <w:color w:val="000000"/>
        </w:rPr>
        <w:t xml:space="preserve"> implementing recovery coaching </w:t>
      </w:r>
      <w:r w:rsidR="00535B37">
        <w:rPr>
          <w:rFonts w:eastAsia="Times New Roman" w:cstheme="minorHAnsi"/>
          <w:color w:val="000000"/>
        </w:rPr>
        <w:t xml:space="preserve">interventions </w:t>
      </w:r>
      <w:r w:rsidR="00AC745D">
        <w:rPr>
          <w:rFonts w:eastAsia="Times New Roman" w:cstheme="minorHAnsi"/>
          <w:color w:val="000000"/>
        </w:rPr>
        <w:t>for families involved in the child welfare system</w:t>
      </w:r>
      <w:r w:rsidR="0011632C">
        <w:rPr>
          <w:rFonts w:eastAsia="Times New Roman" w:cstheme="minorHAnsi"/>
          <w:color w:val="000000"/>
        </w:rPr>
        <w:t>.</w:t>
      </w:r>
      <w:r>
        <w:rPr>
          <w:rFonts w:eastAsia="Times New Roman" w:cstheme="minorHAnsi"/>
          <w:color w:val="000000"/>
        </w:rPr>
        <w:t xml:space="preserve"> </w:t>
      </w:r>
    </w:p>
    <w:p w:rsidR="0011632C" w:rsidP="0072072F" w:rsidRDefault="0011632C" w14:paraId="11A1AFCF" w14:textId="77777777">
      <w:pPr>
        <w:autoSpaceDE w:val="0"/>
        <w:autoSpaceDN w:val="0"/>
        <w:adjustRightInd w:val="0"/>
        <w:spacing w:after="0" w:line="240" w:lineRule="atLeast"/>
        <w:contextualSpacing/>
        <w:rPr>
          <w:rFonts w:eastAsia="Times New Roman" w:cstheme="minorHAnsi"/>
          <w:color w:val="000000"/>
        </w:rPr>
      </w:pPr>
    </w:p>
    <w:p w:rsidRPr="0011632C" w:rsidR="005F2951" w:rsidP="00B57F2C" w:rsidRDefault="000D7942" w14:paraId="1C642C78" w14:textId="20E41D39">
      <w:pPr>
        <w:autoSpaceDE w:val="0"/>
        <w:autoSpaceDN w:val="0"/>
        <w:adjustRightInd w:val="0"/>
        <w:spacing w:after="120" w:line="240" w:lineRule="atLeast"/>
        <w:rPr>
          <w:rFonts w:eastAsia="Times New Roman" w:cstheme="minorHAnsi"/>
          <w:i/>
          <w:color w:val="000000"/>
        </w:rPr>
      </w:pPr>
      <w:r>
        <w:rPr>
          <w:rFonts w:eastAsia="Times New Roman" w:cstheme="minorHAnsi"/>
          <w:i/>
          <w:color w:val="000000"/>
        </w:rPr>
        <w:t>Sampling and Site Selection</w:t>
      </w:r>
    </w:p>
    <w:p w:rsidRPr="008027FE" w:rsidR="00F85D35" w:rsidP="008027FE" w:rsidRDefault="00C91BDE" w14:paraId="4D1C6AC5" w14:textId="2B0847AD">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The R3 project</w:t>
      </w:r>
      <w:r w:rsidR="002A69A7">
        <w:rPr>
          <w:rFonts w:eastAsia="Times New Roman" w:cstheme="minorHAnsi"/>
          <w:color w:val="000000"/>
        </w:rPr>
        <w:t xml:space="preserve"> is not connected to any child welfare or substance use treatment services funding stream, so it will draw from any available and suitable sites across the US. The R3</w:t>
      </w:r>
      <w:r>
        <w:rPr>
          <w:rFonts w:eastAsia="Times New Roman" w:cstheme="minorHAnsi"/>
          <w:color w:val="000000"/>
        </w:rPr>
        <w:t xml:space="preserve"> </w:t>
      </w:r>
      <w:r w:rsidR="002A69A7">
        <w:rPr>
          <w:rFonts w:eastAsia="Times New Roman" w:cstheme="minorHAnsi"/>
          <w:color w:val="000000"/>
        </w:rPr>
        <w:t xml:space="preserve">project team </w:t>
      </w:r>
      <w:r>
        <w:rPr>
          <w:rFonts w:eastAsia="Times New Roman" w:cstheme="minorHAnsi"/>
          <w:color w:val="000000"/>
        </w:rPr>
        <w:t xml:space="preserve">will select up to four </w:t>
      </w:r>
      <w:r w:rsidR="003F6994">
        <w:rPr>
          <w:rFonts w:eastAsia="Times New Roman" w:cstheme="minorHAnsi"/>
          <w:color w:val="000000"/>
        </w:rPr>
        <w:t>sites</w:t>
      </w:r>
      <w:r>
        <w:rPr>
          <w:rFonts w:eastAsia="Times New Roman" w:cstheme="minorHAnsi"/>
          <w:color w:val="000000"/>
        </w:rPr>
        <w:t xml:space="preserve"> to participate in </w:t>
      </w:r>
      <w:r w:rsidR="009455F5">
        <w:rPr>
          <w:rFonts w:eastAsia="Times New Roman" w:cstheme="minorHAnsi"/>
          <w:color w:val="000000"/>
        </w:rPr>
        <w:t xml:space="preserve">a </w:t>
      </w:r>
      <w:r>
        <w:rPr>
          <w:rFonts w:eastAsia="Times New Roman" w:cstheme="minorHAnsi"/>
          <w:color w:val="000000"/>
        </w:rPr>
        <w:t>feasibility study. We will select the</w:t>
      </w:r>
      <w:r w:rsidR="003F6994">
        <w:rPr>
          <w:rFonts w:eastAsia="Times New Roman" w:cstheme="minorHAnsi"/>
          <w:color w:val="000000"/>
        </w:rPr>
        <w:t xml:space="preserve"> sites</w:t>
      </w:r>
      <w:r>
        <w:rPr>
          <w:rFonts w:eastAsia="Times New Roman" w:cstheme="minorHAnsi"/>
          <w:color w:val="000000"/>
        </w:rPr>
        <w:t xml:space="preserve"> based on information gathered through </w:t>
      </w:r>
      <w:r w:rsidR="0011632C">
        <w:rPr>
          <w:rFonts w:eastAsia="Times New Roman" w:cstheme="minorHAnsi"/>
          <w:color w:val="000000"/>
        </w:rPr>
        <w:t>the</w:t>
      </w:r>
      <w:r>
        <w:rPr>
          <w:rFonts w:eastAsia="Times New Roman" w:cstheme="minorHAnsi"/>
          <w:color w:val="000000"/>
        </w:rPr>
        <w:t xml:space="preserve"> </w:t>
      </w:r>
      <w:r w:rsidR="00D8775E">
        <w:rPr>
          <w:rFonts w:eastAsia="Times New Roman" w:cstheme="minorHAnsi"/>
          <w:color w:val="000000"/>
        </w:rPr>
        <w:t xml:space="preserve">informational </w:t>
      </w:r>
      <w:r>
        <w:rPr>
          <w:rFonts w:eastAsia="Times New Roman" w:cstheme="minorHAnsi"/>
          <w:color w:val="000000"/>
        </w:rPr>
        <w:t>phone calls and site visit</w:t>
      </w:r>
      <w:r w:rsidR="00D8775E">
        <w:rPr>
          <w:rFonts w:eastAsia="Times New Roman" w:cstheme="minorHAnsi"/>
          <w:color w:val="000000"/>
        </w:rPr>
        <w:t>s</w:t>
      </w:r>
      <w:r>
        <w:rPr>
          <w:rFonts w:eastAsia="Times New Roman" w:cstheme="minorHAnsi"/>
          <w:color w:val="000000"/>
        </w:rPr>
        <w:t xml:space="preserve">. The </w:t>
      </w:r>
      <w:r w:rsidR="003F6994">
        <w:rPr>
          <w:rFonts w:eastAsia="Times New Roman" w:cstheme="minorHAnsi"/>
          <w:color w:val="000000"/>
        </w:rPr>
        <w:t>initial</w:t>
      </w:r>
      <w:r>
        <w:rPr>
          <w:rFonts w:eastAsia="Times New Roman" w:cstheme="minorHAnsi"/>
          <w:color w:val="000000"/>
        </w:rPr>
        <w:t xml:space="preserve"> criteri</w:t>
      </w:r>
      <w:r w:rsidR="003F6994">
        <w:rPr>
          <w:rFonts w:eastAsia="Times New Roman" w:cstheme="minorHAnsi"/>
          <w:color w:val="000000"/>
        </w:rPr>
        <w:t>on</w:t>
      </w:r>
      <w:r>
        <w:rPr>
          <w:rFonts w:eastAsia="Times New Roman" w:cstheme="minorHAnsi"/>
          <w:color w:val="000000"/>
        </w:rPr>
        <w:t xml:space="preserve"> for selection is that the </w:t>
      </w:r>
      <w:r w:rsidR="003F6994">
        <w:rPr>
          <w:rFonts w:eastAsia="Times New Roman" w:cstheme="minorHAnsi"/>
          <w:color w:val="000000"/>
        </w:rPr>
        <w:t>sites</w:t>
      </w:r>
      <w:r>
        <w:rPr>
          <w:rFonts w:eastAsia="Times New Roman" w:cstheme="minorHAnsi"/>
          <w:color w:val="000000"/>
        </w:rPr>
        <w:t xml:space="preserve"> are currently implementing or interested in implementing the intervention(s) of interest for the R3 project. </w:t>
      </w:r>
      <w:r w:rsidR="0011632C">
        <w:rPr>
          <w:rFonts w:eastAsia="Times New Roman" w:cstheme="minorHAnsi"/>
          <w:color w:val="000000"/>
        </w:rPr>
        <w:t xml:space="preserve">Other </w:t>
      </w:r>
      <w:r w:rsidR="00C92F44">
        <w:rPr>
          <w:rFonts w:eastAsia="Times New Roman" w:cstheme="minorHAnsi"/>
          <w:color w:val="000000"/>
        </w:rPr>
        <w:t xml:space="preserve">examples of </w:t>
      </w:r>
      <w:r w:rsidR="0011632C">
        <w:rPr>
          <w:rFonts w:eastAsia="Times New Roman" w:cstheme="minorHAnsi"/>
          <w:color w:val="000000"/>
        </w:rPr>
        <w:t>characteristics we will consider for site</w:t>
      </w:r>
      <w:r w:rsidR="00A345D8">
        <w:rPr>
          <w:rFonts w:eastAsia="Times New Roman" w:cstheme="minorHAnsi"/>
          <w:color w:val="000000"/>
        </w:rPr>
        <w:t>s</w:t>
      </w:r>
      <w:r w:rsidR="0011632C">
        <w:rPr>
          <w:rFonts w:eastAsia="Times New Roman" w:cstheme="minorHAnsi"/>
          <w:color w:val="000000"/>
        </w:rPr>
        <w:t xml:space="preserve"> selection include: the programs’ interest in participating; design of program components; </w:t>
      </w:r>
      <w:r w:rsidR="003F6994">
        <w:rPr>
          <w:rFonts w:eastAsia="Times New Roman" w:cstheme="minorHAnsi"/>
          <w:color w:val="000000"/>
        </w:rPr>
        <w:t xml:space="preserve">service environment; </w:t>
      </w:r>
      <w:r w:rsidR="00C92F44">
        <w:rPr>
          <w:rFonts w:eastAsia="Times New Roman" w:cstheme="minorHAnsi"/>
          <w:color w:val="000000"/>
        </w:rPr>
        <w:t xml:space="preserve">and </w:t>
      </w:r>
      <w:r w:rsidR="0011632C">
        <w:rPr>
          <w:rFonts w:eastAsia="Times New Roman" w:cstheme="minorHAnsi"/>
          <w:color w:val="000000"/>
        </w:rPr>
        <w:t xml:space="preserve">experience with </w:t>
      </w:r>
      <w:r w:rsidR="003F6994">
        <w:rPr>
          <w:rFonts w:eastAsia="Times New Roman" w:cstheme="minorHAnsi"/>
          <w:color w:val="000000"/>
        </w:rPr>
        <w:t xml:space="preserve">and scale of </w:t>
      </w:r>
      <w:r w:rsidR="0011632C">
        <w:rPr>
          <w:rFonts w:eastAsia="Times New Roman" w:cstheme="minorHAnsi"/>
          <w:color w:val="000000"/>
        </w:rPr>
        <w:t>program implementation.</w:t>
      </w:r>
      <w:r w:rsidR="00C92F44">
        <w:rPr>
          <w:rFonts w:eastAsia="Times New Roman" w:cstheme="minorHAnsi"/>
          <w:color w:val="000000"/>
        </w:rPr>
        <w:t xml:space="preserve"> More detail on the information that will be collected to inform site selection is provided in Instruments 1 and 2.</w:t>
      </w:r>
      <w:r w:rsidR="00880B43">
        <w:rPr>
          <w:rFonts w:eastAsia="Times New Roman" w:cstheme="minorHAnsi"/>
          <w:color w:val="000000"/>
        </w:rPr>
        <w:t xml:space="preserve"> </w:t>
      </w:r>
    </w:p>
    <w:p w:rsidR="00BB2925" w:rsidP="008369BA" w:rsidRDefault="00BB2925" w14:paraId="0FA0D997" w14:textId="34557182">
      <w:pPr>
        <w:pStyle w:val="ListParagraph"/>
        <w:spacing w:after="0" w:line="240" w:lineRule="auto"/>
        <w:ind w:left="0"/>
      </w:pPr>
    </w:p>
    <w:p w:rsidR="00A345D8" w:rsidP="008369BA" w:rsidRDefault="00A345D8" w14:paraId="39D4749D" w14:textId="77777777">
      <w:pPr>
        <w:pStyle w:val="ListParagraph"/>
        <w:spacing w:after="0" w:line="240" w:lineRule="auto"/>
        <w:ind w:left="0"/>
        <w:rPr>
          <w:rFonts w:eastAsia="Times New Roman" w:cs="Times New Roman"/>
          <w:color w:val="000000"/>
        </w:rPr>
      </w:pPr>
      <w:r>
        <w:rPr>
          <w:rFonts w:eastAsia="Times New Roman" w:cs="Times New Roman"/>
          <w:color w:val="000000"/>
        </w:rPr>
        <w:t>Relevant participants for the discussions</w:t>
      </w:r>
      <w:r w:rsidRPr="00B46FD5">
        <w:rPr>
          <w:rFonts w:eastAsia="Times New Roman" w:cs="Times New Roman"/>
          <w:color w:val="000000"/>
        </w:rPr>
        <w:t xml:space="preserve"> will be </w:t>
      </w:r>
      <w:r>
        <w:rPr>
          <w:rFonts w:eastAsia="Times New Roman" w:cs="Times New Roman"/>
          <w:color w:val="000000"/>
        </w:rPr>
        <w:t>identified</w:t>
      </w:r>
      <w:r w:rsidRPr="00B46FD5">
        <w:rPr>
          <w:rFonts w:eastAsia="Times New Roman" w:cs="Times New Roman"/>
          <w:color w:val="000000"/>
        </w:rPr>
        <w:t xml:space="preserve"> by each </w:t>
      </w:r>
      <w:r>
        <w:rPr>
          <w:rFonts w:eastAsia="Times New Roman" w:cs="Times New Roman"/>
          <w:color w:val="000000"/>
        </w:rPr>
        <w:t>site’s</w:t>
      </w:r>
      <w:r w:rsidRPr="00B46FD5">
        <w:rPr>
          <w:rFonts w:eastAsia="Times New Roman" w:cs="Times New Roman"/>
          <w:color w:val="000000"/>
        </w:rPr>
        <w:t xml:space="preserve"> </w:t>
      </w:r>
      <w:r>
        <w:rPr>
          <w:rFonts w:eastAsia="Times New Roman" w:cs="Times New Roman"/>
          <w:color w:val="000000"/>
        </w:rPr>
        <w:t>p</w:t>
      </w:r>
      <w:r w:rsidRPr="00B46FD5">
        <w:rPr>
          <w:rFonts w:eastAsia="Times New Roman" w:cs="Times New Roman"/>
          <w:color w:val="000000"/>
        </w:rPr>
        <w:t xml:space="preserve">roject </w:t>
      </w:r>
      <w:r>
        <w:rPr>
          <w:rFonts w:eastAsia="Times New Roman" w:cs="Times New Roman"/>
          <w:color w:val="000000"/>
        </w:rPr>
        <w:t>d</w:t>
      </w:r>
      <w:r w:rsidRPr="00B46FD5">
        <w:rPr>
          <w:rFonts w:eastAsia="Times New Roman" w:cs="Times New Roman"/>
          <w:color w:val="000000"/>
        </w:rPr>
        <w:t>irector</w:t>
      </w:r>
      <w:r>
        <w:rPr>
          <w:rFonts w:eastAsia="Times New Roman" w:cs="Times New Roman"/>
          <w:color w:val="000000"/>
        </w:rPr>
        <w:t xml:space="preserve"> in consultation with the R3 project team.</w:t>
      </w:r>
    </w:p>
    <w:p w:rsidR="00A345D8" w:rsidP="008369BA" w:rsidRDefault="00A345D8" w14:paraId="4CF05C98" w14:textId="0C231B21">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B57F2C" w:rsidR="00BB2925" w:rsidP="00B57F2C" w:rsidRDefault="00E75D57" w14:paraId="06FDE945" w14:textId="1FCB5EB9">
      <w:pPr>
        <w:autoSpaceDE w:val="0"/>
        <w:autoSpaceDN w:val="0"/>
        <w:adjustRightInd w:val="0"/>
        <w:spacing w:after="120" w:line="240" w:lineRule="atLeast"/>
        <w:rPr>
          <w:rFonts w:eastAsia="Times New Roman" w:cstheme="minorHAnsi"/>
          <w:i/>
          <w:color w:val="000000"/>
        </w:rPr>
      </w:pPr>
      <w:r>
        <w:rPr>
          <w:rFonts w:eastAsia="Times New Roman" w:cstheme="minorHAnsi"/>
          <w:i/>
          <w:color w:val="000000"/>
        </w:rPr>
        <w:t>Development of Data Collection Instruments</w:t>
      </w:r>
    </w:p>
    <w:p w:rsidRPr="00C92F44" w:rsidR="00BB2925" w:rsidP="00901040" w:rsidRDefault="00C92F44" w14:paraId="21107581" w14:textId="1F85C97D">
      <w:pPr>
        <w:autoSpaceDE w:val="0"/>
        <w:autoSpaceDN w:val="0"/>
        <w:adjustRightInd w:val="0"/>
        <w:spacing w:after="0" w:line="240" w:lineRule="atLeast"/>
        <w:rPr>
          <w:rFonts w:eastAsia="Times New Roman" w:cstheme="minorHAnsi"/>
          <w:color w:val="000000"/>
        </w:rPr>
      </w:pPr>
      <w:r w:rsidRPr="00C92F44">
        <w:rPr>
          <w:rFonts w:eastAsia="Times New Roman" w:cstheme="minorHAnsi"/>
          <w:color w:val="000000"/>
        </w:rPr>
        <w:t xml:space="preserve">The </w:t>
      </w:r>
      <w:r w:rsidR="00AF23A4">
        <w:rPr>
          <w:rFonts w:eastAsia="Times New Roman" w:cstheme="minorHAnsi"/>
          <w:color w:val="000000"/>
        </w:rPr>
        <w:t xml:space="preserve">R3 </w:t>
      </w:r>
      <w:r w:rsidR="0052168A">
        <w:rPr>
          <w:rFonts w:eastAsia="Times New Roman" w:cstheme="minorHAnsi"/>
          <w:color w:val="000000"/>
        </w:rPr>
        <w:t xml:space="preserve">project team developed the </w:t>
      </w:r>
      <w:r w:rsidRPr="00C92F44">
        <w:rPr>
          <w:rFonts w:eastAsia="Times New Roman" w:cstheme="minorHAnsi"/>
          <w:color w:val="000000"/>
        </w:rPr>
        <w:t>instruments for R3 based on the project team’s experience with prior feasibility studies</w:t>
      </w:r>
      <w:r w:rsidR="00535B37">
        <w:rPr>
          <w:rFonts w:eastAsia="Times New Roman" w:cstheme="minorHAnsi"/>
          <w:color w:val="000000"/>
        </w:rPr>
        <w:t xml:space="preserve"> and the information it gathered through a systematic scan of recovery coaching interventions for families involved in </w:t>
      </w:r>
      <w:r w:rsidR="00717FFB">
        <w:rPr>
          <w:rFonts w:eastAsia="Times New Roman" w:cstheme="minorHAnsi"/>
          <w:color w:val="000000"/>
        </w:rPr>
        <w:t xml:space="preserve">the </w:t>
      </w:r>
      <w:r w:rsidR="00535B37">
        <w:rPr>
          <w:rFonts w:eastAsia="Times New Roman" w:cstheme="minorHAnsi"/>
          <w:color w:val="000000"/>
        </w:rPr>
        <w:t>child welfare</w:t>
      </w:r>
      <w:r w:rsidR="00717FFB">
        <w:rPr>
          <w:rFonts w:eastAsia="Times New Roman" w:cstheme="minorHAnsi"/>
          <w:color w:val="000000"/>
        </w:rPr>
        <w:t xml:space="preserve"> system</w:t>
      </w:r>
      <w:r w:rsidRPr="00C92F44">
        <w:rPr>
          <w:rFonts w:eastAsia="Times New Roman" w:cstheme="minorHAnsi"/>
          <w:color w:val="000000"/>
        </w:rPr>
        <w:t xml:space="preserve">. </w:t>
      </w:r>
      <w:r>
        <w:rPr>
          <w:rFonts w:eastAsia="Times New Roman" w:cstheme="minorHAnsi"/>
          <w:color w:val="000000"/>
        </w:rPr>
        <w:t>The instruments will be used to guide semi</w:t>
      </w:r>
      <w:r w:rsidR="00032265">
        <w:rPr>
          <w:rFonts w:eastAsia="Times New Roman" w:cstheme="minorHAnsi"/>
          <w:color w:val="000000"/>
        </w:rPr>
        <w:t>-</w:t>
      </w:r>
      <w:r>
        <w:rPr>
          <w:rFonts w:eastAsia="Times New Roman" w:cstheme="minorHAnsi"/>
          <w:color w:val="000000"/>
        </w:rPr>
        <w:t>structured discussion</w:t>
      </w:r>
      <w:r w:rsidR="00880B43">
        <w:rPr>
          <w:rFonts w:eastAsia="Times New Roman" w:cstheme="minorHAnsi"/>
          <w:color w:val="000000"/>
        </w:rPr>
        <w:t>s</w:t>
      </w:r>
      <w:r>
        <w:rPr>
          <w:rFonts w:eastAsia="Times New Roman" w:cstheme="minorHAnsi"/>
          <w:color w:val="000000"/>
        </w:rPr>
        <w:t xml:space="preserve"> with programs</w:t>
      </w:r>
      <w:r w:rsidR="00AF23A4">
        <w:rPr>
          <w:rFonts w:eastAsia="Times New Roman" w:cstheme="minorHAnsi"/>
          <w:color w:val="000000"/>
        </w:rPr>
        <w:t xml:space="preserve"> and sites</w:t>
      </w:r>
      <w:r>
        <w:rPr>
          <w:rFonts w:eastAsia="Times New Roman" w:cstheme="minorHAnsi"/>
          <w:color w:val="000000"/>
        </w:rPr>
        <w:t xml:space="preserve">. </w:t>
      </w:r>
      <w:r w:rsidR="00717FFB">
        <w:rPr>
          <w:rFonts w:eastAsia="Times New Roman" w:cstheme="minorHAnsi"/>
          <w:color w:val="000000"/>
        </w:rPr>
        <w:t>The project team</w:t>
      </w:r>
      <w:r>
        <w:rPr>
          <w:rFonts w:eastAsia="Times New Roman" w:cstheme="minorHAnsi"/>
          <w:color w:val="000000"/>
        </w:rPr>
        <w:t xml:space="preserve"> will not ask all questions of every program</w:t>
      </w:r>
      <w:r w:rsidR="00AF23A4">
        <w:rPr>
          <w:rFonts w:eastAsia="Times New Roman" w:cstheme="minorHAnsi"/>
          <w:color w:val="000000"/>
        </w:rPr>
        <w:t xml:space="preserve"> or site</w:t>
      </w:r>
      <w:r>
        <w:rPr>
          <w:rFonts w:eastAsia="Times New Roman" w:cstheme="minorHAnsi"/>
          <w:color w:val="000000"/>
        </w:rPr>
        <w:t xml:space="preserve">, but instead use the guides to </w:t>
      </w:r>
      <w:r w:rsidR="00032265">
        <w:rPr>
          <w:rFonts w:eastAsia="Times New Roman" w:cstheme="minorHAnsi"/>
          <w:color w:val="000000"/>
        </w:rPr>
        <w:t>fill gaps in the information from other sources.</w:t>
      </w:r>
      <w:r>
        <w:rPr>
          <w:rFonts w:eastAsia="Times New Roman" w:cstheme="minorHAnsi"/>
          <w:color w:val="000000"/>
        </w:rPr>
        <w:t xml:space="preserve"> </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B6134" w:rsidP="004951B6" w:rsidRDefault="004951B6" w14:paraId="530C2671" w14:textId="36B07087">
      <w:pPr>
        <w:autoSpaceDE w:val="0"/>
        <w:autoSpaceDN w:val="0"/>
        <w:adjustRightInd w:val="0"/>
        <w:spacing w:after="0" w:line="240" w:lineRule="atLeast"/>
        <w:rPr>
          <w:rFonts w:eastAsia="Times New Roman" w:cs="Times New Roman"/>
          <w:color w:val="000000"/>
        </w:rPr>
      </w:pPr>
      <w:r w:rsidRPr="00B46FD5">
        <w:rPr>
          <w:rFonts w:eastAsia="Times New Roman" w:cs="Times New Roman"/>
          <w:color w:val="000000"/>
        </w:rPr>
        <w:t xml:space="preserve">The </w:t>
      </w:r>
      <w:r w:rsidR="00AF23A4">
        <w:rPr>
          <w:rFonts w:eastAsia="Times New Roman" w:cs="Times New Roman"/>
          <w:color w:val="000000"/>
        </w:rPr>
        <w:t xml:space="preserve">R3 </w:t>
      </w:r>
      <w:r w:rsidRPr="00B46FD5">
        <w:rPr>
          <w:rFonts w:eastAsia="Times New Roman" w:cs="Times New Roman"/>
          <w:color w:val="000000"/>
        </w:rPr>
        <w:t xml:space="preserve">project team (staffed by </w:t>
      </w:r>
      <w:proofErr w:type="spellStart"/>
      <w:r w:rsidRPr="00B46FD5">
        <w:rPr>
          <w:rFonts w:eastAsia="Times New Roman" w:cs="Times New Roman"/>
          <w:color w:val="000000"/>
        </w:rPr>
        <w:t>Abt</w:t>
      </w:r>
      <w:proofErr w:type="spellEnd"/>
      <w:r w:rsidRPr="00B46FD5">
        <w:rPr>
          <w:rFonts w:eastAsia="Times New Roman" w:cs="Times New Roman"/>
          <w:color w:val="000000"/>
        </w:rPr>
        <w:t xml:space="preserve"> Associates and </w:t>
      </w:r>
      <w:r w:rsidR="0001221C">
        <w:rPr>
          <w:rFonts w:eastAsia="Times New Roman" w:cs="Times New Roman"/>
          <w:color w:val="000000"/>
        </w:rPr>
        <w:t xml:space="preserve">its </w:t>
      </w:r>
      <w:r w:rsidR="00531F55">
        <w:rPr>
          <w:rFonts w:eastAsia="Times New Roman" w:cs="Times New Roman"/>
          <w:color w:val="000000"/>
        </w:rPr>
        <w:t>subcontractors</w:t>
      </w:r>
      <w:r w:rsidRPr="00B46FD5">
        <w:rPr>
          <w:rFonts w:eastAsia="Times New Roman" w:cs="Times New Roman"/>
          <w:color w:val="000000"/>
        </w:rPr>
        <w:t xml:space="preserve">) will collect all </w:t>
      </w:r>
      <w:r w:rsidR="0001221C">
        <w:rPr>
          <w:rFonts w:eastAsia="Times New Roman" w:cs="Times New Roman"/>
          <w:color w:val="000000"/>
        </w:rPr>
        <w:t>data through phone and in-person discussions</w:t>
      </w:r>
      <w:r w:rsidRPr="00B46FD5">
        <w:rPr>
          <w:rFonts w:eastAsia="Times New Roman" w:cs="Times New Roman"/>
          <w:color w:val="000000"/>
        </w:rPr>
        <w:t xml:space="preserve">. </w:t>
      </w:r>
    </w:p>
    <w:p w:rsidR="00132C43" w:rsidP="004951B6" w:rsidRDefault="00132C43" w14:paraId="3D71A968" w14:textId="77777777">
      <w:pPr>
        <w:autoSpaceDE w:val="0"/>
        <w:autoSpaceDN w:val="0"/>
        <w:adjustRightInd w:val="0"/>
        <w:spacing w:after="0" w:line="240" w:lineRule="atLeast"/>
        <w:rPr>
          <w:rFonts w:eastAsia="Times New Roman" w:cs="Times New Roman"/>
          <w:color w:val="000000"/>
        </w:rPr>
      </w:pPr>
    </w:p>
    <w:p w:rsidRPr="00DF1291" w:rsidR="00132C43" w:rsidP="004951B6" w:rsidRDefault="00132C43" w14:paraId="4A70C090" w14:textId="6298387D">
      <w:pPr>
        <w:autoSpaceDE w:val="0"/>
        <w:autoSpaceDN w:val="0"/>
        <w:adjustRightInd w:val="0"/>
        <w:spacing w:after="0" w:line="240" w:lineRule="atLeast"/>
        <w:rPr>
          <w:rFonts w:eastAsia="Times New Roman" w:cstheme="minorHAnsi"/>
          <w:color w:val="000000"/>
        </w:rPr>
      </w:pPr>
      <w:r>
        <w:rPr>
          <w:color w:val="000000"/>
        </w:rPr>
        <w:t xml:space="preserve">During the phone calls or site visits, one R3 team member will ask questions and lead the discussion. A second team member will take </w:t>
      </w:r>
      <w:r>
        <w:t xml:space="preserve">notes and ask for clarification where necessary, aiming </w:t>
      </w:r>
      <w:r>
        <w:rPr>
          <w:color w:val="000000"/>
        </w:rPr>
        <w:t>to capture the information as close to verbatim as possible. The team member who leads the discussion will be responsible for reviewing the notes to check for accuracy and identify any missing information. A final, clean version of the notes will be saved after review.</w:t>
      </w:r>
    </w:p>
    <w:p w:rsidR="00BB2925" w:rsidP="00DF1291" w:rsidRDefault="00BB2925" w14:paraId="30F27373" w14:textId="049ED115">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AF0A58" w:rsidP="00F917E5" w:rsidRDefault="00AF0A58" w14:paraId="242C67AA" w14:textId="61D7A069">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The </w:t>
      </w:r>
      <w:r>
        <w:rPr>
          <w:rFonts w:eastAsia="Times New Roman" w:cstheme="minorHAnsi"/>
          <w:color w:val="000000"/>
        </w:rPr>
        <w:t>site visits</w:t>
      </w:r>
      <w:r w:rsidRPr="00C32C8A">
        <w:rPr>
          <w:rFonts w:eastAsia="Times New Roman" w:cstheme="minorHAnsi"/>
          <w:color w:val="000000"/>
        </w:rPr>
        <w:t xml:space="preserve"> are not designed to produce statistically generalizable findings and participation is wholly at the </w:t>
      </w:r>
      <w:r>
        <w:rPr>
          <w:rFonts w:eastAsia="Times New Roman" w:cstheme="minorHAnsi"/>
          <w:color w:val="000000"/>
        </w:rPr>
        <w:t>site directors’</w:t>
      </w:r>
      <w:r w:rsidRPr="00C32C8A">
        <w:rPr>
          <w:rFonts w:eastAsia="Times New Roman" w:cstheme="minorHAnsi"/>
          <w:color w:val="000000"/>
        </w:rPr>
        <w:t xml:space="preserve"> discretion.  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B57F2C" w:rsidRDefault="00F917E5" w14:paraId="14F6FBDC" w14:textId="4DCAE6D2">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Non</w:t>
      </w:r>
      <w:r w:rsidR="006E79F7">
        <w:rPr>
          <w:rFonts w:eastAsia="Times New Roman" w:cstheme="minorHAnsi"/>
          <w:i/>
          <w:color w:val="000000"/>
        </w:rPr>
        <w:t xml:space="preserve"> </w:t>
      </w:r>
      <w:r>
        <w:rPr>
          <w:rFonts w:eastAsia="Times New Roman" w:cstheme="minorHAnsi"/>
          <w:i/>
          <w:color w:val="000000"/>
        </w:rPr>
        <w:t>Response</w:t>
      </w:r>
    </w:p>
    <w:p w:rsidR="00AF0A58" w:rsidP="00901040" w:rsidRDefault="00AF0A58" w14:paraId="0D15F6E7" w14:textId="4359709A">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w:t>
      </w:r>
      <w:r>
        <w:rPr>
          <w:rFonts w:eastAsia="Times New Roman" w:cstheme="minorHAnsi"/>
          <w:color w:val="000000"/>
        </w:rPr>
        <w:t>site</w:t>
      </w:r>
      <w:r w:rsidRPr="00C32C8A">
        <w:rPr>
          <w:rFonts w:eastAsia="Times New Roman" w:cstheme="minorHAnsi"/>
          <w:color w:val="000000"/>
        </w:rPr>
        <w:t xml:space="preserve">s will not be randomly sampled and findings are not intended to be representative, non-response bias will not be calculated.  </w:t>
      </w:r>
      <w:r>
        <w:rPr>
          <w:rFonts w:eastAsia="Times New Roman" w:cstheme="minorHAnsi"/>
          <w:color w:val="000000"/>
        </w:rPr>
        <w:t>Site</w:t>
      </w:r>
      <w:r w:rsidRPr="00C32C8A">
        <w:rPr>
          <w:rFonts w:eastAsia="Times New Roman" w:cstheme="minorHAnsi"/>
          <w:color w:val="000000"/>
        </w:rPr>
        <w:t xml:space="preserve"> demographics will be documented and reported in written materials associated with the data collection.</w:t>
      </w:r>
    </w:p>
    <w:p w:rsidR="00B31352" w:rsidRDefault="00B31352" w14:paraId="0FC57B4D" w14:textId="6E124B2F">
      <w:pPr>
        <w:rPr>
          <w:rFonts w:ascii="Times New Roman" w:hAnsi="Times New Roman" w:eastAsia="Times New Roman" w:cs="Times New Roman"/>
          <w:b/>
          <w:bCs/>
          <w:color w:val="000000"/>
        </w:rPr>
      </w:pPr>
      <w:r>
        <w:rPr>
          <w:rFonts w:ascii="Times New Roman" w:hAnsi="Times New Roman" w:eastAsia="Times New Roman" w:cs="Times New Roman"/>
          <w:b/>
          <w:bCs/>
          <w:color w:val="000000"/>
        </w:rPr>
        <w:br w:type="page"/>
      </w:r>
    </w:p>
    <w:p w:rsidRPr="00DF1291" w:rsidR="00901040" w:rsidP="00F85D35" w:rsidRDefault="00EB6134" w14:paraId="36E8E8E3" w14:textId="2F60A862">
      <w:pPr>
        <w:spacing w:after="120" w:line="240" w:lineRule="auto"/>
        <w:rPr>
          <w:rFonts w:eastAsia="Times New Roman" w:cstheme="minorHAnsi"/>
        </w:rPr>
      </w:pPr>
      <w:r w:rsidRPr="00EB6134">
        <w:rPr>
          <w:rFonts w:eastAsia="Times New Roman" w:cstheme="minorHAnsi"/>
          <w:b/>
          <w:bCs/>
        </w:rPr>
        <w:lastRenderedPageBreak/>
        <w:t>B</w:t>
      </w:r>
      <w:r>
        <w:rPr>
          <w:rFonts w:eastAsia="Times New Roman" w:cstheme="minorHAnsi"/>
          <w:b/>
          <w:bCs/>
        </w:rPr>
        <w:t>6</w:t>
      </w:r>
      <w:r w:rsidRPr="00DF1291" w:rsidR="00901040">
        <w:rPr>
          <w:rFonts w:eastAsia="Times New Roman" w:cstheme="minorHAnsi"/>
          <w:b/>
          <w:bCs/>
        </w:rPr>
        <w:t xml:space="preserve">.  </w:t>
      </w:r>
      <w:r w:rsidR="008027FE">
        <w:rPr>
          <w:rFonts w:eastAsia="Times New Roman" w:cstheme="minorHAnsi"/>
          <w:b/>
          <w:bCs/>
        </w:rPr>
        <w:tab/>
      </w:r>
      <w:r w:rsidRPr="00DF1291" w:rsidR="00901040">
        <w:rPr>
          <w:rFonts w:eastAsia="Times New Roman" w:cstheme="minorHAnsi"/>
          <w:b/>
          <w:bCs/>
        </w:rPr>
        <w:t xml:space="preserve"> Production of Estimates and Projections</w:t>
      </w:r>
      <w:r w:rsidRPr="00DF1291" w:rsidR="00901040">
        <w:rPr>
          <w:rFonts w:eastAsia="Times New Roman" w:cstheme="minorHAnsi"/>
        </w:rPr>
        <w:t xml:space="preserve"> </w:t>
      </w:r>
    </w:p>
    <w:p w:rsidR="00901040" w:rsidP="00901040" w:rsidRDefault="004951B6" w14:paraId="203B0BA2" w14:textId="151F31ED">
      <w:pPr>
        <w:spacing w:after="0" w:line="240" w:lineRule="auto"/>
        <w:rPr>
          <w:rFonts w:ascii="Times New Roman" w:hAnsi="Times New Roman" w:eastAsia="Times New Roman" w:cs="Times New Roman"/>
          <w:sz w:val="24"/>
          <w:szCs w:val="24"/>
        </w:rPr>
      </w:pPr>
      <w:r>
        <w:rPr>
          <w:rFonts w:eastAsia="Times New Roman" w:cs="Times New Roman"/>
        </w:rPr>
        <w:t>Our</w:t>
      </w:r>
      <w:r w:rsidRPr="00B46FD5">
        <w:rPr>
          <w:rFonts w:eastAsia="Times New Roman" w:cs="Times New Roman"/>
        </w:rPr>
        <w:t xml:space="preserve"> data are not representative and are not generalizable. We will not make any estimates or projections</w:t>
      </w:r>
      <w:r w:rsidR="004F40EF">
        <w:rPr>
          <w:rFonts w:eastAsia="Times New Roman" w:cs="Times New Roman"/>
        </w:rPr>
        <w:t xml:space="preserve">, </w:t>
      </w:r>
      <w:r w:rsidRPr="0084670F" w:rsidR="004F40EF">
        <w:t>either for internal use or dissemination</w:t>
      </w:r>
      <w:r w:rsidRPr="00B46FD5">
        <w:rPr>
          <w:rFonts w:eastAsia="Times New Roman" w:cs="Times New Roman"/>
        </w:rPr>
        <w:t>.</w:t>
      </w:r>
    </w:p>
    <w:p w:rsidRPr="00901040" w:rsidR="00BB2925" w:rsidP="00901040" w:rsidRDefault="00BB2925" w14:paraId="1BA3B31C" w14:textId="07C45381">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77036420">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008027FE">
        <w:rPr>
          <w:rFonts w:eastAsia="Times New Roman" w:cstheme="minorHAnsi"/>
          <w:color w:val="000000"/>
        </w:rPr>
        <w:tab/>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851D4C" w:rsidRDefault="007B6CA2" w14:paraId="0FB9DBDE" w14:textId="04F8F6DD">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Handling</w:t>
      </w:r>
    </w:p>
    <w:p w:rsidR="00984D78" w:rsidP="00851D4C" w:rsidRDefault="00984D78" w14:paraId="2D030A56" w14:textId="1187F074">
      <w:pPr>
        <w:autoSpaceDE w:val="0"/>
        <w:autoSpaceDN w:val="0"/>
        <w:adjustRightInd w:val="0"/>
        <w:spacing w:after="0" w:line="240" w:lineRule="auto"/>
        <w:rPr>
          <w:color w:val="000000"/>
        </w:rPr>
      </w:pPr>
      <w:r>
        <w:rPr>
          <w:color w:val="000000"/>
        </w:rPr>
        <w:t>All data will be collected through phone or in-person discussions</w:t>
      </w:r>
      <w:r w:rsidR="00132C43">
        <w:rPr>
          <w:color w:val="000000"/>
        </w:rPr>
        <w:t>, and final versions of notes from the discussions will be saved</w:t>
      </w:r>
      <w:r w:rsidR="00C07E6B">
        <w:rPr>
          <w:color w:val="000000"/>
        </w:rPr>
        <w:t xml:space="preserve"> on </w:t>
      </w:r>
      <w:proofErr w:type="spellStart"/>
      <w:r w:rsidR="00C07E6B">
        <w:rPr>
          <w:color w:val="000000"/>
        </w:rPr>
        <w:t>Abt</w:t>
      </w:r>
      <w:proofErr w:type="spellEnd"/>
      <w:r w:rsidR="00C07E6B">
        <w:rPr>
          <w:color w:val="000000"/>
        </w:rPr>
        <w:t xml:space="preserve"> Associates’ secure server</w:t>
      </w:r>
      <w:r>
        <w:rPr>
          <w:color w:val="000000"/>
        </w:rPr>
        <w:t>.</w:t>
      </w:r>
      <w:r w:rsidR="00132C43">
        <w:rPr>
          <w:color w:val="000000"/>
        </w:rPr>
        <w:t xml:space="preserve"> The R3 project team will use the original notes documents</w:t>
      </w:r>
      <w:r w:rsidR="00931B7E">
        <w:rPr>
          <w:color w:val="000000"/>
        </w:rPr>
        <w:t xml:space="preserve"> for reference, and will </w:t>
      </w:r>
      <w:r w:rsidR="00C07E6B">
        <w:rPr>
          <w:color w:val="000000"/>
        </w:rPr>
        <w:t>extract</w:t>
      </w:r>
      <w:r w:rsidR="00931B7E">
        <w:rPr>
          <w:color w:val="000000"/>
        </w:rPr>
        <w:t xml:space="preserve"> key information in</w:t>
      </w:r>
      <w:r w:rsidR="00C07E6B">
        <w:rPr>
          <w:color w:val="000000"/>
        </w:rPr>
        <w:t>to</w:t>
      </w:r>
      <w:r w:rsidR="00931B7E">
        <w:rPr>
          <w:color w:val="000000"/>
        </w:rPr>
        <w:t xml:space="preserve"> Excel spreadsheets as a cumulative </w:t>
      </w:r>
      <w:r w:rsidR="00C07E6B">
        <w:rPr>
          <w:color w:val="000000"/>
        </w:rPr>
        <w:t xml:space="preserve">central </w:t>
      </w:r>
      <w:r w:rsidR="00931B7E">
        <w:rPr>
          <w:color w:val="000000"/>
        </w:rPr>
        <w:t>repository for information collected from sites.</w:t>
      </w:r>
      <w:r w:rsidR="00132C43">
        <w:rPr>
          <w:color w:val="000000"/>
        </w:rPr>
        <w:t xml:space="preserve"> </w:t>
      </w:r>
      <w:r>
        <w:rPr>
          <w:color w:val="000000"/>
        </w:rPr>
        <w:t xml:space="preserve"> </w:t>
      </w:r>
    </w:p>
    <w:p w:rsidRPr="00B57F2C" w:rsidR="00984D78" w:rsidP="00851D4C" w:rsidRDefault="00984D78" w14:paraId="7403CD14" w14:textId="77777777">
      <w:pPr>
        <w:autoSpaceDE w:val="0"/>
        <w:autoSpaceDN w:val="0"/>
        <w:adjustRightInd w:val="0"/>
        <w:spacing w:after="0" w:line="240" w:lineRule="auto"/>
        <w:rPr>
          <w:rFonts w:eastAsia="Times New Roman" w:cstheme="minorHAnsi"/>
          <w:bCs/>
          <w:i/>
          <w:color w:val="000000"/>
        </w:rPr>
      </w:pPr>
    </w:p>
    <w:p w:rsidRPr="00B57F2C" w:rsidR="007B6CA2" w:rsidP="00851D4C" w:rsidRDefault="007B6CA2" w14:paraId="4B58405D" w14:textId="784AF053">
      <w:pPr>
        <w:autoSpaceDE w:val="0"/>
        <w:autoSpaceDN w:val="0"/>
        <w:adjustRightInd w:val="0"/>
        <w:spacing w:after="60" w:line="240" w:lineRule="auto"/>
        <w:rPr>
          <w:rFonts w:eastAsia="Times New Roman" w:cstheme="minorHAnsi"/>
          <w:bCs/>
          <w:i/>
          <w:color w:val="000000"/>
        </w:rPr>
      </w:pPr>
      <w:r w:rsidRPr="00B57F2C">
        <w:rPr>
          <w:rFonts w:eastAsia="Times New Roman" w:cstheme="minorHAnsi"/>
          <w:bCs/>
          <w:i/>
          <w:color w:val="000000"/>
        </w:rPr>
        <w:t>Data Analysis</w:t>
      </w:r>
    </w:p>
    <w:p w:rsidR="00BB2925" w:rsidP="00851D4C" w:rsidRDefault="00032265" w14:paraId="1A82E9FF" w14:textId="3CA84BF7">
      <w:pPr>
        <w:pStyle w:val="BodyText"/>
        <w:spacing w:line="240" w:lineRule="auto"/>
      </w:pPr>
      <w:r w:rsidRPr="00B57F2C">
        <w:rPr>
          <w:rFonts w:asciiTheme="minorHAnsi" w:hAnsiTheme="minorHAnsi" w:cstheme="minorHAnsi"/>
          <w:bCs/>
          <w:color w:val="000000"/>
          <w:szCs w:val="22"/>
        </w:rPr>
        <w:t xml:space="preserve">The data for this information collection will be in the form of notes from phone calls and site visits with programs. </w:t>
      </w:r>
      <w:r w:rsidRPr="00B57F2C" w:rsidR="007C2195">
        <w:rPr>
          <w:rFonts w:asciiTheme="minorHAnsi" w:hAnsiTheme="minorHAnsi" w:cstheme="minorHAnsi"/>
          <w:szCs w:val="22"/>
        </w:rPr>
        <w:t xml:space="preserve">The discussions that will be conducted as part of this data collection will be used for internal </w:t>
      </w:r>
      <w:r w:rsidRPr="00B57F2C" w:rsidR="00AF23A4">
        <w:rPr>
          <w:rFonts w:asciiTheme="minorHAnsi" w:hAnsiTheme="minorHAnsi" w:cstheme="minorHAnsi"/>
          <w:szCs w:val="22"/>
        </w:rPr>
        <w:t xml:space="preserve">feasibility </w:t>
      </w:r>
      <w:r w:rsidRPr="00B57F2C" w:rsidR="007C2195">
        <w:rPr>
          <w:rFonts w:asciiTheme="minorHAnsi" w:hAnsiTheme="minorHAnsi" w:cstheme="minorHAnsi"/>
          <w:szCs w:val="22"/>
        </w:rPr>
        <w:t xml:space="preserve">study purposes, </w:t>
      </w:r>
      <w:r w:rsidR="00531F55">
        <w:rPr>
          <w:rFonts w:asciiTheme="minorHAnsi" w:hAnsiTheme="minorHAnsi" w:cstheme="minorHAnsi"/>
          <w:szCs w:val="22"/>
        </w:rPr>
        <w:t xml:space="preserve">i.e., </w:t>
      </w:r>
      <w:r w:rsidRPr="00B57F2C" w:rsidR="007C2195">
        <w:rPr>
          <w:rFonts w:asciiTheme="minorHAnsi" w:hAnsiTheme="minorHAnsi" w:cstheme="minorHAnsi"/>
          <w:szCs w:val="22"/>
        </w:rPr>
        <w:t>to assist in the identification and selection of feasibility study sites</w:t>
      </w:r>
      <w:r w:rsidR="00531F55">
        <w:rPr>
          <w:rFonts w:asciiTheme="minorHAnsi" w:hAnsiTheme="minorHAnsi" w:cstheme="minorHAnsi"/>
          <w:szCs w:val="22"/>
        </w:rPr>
        <w:t xml:space="preserve"> and subsequently assess each site’s feasibility for a future impact evaluation</w:t>
      </w:r>
      <w:r w:rsidRPr="00B57F2C" w:rsidR="007C2195">
        <w:rPr>
          <w:rFonts w:asciiTheme="minorHAnsi" w:hAnsiTheme="minorHAnsi" w:cstheme="minorHAnsi"/>
          <w:szCs w:val="22"/>
        </w:rPr>
        <w:t xml:space="preserve">. </w:t>
      </w:r>
      <w:r w:rsidRPr="00B57F2C" w:rsidR="005B1206">
        <w:rPr>
          <w:rFonts w:asciiTheme="minorHAnsi" w:hAnsiTheme="minorHAnsi" w:cstheme="minorHAnsi"/>
          <w:bCs/>
          <w:color w:val="000000"/>
          <w:szCs w:val="22"/>
        </w:rPr>
        <w:t xml:space="preserve">The information will be </w:t>
      </w:r>
      <w:r w:rsidRPr="00B57F2C" w:rsidR="004B1775">
        <w:rPr>
          <w:rFonts w:asciiTheme="minorHAnsi" w:hAnsiTheme="minorHAnsi" w:cstheme="minorHAnsi"/>
          <w:bCs/>
          <w:color w:val="000000"/>
          <w:szCs w:val="22"/>
        </w:rPr>
        <w:t xml:space="preserve">interpreted in conjunction with existing documentation the project team collected </w:t>
      </w:r>
      <w:r w:rsidRPr="00533696" w:rsidR="00533696">
        <w:rPr>
          <w:rFonts w:asciiTheme="minorHAnsi" w:hAnsiTheme="minorHAnsi" w:cstheme="minorHAnsi"/>
          <w:bCs/>
          <w:color w:val="000000"/>
          <w:szCs w:val="22"/>
        </w:rPr>
        <w:t xml:space="preserve">through a systematic scan of recovery coaching interventions for families involved in </w:t>
      </w:r>
      <w:r w:rsidR="00717FFB">
        <w:rPr>
          <w:rFonts w:asciiTheme="minorHAnsi" w:hAnsiTheme="minorHAnsi" w:cstheme="minorHAnsi"/>
          <w:bCs/>
          <w:color w:val="000000"/>
          <w:szCs w:val="22"/>
        </w:rPr>
        <w:t xml:space="preserve">the </w:t>
      </w:r>
      <w:r w:rsidRPr="00533696" w:rsidR="00533696">
        <w:rPr>
          <w:rFonts w:asciiTheme="minorHAnsi" w:hAnsiTheme="minorHAnsi" w:cstheme="minorHAnsi"/>
          <w:bCs/>
          <w:color w:val="000000"/>
          <w:szCs w:val="22"/>
        </w:rPr>
        <w:t>child welfare</w:t>
      </w:r>
      <w:r w:rsidR="00717FFB">
        <w:rPr>
          <w:rFonts w:asciiTheme="minorHAnsi" w:hAnsiTheme="minorHAnsi" w:cstheme="minorHAnsi"/>
          <w:bCs/>
          <w:color w:val="000000"/>
          <w:szCs w:val="22"/>
        </w:rPr>
        <w:t xml:space="preserve"> system</w:t>
      </w:r>
      <w:r w:rsidRPr="00B57F2C" w:rsidR="004B1775">
        <w:rPr>
          <w:rFonts w:asciiTheme="minorHAnsi" w:hAnsiTheme="minorHAnsi" w:cstheme="minorHAnsi"/>
          <w:bCs/>
          <w:color w:val="000000"/>
          <w:szCs w:val="22"/>
        </w:rPr>
        <w:t xml:space="preserve">. The project team will assess and synthesize the information </w:t>
      </w:r>
      <w:r w:rsidRPr="00B57F2C" w:rsidR="007C2195">
        <w:rPr>
          <w:rFonts w:asciiTheme="minorHAnsi" w:hAnsiTheme="minorHAnsi" w:cstheme="minorHAnsi"/>
          <w:bCs/>
          <w:color w:val="000000"/>
          <w:szCs w:val="22"/>
        </w:rPr>
        <w:t xml:space="preserve">to identify the evaluability of the specific sites under consideration, and summarize the results </w:t>
      </w:r>
      <w:r w:rsidRPr="00B57F2C" w:rsidR="004B1775">
        <w:rPr>
          <w:rFonts w:asciiTheme="minorHAnsi" w:hAnsiTheme="minorHAnsi" w:cstheme="minorHAnsi"/>
          <w:bCs/>
          <w:color w:val="000000"/>
          <w:szCs w:val="22"/>
        </w:rPr>
        <w:t>in a final technical report.</w:t>
      </w:r>
      <w:r w:rsidRPr="00B57F2C" w:rsidR="007C2195">
        <w:rPr>
          <w:rFonts w:asciiTheme="minorHAnsi" w:hAnsiTheme="minorHAnsi" w:cstheme="minorHAnsi"/>
          <w:szCs w:val="22"/>
        </w:rPr>
        <w:t xml:space="preserve">   </w:t>
      </w:r>
    </w:p>
    <w:p w:rsidR="00BB2925" w:rsidP="00851D4C" w:rsidRDefault="00BB2925" w14:paraId="0CF5588E" w14:textId="77777777">
      <w:pPr>
        <w:autoSpaceDE w:val="0"/>
        <w:autoSpaceDN w:val="0"/>
        <w:adjustRightInd w:val="0"/>
        <w:spacing w:after="0" w:line="240" w:lineRule="auto"/>
        <w:rPr>
          <w:rFonts w:eastAsia="Times New Roman" w:cstheme="minorHAnsi"/>
          <w:bCs/>
          <w:i/>
          <w:color w:val="000000"/>
        </w:rPr>
      </w:pPr>
    </w:p>
    <w:p w:rsidRPr="007B6CA2" w:rsidR="007B6CA2" w:rsidP="00851D4C" w:rsidRDefault="007B6CA2" w14:paraId="6115EDAE" w14:textId="3AD922A4">
      <w:pPr>
        <w:autoSpaceDE w:val="0"/>
        <w:autoSpaceDN w:val="0"/>
        <w:adjustRightInd w:val="0"/>
        <w:spacing w:after="60" w:line="240" w:lineRule="auto"/>
        <w:rPr>
          <w:rFonts w:eastAsia="Times New Roman" w:cstheme="minorHAnsi"/>
          <w:i/>
          <w:color w:val="000000"/>
        </w:rPr>
      </w:pPr>
      <w:r>
        <w:rPr>
          <w:rFonts w:eastAsia="Times New Roman" w:cstheme="minorHAnsi"/>
          <w:bCs/>
          <w:i/>
          <w:color w:val="000000"/>
        </w:rPr>
        <w:t>Data Use</w:t>
      </w:r>
    </w:p>
    <w:p w:rsidRPr="00A345D8" w:rsidR="00A345D8" w:rsidP="00A345D8" w:rsidRDefault="004B1775" w14:paraId="46ACB1CA" w14:textId="32A91B72">
      <w:pPr>
        <w:pStyle w:val="CommentText"/>
        <w:rPr>
          <w:sz w:val="22"/>
        </w:rPr>
      </w:pPr>
      <w:r w:rsidRPr="00A345D8">
        <w:rPr>
          <w:rFonts w:eastAsia="Times New Roman" w:cstheme="minorHAnsi"/>
          <w:sz w:val="22"/>
        </w:rPr>
        <w:t>No documentation of how to use th</w:t>
      </w:r>
      <w:r w:rsidRPr="00A345D8" w:rsidR="00AF23A4">
        <w:rPr>
          <w:rFonts w:eastAsia="Times New Roman" w:cstheme="minorHAnsi"/>
          <w:sz w:val="22"/>
        </w:rPr>
        <w:t>ese</w:t>
      </w:r>
      <w:r w:rsidRPr="00A345D8">
        <w:rPr>
          <w:rFonts w:eastAsia="Times New Roman" w:cstheme="minorHAnsi"/>
          <w:sz w:val="22"/>
        </w:rPr>
        <w:t xml:space="preserve"> data will be released to the public</w:t>
      </w:r>
      <w:proofErr w:type="gramStart"/>
      <w:r w:rsidRPr="00A345D8">
        <w:rPr>
          <w:rFonts w:eastAsia="Times New Roman" w:cstheme="minorHAnsi"/>
          <w:sz w:val="22"/>
        </w:rPr>
        <w:t>.</w:t>
      </w:r>
      <w:r w:rsidRPr="00A345D8" w:rsidR="00132C43">
        <w:rPr>
          <w:rFonts w:eastAsia="Times New Roman" w:cstheme="minorHAnsi"/>
          <w:sz w:val="22"/>
        </w:rPr>
        <w:t>.</w:t>
      </w:r>
      <w:proofErr w:type="gramEnd"/>
      <w:r w:rsidRPr="00A345D8" w:rsidR="00A345D8">
        <w:rPr>
          <w:rFonts w:eastAsia="Times New Roman" w:cstheme="minorHAnsi"/>
          <w:sz w:val="22"/>
        </w:rPr>
        <w:t xml:space="preserve"> Findings from the current information collection request will not be used for the primary purpose of publication, but may be incorporated into documents or presentations that are made public, such as research design documents or reports; research or technical assistance plans; background materials for technical workgroups; or contextualization of research findings from a follow-up data collection that has full PRA approval.</w:t>
      </w:r>
    </w:p>
    <w:p w:rsidR="00BB2925" w:rsidP="00901040" w:rsidRDefault="00BB2925" w14:paraId="2C80635E" w14:textId="6A5DFD03">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Pr="00DF1291" w:rsidR="00005051" w:rsidP="00F85D35" w:rsidRDefault="00005051" w14:paraId="2C11730B" w14:textId="77777777">
      <w:pPr>
        <w:spacing w:after="120" w:line="240" w:lineRule="auto"/>
        <w:rPr>
          <w:rFonts w:eastAsia="Times New Roman" w:cstheme="minorHAnsi"/>
        </w:rPr>
      </w:pPr>
    </w:p>
    <w:tbl>
      <w:tblPr>
        <w:tblStyle w:val="TableGrid"/>
        <w:tblW w:w="0" w:type="auto"/>
        <w:tblInd w:w="0" w:type="dxa"/>
        <w:tblLook w:val="04A0" w:firstRow="1" w:lastRow="0" w:firstColumn="1" w:lastColumn="0" w:noHBand="0" w:noVBand="1"/>
      </w:tblPr>
      <w:tblGrid>
        <w:gridCol w:w="1885"/>
        <w:gridCol w:w="1890"/>
        <w:gridCol w:w="2345"/>
        <w:gridCol w:w="3230"/>
      </w:tblGrid>
      <w:tr w:rsidRPr="0001221C" w:rsidR="00005051" w:rsidTr="00DE1154" w14:paraId="03A82504" w14:textId="77777777">
        <w:tc>
          <w:tcPr>
            <w:tcW w:w="1885" w:type="dxa"/>
          </w:tcPr>
          <w:p w:rsidRPr="0001221C" w:rsidR="00005051" w:rsidP="00DE1154" w:rsidRDefault="00005051" w14:paraId="27A76F44" w14:textId="77777777">
            <w:pPr>
              <w:pStyle w:val="ListParagraph"/>
              <w:ind w:left="0"/>
              <w:rPr>
                <w:rFonts w:cstheme="minorHAnsi"/>
              </w:rPr>
            </w:pPr>
            <w:r w:rsidRPr="0001221C">
              <w:rPr>
                <w:rFonts w:cstheme="minorHAnsi"/>
              </w:rPr>
              <w:t>Name</w:t>
            </w:r>
          </w:p>
        </w:tc>
        <w:tc>
          <w:tcPr>
            <w:tcW w:w="1890" w:type="dxa"/>
          </w:tcPr>
          <w:p w:rsidRPr="0001221C" w:rsidR="00005051" w:rsidP="00DE1154" w:rsidRDefault="00005051" w14:paraId="5D6456B9" w14:textId="77777777">
            <w:pPr>
              <w:pStyle w:val="ListParagraph"/>
              <w:ind w:left="0"/>
              <w:rPr>
                <w:rFonts w:cstheme="minorHAnsi"/>
              </w:rPr>
            </w:pPr>
            <w:r w:rsidRPr="0001221C">
              <w:rPr>
                <w:rFonts w:cstheme="minorHAnsi"/>
              </w:rPr>
              <w:t>Organization</w:t>
            </w:r>
          </w:p>
        </w:tc>
        <w:tc>
          <w:tcPr>
            <w:tcW w:w="2345" w:type="dxa"/>
          </w:tcPr>
          <w:p w:rsidRPr="0001221C" w:rsidR="00005051" w:rsidP="00DE1154" w:rsidRDefault="00005051" w14:paraId="6D5FDAEF" w14:textId="77777777">
            <w:pPr>
              <w:pStyle w:val="ListParagraph"/>
              <w:ind w:left="0"/>
              <w:rPr>
                <w:rFonts w:cstheme="minorHAnsi"/>
              </w:rPr>
            </w:pPr>
            <w:r w:rsidRPr="0001221C">
              <w:rPr>
                <w:rFonts w:cstheme="minorHAnsi"/>
              </w:rPr>
              <w:t>Role on Contract</w:t>
            </w:r>
          </w:p>
        </w:tc>
        <w:tc>
          <w:tcPr>
            <w:tcW w:w="3230" w:type="dxa"/>
          </w:tcPr>
          <w:p w:rsidRPr="0001221C" w:rsidR="00005051" w:rsidP="00DE1154" w:rsidRDefault="00005051" w14:paraId="115EF9F7" w14:textId="77777777">
            <w:pPr>
              <w:pStyle w:val="ListParagraph"/>
              <w:ind w:left="0"/>
              <w:rPr>
                <w:rFonts w:cstheme="minorHAnsi"/>
              </w:rPr>
            </w:pPr>
            <w:r w:rsidRPr="0001221C">
              <w:rPr>
                <w:rFonts w:cstheme="minorHAnsi"/>
              </w:rPr>
              <w:t>Phone/email</w:t>
            </w:r>
          </w:p>
        </w:tc>
      </w:tr>
      <w:tr w:rsidRPr="0001221C" w:rsidR="00005051" w:rsidTr="00DE1154" w14:paraId="1B30B721" w14:textId="77777777">
        <w:tc>
          <w:tcPr>
            <w:tcW w:w="1885" w:type="dxa"/>
          </w:tcPr>
          <w:p w:rsidRPr="0001221C" w:rsidR="00005051" w:rsidP="00DE1154" w:rsidRDefault="004B1775" w14:paraId="64A0CB57" w14:textId="4DC2F961">
            <w:pPr>
              <w:pStyle w:val="ListParagraph"/>
              <w:ind w:left="0"/>
              <w:rPr>
                <w:rFonts w:cstheme="minorHAnsi"/>
              </w:rPr>
            </w:pPr>
            <w:r>
              <w:rPr>
                <w:rFonts w:cstheme="minorHAnsi"/>
              </w:rPr>
              <w:t>Calonie Gray</w:t>
            </w:r>
          </w:p>
        </w:tc>
        <w:tc>
          <w:tcPr>
            <w:tcW w:w="1890" w:type="dxa"/>
          </w:tcPr>
          <w:p w:rsidRPr="0001221C" w:rsidR="00005051" w:rsidP="00DE1154" w:rsidRDefault="00005051" w14:paraId="07A5ADFD" w14:textId="77777777">
            <w:pPr>
              <w:pStyle w:val="ListParagraph"/>
              <w:ind w:left="0"/>
              <w:rPr>
                <w:rFonts w:cstheme="minorHAnsi"/>
              </w:rPr>
            </w:pPr>
            <w:r w:rsidRPr="0001221C">
              <w:rPr>
                <w:rFonts w:cstheme="minorHAnsi"/>
              </w:rPr>
              <w:t>OPRE, ACF, HHS</w:t>
            </w:r>
          </w:p>
        </w:tc>
        <w:tc>
          <w:tcPr>
            <w:tcW w:w="2345" w:type="dxa"/>
          </w:tcPr>
          <w:p w:rsidRPr="0001221C" w:rsidR="00005051" w:rsidP="00DE1154" w:rsidRDefault="00005051" w14:paraId="7A106D2B" w14:textId="77777777">
            <w:pPr>
              <w:pStyle w:val="ListParagraph"/>
              <w:ind w:left="0"/>
              <w:rPr>
                <w:rFonts w:cstheme="minorHAnsi"/>
              </w:rPr>
            </w:pPr>
            <w:r w:rsidRPr="0001221C">
              <w:rPr>
                <w:rFonts w:cstheme="minorHAnsi"/>
              </w:rPr>
              <w:t>Co-Contracting Officer’s Representative</w:t>
            </w:r>
          </w:p>
        </w:tc>
        <w:tc>
          <w:tcPr>
            <w:tcW w:w="3230" w:type="dxa"/>
          </w:tcPr>
          <w:p w:rsidRPr="004B1775" w:rsidR="004B1775" w:rsidP="004B1775" w:rsidRDefault="00997B48" w14:paraId="35B17B4F" w14:textId="77777777">
            <w:pPr>
              <w:rPr>
                <w:rFonts w:cstheme="minorHAnsi"/>
              </w:rPr>
            </w:pPr>
            <w:hyperlink w:history="1" r:id="rId11">
              <w:r w:rsidRPr="004B1775" w:rsidR="004B1775">
                <w:rPr>
                  <w:rStyle w:val="Hyperlink"/>
                  <w:rFonts w:cstheme="minorHAnsi"/>
                </w:rPr>
                <w:t>Calonie.Gray@acf.hhs.gov</w:t>
              </w:r>
            </w:hyperlink>
          </w:p>
          <w:p w:rsidRPr="004B1775" w:rsidR="004B1775" w:rsidP="004B1775" w:rsidRDefault="004B1775" w14:paraId="74D45293" w14:textId="77777777">
            <w:pPr>
              <w:rPr>
                <w:rFonts w:cstheme="minorHAnsi"/>
              </w:rPr>
            </w:pPr>
            <w:r w:rsidRPr="004B1775">
              <w:rPr>
                <w:rFonts w:cstheme="minorHAnsi"/>
              </w:rPr>
              <w:t>(202) 565-0205</w:t>
            </w:r>
          </w:p>
          <w:p w:rsidRPr="0001221C" w:rsidR="00005051" w:rsidP="00DE1154" w:rsidRDefault="00005051" w14:paraId="6338F58B" w14:textId="7E0132D3">
            <w:pPr>
              <w:rPr>
                <w:rFonts w:cstheme="minorHAnsi"/>
              </w:rPr>
            </w:pPr>
          </w:p>
        </w:tc>
      </w:tr>
      <w:tr w:rsidRPr="0001221C" w:rsidR="00005051" w:rsidTr="00DE1154" w14:paraId="022617B6" w14:textId="77777777">
        <w:tc>
          <w:tcPr>
            <w:tcW w:w="1885" w:type="dxa"/>
          </w:tcPr>
          <w:p w:rsidRPr="0001221C" w:rsidR="00005051" w:rsidP="00DE1154" w:rsidRDefault="004B1775" w14:paraId="36EE3A77" w14:textId="3FDF1BE5">
            <w:pPr>
              <w:pStyle w:val="ListParagraph"/>
              <w:ind w:left="0"/>
              <w:rPr>
                <w:rFonts w:cstheme="minorHAnsi"/>
              </w:rPr>
            </w:pPr>
            <w:r>
              <w:rPr>
                <w:rFonts w:cstheme="minorHAnsi"/>
              </w:rPr>
              <w:t xml:space="preserve">Kelly </w:t>
            </w:r>
            <w:proofErr w:type="spellStart"/>
            <w:r>
              <w:rPr>
                <w:rFonts w:cstheme="minorHAnsi"/>
              </w:rPr>
              <w:t>Jedd</w:t>
            </w:r>
            <w:proofErr w:type="spellEnd"/>
            <w:r>
              <w:rPr>
                <w:rFonts w:cstheme="minorHAnsi"/>
              </w:rPr>
              <w:t xml:space="preserve"> McKenzie</w:t>
            </w:r>
          </w:p>
        </w:tc>
        <w:tc>
          <w:tcPr>
            <w:tcW w:w="1890" w:type="dxa"/>
          </w:tcPr>
          <w:p w:rsidRPr="0001221C" w:rsidR="00005051" w:rsidP="00DE1154" w:rsidRDefault="00005051" w14:paraId="6C45BA06" w14:textId="77777777">
            <w:pPr>
              <w:pStyle w:val="ListParagraph"/>
              <w:ind w:left="0"/>
              <w:rPr>
                <w:rFonts w:cstheme="minorHAnsi"/>
              </w:rPr>
            </w:pPr>
            <w:r w:rsidRPr="0001221C">
              <w:rPr>
                <w:rFonts w:cstheme="minorHAnsi"/>
              </w:rPr>
              <w:t>OPRE, ACF, HHS</w:t>
            </w:r>
          </w:p>
        </w:tc>
        <w:tc>
          <w:tcPr>
            <w:tcW w:w="2345" w:type="dxa"/>
          </w:tcPr>
          <w:p w:rsidRPr="0001221C" w:rsidR="00005051" w:rsidP="00DE1154" w:rsidRDefault="00005051" w14:paraId="49FE6D5E" w14:textId="77777777">
            <w:pPr>
              <w:pStyle w:val="ListParagraph"/>
              <w:ind w:left="0"/>
              <w:rPr>
                <w:rFonts w:cstheme="minorHAnsi"/>
              </w:rPr>
            </w:pPr>
            <w:r w:rsidRPr="0001221C">
              <w:rPr>
                <w:rFonts w:cstheme="minorHAnsi"/>
              </w:rPr>
              <w:t>Co-Contracting Officer’s Representative</w:t>
            </w:r>
          </w:p>
        </w:tc>
        <w:tc>
          <w:tcPr>
            <w:tcW w:w="3230" w:type="dxa"/>
          </w:tcPr>
          <w:p w:rsidRPr="004B1775" w:rsidR="004B1775" w:rsidP="004B1775" w:rsidRDefault="00997B48" w14:paraId="0C1ED928" w14:textId="77777777">
            <w:pPr>
              <w:rPr>
                <w:rFonts w:cstheme="minorHAnsi"/>
              </w:rPr>
            </w:pPr>
            <w:hyperlink w:history="1" r:id="rId12">
              <w:r w:rsidRPr="004B1775" w:rsidR="004B1775">
                <w:rPr>
                  <w:rStyle w:val="Hyperlink"/>
                  <w:rFonts w:cstheme="minorHAnsi"/>
                </w:rPr>
                <w:t>Kelly.McKenzie@acf.hhs.gov</w:t>
              </w:r>
            </w:hyperlink>
          </w:p>
          <w:p w:rsidRPr="004B1775" w:rsidR="004B1775" w:rsidP="004B1775" w:rsidRDefault="004B1775" w14:paraId="167D795F" w14:textId="77777777">
            <w:pPr>
              <w:rPr>
                <w:rFonts w:cstheme="minorHAnsi"/>
              </w:rPr>
            </w:pPr>
            <w:r w:rsidRPr="004B1775">
              <w:rPr>
                <w:rFonts w:cstheme="minorHAnsi"/>
              </w:rPr>
              <w:t>(202) 245-0976</w:t>
            </w:r>
          </w:p>
          <w:p w:rsidRPr="0001221C" w:rsidR="00005051" w:rsidP="00DE1154" w:rsidRDefault="00005051" w14:paraId="36309DE5" w14:textId="6D3DFC33">
            <w:pPr>
              <w:pStyle w:val="ListParagraph"/>
              <w:ind w:left="0"/>
              <w:rPr>
                <w:rFonts w:cstheme="minorHAnsi"/>
              </w:rPr>
            </w:pPr>
          </w:p>
        </w:tc>
      </w:tr>
      <w:tr w:rsidRPr="0001221C" w:rsidR="00005051" w:rsidTr="00DE1154" w14:paraId="12191F29" w14:textId="77777777">
        <w:tc>
          <w:tcPr>
            <w:tcW w:w="1885" w:type="dxa"/>
          </w:tcPr>
          <w:p w:rsidRPr="0001221C" w:rsidR="00005051" w:rsidP="00DE1154" w:rsidRDefault="004B1775" w14:paraId="0A685978" w14:textId="4D994B8E">
            <w:pPr>
              <w:pStyle w:val="ListParagraph"/>
              <w:ind w:left="0"/>
              <w:rPr>
                <w:rFonts w:cstheme="minorHAnsi"/>
              </w:rPr>
            </w:pPr>
            <w:r>
              <w:rPr>
                <w:rFonts w:cstheme="minorHAnsi"/>
              </w:rPr>
              <w:t>Kimberly Francis</w:t>
            </w:r>
          </w:p>
        </w:tc>
        <w:tc>
          <w:tcPr>
            <w:tcW w:w="1890" w:type="dxa"/>
          </w:tcPr>
          <w:p w:rsidRPr="0001221C" w:rsidR="00005051" w:rsidP="00DE1154" w:rsidRDefault="00005051" w14:paraId="603CF47C" w14:textId="77777777">
            <w:pPr>
              <w:pStyle w:val="ListParagraph"/>
              <w:ind w:left="0"/>
              <w:rPr>
                <w:rFonts w:cstheme="minorHAnsi"/>
              </w:rPr>
            </w:pPr>
            <w:proofErr w:type="spellStart"/>
            <w:r w:rsidRPr="0001221C">
              <w:rPr>
                <w:rFonts w:cstheme="minorHAnsi"/>
              </w:rPr>
              <w:t>Abt</w:t>
            </w:r>
            <w:proofErr w:type="spellEnd"/>
            <w:r w:rsidRPr="0001221C">
              <w:rPr>
                <w:rFonts w:cstheme="minorHAnsi"/>
              </w:rPr>
              <w:t xml:space="preserve"> Associates</w:t>
            </w:r>
          </w:p>
        </w:tc>
        <w:tc>
          <w:tcPr>
            <w:tcW w:w="2345" w:type="dxa"/>
          </w:tcPr>
          <w:p w:rsidRPr="0001221C" w:rsidR="00005051" w:rsidP="00DE1154" w:rsidRDefault="00005051" w14:paraId="1D7C2A1B" w14:textId="77777777">
            <w:pPr>
              <w:pStyle w:val="ListParagraph"/>
              <w:ind w:left="0"/>
              <w:rPr>
                <w:rFonts w:cstheme="minorHAnsi"/>
              </w:rPr>
            </w:pPr>
            <w:r w:rsidRPr="0001221C">
              <w:rPr>
                <w:rFonts w:cstheme="minorHAnsi"/>
              </w:rPr>
              <w:t>Project Director</w:t>
            </w:r>
          </w:p>
        </w:tc>
        <w:tc>
          <w:tcPr>
            <w:tcW w:w="3230" w:type="dxa"/>
          </w:tcPr>
          <w:p w:rsidR="00005051" w:rsidP="004B1775" w:rsidRDefault="00997B48" w14:paraId="452A880B" w14:textId="06DE2342">
            <w:pPr>
              <w:pStyle w:val="ListParagraph"/>
              <w:ind w:left="0"/>
              <w:rPr>
                <w:rStyle w:val="Hyperlink"/>
                <w:rFonts w:cstheme="minorHAnsi"/>
              </w:rPr>
            </w:pPr>
            <w:hyperlink w:history="1" r:id="rId13">
              <w:r w:rsidRPr="003B201A" w:rsidR="004B1775">
                <w:rPr>
                  <w:rStyle w:val="Hyperlink"/>
                  <w:rFonts w:cstheme="minorHAnsi"/>
                </w:rPr>
                <w:t>Kimberly_Francis@abtassoc.com</w:t>
              </w:r>
            </w:hyperlink>
          </w:p>
          <w:p w:rsidRPr="0001221C" w:rsidR="004B1775" w:rsidP="004B1775" w:rsidRDefault="004B1775" w14:paraId="18085106" w14:textId="4D6AF068">
            <w:pPr>
              <w:pStyle w:val="ListParagraph"/>
              <w:ind w:left="0"/>
              <w:rPr>
                <w:rFonts w:cstheme="minorHAnsi"/>
              </w:rPr>
            </w:pPr>
            <w:r>
              <w:rPr>
                <w:rFonts w:cstheme="minorHAnsi"/>
              </w:rPr>
              <w:t>(617) 520-2502</w:t>
            </w:r>
          </w:p>
        </w:tc>
      </w:tr>
    </w:tbl>
    <w:p w:rsidR="00901040" w:rsidP="008369BA" w:rsidRDefault="00901040" w14:paraId="67F16556" w14:textId="5807BED7">
      <w:pPr>
        <w:pStyle w:val="ListParagraph"/>
        <w:spacing w:after="0" w:line="240" w:lineRule="auto"/>
        <w:ind w:left="0"/>
        <w:rPr>
          <w:rFonts w:cstheme="minorHAnsi"/>
          <w:b/>
        </w:rPr>
      </w:pPr>
    </w:p>
    <w:p w:rsidR="00B31352" w:rsidRDefault="00B31352" w14:paraId="5D97D27E" w14:textId="15485914">
      <w:pPr>
        <w:rPr>
          <w:b/>
        </w:rPr>
      </w:pPr>
      <w:r>
        <w:rPr>
          <w:b/>
        </w:rPr>
        <w:br w:type="page"/>
      </w:r>
    </w:p>
    <w:p w:rsidR="00083227" w:rsidP="00F85D35" w:rsidRDefault="00A1108E" w14:paraId="1E574BF6" w14:textId="24463D9C">
      <w:pPr>
        <w:spacing w:after="120" w:line="240" w:lineRule="auto"/>
        <w:rPr>
          <w:b/>
        </w:rPr>
      </w:pPr>
      <w:r>
        <w:rPr>
          <w:b/>
        </w:rPr>
        <w:t>Attachments</w:t>
      </w:r>
    </w:p>
    <w:p w:rsidR="00616033" w:rsidP="00616033" w:rsidRDefault="00616033" w14:paraId="620EAB8D" w14:textId="77777777">
      <w:pPr>
        <w:pStyle w:val="ListParagraph"/>
        <w:numPr>
          <w:ilvl w:val="0"/>
          <w:numId w:val="31"/>
        </w:numPr>
        <w:spacing w:after="0" w:line="240" w:lineRule="auto"/>
        <w:rPr>
          <w:b/>
        </w:rPr>
      </w:pPr>
      <w:r>
        <w:rPr>
          <w:b/>
        </w:rPr>
        <w:t>Instruments</w:t>
      </w:r>
    </w:p>
    <w:p w:rsidRPr="00FC35D5" w:rsidR="00616033" w:rsidP="00616033" w:rsidRDefault="00616033" w14:paraId="67D82885" w14:textId="7449C444">
      <w:pPr>
        <w:pStyle w:val="ListParagraph"/>
        <w:numPr>
          <w:ilvl w:val="1"/>
          <w:numId w:val="31"/>
        </w:numPr>
        <w:spacing w:after="0" w:line="240" w:lineRule="auto"/>
        <w:rPr>
          <w:b/>
        </w:rPr>
      </w:pPr>
      <w:r w:rsidRPr="009E271D">
        <w:rPr>
          <w:rFonts w:cstheme="minorHAnsi"/>
        </w:rPr>
        <w:t xml:space="preserve">Instrument 1: </w:t>
      </w:r>
      <w:r w:rsidRPr="00367A65" w:rsidR="00367A65">
        <w:rPr>
          <w:rFonts w:cstheme="minorHAnsi"/>
        </w:rPr>
        <w:t>R3 Discussion Guide for Informal Informational Calls with Potential Program Sites</w:t>
      </w:r>
    </w:p>
    <w:p w:rsidRPr="00FC35D5" w:rsidR="00616033" w:rsidP="00616033" w:rsidRDefault="00616033" w14:paraId="6A977086" w14:textId="7CABD447">
      <w:pPr>
        <w:pStyle w:val="ListParagraph"/>
        <w:numPr>
          <w:ilvl w:val="1"/>
          <w:numId w:val="31"/>
        </w:numPr>
        <w:spacing w:after="0" w:line="240" w:lineRule="auto"/>
        <w:rPr>
          <w:b/>
        </w:rPr>
      </w:pPr>
      <w:r w:rsidRPr="009E271D">
        <w:rPr>
          <w:rFonts w:cstheme="minorHAnsi"/>
        </w:rPr>
        <w:t xml:space="preserve">Instrument 2: R3 Discussion </w:t>
      </w:r>
      <w:r w:rsidR="00367A65">
        <w:rPr>
          <w:rFonts w:cstheme="minorHAnsi"/>
        </w:rPr>
        <w:t>Guide</w:t>
      </w:r>
      <w:r w:rsidRPr="009E271D">
        <w:rPr>
          <w:rFonts w:cstheme="minorHAnsi"/>
        </w:rPr>
        <w:t xml:space="preserve"> for </w:t>
      </w:r>
      <w:r>
        <w:rPr>
          <w:rFonts w:cstheme="minorHAnsi"/>
        </w:rPr>
        <w:t xml:space="preserve">Virtual </w:t>
      </w:r>
      <w:r w:rsidRPr="009E271D">
        <w:rPr>
          <w:rFonts w:cstheme="minorHAnsi"/>
        </w:rPr>
        <w:t>Site Selection Visits</w:t>
      </w:r>
    </w:p>
    <w:p w:rsidR="00616033" w:rsidP="00616033" w:rsidRDefault="00616033" w14:paraId="4EC4A855" w14:textId="6124A394">
      <w:pPr>
        <w:pStyle w:val="ListParagraph"/>
        <w:numPr>
          <w:ilvl w:val="1"/>
          <w:numId w:val="31"/>
        </w:numPr>
        <w:spacing w:after="0" w:line="240" w:lineRule="auto"/>
        <w:rPr>
          <w:b/>
        </w:rPr>
      </w:pPr>
      <w:r w:rsidRPr="009E271D">
        <w:rPr>
          <w:rFonts w:cstheme="minorHAnsi"/>
        </w:rPr>
        <w:t xml:space="preserve">Instrument 3: R3 Discussion </w:t>
      </w:r>
      <w:r w:rsidR="00367A65">
        <w:rPr>
          <w:rFonts w:cstheme="minorHAnsi"/>
        </w:rPr>
        <w:t>Guide</w:t>
      </w:r>
      <w:r w:rsidRPr="009E271D">
        <w:rPr>
          <w:rFonts w:cstheme="minorHAnsi"/>
        </w:rPr>
        <w:t xml:space="preserve"> for Feasibility Data Collection Visits</w:t>
      </w:r>
    </w:p>
    <w:p w:rsidRPr="00FC35D5" w:rsidR="00616033" w:rsidP="00616033" w:rsidRDefault="00616033" w14:paraId="697AB50B" w14:textId="77777777">
      <w:pPr>
        <w:pStyle w:val="ListParagraph"/>
        <w:numPr>
          <w:ilvl w:val="0"/>
          <w:numId w:val="31"/>
        </w:numPr>
        <w:spacing w:after="0" w:line="240" w:lineRule="auto"/>
        <w:rPr>
          <w:b/>
        </w:rPr>
      </w:pPr>
      <w:r>
        <w:rPr>
          <w:b/>
        </w:rPr>
        <w:t>Appendices:</w:t>
      </w:r>
    </w:p>
    <w:p w:rsidRPr="00FC7145" w:rsidR="00616033" w:rsidP="00616033" w:rsidRDefault="00616033" w14:paraId="238063FB" w14:textId="55A4524F">
      <w:pPr>
        <w:pStyle w:val="ListParagraph"/>
        <w:numPr>
          <w:ilvl w:val="1"/>
          <w:numId w:val="31"/>
        </w:numPr>
        <w:spacing w:after="0" w:line="240" w:lineRule="auto"/>
      </w:pPr>
      <w:r w:rsidRPr="00FC7145">
        <w:t>A</w:t>
      </w:r>
      <w:r>
        <w:t>ppendix</w:t>
      </w:r>
      <w:r w:rsidRPr="00FC7145">
        <w:t xml:space="preserve"> A: </w:t>
      </w:r>
      <w:r w:rsidRPr="00533696" w:rsidR="00533696">
        <w:t>Text from SUPPORT Act Section C. 8082</w:t>
      </w:r>
      <w:r w:rsidRPr="00533696" w:rsidR="00533696">
        <w:rPr>
          <w:b/>
        </w:rPr>
        <w:t xml:space="preserve"> </w:t>
      </w:r>
    </w:p>
    <w:p w:rsidRPr="00BB2925" w:rsidR="004B1775" w:rsidP="00F85D35" w:rsidRDefault="004B1775" w14:paraId="31251D43" w14:textId="77777777">
      <w:pPr>
        <w:spacing w:after="120" w:line="240" w:lineRule="auto"/>
        <w:rPr>
          <w:b/>
        </w:rPr>
      </w:pPr>
    </w:p>
    <w:sectPr w:rsidRPr="00BB2925" w:rsidR="004B1775" w:rsidSect="00C91C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DCBB" w14:textId="77777777" w:rsidR="00DE1154" w:rsidRDefault="00DE1154" w:rsidP="0004063C">
      <w:pPr>
        <w:spacing w:after="0" w:line="240" w:lineRule="auto"/>
      </w:pPr>
      <w:r>
        <w:separator/>
      </w:r>
    </w:p>
  </w:endnote>
  <w:endnote w:type="continuationSeparator" w:id="0">
    <w:p w14:paraId="47F13DA3" w14:textId="77777777" w:rsidR="00DE1154" w:rsidRDefault="00DE1154"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69A9B881" w:rsidR="00BD702B" w:rsidRDefault="00BD702B">
        <w:pPr>
          <w:pStyle w:val="Footer"/>
          <w:jc w:val="right"/>
        </w:pPr>
        <w:r>
          <w:fldChar w:fldCharType="begin"/>
        </w:r>
        <w:r>
          <w:instrText xml:space="preserve"> PAGE   \* MERGEFORMAT </w:instrText>
        </w:r>
        <w:r>
          <w:fldChar w:fldCharType="separate"/>
        </w:r>
        <w:r w:rsidR="00997B48">
          <w:rPr>
            <w:noProof/>
          </w:rPr>
          <w:t>5</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7CFA2" w14:textId="77777777" w:rsidR="00DE1154" w:rsidRDefault="00DE1154" w:rsidP="0004063C">
      <w:pPr>
        <w:spacing w:after="0" w:line="240" w:lineRule="auto"/>
      </w:pPr>
      <w:r>
        <w:separator/>
      </w:r>
    </w:p>
  </w:footnote>
  <w:footnote w:type="continuationSeparator" w:id="0">
    <w:p w14:paraId="5329DD67" w14:textId="77777777" w:rsidR="00DE1154" w:rsidRDefault="00DE1154" w:rsidP="0004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81978"/>
    <w:multiLevelType w:val="hybridMultilevel"/>
    <w:tmpl w:val="A07C3D4A"/>
    <w:lvl w:ilvl="0" w:tplc="DEDE7350">
      <w:numFmt w:val="bullet"/>
      <w:lvlText w:val=""/>
      <w:lvlJc w:val="left"/>
      <w:pPr>
        <w:ind w:left="360" w:hanging="360"/>
      </w:pPr>
      <w:rPr>
        <w:rFonts w:ascii="Symbol" w:eastAsiaTheme="minorHAnsi" w:hAnsi="Symbol" w:cstheme="minorBidi" w:hint="default"/>
        <w:color w:val="4F81BD" w:themeColor="accen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75C91"/>
    <w:multiLevelType w:val="hybridMultilevel"/>
    <w:tmpl w:val="12DA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5"/>
  </w:num>
  <w:num w:numId="4">
    <w:abstractNumId w:val="23"/>
  </w:num>
  <w:num w:numId="5">
    <w:abstractNumId w:val="14"/>
  </w:num>
  <w:num w:numId="6">
    <w:abstractNumId w:val="28"/>
  </w:num>
  <w:num w:numId="7">
    <w:abstractNumId w:val="4"/>
  </w:num>
  <w:num w:numId="8">
    <w:abstractNumId w:val="9"/>
  </w:num>
  <w:num w:numId="9">
    <w:abstractNumId w:val="13"/>
  </w:num>
  <w:num w:numId="10">
    <w:abstractNumId w:val="27"/>
  </w:num>
  <w:num w:numId="11">
    <w:abstractNumId w:val="30"/>
  </w:num>
  <w:num w:numId="12">
    <w:abstractNumId w:val="25"/>
  </w:num>
  <w:num w:numId="13">
    <w:abstractNumId w:val="21"/>
  </w:num>
  <w:num w:numId="14">
    <w:abstractNumId w:val="26"/>
  </w:num>
  <w:num w:numId="15">
    <w:abstractNumId w:val="15"/>
  </w:num>
  <w:num w:numId="16">
    <w:abstractNumId w:val="20"/>
  </w:num>
  <w:num w:numId="17">
    <w:abstractNumId w:val="11"/>
  </w:num>
  <w:num w:numId="18">
    <w:abstractNumId w:val="8"/>
  </w:num>
  <w:num w:numId="19">
    <w:abstractNumId w:val="7"/>
  </w:num>
  <w:num w:numId="20">
    <w:abstractNumId w:val="19"/>
  </w:num>
  <w:num w:numId="21">
    <w:abstractNumId w:val="0"/>
  </w:num>
  <w:num w:numId="22">
    <w:abstractNumId w:val="1"/>
  </w:num>
  <w:num w:numId="23">
    <w:abstractNumId w:val="16"/>
  </w:num>
  <w:num w:numId="24">
    <w:abstractNumId w:val="2"/>
  </w:num>
  <w:num w:numId="25">
    <w:abstractNumId w:val="10"/>
  </w:num>
  <w:num w:numId="26">
    <w:abstractNumId w:val="18"/>
  </w:num>
  <w:num w:numId="27">
    <w:abstractNumId w:val="12"/>
  </w:num>
  <w:num w:numId="28">
    <w:abstractNumId w:val="29"/>
  </w:num>
  <w:num w:numId="29">
    <w:abstractNumId w:val="24"/>
  </w:num>
  <w:num w:numId="30">
    <w:abstractNumId w:val="3"/>
  </w:num>
  <w:num w:numId="31">
    <w:abstractNumId w:val="22"/>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1MDc2MDAwN7EwNTJR0lEKTi0uzszPAykwqQUAmxJggywAAAA="/>
  </w:docVars>
  <w:rsids>
    <w:rsidRoot w:val="00B56589"/>
    <w:rsid w:val="00005051"/>
    <w:rsid w:val="000053A5"/>
    <w:rsid w:val="0001221C"/>
    <w:rsid w:val="0001255D"/>
    <w:rsid w:val="00027E79"/>
    <w:rsid w:val="00032265"/>
    <w:rsid w:val="0004063C"/>
    <w:rsid w:val="0004247F"/>
    <w:rsid w:val="00060C59"/>
    <w:rsid w:val="00062AFB"/>
    <w:rsid w:val="000655DD"/>
    <w:rsid w:val="00071F79"/>
    <w:rsid w:val="0007251B"/>
    <w:rsid w:val="000733A5"/>
    <w:rsid w:val="00082C5B"/>
    <w:rsid w:val="00083227"/>
    <w:rsid w:val="0008522E"/>
    <w:rsid w:val="00086CBE"/>
    <w:rsid w:val="00090812"/>
    <w:rsid w:val="000921F0"/>
    <w:rsid w:val="000A012A"/>
    <w:rsid w:val="000B1F66"/>
    <w:rsid w:val="000D4E9A"/>
    <w:rsid w:val="000D61D4"/>
    <w:rsid w:val="000D7942"/>
    <w:rsid w:val="000D7D44"/>
    <w:rsid w:val="000E2F81"/>
    <w:rsid w:val="000F1E4A"/>
    <w:rsid w:val="00100D34"/>
    <w:rsid w:val="00103EFD"/>
    <w:rsid w:val="00107D87"/>
    <w:rsid w:val="0011632C"/>
    <w:rsid w:val="001253F4"/>
    <w:rsid w:val="00132C43"/>
    <w:rsid w:val="00157482"/>
    <w:rsid w:val="00165818"/>
    <w:rsid w:val="001707D8"/>
    <w:rsid w:val="001A4C8A"/>
    <w:rsid w:val="001B0A76"/>
    <w:rsid w:val="001B6E1A"/>
    <w:rsid w:val="001E12DA"/>
    <w:rsid w:val="001F5346"/>
    <w:rsid w:val="001F57F5"/>
    <w:rsid w:val="001F60CA"/>
    <w:rsid w:val="00200BCC"/>
    <w:rsid w:val="0020401C"/>
    <w:rsid w:val="0020629A"/>
    <w:rsid w:val="00206E11"/>
    <w:rsid w:val="00206FE3"/>
    <w:rsid w:val="00207554"/>
    <w:rsid w:val="00211261"/>
    <w:rsid w:val="002517BB"/>
    <w:rsid w:val="00256E24"/>
    <w:rsid w:val="00260E33"/>
    <w:rsid w:val="00265491"/>
    <w:rsid w:val="00276CE2"/>
    <w:rsid w:val="00287AF1"/>
    <w:rsid w:val="002A41C6"/>
    <w:rsid w:val="002A69A7"/>
    <w:rsid w:val="002B785B"/>
    <w:rsid w:val="002E6CCF"/>
    <w:rsid w:val="002F33D0"/>
    <w:rsid w:val="00300722"/>
    <w:rsid w:val="0030316D"/>
    <w:rsid w:val="00367A65"/>
    <w:rsid w:val="003730AD"/>
    <w:rsid w:val="00373D2F"/>
    <w:rsid w:val="003A7774"/>
    <w:rsid w:val="003B136E"/>
    <w:rsid w:val="003C7358"/>
    <w:rsid w:val="003E0AD9"/>
    <w:rsid w:val="003E61F6"/>
    <w:rsid w:val="003F0D93"/>
    <w:rsid w:val="003F6994"/>
    <w:rsid w:val="003F7439"/>
    <w:rsid w:val="00404EE8"/>
    <w:rsid w:val="00407537"/>
    <w:rsid w:val="004165BD"/>
    <w:rsid w:val="0042220D"/>
    <w:rsid w:val="0043377A"/>
    <w:rsid w:val="004379B6"/>
    <w:rsid w:val="0044428E"/>
    <w:rsid w:val="00446465"/>
    <w:rsid w:val="00460D54"/>
    <w:rsid w:val="00461D3E"/>
    <w:rsid w:val="004706CC"/>
    <w:rsid w:val="00487654"/>
    <w:rsid w:val="004951B6"/>
    <w:rsid w:val="004A1719"/>
    <w:rsid w:val="004B1775"/>
    <w:rsid w:val="004B2522"/>
    <w:rsid w:val="004B75AC"/>
    <w:rsid w:val="004C1411"/>
    <w:rsid w:val="004C3644"/>
    <w:rsid w:val="004D12DD"/>
    <w:rsid w:val="004E5778"/>
    <w:rsid w:val="004E7ED8"/>
    <w:rsid w:val="004F40EF"/>
    <w:rsid w:val="0050376D"/>
    <w:rsid w:val="00512C25"/>
    <w:rsid w:val="0052168A"/>
    <w:rsid w:val="005302CB"/>
    <w:rsid w:val="00531321"/>
    <w:rsid w:val="00531F55"/>
    <w:rsid w:val="00532B3F"/>
    <w:rsid w:val="00533696"/>
    <w:rsid w:val="00535B37"/>
    <w:rsid w:val="00551FC3"/>
    <w:rsid w:val="0055434C"/>
    <w:rsid w:val="00587236"/>
    <w:rsid w:val="00591283"/>
    <w:rsid w:val="00596DD1"/>
    <w:rsid w:val="005976C5"/>
    <w:rsid w:val="005A61CE"/>
    <w:rsid w:val="005A7E5A"/>
    <w:rsid w:val="005B1206"/>
    <w:rsid w:val="005B1285"/>
    <w:rsid w:val="005B1410"/>
    <w:rsid w:val="005B431B"/>
    <w:rsid w:val="005C7E12"/>
    <w:rsid w:val="005D4A40"/>
    <w:rsid w:val="005E493B"/>
    <w:rsid w:val="005F2951"/>
    <w:rsid w:val="00601013"/>
    <w:rsid w:val="00616033"/>
    <w:rsid w:val="00624DDC"/>
    <w:rsid w:val="006253B6"/>
    <w:rsid w:val="006257ED"/>
    <w:rsid w:val="0062686E"/>
    <w:rsid w:val="00630B30"/>
    <w:rsid w:val="006345D7"/>
    <w:rsid w:val="00651FF6"/>
    <w:rsid w:val="00660A9B"/>
    <w:rsid w:val="0068303E"/>
    <w:rsid w:val="0068383E"/>
    <w:rsid w:val="006A4D02"/>
    <w:rsid w:val="006B1BF9"/>
    <w:rsid w:val="006B31DA"/>
    <w:rsid w:val="006B53F1"/>
    <w:rsid w:val="006B6037"/>
    <w:rsid w:val="006C0E56"/>
    <w:rsid w:val="006D3C83"/>
    <w:rsid w:val="006E4F82"/>
    <w:rsid w:val="006E79F7"/>
    <w:rsid w:val="00717BDC"/>
    <w:rsid w:val="00717FFB"/>
    <w:rsid w:val="0072072F"/>
    <w:rsid w:val="00723A28"/>
    <w:rsid w:val="00723BE5"/>
    <w:rsid w:val="00736B62"/>
    <w:rsid w:val="00764C85"/>
    <w:rsid w:val="00793E3E"/>
    <w:rsid w:val="007A11F0"/>
    <w:rsid w:val="007A29C5"/>
    <w:rsid w:val="007A711C"/>
    <w:rsid w:val="007B6CA2"/>
    <w:rsid w:val="007B6FFF"/>
    <w:rsid w:val="007C2195"/>
    <w:rsid w:val="007C2EE0"/>
    <w:rsid w:val="007C7B4B"/>
    <w:rsid w:val="008027FE"/>
    <w:rsid w:val="00823428"/>
    <w:rsid w:val="00824883"/>
    <w:rsid w:val="008369BA"/>
    <w:rsid w:val="00840D32"/>
    <w:rsid w:val="00843933"/>
    <w:rsid w:val="00850F4C"/>
    <w:rsid w:val="0085182F"/>
    <w:rsid w:val="00851D4C"/>
    <w:rsid w:val="00864C1F"/>
    <w:rsid w:val="00870FA1"/>
    <w:rsid w:val="00875220"/>
    <w:rsid w:val="00880B43"/>
    <w:rsid w:val="00891CD9"/>
    <w:rsid w:val="008A634C"/>
    <w:rsid w:val="008C2ADD"/>
    <w:rsid w:val="008D3E97"/>
    <w:rsid w:val="008E0239"/>
    <w:rsid w:val="008E4718"/>
    <w:rsid w:val="008E77F6"/>
    <w:rsid w:val="008F2446"/>
    <w:rsid w:val="00901040"/>
    <w:rsid w:val="00914FC3"/>
    <w:rsid w:val="009212E1"/>
    <w:rsid w:val="00923F25"/>
    <w:rsid w:val="00931B7E"/>
    <w:rsid w:val="009455F5"/>
    <w:rsid w:val="00963503"/>
    <w:rsid w:val="00965DBD"/>
    <w:rsid w:val="00971944"/>
    <w:rsid w:val="009815C6"/>
    <w:rsid w:val="00984D78"/>
    <w:rsid w:val="00996201"/>
    <w:rsid w:val="00997B48"/>
    <w:rsid w:val="009A0A77"/>
    <w:rsid w:val="009A39E1"/>
    <w:rsid w:val="009A3AD8"/>
    <w:rsid w:val="009A6EE8"/>
    <w:rsid w:val="009B0F58"/>
    <w:rsid w:val="009B3DFB"/>
    <w:rsid w:val="009C3380"/>
    <w:rsid w:val="009E7E38"/>
    <w:rsid w:val="009F265B"/>
    <w:rsid w:val="009F482C"/>
    <w:rsid w:val="009F68DB"/>
    <w:rsid w:val="00A03E3F"/>
    <w:rsid w:val="00A1108E"/>
    <w:rsid w:val="00A27CD0"/>
    <w:rsid w:val="00A345D8"/>
    <w:rsid w:val="00A362B6"/>
    <w:rsid w:val="00A43B1A"/>
    <w:rsid w:val="00A464DD"/>
    <w:rsid w:val="00A67DFF"/>
    <w:rsid w:val="00A71475"/>
    <w:rsid w:val="00A714DC"/>
    <w:rsid w:val="00A7179C"/>
    <w:rsid w:val="00A761CB"/>
    <w:rsid w:val="00A85701"/>
    <w:rsid w:val="00AC745D"/>
    <w:rsid w:val="00AD0344"/>
    <w:rsid w:val="00AD3261"/>
    <w:rsid w:val="00AD4355"/>
    <w:rsid w:val="00AD5B5A"/>
    <w:rsid w:val="00AE3F5F"/>
    <w:rsid w:val="00AF04E2"/>
    <w:rsid w:val="00AF0A58"/>
    <w:rsid w:val="00AF23A4"/>
    <w:rsid w:val="00B13DC4"/>
    <w:rsid w:val="00B17B7C"/>
    <w:rsid w:val="00B23277"/>
    <w:rsid w:val="00B245AD"/>
    <w:rsid w:val="00B31352"/>
    <w:rsid w:val="00B4182B"/>
    <w:rsid w:val="00B55E54"/>
    <w:rsid w:val="00B56589"/>
    <w:rsid w:val="00B57F2C"/>
    <w:rsid w:val="00B62F99"/>
    <w:rsid w:val="00B64D05"/>
    <w:rsid w:val="00B70460"/>
    <w:rsid w:val="00B9441B"/>
    <w:rsid w:val="00B96EE7"/>
    <w:rsid w:val="00BA5FAB"/>
    <w:rsid w:val="00BB2925"/>
    <w:rsid w:val="00BB4BF8"/>
    <w:rsid w:val="00BD702B"/>
    <w:rsid w:val="00BD7B78"/>
    <w:rsid w:val="00BE371B"/>
    <w:rsid w:val="00BE773B"/>
    <w:rsid w:val="00C05352"/>
    <w:rsid w:val="00C065D5"/>
    <w:rsid w:val="00C07E6B"/>
    <w:rsid w:val="00C32404"/>
    <w:rsid w:val="00C32540"/>
    <w:rsid w:val="00C46D4E"/>
    <w:rsid w:val="00C73360"/>
    <w:rsid w:val="00C86CB2"/>
    <w:rsid w:val="00C91BDE"/>
    <w:rsid w:val="00C91C71"/>
    <w:rsid w:val="00C92F44"/>
    <w:rsid w:val="00C95126"/>
    <w:rsid w:val="00CA0526"/>
    <w:rsid w:val="00CA72A5"/>
    <w:rsid w:val="00CC07BF"/>
    <w:rsid w:val="00CC4651"/>
    <w:rsid w:val="00CE018E"/>
    <w:rsid w:val="00CE7A4A"/>
    <w:rsid w:val="00CF315D"/>
    <w:rsid w:val="00D1343F"/>
    <w:rsid w:val="00D13AA8"/>
    <w:rsid w:val="00D2088D"/>
    <w:rsid w:val="00D239B5"/>
    <w:rsid w:val="00D31117"/>
    <w:rsid w:val="00D32B72"/>
    <w:rsid w:val="00D4033C"/>
    <w:rsid w:val="00D45504"/>
    <w:rsid w:val="00D51337"/>
    <w:rsid w:val="00D5346A"/>
    <w:rsid w:val="00D55767"/>
    <w:rsid w:val="00D6546A"/>
    <w:rsid w:val="00D66562"/>
    <w:rsid w:val="00D71BA0"/>
    <w:rsid w:val="00D749DF"/>
    <w:rsid w:val="00D82755"/>
    <w:rsid w:val="00D82E67"/>
    <w:rsid w:val="00D831AC"/>
    <w:rsid w:val="00D8775E"/>
    <w:rsid w:val="00D97926"/>
    <w:rsid w:val="00DA3557"/>
    <w:rsid w:val="00DA4701"/>
    <w:rsid w:val="00DC3C44"/>
    <w:rsid w:val="00DC65F2"/>
    <w:rsid w:val="00DC7876"/>
    <w:rsid w:val="00DC7DD5"/>
    <w:rsid w:val="00DE1154"/>
    <w:rsid w:val="00DE3ED7"/>
    <w:rsid w:val="00DF0651"/>
    <w:rsid w:val="00DF1291"/>
    <w:rsid w:val="00DF4FC7"/>
    <w:rsid w:val="00E000EC"/>
    <w:rsid w:val="00E03DE2"/>
    <w:rsid w:val="00E1392C"/>
    <w:rsid w:val="00E22AC6"/>
    <w:rsid w:val="00E24830"/>
    <w:rsid w:val="00E318A6"/>
    <w:rsid w:val="00E37F7B"/>
    <w:rsid w:val="00E41C62"/>
    <w:rsid w:val="00E41EE9"/>
    <w:rsid w:val="00E461D4"/>
    <w:rsid w:val="00E62285"/>
    <w:rsid w:val="00E62819"/>
    <w:rsid w:val="00E71E25"/>
    <w:rsid w:val="00E75D57"/>
    <w:rsid w:val="00E80588"/>
    <w:rsid w:val="00E9045F"/>
    <w:rsid w:val="00EA0D4F"/>
    <w:rsid w:val="00EA405B"/>
    <w:rsid w:val="00EB4C26"/>
    <w:rsid w:val="00EB6134"/>
    <w:rsid w:val="00EC1A6C"/>
    <w:rsid w:val="00ED7509"/>
    <w:rsid w:val="00EE38AF"/>
    <w:rsid w:val="00EF254B"/>
    <w:rsid w:val="00EF4FF2"/>
    <w:rsid w:val="00F071DE"/>
    <w:rsid w:val="00F42246"/>
    <w:rsid w:val="00F50D65"/>
    <w:rsid w:val="00F74630"/>
    <w:rsid w:val="00F77353"/>
    <w:rsid w:val="00F85D35"/>
    <w:rsid w:val="00F862E6"/>
    <w:rsid w:val="00F9122A"/>
    <w:rsid w:val="00F917E5"/>
    <w:rsid w:val="00FA6D2C"/>
    <w:rsid w:val="00FB46C5"/>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rsid w:val="007C219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C219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59635671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berly_Francis@abtass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y.McKenzie@acf.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onie.Gray@acf.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purl.org/dc/dcmitype/"/>
    <ds:schemaRef ds:uri="http://schemas.microsoft.com/office/infopath/2007/PartnerControls"/>
    <ds:schemaRef ds:uri="http://schemas.microsoft.com/office/2006/documentManagement/types"/>
    <ds:schemaRef ds:uri="eaa45b17-fd56-44b4-85b7-73d344da6853"/>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B92E414F-F7B4-4B9D-93E9-F92B3795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36C32-B1C8-49F2-9376-21F10C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2020-10-28T20:51:00Z</dcterms:created>
  <dcterms:modified xsi:type="dcterms:W3CDTF">2020-11-19T15:46:00Z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