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756" w:rsidP="00593756" w:rsidRDefault="00593756" w14:paraId="7789718F" w14:textId="77777777">
      <w:pPr>
        <w:pStyle w:val="CommentText"/>
        <w:jc w:val="center"/>
        <w:rPr>
          <w:rFonts w:asciiTheme="minorHAnsi" w:hAnsiTheme="minorHAnsi"/>
          <w:b/>
          <w:sz w:val="48"/>
          <w:szCs w:val="48"/>
        </w:rPr>
      </w:pPr>
    </w:p>
    <w:p w:rsidR="00593756" w:rsidP="00593756" w:rsidRDefault="00593756" w14:paraId="2C85A101" w14:textId="77777777">
      <w:pPr>
        <w:pStyle w:val="CommentText"/>
        <w:jc w:val="center"/>
        <w:rPr>
          <w:rFonts w:asciiTheme="minorHAnsi" w:hAnsiTheme="minorHAnsi"/>
          <w:b/>
          <w:sz w:val="48"/>
          <w:szCs w:val="48"/>
        </w:rPr>
      </w:pPr>
    </w:p>
    <w:p w:rsidR="00593756" w:rsidP="00593756" w:rsidRDefault="00593756" w14:paraId="0B3B40DA" w14:textId="77777777">
      <w:pPr>
        <w:pStyle w:val="CommentText"/>
        <w:jc w:val="center"/>
        <w:rPr>
          <w:rFonts w:asciiTheme="minorHAnsi" w:hAnsiTheme="minorHAnsi"/>
          <w:b/>
          <w:sz w:val="48"/>
          <w:szCs w:val="48"/>
        </w:rPr>
      </w:pPr>
    </w:p>
    <w:p w:rsidR="00593756" w:rsidP="00593756" w:rsidRDefault="00593756" w14:paraId="30E0D572" w14:textId="77777777">
      <w:pPr>
        <w:pStyle w:val="CommentText"/>
        <w:jc w:val="center"/>
        <w:rPr>
          <w:rFonts w:asciiTheme="minorHAnsi" w:hAnsiTheme="minorHAnsi"/>
          <w:b/>
          <w:sz w:val="48"/>
          <w:szCs w:val="48"/>
        </w:rPr>
      </w:pPr>
    </w:p>
    <w:p w:rsidRPr="008A7A39" w:rsidR="004F457B" w:rsidP="00593756" w:rsidRDefault="009B5D1B" w14:paraId="5263E116" w14:textId="65DA1484">
      <w:pPr>
        <w:pStyle w:val="CommentText"/>
        <w:jc w:val="center"/>
        <w:rPr>
          <w:rFonts w:ascii="Arial" w:hAnsi="Arial" w:cs="Arial"/>
          <w:b/>
          <w:sz w:val="48"/>
          <w:szCs w:val="48"/>
          <w:highlight w:val="yellow"/>
        </w:rPr>
      </w:pPr>
      <w:r w:rsidRPr="008A7A39">
        <w:rPr>
          <w:rFonts w:ascii="Arial" w:hAnsi="Arial" w:cs="Arial"/>
          <w:b/>
          <w:sz w:val="48"/>
          <w:szCs w:val="48"/>
        </w:rPr>
        <w:t xml:space="preserve">Low Income Home Energy Assistance Program </w:t>
      </w:r>
      <w:r w:rsidRPr="008A7A39" w:rsidR="004B2ADC">
        <w:rPr>
          <w:rFonts w:ascii="Arial" w:hAnsi="Arial" w:cs="Arial"/>
          <w:b/>
          <w:sz w:val="48"/>
          <w:szCs w:val="48"/>
        </w:rPr>
        <w:t>(</w:t>
      </w:r>
      <w:r w:rsidRPr="008A7A39" w:rsidR="006C3E57">
        <w:rPr>
          <w:rFonts w:ascii="Arial" w:hAnsi="Arial" w:cs="Arial"/>
          <w:b/>
          <w:sz w:val="48"/>
          <w:szCs w:val="48"/>
        </w:rPr>
        <w:t>LIHEAP</w:t>
      </w:r>
      <w:r w:rsidRPr="008A7A39" w:rsidR="00593756">
        <w:rPr>
          <w:rFonts w:ascii="Arial" w:hAnsi="Arial" w:cs="Arial"/>
          <w:b/>
          <w:sz w:val="48"/>
          <w:szCs w:val="48"/>
        </w:rPr>
        <w:t>)</w:t>
      </w:r>
      <w:r w:rsidRPr="008A7A39" w:rsidR="006C3E57">
        <w:rPr>
          <w:rFonts w:ascii="Arial" w:hAnsi="Arial" w:cs="Arial"/>
          <w:b/>
          <w:sz w:val="48"/>
          <w:szCs w:val="48"/>
        </w:rPr>
        <w:t xml:space="preserve"> Performance Measures</w:t>
      </w:r>
    </w:p>
    <w:p w:rsidRPr="00593756" w:rsidR="00160621" w:rsidP="00593756" w:rsidRDefault="00160621" w14:paraId="04B775EB" w14:textId="77777777">
      <w:pPr>
        <w:pStyle w:val="ReportCover-Title"/>
        <w:rPr>
          <w:rFonts w:ascii="Arial" w:hAnsi="Arial"/>
          <w:sz w:val="48"/>
          <w:szCs w:val="48"/>
        </w:rPr>
      </w:pPr>
    </w:p>
    <w:p w:rsidR="00593756" w:rsidP="00160621" w:rsidRDefault="00593756" w14:paraId="1123A4C3" w14:textId="77777777">
      <w:pPr>
        <w:pStyle w:val="ReportCover-Title"/>
        <w:jc w:val="center"/>
        <w:rPr>
          <w:rFonts w:ascii="Arial" w:hAnsi="Arial" w:cs="Arial"/>
          <w:color w:val="auto"/>
          <w:sz w:val="32"/>
          <w:szCs w:val="32"/>
        </w:rPr>
      </w:pPr>
    </w:p>
    <w:p w:rsidRPr="00772692" w:rsidR="00160621" w:rsidP="00160621" w:rsidRDefault="00160621" w14:paraId="0D335B37" w14:textId="488AD53F">
      <w:pPr>
        <w:pStyle w:val="ReportCover-Title"/>
        <w:jc w:val="center"/>
        <w:rPr>
          <w:rFonts w:ascii="Arial" w:hAnsi="Arial" w:cs="Arial"/>
          <w:color w:val="auto"/>
          <w:sz w:val="32"/>
          <w:szCs w:val="32"/>
        </w:rPr>
      </w:pPr>
      <w:r w:rsidRPr="00772692">
        <w:rPr>
          <w:rFonts w:ascii="Arial" w:hAnsi="Arial" w:cs="Arial"/>
          <w:color w:val="auto"/>
          <w:sz w:val="32"/>
          <w:szCs w:val="32"/>
        </w:rPr>
        <w:t>OMB Information Collection Request</w:t>
      </w:r>
    </w:p>
    <w:p w:rsidRPr="00772692" w:rsidR="00160621" w:rsidP="00160621" w:rsidRDefault="00160621" w14:paraId="063F1238" w14:textId="319AB1D2">
      <w:pPr>
        <w:pStyle w:val="ReportCover-Title"/>
        <w:jc w:val="center"/>
        <w:rPr>
          <w:rFonts w:ascii="Arial" w:hAnsi="Arial" w:cs="Arial"/>
          <w:color w:val="auto"/>
          <w:sz w:val="32"/>
          <w:szCs w:val="32"/>
        </w:rPr>
      </w:pPr>
      <w:r w:rsidRPr="00772692">
        <w:rPr>
          <w:rFonts w:ascii="Arial" w:hAnsi="Arial" w:cs="Arial"/>
          <w:color w:val="auto"/>
          <w:sz w:val="32"/>
          <w:szCs w:val="32"/>
        </w:rPr>
        <w:t xml:space="preserve">0970 - </w:t>
      </w:r>
      <w:r w:rsidRPr="00570D17" w:rsidR="00570D17">
        <w:rPr>
          <w:rFonts w:ascii="Arial" w:hAnsi="Arial" w:cs="Arial"/>
          <w:color w:val="auto"/>
          <w:sz w:val="32"/>
          <w:szCs w:val="32"/>
        </w:rPr>
        <w:t>0449</w:t>
      </w:r>
    </w:p>
    <w:p w:rsidRPr="00772692" w:rsidR="00160621" w:rsidP="00160621" w:rsidRDefault="00160621" w14:paraId="3CAA9B87" w14:textId="77777777">
      <w:pPr>
        <w:rPr>
          <w:rFonts w:ascii="Arial" w:hAnsi="Arial" w:cs="Arial"/>
          <w:szCs w:val="22"/>
        </w:rPr>
      </w:pPr>
    </w:p>
    <w:p w:rsidR="00593756" w:rsidP="00593756" w:rsidRDefault="00593756" w14:paraId="30CA26C2" w14:textId="77777777">
      <w:pPr>
        <w:pStyle w:val="CommentText"/>
        <w:widowControl/>
        <w:spacing w:after="360"/>
        <w:ind w:left="720"/>
        <w:rPr>
          <w:rFonts w:ascii="Arial" w:hAnsi="Arial" w:cs="Arial"/>
          <w:sz w:val="48"/>
          <w:szCs w:val="48"/>
        </w:rPr>
      </w:pPr>
    </w:p>
    <w:p w:rsidRPr="00593756" w:rsidR="00160621" w:rsidP="00593756" w:rsidRDefault="00160621" w14:paraId="17D8E5F2" w14:textId="5C868C88">
      <w:pPr>
        <w:pStyle w:val="CommentText"/>
        <w:widowControl/>
        <w:spacing w:after="360"/>
        <w:ind w:left="720"/>
        <w:rPr>
          <w:rFonts w:ascii="Arial" w:hAnsi="Arial"/>
          <w:sz w:val="48"/>
        </w:rPr>
      </w:pPr>
      <w:r w:rsidRPr="00DF13A0">
        <w:rPr>
          <w:rFonts w:ascii="Arial" w:hAnsi="Arial" w:cs="Arial"/>
          <w:sz w:val="48"/>
          <w:szCs w:val="48"/>
        </w:rPr>
        <w:t>Supporting Statement</w:t>
      </w:r>
      <w:r w:rsidRPr="00DF13A0" w:rsidR="00597E7F">
        <w:rPr>
          <w:rFonts w:ascii="Arial" w:hAnsi="Arial" w:cs="Arial"/>
          <w:sz w:val="48"/>
          <w:szCs w:val="48"/>
        </w:rPr>
        <w:t xml:space="preserve"> </w:t>
      </w:r>
      <w:r w:rsidRPr="00DF13A0">
        <w:rPr>
          <w:rFonts w:ascii="Arial" w:hAnsi="Arial" w:cs="Arial"/>
          <w:sz w:val="48"/>
          <w:szCs w:val="48"/>
        </w:rPr>
        <w:t xml:space="preserve">Part A - </w:t>
      </w:r>
      <w:r w:rsidRPr="00593756">
        <w:rPr>
          <w:rFonts w:ascii="Arial" w:hAnsi="Arial"/>
          <w:sz w:val="48"/>
        </w:rPr>
        <w:t>Justification</w:t>
      </w:r>
    </w:p>
    <w:p w:rsidR="00160621" w:rsidP="00160621" w:rsidRDefault="00593756" w14:paraId="76FA23BE" w14:textId="349B7AE4">
      <w:pPr>
        <w:pStyle w:val="ReportCover-Date"/>
        <w:jc w:val="center"/>
        <w:rPr>
          <w:rFonts w:ascii="Arial" w:hAnsi="Arial" w:cs="Arial"/>
          <w:color w:val="auto"/>
        </w:rPr>
      </w:pPr>
      <w:r>
        <w:rPr>
          <w:rFonts w:ascii="Arial" w:hAnsi="Arial" w:cs="Arial"/>
          <w:noProof/>
          <w:color w:val="auto"/>
        </w:rPr>
        <w:t>Updated December</w:t>
      </w:r>
      <w:r w:rsidR="006C3E57">
        <w:rPr>
          <w:rFonts w:ascii="Arial" w:hAnsi="Arial" w:cs="Arial"/>
          <w:noProof/>
          <w:color w:val="auto"/>
        </w:rPr>
        <w:t xml:space="preserve"> 2020</w:t>
      </w:r>
    </w:p>
    <w:p w:rsidRPr="00772692" w:rsidR="004F457B" w:rsidP="00772692" w:rsidRDefault="004F457B" w14:paraId="6969D89F" w14:textId="167C364E">
      <w:pPr>
        <w:pStyle w:val="CommentText"/>
        <w:jc w:val="center"/>
        <w:rPr>
          <w:highlight w:val="yellow"/>
        </w:rPr>
      </w:pPr>
    </w:p>
    <w:p w:rsidRPr="00772692" w:rsidR="00160621" w:rsidP="00160621" w:rsidRDefault="00160621" w14:paraId="753A1E04" w14:textId="77777777">
      <w:pPr>
        <w:jc w:val="center"/>
        <w:rPr>
          <w:rFonts w:ascii="Arial" w:hAnsi="Arial" w:cs="Arial"/>
        </w:rPr>
      </w:pPr>
    </w:p>
    <w:p w:rsidRPr="00772692" w:rsidR="00597E7F" w:rsidP="00160621" w:rsidRDefault="00597E7F" w14:paraId="519E722B" w14:textId="77777777">
      <w:pPr>
        <w:jc w:val="center"/>
        <w:rPr>
          <w:rFonts w:ascii="Arial" w:hAnsi="Arial" w:cs="Arial"/>
        </w:rPr>
      </w:pPr>
    </w:p>
    <w:p w:rsidRPr="00772692" w:rsidR="00597E7F" w:rsidP="00160621" w:rsidRDefault="00597E7F" w14:paraId="468EB90E" w14:textId="77777777">
      <w:pPr>
        <w:jc w:val="center"/>
        <w:rPr>
          <w:rFonts w:ascii="Arial" w:hAnsi="Arial" w:cs="Arial"/>
        </w:rPr>
      </w:pPr>
    </w:p>
    <w:p w:rsidRPr="00772692" w:rsidR="00597E7F" w:rsidP="00160621" w:rsidRDefault="00597E7F" w14:paraId="6C5E3B54" w14:textId="77777777">
      <w:pPr>
        <w:jc w:val="center"/>
        <w:rPr>
          <w:rFonts w:ascii="Arial" w:hAnsi="Arial" w:cs="Arial"/>
        </w:rPr>
      </w:pPr>
    </w:p>
    <w:p w:rsidRPr="00772692" w:rsidR="00597E7F" w:rsidP="00160621" w:rsidRDefault="00597E7F" w14:paraId="7616FF45" w14:textId="77777777">
      <w:pPr>
        <w:jc w:val="center"/>
        <w:rPr>
          <w:rFonts w:ascii="Arial" w:hAnsi="Arial" w:cs="Arial"/>
        </w:rPr>
      </w:pPr>
    </w:p>
    <w:p w:rsidRPr="00772692" w:rsidR="00597E7F" w:rsidP="00160621" w:rsidRDefault="00597E7F" w14:paraId="6B4C00B6" w14:textId="77777777">
      <w:pPr>
        <w:jc w:val="center"/>
        <w:rPr>
          <w:rFonts w:ascii="Arial" w:hAnsi="Arial" w:cs="Arial"/>
        </w:rPr>
      </w:pPr>
    </w:p>
    <w:p w:rsidRPr="00772692" w:rsidR="00597E7F" w:rsidP="00160621" w:rsidRDefault="00597E7F" w14:paraId="5DC42FB1" w14:textId="77777777">
      <w:pPr>
        <w:jc w:val="center"/>
        <w:rPr>
          <w:rFonts w:ascii="Arial" w:hAnsi="Arial" w:cs="Arial"/>
        </w:rPr>
      </w:pPr>
    </w:p>
    <w:p w:rsidRPr="00772692" w:rsidR="00597E7F" w:rsidP="00160621" w:rsidRDefault="00597E7F" w14:paraId="4A667098" w14:textId="77777777">
      <w:pPr>
        <w:jc w:val="center"/>
        <w:rPr>
          <w:rFonts w:ascii="Arial" w:hAnsi="Arial" w:cs="Arial"/>
        </w:rPr>
      </w:pPr>
    </w:p>
    <w:p w:rsidRPr="00772692" w:rsidR="00597E7F" w:rsidP="00160621" w:rsidRDefault="00597E7F" w14:paraId="56FA4225" w14:textId="77777777">
      <w:pPr>
        <w:jc w:val="center"/>
        <w:rPr>
          <w:rFonts w:ascii="Arial" w:hAnsi="Arial" w:cs="Arial"/>
        </w:rPr>
      </w:pPr>
    </w:p>
    <w:p w:rsidRPr="00772692" w:rsidR="00597E7F" w:rsidP="00160621" w:rsidRDefault="00597E7F" w14:paraId="59C877DB" w14:textId="77777777">
      <w:pPr>
        <w:jc w:val="center"/>
        <w:rPr>
          <w:rFonts w:ascii="Arial" w:hAnsi="Arial" w:cs="Arial"/>
        </w:rPr>
      </w:pPr>
    </w:p>
    <w:p w:rsidRPr="00772692" w:rsidR="00597E7F" w:rsidP="00160621" w:rsidRDefault="00597E7F" w14:paraId="7AAAF468" w14:textId="77777777">
      <w:pPr>
        <w:jc w:val="center"/>
        <w:rPr>
          <w:rFonts w:ascii="Arial" w:hAnsi="Arial" w:cs="Arial"/>
        </w:rPr>
      </w:pPr>
    </w:p>
    <w:p w:rsidRPr="00772692" w:rsidR="00597E7F" w:rsidP="00160621" w:rsidRDefault="00597E7F" w14:paraId="0B6F308C" w14:textId="77777777">
      <w:pPr>
        <w:jc w:val="center"/>
        <w:rPr>
          <w:rFonts w:ascii="Arial" w:hAnsi="Arial" w:cs="Arial"/>
        </w:rPr>
      </w:pPr>
    </w:p>
    <w:p w:rsidRPr="00772692" w:rsidR="00597E7F" w:rsidP="00160621" w:rsidRDefault="00597E7F" w14:paraId="43A61A97" w14:textId="77777777">
      <w:pPr>
        <w:jc w:val="center"/>
        <w:rPr>
          <w:rFonts w:ascii="Arial" w:hAnsi="Arial" w:cs="Arial"/>
        </w:rPr>
      </w:pPr>
    </w:p>
    <w:p w:rsidRPr="00772692" w:rsidR="00597E7F" w:rsidP="00160621" w:rsidRDefault="00597E7F" w14:paraId="5656E161" w14:textId="77777777">
      <w:pPr>
        <w:jc w:val="center"/>
        <w:rPr>
          <w:rFonts w:ascii="Arial" w:hAnsi="Arial" w:cs="Arial"/>
        </w:rPr>
      </w:pPr>
    </w:p>
    <w:p w:rsidRPr="00772692" w:rsidR="00160621" w:rsidP="00160621" w:rsidRDefault="00160621" w14:paraId="5E112DDD" w14:textId="77777777">
      <w:pPr>
        <w:jc w:val="center"/>
        <w:rPr>
          <w:rFonts w:ascii="Arial" w:hAnsi="Arial" w:cs="Arial"/>
        </w:rPr>
      </w:pPr>
      <w:r w:rsidRPr="00772692">
        <w:rPr>
          <w:rFonts w:ascii="Arial" w:hAnsi="Arial" w:cs="Arial"/>
        </w:rPr>
        <w:t>Submitted By:</w:t>
      </w:r>
    </w:p>
    <w:p w:rsidRPr="00F43FA9" w:rsidR="00B964AD" w:rsidP="00B964AD" w:rsidRDefault="00B964AD" w14:paraId="5718700C" w14:textId="77777777">
      <w:pPr>
        <w:jc w:val="center"/>
        <w:rPr>
          <w:rFonts w:ascii="Arial" w:hAnsi="Arial" w:cs="Arial"/>
        </w:rPr>
      </w:pPr>
      <w:r w:rsidRPr="00593756">
        <w:rPr>
          <w:rFonts w:ascii="Arial" w:hAnsi="Arial"/>
        </w:rPr>
        <w:t>Office of Community Services</w:t>
      </w:r>
    </w:p>
    <w:p w:rsidRPr="00772692" w:rsidR="00160621" w:rsidP="00160621" w:rsidRDefault="00160621" w14:paraId="6B7D9C75" w14:textId="11A47F0E">
      <w:pPr>
        <w:jc w:val="center"/>
        <w:rPr>
          <w:rFonts w:ascii="Arial" w:hAnsi="Arial" w:cs="Arial"/>
        </w:rPr>
      </w:pPr>
      <w:r w:rsidRPr="00593756">
        <w:rPr>
          <w:rFonts w:ascii="Arial" w:hAnsi="Arial"/>
        </w:rPr>
        <w:t xml:space="preserve">Administration for Children and Families </w:t>
      </w:r>
    </w:p>
    <w:p w:rsidRPr="00772692" w:rsidR="00160621" w:rsidP="00160621" w:rsidRDefault="00160621" w14:paraId="4CE8214D" w14:textId="77777777">
      <w:pPr>
        <w:jc w:val="center"/>
        <w:rPr>
          <w:rFonts w:ascii="Arial" w:hAnsi="Arial" w:cs="Arial"/>
        </w:rPr>
      </w:pPr>
      <w:r w:rsidRPr="00772692">
        <w:rPr>
          <w:rFonts w:ascii="Arial" w:hAnsi="Arial" w:cs="Arial"/>
        </w:rPr>
        <w:t>U.S. Department of Health and Human Services</w:t>
      </w:r>
    </w:p>
    <w:p w:rsidRPr="00772692" w:rsidR="00160621" w:rsidP="00160621" w:rsidRDefault="00160621" w14:paraId="005256ED" w14:textId="77777777">
      <w:pPr>
        <w:jc w:val="center"/>
        <w:rPr>
          <w:rFonts w:ascii="Arial" w:hAnsi="Arial" w:cs="Arial"/>
        </w:rPr>
      </w:pPr>
    </w:p>
    <w:p w:rsidRPr="00772692" w:rsidR="00160621" w:rsidP="00160621" w:rsidRDefault="00160621" w14:paraId="71DD6E4D" w14:textId="77777777">
      <w:pPr>
        <w:jc w:val="center"/>
        <w:rPr>
          <w:rFonts w:ascii="Arial" w:hAnsi="Arial" w:cs="Arial"/>
        </w:rPr>
      </w:pPr>
    </w:p>
    <w:p w:rsidRPr="00772692" w:rsidR="00160621" w:rsidP="00160621" w:rsidRDefault="00160621" w14:paraId="56DD869F" w14:textId="77777777">
      <w:pPr>
        <w:jc w:val="center"/>
        <w:rPr>
          <w:rFonts w:ascii="Arial" w:hAnsi="Arial" w:cs="Arial"/>
        </w:rPr>
      </w:pPr>
    </w:p>
    <w:p w:rsidRPr="00772692" w:rsidR="00160621" w:rsidP="008A7A39" w:rsidRDefault="00160621" w14:paraId="346CDF4E" w14:textId="478A3BC9">
      <w:pPr>
        <w:rPr>
          <w:rFonts w:ascii="Arial" w:hAnsi="Arial" w:cs="Arial"/>
        </w:rPr>
      </w:pPr>
    </w:p>
    <w:p w:rsidR="001975DD" w:rsidRDefault="001975DD" w14:paraId="43DB63F2" w14:textId="77777777">
      <w:pPr>
        <w:widowControl/>
        <w:rPr>
          <w:rFonts w:ascii="Times New Roman" w:hAnsi="Times New Roman"/>
          <w:b/>
          <w:sz w:val="24"/>
          <w:szCs w:val="24"/>
        </w:rPr>
      </w:pPr>
      <w:r>
        <w:rPr>
          <w:rFonts w:ascii="Times New Roman" w:hAnsi="Times New Roman"/>
          <w:b/>
          <w:sz w:val="24"/>
          <w:szCs w:val="24"/>
        </w:rPr>
        <w:br w:type="page"/>
      </w:r>
    </w:p>
    <w:p w:rsidRPr="00772692" w:rsidR="00160621" w:rsidP="00160621" w:rsidRDefault="00160621" w14:paraId="4FBF82D6" w14:textId="77A65A19">
      <w:pPr>
        <w:widowControl/>
        <w:ind w:left="360" w:hanging="360"/>
        <w:jc w:val="center"/>
        <w:rPr>
          <w:rFonts w:ascii="Times New Roman" w:hAnsi="Times New Roman"/>
          <w:b/>
          <w:sz w:val="24"/>
          <w:szCs w:val="24"/>
        </w:rPr>
      </w:pPr>
      <w:r w:rsidRPr="00772692">
        <w:rPr>
          <w:rFonts w:ascii="Times New Roman" w:hAnsi="Times New Roman"/>
          <w:b/>
          <w:sz w:val="24"/>
          <w:szCs w:val="24"/>
        </w:rPr>
        <w:lastRenderedPageBreak/>
        <w:t>SUPPORTING STATEMENT A – JUSTIFICATION</w:t>
      </w:r>
    </w:p>
    <w:p w:rsidRPr="00772692" w:rsidR="00160621" w:rsidP="00160621" w:rsidRDefault="00160621" w14:paraId="010B1ADF" w14:textId="77777777">
      <w:pPr>
        <w:widowControl/>
        <w:ind w:left="360" w:hanging="360"/>
        <w:jc w:val="center"/>
        <w:rPr>
          <w:rFonts w:ascii="Times New Roman" w:hAnsi="Times New Roman"/>
          <w:snapToGrid/>
          <w:sz w:val="24"/>
          <w:szCs w:val="24"/>
        </w:rPr>
      </w:pPr>
    </w:p>
    <w:p w:rsidRPr="00772692" w:rsidR="00160621" w:rsidP="00CE6182" w:rsidRDefault="00160621" w14:paraId="2212894C" w14:textId="278C0491">
      <w:pPr>
        <w:widowControl/>
        <w:ind w:left="360" w:hanging="360"/>
        <w:jc w:val="center"/>
        <w:rPr>
          <w:rFonts w:ascii="Times New Roman" w:hAnsi="Times New Roman"/>
          <w:b/>
          <w:snapToGrid/>
          <w:sz w:val="24"/>
          <w:szCs w:val="24"/>
        </w:rPr>
      </w:pPr>
      <w:r w:rsidRPr="00772692">
        <w:rPr>
          <w:rFonts w:ascii="Times New Roman" w:hAnsi="Times New Roman"/>
          <w:b/>
          <w:snapToGrid/>
          <w:sz w:val="24"/>
          <w:szCs w:val="24"/>
        </w:rPr>
        <w:t>Summary</w:t>
      </w:r>
    </w:p>
    <w:p w:rsidR="00317069" w:rsidP="00317069" w:rsidRDefault="00317069" w14:paraId="46649B32" w14:textId="77777777">
      <w:pPr>
        <w:rPr>
          <w:rFonts w:asciiTheme="minorHAnsi" w:hAnsiTheme="minorHAnsi" w:cstheme="minorHAnsi"/>
          <w:sz w:val="22"/>
        </w:rPr>
      </w:pPr>
    </w:p>
    <w:p w:rsidR="0039100A" w:rsidP="00317069" w:rsidRDefault="00317069" w14:paraId="1BEC601A" w14:textId="77777777">
      <w:pPr>
        <w:ind w:left="360"/>
        <w:rPr>
          <w:rFonts w:asciiTheme="minorHAnsi" w:hAnsiTheme="minorHAnsi" w:cstheme="minorHAnsi"/>
          <w:sz w:val="22"/>
        </w:rPr>
      </w:pPr>
      <w:r>
        <w:rPr>
          <w:rFonts w:asciiTheme="minorHAnsi" w:hAnsiTheme="minorHAnsi"/>
          <w:spacing w:val="-4"/>
          <w:sz w:val="22"/>
          <w:szCs w:val="22"/>
        </w:rPr>
        <w:t xml:space="preserve">Congress appropriated </w:t>
      </w:r>
      <w:r w:rsidRPr="00DF13A0">
        <w:rPr>
          <w:rFonts w:asciiTheme="minorHAnsi" w:hAnsiTheme="minorHAnsi"/>
          <w:spacing w:val="-4"/>
          <w:sz w:val="22"/>
          <w:szCs w:val="22"/>
        </w:rPr>
        <w:t xml:space="preserve">CARES Act (Public Law 116-136) </w:t>
      </w:r>
      <w:r>
        <w:rPr>
          <w:rFonts w:asciiTheme="minorHAnsi" w:hAnsiTheme="minorHAnsi"/>
          <w:spacing w:val="-4"/>
          <w:sz w:val="22"/>
          <w:szCs w:val="22"/>
        </w:rPr>
        <w:t xml:space="preserve">funding for LIHEAP and allows the funding to be used in FY 2020 and FY 2021.  </w:t>
      </w:r>
      <w:r>
        <w:rPr>
          <w:rFonts w:asciiTheme="minorHAnsi" w:hAnsiTheme="minorHAnsi" w:cstheme="minorHAnsi"/>
          <w:sz w:val="22"/>
        </w:rPr>
        <w:t xml:space="preserve">Through this nonsubstantive change request, </w:t>
      </w:r>
      <w:r w:rsidRPr="00317069">
        <w:rPr>
          <w:rFonts w:asciiTheme="minorHAnsi" w:hAnsiTheme="minorHAnsi" w:cstheme="minorHAnsi"/>
          <w:sz w:val="22"/>
        </w:rPr>
        <w:t>ACF seeks to change the Grantee Survey (Module I) to allow grantees to report CARES Act funds separately from non-CARES Act funds on their reports</w:t>
      </w:r>
      <w:r w:rsidR="007B7869">
        <w:rPr>
          <w:rFonts w:asciiTheme="minorHAnsi" w:hAnsiTheme="minorHAnsi"/>
          <w:spacing w:val="-4"/>
          <w:sz w:val="22"/>
          <w:szCs w:val="22"/>
        </w:rPr>
        <w:t xml:space="preserve"> and to include lines reserved for future supplemental funding from Congress, if necessary</w:t>
      </w:r>
      <w:r w:rsidRPr="00317069">
        <w:rPr>
          <w:rFonts w:asciiTheme="minorHAnsi" w:hAnsiTheme="minorHAnsi" w:cstheme="minorHAnsi"/>
          <w:sz w:val="22"/>
        </w:rPr>
        <w:t>. We also seek minor edits to Modules II and III</w:t>
      </w:r>
      <w:r>
        <w:rPr>
          <w:rFonts w:asciiTheme="minorHAnsi" w:hAnsiTheme="minorHAnsi" w:cstheme="minorHAnsi"/>
          <w:sz w:val="22"/>
        </w:rPr>
        <w:t>,</w:t>
      </w:r>
      <w:r w:rsidRPr="00317069">
        <w:rPr>
          <w:rFonts w:asciiTheme="minorHAnsi" w:hAnsiTheme="minorHAnsi" w:cstheme="minorHAnsi"/>
          <w:sz w:val="22"/>
        </w:rPr>
        <w:t xml:space="preserve"> to update certain headings of the form to the appropriate years.  </w:t>
      </w:r>
    </w:p>
    <w:p w:rsidRPr="00317069" w:rsidR="00317069" w:rsidP="00317069" w:rsidRDefault="00317069" w14:paraId="2ADAA04D" w14:textId="0983AF65">
      <w:pPr>
        <w:ind w:left="360"/>
        <w:rPr>
          <w:rFonts w:asciiTheme="minorHAnsi" w:hAnsiTheme="minorHAnsi" w:cstheme="minorHAnsi"/>
          <w:sz w:val="22"/>
        </w:rPr>
      </w:pPr>
    </w:p>
    <w:p w:rsidRPr="00593756" w:rsidR="002C3C4F" w:rsidP="00593756" w:rsidRDefault="002C3C4F" w14:paraId="2EEF9E04" w14:textId="77777777">
      <w:pPr>
        <w:widowControl/>
        <w:numPr>
          <w:ilvl w:val="0"/>
          <w:numId w:val="3"/>
        </w:numPr>
        <w:tabs>
          <w:tab w:val="num" w:pos="360"/>
        </w:tabs>
        <w:spacing w:after="120"/>
        <w:ind w:left="360"/>
        <w:rPr>
          <w:rFonts w:ascii="Times New Roman" w:hAnsi="Times New Roman"/>
          <w:b/>
          <w:sz w:val="24"/>
        </w:rPr>
      </w:pPr>
      <w:r w:rsidRPr="00593756">
        <w:rPr>
          <w:rFonts w:ascii="Times New Roman" w:hAnsi="Times New Roman"/>
          <w:b/>
          <w:sz w:val="24"/>
        </w:rPr>
        <w:t>Circumstances Making the Collection of Information Necessary</w:t>
      </w:r>
      <w:r w:rsidRPr="00772692">
        <w:rPr>
          <w:rFonts w:ascii="Times New Roman" w:hAnsi="Times New Roman"/>
          <w:b/>
          <w:snapToGrid/>
          <w:sz w:val="24"/>
          <w:szCs w:val="24"/>
        </w:rPr>
        <w:t xml:space="preserve"> </w:t>
      </w:r>
    </w:p>
    <w:p w:rsidRPr="00593756" w:rsidR="00790D2C" w:rsidP="00593756" w:rsidRDefault="00790D2C" w14:paraId="398DDEC3" w14:textId="77777777">
      <w:pPr>
        <w:widowControl/>
        <w:tabs>
          <w:tab w:val="num" w:pos="360"/>
        </w:tabs>
        <w:ind w:left="360"/>
        <w:rPr>
          <w:rFonts w:ascii="Times New Roman" w:hAnsi="Times New Roman"/>
          <w:sz w:val="24"/>
        </w:rPr>
      </w:pPr>
    </w:p>
    <w:p w:rsidR="00B964AD" w:rsidP="00593756" w:rsidRDefault="00B964AD" w14:paraId="40BF1203" w14:textId="77777777">
      <w:pPr>
        <w:tabs>
          <w:tab w:val="left" w:pos="918"/>
          <w:tab w:val="left" w:pos="1188"/>
        </w:tabs>
        <w:ind w:left="360"/>
        <w:jc w:val="both"/>
        <w:rPr>
          <w:rFonts w:asciiTheme="minorHAnsi" w:hAnsiTheme="minorHAnsi"/>
          <w:spacing w:val="-4"/>
          <w:sz w:val="22"/>
          <w:szCs w:val="22"/>
        </w:rPr>
      </w:pPr>
      <w:r w:rsidRPr="009B5D1B">
        <w:rPr>
          <w:rFonts w:asciiTheme="minorHAnsi" w:hAnsiTheme="minorHAnsi"/>
          <w:spacing w:val="-4"/>
          <w:sz w:val="22"/>
          <w:szCs w:val="22"/>
        </w:rPr>
        <w:t xml:space="preserve">The Low Income Home Energy Assistance Program (LIHEAP) block grant (42 U.S.C. 8621) was established under Title XXVI of the Omnibus Budget Reconciliation Act of 1981, Public Law 97-35.  The Office of Community Services (OCS) within the U.S. Department of Health and Human Services (HHS), Administration for Children and Families (ACF) administers LIHEAP at the Federal level.  </w:t>
      </w:r>
    </w:p>
    <w:p w:rsidR="00B964AD" w:rsidRDefault="00B964AD" w14:paraId="7D22CE62" w14:textId="77777777">
      <w:pPr>
        <w:tabs>
          <w:tab w:val="left" w:pos="918"/>
          <w:tab w:val="left" w:pos="1188"/>
        </w:tabs>
        <w:jc w:val="both"/>
        <w:rPr>
          <w:rFonts w:asciiTheme="minorHAnsi" w:hAnsiTheme="minorHAnsi"/>
          <w:spacing w:val="-4"/>
          <w:sz w:val="22"/>
          <w:szCs w:val="22"/>
        </w:rPr>
      </w:pPr>
    </w:p>
    <w:p w:rsidR="00B964AD" w:rsidP="00593756" w:rsidRDefault="00B964AD" w14:paraId="3B5488E0" w14:textId="77777777">
      <w:pPr>
        <w:tabs>
          <w:tab w:val="left" w:pos="918"/>
          <w:tab w:val="left" w:pos="1188"/>
        </w:tabs>
        <w:ind w:left="360"/>
        <w:jc w:val="both"/>
        <w:rPr>
          <w:rFonts w:asciiTheme="minorHAnsi" w:hAnsiTheme="minorHAnsi"/>
          <w:spacing w:val="-4"/>
          <w:sz w:val="22"/>
          <w:szCs w:val="22"/>
        </w:rPr>
      </w:pPr>
      <w:r w:rsidRPr="009B5D1B">
        <w:rPr>
          <w:rFonts w:asciiTheme="minorHAnsi" w:hAnsiTheme="minorHAnsi"/>
          <w:spacing w:val="-4"/>
          <w:sz w:val="22"/>
          <w:szCs w:val="22"/>
        </w:rPr>
        <w:t>The LIHEAP statute requires the program to report to Congress on program impacts annually, to develop performance goals, to ensure that benefits are targeted to those households with the greatest home energy need, and to assure that timely resources are available to households experiencing home energy crises.  More specifically:</w:t>
      </w:r>
    </w:p>
    <w:p w:rsidR="00B964AD" w:rsidRDefault="00B964AD" w14:paraId="3513DC35" w14:textId="77777777">
      <w:pPr>
        <w:tabs>
          <w:tab w:val="left" w:pos="918"/>
          <w:tab w:val="left" w:pos="1188"/>
        </w:tabs>
        <w:jc w:val="both"/>
        <w:rPr>
          <w:rFonts w:asciiTheme="minorHAnsi" w:hAnsiTheme="minorHAnsi"/>
          <w:spacing w:val="-4"/>
          <w:sz w:val="22"/>
          <w:szCs w:val="22"/>
        </w:rPr>
      </w:pPr>
    </w:p>
    <w:p w:rsidRPr="00F268A4" w:rsidR="00B964AD" w:rsidP="00A46181" w:rsidRDefault="00B964AD" w14:paraId="55F3A722" w14:textId="56A08D4E">
      <w:pPr>
        <w:pStyle w:val="ListParagraph"/>
        <w:numPr>
          <w:ilvl w:val="0"/>
          <w:numId w:val="22"/>
        </w:numPr>
        <w:tabs>
          <w:tab w:val="left" w:pos="918"/>
          <w:tab w:val="left" w:pos="1188"/>
        </w:tabs>
        <w:jc w:val="both"/>
        <w:rPr>
          <w:rFonts w:asciiTheme="minorHAnsi" w:hAnsiTheme="minorHAnsi"/>
          <w:spacing w:val="-4"/>
          <w:sz w:val="22"/>
          <w:szCs w:val="22"/>
        </w:rPr>
      </w:pPr>
      <w:r w:rsidRPr="00F268A4">
        <w:rPr>
          <w:rFonts w:asciiTheme="minorHAnsi" w:hAnsiTheme="minorHAnsi"/>
          <w:spacing w:val="-4"/>
          <w:sz w:val="22"/>
          <w:szCs w:val="22"/>
        </w:rPr>
        <w:t>Section 2610 of the LIHEAP Statute stipulates that the Secretary shall provide for the collection of certain data</w:t>
      </w:r>
      <w:r w:rsidRPr="00F268A4" w:rsidR="005C0B42">
        <w:rPr>
          <w:rFonts w:asciiTheme="minorHAnsi" w:hAnsiTheme="minorHAnsi"/>
          <w:spacing w:val="-4"/>
          <w:sz w:val="22"/>
          <w:szCs w:val="22"/>
        </w:rPr>
        <w:t xml:space="preserve"> (</w:t>
      </w:r>
      <w:hyperlink w:history="1" w:anchor="_Attachment_1">
        <w:r w:rsidRPr="00587825" w:rsidR="005C0B42">
          <w:rPr>
            <w:rStyle w:val="Hyperlink"/>
            <w:rFonts w:asciiTheme="minorHAnsi" w:hAnsiTheme="minorHAnsi"/>
            <w:spacing w:val="-4"/>
            <w:sz w:val="22"/>
            <w:szCs w:val="22"/>
          </w:rPr>
          <w:t>Attachment 1</w:t>
        </w:r>
      </w:hyperlink>
      <w:r w:rsidRPr="00F268A4" w:rsidR="00B51C81">
        <w:rPr>
          <w:rFonts w:asciiTheme="minorHAnsi" w:hAnsiTheme="minorHAnsi"/>
          <w:spacing w:val="-4"/>
          <w:sz w:val="22"/>
          <w:szCs w:val="22"/>
        </w:rPr>
        <w:t>)</w:t>
      </w:r>
      <w:r w:rsidRPr="00F268A4">
        <w:rPr>
          <w:rFonts w:asciiTheme="minorHAnsi" w:hAnsiTheme="minorHAnsi"/>
          <w:spacing w:val="-4"/>
          <w:sz w:val="22"/>
          <w:szCs w:val="22"/>
        </w:rPr>
        <w:t xml:space="preserve">.  This section also requires the Secretary to submit to Congress each fiscal year a report on the data collected, on how States carry out certain requirements, on the impact of each State's program on recipient and eligible households, and on other relevant data.  </w:t>
      </w:r>
    </w:p>
    <w:p w:rsidRPr="00B51C81" w:rsidR="00B964AD" w:rsidP="00A46181" w:rsidRDefault="00B964AD" w14:paraId="7F5FA0EF" w14:textId="77777777">
      <w:pPr>
        <w:pStyle w:val="ListParagraph"/>
        <w:tabs>
          <w:tab w:val="left" w:pos="918"/>
          <w:tab w:val="left" w:pos="1188"/>
        </w:tabs>
        <w:jc w:val="both"/>
        <w:rPr>
          <w:rFonts w:asciiTheme="minorHAnsi" w:hAnsiTheme="minorHAnsi"/>
          <w:spacing w:val="-4"/>
          <w:sz w:val="22"/>
          <w:szCs w:val="22"/>
        </w:rPr>
      </w:pPr>
    </w:p>
    <w:p w:rsidRPr="00F268A4" w:rsidR="00D7406D" w:rsidP="00F268A4" w:rsidRDefault="009B5D1B" w14:paraId="15E359AD" w14:textId="77777777">
      <w:pPr>
        <w:pStyle w:val="ListParagraph"/>
        <w:numPr>
          <w:ilvl w:val="0"/>
          <w:numId w:val="22"/>
        </w:numPr>
        <w:tabs>
          <w:tab w:val="left" w:pos="918"/>
          <w:tab w:val="left" w:pos="1188"/>
        </w:tabs>
        <w:jc w:val="both"/>
        <w:rPr>
          <w:rFonts w:asciiTheme="minorHAnsi" w:hAnsiTheme="minorHAnsi"/>
          <w:spacing w:val="-4"/>
          <w:sz w:val="22"/>
          <w:szCs w:val="22"/>
        </w:rPr>
      </w:pPr>
      <w:r w:rsidRPr="00F268A4">
        <w:rPr>
          <w:rFonts w:asciiTheme="minorHAnsi" w:hAnsiTheme="minorHAnsi"/>
          <w:spacing w:val="-4"/>
          <w:sz w:val="22"/>
          <w:szCs w:val="22"/>
        </w:rPr>
        <w:t xml:space="preserve">Section 2605(b) of the Low Income Home Energy Assistance Act of 1981 (42 U.S.C. §8624(b)) </w:t>
      </w:r>
      <w:r w:rsidRPr="00F268A4">
        <w:rPr>
          <w:rFonts w:asciiTheme="minorHAnsi" w:hAnsiTheme="minorHAnsi"/>
          <w:sz w:val="22"/>
          <w:szCs w:val="22"/>
        </w:rPr>
        <w:t xml:space="preserve">as amended by Sec. 311(b) of the Human Services Amendments of 1994 (Public Law 103-252) </w:t>
      </w:r>
      <w:r w:rsidRPr="00F268A4">
        <w:rPr>
          <w:rFonts w:asciiTheme="minorHAnsi" w:hAnsiTheme="minorHAnsi"/>
          <w:spacing w:val="-4"/>
          <w:sz w:val="22"/>
          <w:szCs w:val="22"/>
        </w:rPr>
        <w:t xml:space="preserve">requires HHS to develop, in consultation with LIHEAP grantees, model performance goals that measure the success of each State’s LIHEAP activities.  </w:t>
      </w:r>
    </w:p>
    <w:p w:rsidR="00D7406D" w:rsidP="00BF44CC" w:rsidRDefault="00D7406D" w14:paraId="4DF4018A" w14:textId="77777777">
      <w:pPr>
        <w:tabs>
          <w:tab w:val="left" w:pos="918"/>
          <w:tab w:val="left" w:pos="1188"/>
        </w:tabs>
        <w:jc w:val="both"/>
        <w:rPr>
          <w:rFonts w:asciiTheme="minorHAnsi" w:hAnsiTheme="minorHAnsi"/>
          <w:spacing w:val="-4"/>
          <w:sz w:val="22"/>
          <w:szCs w:val="22"/>
        </w:rPr>
      </w:pPr>
    </w:p>
    <w:p w:rsidRPr="00F268A4" w:rsidR="00D7406D" w:rsidP="00F268A4" w:rsidRDefault="009B5D1B" w14:paraId="24EBD93F" w14:textId="77777777">
      <w:pPr>
        <w:pStyle w:val="ListParagraph"/>
        <w:numPr>
          <w:ilvl w:val="0"/>
          <w:numId w:val="22"/>
        </w:numPr>
        <w:tabs>
          <w:tab w:val="left" w:pos="918"/>
          <w:tab w:val="left" w:pos="1188"/>
        </w:tabs>
        <w:jc w:val="both"/>
        <w:rPr>
          <w:rFonts w:asciiTheme="minorHAnsi" w:hAnsiTheme="minorHAnsi"/>
          <w:spacing w:val="-4"/>
          <w:sz w:val="22"/>
          <w:szCs w:val="22"/>
        </w:rPr>
      </w:pPr>
      <w:r w:rsidRPr="00F268A4">
        <w:rPr>
          <w:rFonts w:asciiTheme="minorHAnsi" w:hAnsiTheme="minorHAnsi"/>
          <w:spacing w:val="-4"/>
          <w:sz w:val="22"/>
          <w:szCs w:val="22"/>
        </w:rPr>
        <w:t>Section 2610(b)(2) of the Low Income Home Energy Assistance Act of 1981 (42 U.S.C. §8629(b)(2)) requires that HHS annually report to Congress on the impact LIHEAP is making on recipient and income</w:t>
      </w:r>
      <w:r w:rsidRPr="00F268A4" w:rsidR="004B2ADC">
        <w:rPr>
          <w:rFonts w:asciiTheme="minorHAnsi" w:hAnsiTheme="minorHAnsi"/>
          <w:spacing w:val="-4"/>
          <w:sz w:val="22"/>
          <w:szCs w:val="22"/>
        </w:rPr>
        <w:t>-</w:t>
      </w:r>
      <w:r w:rsidRPr="00F268A4">
        <w:rPr>
          <w:rFonts w:asciiTheme="minorHAnsi" w:hAnsiTheme="minorHAnsi"/>
          <w:spacing w:val="-4"/>
          <w:sz w:val="22"/>
          <w:szCs w:val="22"/>
        </w:rPr>
        <w:t xml:space="preserve">eligible households (see </w:t>
      </w:r>
      <w:hyperlink w:history="1" w:anchor="_Attachment_1">
        <w:r w:rsidRPr="00587825" w:rsidR="00587825">
          <w:rPr>
            <w:rStyle w:val="Hyperlink"/>
            <w:rFonts w:asciiTheme="minorHAnsi" w:hAnsiTheme="minorHAnsi"/>
            <w:spacing w:val="-4"/>
            <w:sz w:val="22"/>
            <w:szCs w:val="22"/>
          </w:rPr>
          <w:t>Attachment 1</w:t>
        </w:r>
      </w:hyperlink>
      <w:r w:rsidR="00587825">
        <w:rPr>
          <w:rFonts w:asciiTheme="minorHAnsi" w:hAnsiTheme="minorHAnsi"/>
          <w:spacing w:val="-4"/>
          <w:sz w:val="22"/>
          <w:szCs w:val="22"/>
        </w:rPr>
        <w:t xml:space="preserve"> </w:t>
      </w:r>
      <w:r w:rsidRPr="00F268A4">
        <w:rPr>
          <w:rFonts w:asciiTheme="minorHAnsi" w:hAnsiTheme="minorHAnsi"/>
          <w:spacing w:val="-4"/>
          <w:sz w:val="22"/>
          <w:szCs w:val="22"/>
        </w:rPr>
        <w:t xml:space="preserve">for statutory language).  </w:t>
      </w:r>
    </w:p>
    <w:p w:rsidR="00D7406D" w:rsidP="00F268A4" w:rsidRDefault="00D7406D" w14:paraId="06FA1A69" w14:textId="77777777">
      <w:pPr>
        <w:tabs>
          <w:tab w:val="left" w:pos="918"/>
          <w:tab w:val="left" w:pos="1188"/>
        </w:tabs>
        <w:jc w:val="both"/>
        <w:rPr>
          <w:rFonts w:asciiTheme="minorHAnsi" w:hAnsiTheme="minorHAnsi"/>
          <w:spacing w:val="-4"/>
          <w:sz w:val="22"/>
          <w:szCs w:val="22"/>
        </w:rPr>
      </w:pPr>
    </w:p>
    <w:p w:rsidRPr="00F268A4" w:rsidR="00B964AD" w:rsidP="00A46181" w:rsidRDefault="00B964AD" w14:paraId="6C9788B0" w14:textId="77777777">
      <w:pPr>
        <w:pStyle w:val="ListParagraph"/>
        <w:numPr>
          <w:ilvl w:val="0"/>
          <w:numId w:val="22"/>
        </w:numPr>
        <w:tabs>
          <w:tab w:val="left" w:pos="918"/>
          <w:tab w:val="left" w:pos="1188"/>
        </w:tabs>
        <w:jc w:val="both"/>
        <w:rPr>
          <w:rFonts w:asciiTheme="minorHAnsi" w:hAnsiTheme="minorHAnsi"/>
          <w:spacing w:val="-4"/>
          <w:sz w:val="22"/>
          <w:szCs w:val="22"/>
        </w:rPr>
      </w:pPr>
      <w:r w:rsidRPr="00F268A4">
        <w:rPr>
          <w:rFonts w:asciiTheme="minorHAnsi" w:hAnsiTheme="minorHAnsi"/>
          <w:bCs/>
          <w:color w:val="000000" w:themeColor="text1"/>
          <w:sz w:val="22"/>
          <w:szCs w:val="22"/>
        </w:rPr>
        <w:lastRenderedPageBreak/>
        <w:t>Section 2605(b)(5)</w:t>
      </w:r>
      <w:r w:rsidRPr="00F268A4">
        <w:rPr>
          <w:rFonts w:asciiTheme="minorHAnsi" w:hAnsiTheme="minorHAnsi"/>
          <w:color w:val="000000" w:themeColor="text1"/>
          <w:sz w:val="22"/>
          <w:szCs w:val="22"/>
        </w:rPr>
        <w:t xml:space="preserve"> </w:t>
      </w:r>
      <w:r w:rsidRPr="00F268A4">
        <w:rPr>
          <w:rFonts w:asciiTheme="minorHAnsi" w:hAnsiTheme="minorHAnsi"/>
          <w:spacing w:val="-4"/>
          <w:sz w:val="22"/>
          <w:szCs w:val="22"/>
        </w:rPr>
        <w:t>of the Low Income Home Energy Assistance Act of 1981 (42 U.S. C. §8624(b)(5)) requires LIHEAP grantees to provide, in a timely manner, that the highest level of energy assistance will be furnished to those households that have the lowest incomes and the highest energy costs or needs in relation to income, taking into account family size.</w:t>
      </w:r>
    </w:p>
    <w:p w:rsidR="00B964AD" w:rsidRDefault="00B964AD" w14:paraId="0C63B9C2" w14:textId="77777777">
      <w:pPr>
        <w:tabs>
          <w:tab w:val="left" w:pos="918"/>
          <w:tab w:val="left" w:pos="1188"/>
        </w:tabs>
        <w:jc w:val="both"/>
        <w:rPr>
          <w:rFonts w:asciiTheme="minorHAnsi" w:hAnsiTheme="minorHAnsi"/>
          <w:spacing w:val="-4"/>
          <w:sz w:val="22"/>
          <w:szCs w:val="22"/>
        </w:rPr>
      </w:pPr>
    </w:p>
    <w:p w:rsidRPr="00F268A4" w:rsidR="00B964AD" w:rsidP="00A46181" w:rsidRDefault="00B964AD" w14:paraId="68D9F7A7" w14:textId="77777777">
      <w:pPr>
        <w:pStyle w:val="ListParagraph"/>
        <w:numPr>
          <w:ilvl w:val="0"/>
          <w:numId w:val="22"/>
        </w:numPr>
        <w:tabs>
          <w:tab w:val="left" w:pos="918"/>
          <w:tab w:val="left" w:pos="1188"/>
        </w:tabs>
        <w:jc w:val="both"/>
        <w:rPr>
          <w:rFonts w:asciiTheme="minorHAnsi" w:hAnsiTheme="minorHAnsi"/>
          <w:spacing w:val="-4"/>
          <w:sz w:val="22"/>
          <w:szCs w:val="22"/>
        </w:rPr>
      </w:pPr>
      <w:r w:rsidRPr="00F268A4">
        <w:rPr>
          <w:rFonts w:asciiTheme="minorHAnsi" w:hAnsiTheme="minorHAnsi"/>
          <w:spacing w:val="-4"/>
          <w:sz w:val="22"/>
          <w:szCs w:val="22"/>
        </w:rPr>
        <w:t xml:space="preserve">Section 2604(c) of the Low Income Home Energy Assistance Act of 1981 (42 U.S. C. §8623(c)) requires that grantees reserve a </w:t>
      </w:r>
      <w:r w:rsidRPr="00F268A4">
        <w:rPr>
          <w:rFonts w:asciiTheme="minorHAnsi" w:hAnsiTheme="minorHAnsi"/>
          <w:sz w:val="22"/>
          <w:szCs w:val="22"/>
        </w:rPr>
        <w:t>reasonable amount of LIHEAP funds (based on data from prior years) until March 15 of each program year for energy crisis intervention. Furthermore, grantees are required to address home energy crises within expedited timeframes.</w:t>
      </w:r>
    </w:p>
    <w:p w:rsidR="00B964AD" w:rsidRDefault="00B964AD" w14:paraId="0CFEBA02" w14:textId="77777777">
      <w:pPr>
        <w:tabs>
          <w:tab w:val="left" w:pos="918"/>
          <w:tab w:val="left" w:pos="1188"/>
        </w:tabs>
        <w:jc w:val="both"/>
        <w:rPr>
          <w:rFonts w:asciiTheme="minorHAnsi" w:hAnsiTheme="minorHAnsi"/>
          <w:spacing w:val="-4"/>
          <w:sz w:val="22"/>
          <w:szCs w:val="22"/>
        </w:rPr>
      </w:pPr>
    </w:p>
    <w:p w:rsidR="00B964AD" w:rsidP="00593756" w:rsidRDefault="00B964AD" w14:paraId="23328744" w14:textId="72760E31">
      <w:pPr>
        <w:tabs>
          <w:tab w:val="left" w:pos="918"/>
          <w:tab w:val="left" w:pos="1188"/>
        </w:tabs>
        <w:ind w:left="360"/>
        <w:jc w:val="both"/>
        <w:rPr>
          <w:rFonts w:asciiTheme="minorHAnsi" w:hAnsiTheme="minorHAnsi"/>
          <w:spacing w:val="-4"/>
          <w:sz w:val="22"/>
          <w:szCs w:val="22"/>
        </w:rPr>
      </w:pPr>
      <w:r w:rsidRPr="005C0B42">
        <w:rPr>
          <w:rFonts w:asciiTheme="minorHAnsi" w:hAnsiTheme="minorHAnsi"/>
          <w:spacing w:val="-4"/>
          <w:sz w:val="22"/>
          <w:szCs w:val="22"/>
        </w:rPr>
        <w:t xml:space="preserve">The </w:t>
      </w:r>
      <w:r w:rsidRPr="00F268A4">
        <w:rPr>
          <w:rFonts w:asciiTheme="minorHAnsi" w:hAnsiTheme="minorHAnsi"/>
          <w:i/>
          <w:spacing w:val="-4"/>
          <w:sz w:val="22"/>
          <w:szCs w:val="22"/>
        </w:rPr>
        <w:t>LIHEAP Performance Data Form</w:t>
      </w:r>
      <w:r>
        <w:rPr>
          <w:rFonts w:asciiTheme="minorHAnsi" w:hAnsiTheme="minorHAnsi"/>
          <w:spacing w:val="-4"/>
          <w:sz w:val="22"/>
          <w:szCs w:val="22"/>
        </w:rPr>
        <w:t xml:space="preserve"> </w:t>
      </w:r>
      <w:r w:rsidR="00DF13A0">
        <w:rPr>
          <w:rFonts w:asciiTheme="minorHAnsi" w:hAnsiTheme="minorHAnsi"/>
          <w:spacing w:val="-4"/>
          <w:sz w:val="22"/>
          <w:szCs w:val="22"/>
        </w:rPr>
        <w:t xml:space="preserve">(LPDF) </w:t>
      </w:r>
      <w:r>
        <w:rPr>
          <w:rFonts w:asciiTheme="minorHAnsi" w:hAnsiTheme="minorHAnsi"/>
          <w:spacing w:val="-4"/>
          <w:sz w:val="22"/>
          <w:szCs w:val="22"/>
        </w:rPr>
        <w:t xml:space="preserve">is an annual data collection effort </w:t>
      </w:r>
      <w:r w:rsidRPr="00E21FC0">
        <w:rPr>
          <w:rFonts w:asciiTheme="minorHAnsi" w:hAnsiTheme="minorHAnsi"/>
          <w:spacing w:val="-4"/>
          <w:sz w:val="22"/>
          <w:szCs w:val="22"/>
        </w:rPr>
        <w:t>conducted by the U.S. Office of Community Services (OCS)</w:t>
      </w:r>
      <w:r>
        <w:rPr>
          <w:rFonts w:asciiTheme="minorHAnsi" w:hAnsiTheme="minorHAnsi"/>
          <w:spacing w:val="-4"/>
          <w:sz w:val="22"/>
          <w:szCs w:val="22"/>
        </w:rPr>
        <w:t xml:space="preserve"> to collect information from state LIHEAP grantees and the District of Columbia to meet statutory requirements and program objectives.  Data are collected in three distinct Modules:</w:t>
      </w:r>
    </w:p>
    <w:p w:rsidR="00B964AD" w:rsidRDefault="00B964AD" w14:paraId="647BF971" w14:textId="77777777">
      <w:pPr>
        <w:tabs>
          <w:tab w:val="left" w:pos="918"/>
          <w:tab w:val="left" w:pos="1188"/>
        </w:tabs>
        <w:jc w:val="both"/>
        <w:rPr>
          <w:rFonts w:asciiTheme="minorHAnsi" w:hAnsiTheme="minorHAnsi"/>
          <w:spacing w:val="-4"/>
          <w:sz w:val="22"/>
          <w:szCs w:val="22"/>
        </w:rPr>
      </w:pPr>
    </w:p>
    <w:p w:rsidRPr="0070451D" w:rsidR="00B964AD" w:rsidP="00A46181" w:rsidRDefault="00B964AD" w14:paraId="031D57AB" w14:textId="28C784D0">
      <w:pPr>
        <w:pStyle w:val="ListParagraph"/>
        <w:numPr>
          <w:ilvl w:val="0"/>
          <w:numId w:val="21"/>
        </w:numPr>
        <w:tabs>
          <w:tab w:val="left" w:pos="918"/>
          <w:tab w:val="left" w:pos="1188"/>
        </w:tabs>
        <w:jc w:val="both"/>
        <w:rPr>
          <w:rFonts w:asciiTheme="minorHAnsi" w:hAnsiTheme="minorHAnsi"/>
          <w:spacing w:val="-4"/>
          <w:sz w:val="22"/>
          <w:szCs w:val="22"/>
        </w:rPr>
      </w:pPr>
      <w:r w:rsidRPr="00F268A4">
        <w:rPr>
          <w:rFonts w:asciiTheme="minorHAnsi" w:hAnsiTheme="minorHAnsi"/>
          <w:b/>
          <w:spacing w:val="-4"/>
          <w:sz w:val="22"/>
          <w:szCs w:val="22"/>
        </w:rPr>
        <w:t>Module 1 (Grantee Survey)</w:t>
      </w:r>
      <w:r>
        <w:rPr>
          <w:rFonts w:asciiTheme="minorHAnsi" w:hAnsiTheme="minorHAnsi"/>
          <w:spacing w:val="-4"/>
          <w:sz w:val="22"/>
          <w:szCs w:val="22"/>
        </w:rPr>
        <w:t xml:space="preserve"> – This module collects information on the </w:t>
      </w:r>
      <w:r>
        <w:rPr>
          <w:rFonts w:asciiTheme="minorHAnsi" w:hAnsiTheme="minorHAnsi"/>
          <w:sz w:val="22"/>
          <w:szCs w:val="22"/>
        </w:rPr>
        <w:t xml:space="preserve">different purposes for which </w:t>
      </w:r>
      <w:r w:rsidRPr="009B5D1B">
        <w:rPr>
          <w:rFonts w:asciiTheme="minorHAnsi" w:hAnsiTheme="minorHAnsi"/>
          <w:sz w:val="22"/>
          <w:szCs w:val="22"/>
        </w:rPr>
        <w:t>LIHEAP funding is used</w:t>
      </w:r>
      <w:r>
        <w:rPr>
          <w:rFonts w:asciiTheme="minorHAnsi" w:hAnsiTheme="minorHAnsi"/>
          <w:sz w:val="22"/>
          <w:szCs w:val="22"/>
        </w:rPr>
        <w:t xml:space="preserve"> and the estimated average benefits furnished to clients for each type of assistance</w:t>
      </w:r>
      <w:r w:rsidRPr="009B5D1B">
        <w:rPr>
          <w:rFonts w:asciiTheme="minorHAnsi" w:hAnsiTheme="minorHAnsi"/>
          <w:sz w:val="22"/>
          <w:szCs w:val="22"/>
        </w:rPr>
        <w:t xml:space="preserve">. </w:t>
      </w:r>
      <w:r>
        <w:rPr>
          <w:rFonts w:asciiTheme="minorHAnsi" w:hAnsiTheme="minorHAnsi"/>
          <w:spacing w:val="-4"/>
          <w:sz w:val="22"/>
          <w:szCs w:val="22"/>
        </w:rPr>
        <w:t xml:space="preserve">This information has been collected by OCS and reported annually to Congress for over thirty years.  </w:t>
      </w:r>
      <w:r w:rsidRPr="009B5D1B">
        <w:rPr>
          <w:rFonts w:asciiTheme="minorHAnsi" w:hAnsiTheme="minorHAnsi"/>
          <w:sz w:val="22"/>
          <w:szCs w:val="22"/>
        </w:rPr>
        <w:t xml:space="preserve">These data collection efforts have </w:t>
      </w:r>
      <w:r>
        <w:rPr>
          <w:rFonts w:asciiTheme="minorHAnsi" w:hAnsiTheme="minorHAnsi"/>
          <w:sz w:val="22"/>
          <w:szCs w:val="22"/>
        </w:rPr>
        <w:t xml:space="preserve">furnished OCS with important information on how each grantee has chosen to implement the LIHEAP program to address the needs of low-income households in their jurisdiction. (Note: Data from this Module are included in the </w:t>
      </w:r>
      <w:r w:rsidRPr="00593756">
        <w:rPr>
          <w:rFonts w:asciiTheme="minorHAnsi" w:hAnsiTheme="minorHAnsi"/>
          <w:i/>
          <w:sz w:val="22"/>
        </w:rPr>
        <w:t xml:space="preserve">LIHEAP </w:t>
      </w:r>
      <w:r w:rsidRPr="00B62FC7" w:rsidR="00B62FC7">
        <w:rPr>
          <w:rFonts w:asciiTheme="minorHAnsi" w:hAnsiTheme="minorHAnsi"/>
          <w:i/>
          <w:sz w:val="22"/>
          <w:szCs w:val="22"/>
        </w:rPr>
        <w:t xml:space="preserve">Annual </w:t>
      </w:r>
      <w:r w:rsidRPr="00593756">
        <w:rPr>
          <w:rFonts w:asciiTheme="minorHAnsi" w:hAnsiTheme="minorHAnsi"/>
          <w:i/>
          <w:sz w:val="22"/>
        </w:rPr>
        <w:t>Report to Congress</w:t>
      </w:r>
      <w:r>
        <w:rPr>
          <w:rFonts w:asciiTheme="minorHAnsi" w:hAnsiTheme="minorHAnsi"/>
          <w:sz w:val="22"/>
          <w:szCs w:val="22"/>
        </w:rPr>
        <w:t xml:space="preserve"> </w:t>
      </w:r>
      <w:r w:rsidR="00E37210">
        <w:rPr>
          <w:rFonts w:asciiTheme="minorHAnsi" w:hAnsiTheme="minorHAnsi"/>
          <w:sz w:val="22"/>
          <w:szCs w:val="22"/>
        </w:rPr>
        <w:t>(</w:t>
      </w:r>
      <w:hyperlink w:history="1" w:anchor="_Attachment_3">
        <w:r w:rsidRPr="00587825" w:rsidR="00587825">
          <w:rPr>
            <w:rStyle w:val="Hyperlink"/>
            <w:rFonts w:asciiTheme="minorHAnsi" w:hAnsiTheme="minorHAnsi"/>
            <w:sz w:val="22"/>
            <w:szCs w:val="22"/>
          </w:rPr>
          <w:t>Attachment 3</w:t>
        </w:r>
      </w:hyperlink>
      <w:r w:rsidR="00E37210">
        <w:rPr>
          <w:rFonts w:asciiTheme="minorHAnsi" w:hAnsiTheme="minorHAnsi"/>
          <w:sz w:val="22"/>
          <w:szCs w:val="22"/>
        </w:rPr>
        <w:t>, Section I)</w:t>
      </w:r>
      <w:r w:rsidR="00B23C58">
        <w:rPr>
          <w:rFonts w:asciiTheme="minorHAnsi" w:hAnsiTheme="minorHAnsi"/>
          <w:sz w:val="22"/>
          <w:szCs w:val="22"/>
        </w:rPr>
        <w:t xml:space="preserve"> </w:t>
      </w:r>
      <w:r>
        <w:rPr>
          <w:rFonts w:asciiTheme="minorHAnsi" w:hAnsiTheme="minorHAnsi"/>
          <w:sz w:val="22"/>
          <w:szCs w:val="22"/>
        </w:rPr>
        <w:t xml:space="preserve">and in the LIHEAP Data Warehouse available on the </w:t>
      </w:r>
      <w:hyperlink w:history="1" r:id="rId13">
        <w:r w:rsidRPr="0093567A">
          <w:rPr>
            <w:rStyle w:val="Hyperlink"/>
            <w:rFonts w:asciiTheme="minorHAnsi" w:hAnsiTheme="minorHAnsi"/>
            <w:sz w:val="22"/>
            <w:szCs w:val="22"/>
          </w:rPr>
          <w:t>LIHEAP Performance Management Website</w:t>
        </w:r>
      </w:hyperlink>
      <w:r>
        <w:rPr>
          <w:rFonts w:asciiTheme="minorHAnsi" w:hAnsiTheme="minorHAnsi"/>
          <w:sz w:val="22"/>
          <w:szCs w:val="22"/>
        </w:rPr>
        <w:t xml:space="preserve">.) </w:t>
      </w:r>
    </w:p>
    <w:p w:rsidRPr="00587825" w:rsidR="00B964AD" w:rsidP="00A46181" w:rsidRDefault="00B964AD" w14:paraId="17B8F904" w14:textId="77777777">
      <w:pPr>
        <w:pStyle w:val="ListParagraph"/>
        <w:tabs>
          <w:tab w:val="left" w:pos="918"/>
          <w:tab w:val="left" w:pos="1188"/>
        </w:tabs>
        <w:jc w:val="both"/>
        <w:rPr>
          <w:rFonts w:asciiTheme="minorHAnsi" w:hAnsiTheme="minorHAnsi"/>
          <w:spacing w:val="-4"/>
          <w:sz w:val="22"/>
          <w:szCs w:val="22"/>
        </w:rPr>
      </w:pPr>
    </w:p>
    <w:p w:rsidR="00B964AD" w:rsidP="00A46181" w:rsidRDefault="00B964AD" w14:paraId="2E35C348" w14:textId="62F05059">
      <w:pPr>
        <w:pStyle w:val="ListParagraph"/>
        <w:numPr>
          <w:ilvl w:val="0"/>
          <w:numId w:val="21"/>
        </w:numPr>
        <w:tabs>
          <w:tab w:val="left" w:pos="918"/>
          <w:tab w:val="left" w:pos="1188"/>
        </w:tabs>
        <w:jc w:val="both"/>
        <w:rPr>
          <w:rFonts w:asciiTheme="minorHAnsi" w:hAnsiTheme="minorHAnsi"/>
          <w:spacing w:val="-4"/>
          <w:sz w:val="22"/>
          <w:szCs w:val="22"/>
        </w:rPr>
      </w:pPr>
      <w:r w:rsidRPr="00F268A4">
        <w:rPr>
          <w:rFonts w:asciiTheme="minorHAnsi" w:hAnsiTheme="minorHAnsi"/>
          <w:b/>
          <w:spacing w:val="-4"/>
          <w:sz w:val="22"/>
          <w:szCs w:val="22"/>
        </w:rPr>
        <w:t>Module 2 (LIHEAP Performance Measures)</w:t>
      </w:r>
      <w:r>
        <w:rPr>
          <w:rFonts w:asciiTheme="minorHAnsi" w:hAnsiTheme="minorHAnsi"/>
          <w:spacing w:val="-4"/>
          <w:sz w:val="22"/>
          <w:szCs w:val="22"/>
        </w:rPr>
        <w:t xml:space="preserve"> – This module collects information for four developmental performance measures:</w:t>
      </w:r>
      <w:r w:rsidRPr="009041C8">
        <w:rPr>
          <w:rFonts w:asciiTheme="minorHAnsi" w:hAnsiTheme="minorHAnsi"/>
          <w:spacing w:val="-4"/>
          <w:sz w:val="22"/>
          <w:szCs w:val="22"/>
        </w:rPr>
        <w:t xml:space="preserve"> </w:t>
      </w:r>
      <w:r>
        <w:rPr>
          <w:rFonts w:asciiTheme="minorHAnsi" w:hAnsiTheme="minorHAnsi"/>
          <w:spacing w:val="-4"/>
          <w:sz w:val="22"/>
          <w:szCs w:val="22"/>
        </w:rPr>
        <w:t>the Benefit Targeting Index for High Burden Households, the Burden Reduction Targeting Index for High Burden Households, the</w:t>
      </w:r>
      <w:r w:rsidRPr="009041C8">
        <w:rPr>
          <w:rFonts w:asciiTheme="minorHAnsi" w:hAnsiTheme="minorHAnsi"/>
          <w:spacing w:val="-4"/>
          <w:sz w:val="22"/>
          <w:szCs w:val="22"/>
        </w:rPr>
        <w:t xml:space="preserve"> </w:t>
      </w:r>
      <w:r>
        <w:rPr>
          <w:rFonts w:asciiTheme="minorHAnsi" w:hAnsiTheme="minorHAnsi"/>
          <w:spacing w:val="-4"/>
          <w:sz w:val="22"/>
          <w:szCs w:val="22"/>
        </w:rPr>
        <w:t>restoration of home energy service, and the prevention of loss of home energy service.</w:t>
      </w:r>
      <w:r w:rsidR="009041C8">
        <w:rPr>
          <w:rFonts w:asciiTheme="minorHAnsi" w:hAnsiTheme="minorHAnsi"/>
          <w:spacing w:val="-4"/>
          <w:sz w:val="22"/>
          <w:szCs w:val="22"/>
        </w:rPr>
        <w:t xml:space="preserve">  These measures were approved for data collection </w:t>
      </w:r>
      <w:r w:rsidR="00B23C58">
        <w:rPr>
          <w:rFonts w:asciiTheme="minorHAnsi" w:hAnsiTheme="minorHAnsi"/>
          <w:spacing w:val="-4"/>
          <w:sz w:val="22"/>
          <w:szCs w:val="22"/>
        </w:rPr>
        <w:t xml:space="preserve">by OMB </w:t>
      </w:r>
      <w:r w:rsidR="009041C8">
        <w:rPr>
          <w:rFonts w:asciiTheme="minorHAnsi" w:hAnsiTheme="minorHAnsi"/>
          <w:spacing w:val="-4"/>
          <w:sz w:val="22"/>
          <w:szCs w:val="22"/>
        </w:rPr>
        <w:t>in 2014 and mandatory data collection bega</w:t>
      </w:r>
      <w:r w:rsidR="00B23C58">
        <w:rPr>
          <w:rFonts w:asciiTheme="minorHAnsi" w:hAnsiTheme="minorHAnsi"/>
          <w:spacing w:val="-4"/>
          <w:sz w:val="22"/>
          <w:szCs w:val="22"/>
        </w:rPr>
        <w:t>n for Fiscal Year</w:t>
      </w:r>
      <w:r w:rsidR="009041C8">
        <w:rPr>
          <w:rFonts w:asciiTheme="minorHAnsi" w:hAnsiTheme="minorHAnsi"/>
          <w:spacing w:val="-4"/>
          <w:sz w:val="22"/>
          <w:szCs w:val="22"/>
        </w:rPr>
        <w:t xml:space="preserve"> 2016.</w:t>
      </w:r>
      <w:r w:rsidR="005C0B42">
        <w:rPr>
          <w:rFonts w:asciiTheme="minorHAnsi" w:hAnsiTheme="minorHAnsi"/>
          <w:spacing w:val="-4"/>
          <w:sz w:val="22"/>
          <w:szCs w:val="22"/>
        </w:rPr>
        <w:t xml:space="preserve">  </w:t>
      </w:r>
      <w:r w:rsidR="009041C8">
        <w:rPr>
          <w:rFonts w:asciiTheme="minorHAnsi" w:hAnsiTheme="minorHAnsi"/>
          <w:sz w:val="22"/>
          <w:szCs w:val="22"/>
        </w:rPr>
        <w:t xml:space="preserve">(Note: </w:t>
      </w:r>
      <w:r w:rsidR="00B23C58">
        <w:rPr>
          <w:rFonts w:asciiTheme="minorHAnsi" w:hAnsiTheme="minorHAnsi"/>
          <w:sz w:val="22"/>
          <w:szCs w:val="22"/>
        </w:rPr>
        <w:t>D</w:t>
      </w:r>
      <w:r w:rsidR="009041C8">
        <w:rPr>
          <w:rFonts w:asciiTheme="minorHAnsi" w:hAnsiTheme="minorHAnsi"/>
          <w:sz w:val="22"/>
          <w:szCs w:val="22"/>
        </w:rPr>
        <w:t>ata</w:t>
      </w:r>
      <w:r w:rsidR="00B23C58">
        <w:rPr>
          <w:rFonts w:asciiTheme="minorHAnsi" w:hAnsiTheme="minorHAnsi"/>
          <w:sz w:val="22"/>
          <w:szCs w:val="22"/>
        </w:rPr>
        <w:t xml:space="preserve"> from this Module</w:t>
      </w:r>
      <w:r w:rsidR="009041C8">
        <w:rPr>
          <w:rFonts w:asciiTheme="minorHAnsi" w:hAnsiTheme="minorHAnsi"/>
          <w:sz w:val="22"/>
          <w:szCs w:val="22"/>
        </w:rPr>
        <w:t xml:space="preserve"> are included in the annual LIHEAP Report to Congress</w:t>
      </w:r>
      <w:r w:rsidR="00E37210">
        <w:rPr>
          <w:rStyle w:val="FootnoteReference"/>
          <w:rFonts w:asciiTheme="minorHAnsi" w:hAnsiTheme="minorHAnsi"/>
          <w:sz w:val="22"/>
          <w:szCs w:val="22"/>
        </w:rPr>
        <w:footnoteReference w:id="2"/>
      </w:r>
      <w:r w:rsidR="00C215FE">
        <w:rPr>
          <w:rFonts w:asciiTheme="minorHAnsi" w:hAnsiTheme="minorHAnsi"/>
          <w:sz w:val="22"/>
          <w:szCs w:val="22"/>
        </w:rPr>
        <w:t xml:space="preserve"> and </w:t>
      </w:r>
      <w:r w:rsidR="008742B8">
        <w:rPr>
          <w:rFonts w:asciiTheme="minorHAnsi" w:hAnsiTheme="minorHAnsi"/>
          <w:sz w:val="22"/>
          <w:szCs w:val="22"/>
        </w:rPr>
        <w:t>in the annual Congressional Budget Justification</w:t>
      </w:r>
      <w:r w:rsidR="00C215FE">
        <w:rPr>
          <w:rFonts w:asciiTheme="minorHAnsi" w:hAnsiTheme="minorHAnsi"/>
          <w:sz w:val="22"/>
          <w:szCs w:val="22"/>
        </w:rPr>
        <w:t>, and will be made available in the</w:t>
      </w:r>
      <w:r w:rsidRPr="00C215FE" w:rsidR="00C215FE">
        <w:rPr>
          <w:rFonts w:asciiTheme="minorHAnsi" w:hAnsiTheme="minorHAnsi"/>
          <w:sz w:val="22"/>
          <w:szCs w:val="22"/>
        </w:rPr>
        <w:t xml:space="preserve"> </w:t>
      </w:r>
      <w:r w:rsidR="00C215FE">
        <w:rPr>
          <w:rFonts w:asciiTheme="minorHAnsi" w:hAnsiTheme="minorHAnsi"/>
          <w:sz w:val="22"/>
          <w:szCs w:val="22"/>
        </w:rPr>
        <w:t>LIHEAP Data Warehouse</w:t>
      </w:r>
      <w:r w:rsidR="009041C8">
        <w:rPr>
          <w:rFonts w:asciiTheme="minorHAnsi" w:hAnsiTheme="minorHAnsi"/>
          <w:sz w:val="22"/>
          <w:szCs w:val="22"/>
        </w:rPr>
        <w:t>.)</w:t>
      </w:r>
    </w:p>
    <w:p w:rsidR="00B964AD" w:rsidP="00A46181" w:rsidRDefault="00B964AD" w14:paraId="5F916DCE" w14:textId="77777777">
      <w:pPr>
        <w:pStyle w:val="ListParagraph"/>
        <w:tabs>
          <w:tab w:val="left" w:pos="918"/>
          <w:tab w:val="left" w:pos="1188"/>
        </w:tabs>
        <w:jc w:val="both"/>
        <w:rPr>
          <w:rFonts w:asciiTheme="minorHAnsi" w:hAnsiTheme="minorHAnsi"/>
          <w:spacing w:val="-4"/>
          <w:sz w:val="22"/>
          <w:szCs w:val="22"/>
        </w:rPr>
      </w:pPr>
    </w:p>
    <w:p w:rsidR="00B964AD" w:rsidP="00A46181" w:rsidRDefault="00B964AD" w14:paraId="692E7111" w14:textId="24E7F672">
      <w:pPr>
        <w:pStyle w:val="ListParagraph"/>
        <w:numPr>
          <w:ilvl w:val="0"/>
          <w:numId w:val="21"/>
        </w:numPr>
        <w:tabs>
          <w:tab w:val="left" w:pos="918"/>
          <w:tab w:val="left" w:pos="1188"/>
        </w:tabs>
        <w:jc w:val="both"/>
        <w:rPr>
          <w:rFonts w:asciiTheme="minorHAnsi" w:hAnsiTheme="minorHAnsi"/>
          <w:spacing w:val="-4"/>
          <w:sz w:val="22"/>
          <w:szCs w:val="22"/>
        </w:rPr>
      </w:pPr>
      <w:r w:rsidRPr="00F268A4">
        <w:rPr>
          <w:rFonts w:asciiTheme="minorHAnsi" w:hAnsiTheme="minorHAnsi"/>
          <w:b/>
          <w:spacing w:val="-4"/>
          <w:sz w:val="22"/>
          <w:szCs w:val="22"/>
        </w:rPr>
        <w:t>Module 3 (Optional LIHEAP Performance Measures)</w:t>
      </w:r>
      <w:r>
        <w:rPr>
          <w:rFonts w:asciiTheme="minorHAnsi" w:hAnsiTheme="minorHAnsi"/>
          <w:spacing w:val="-4"/>
          <w:sz w:val="22"/>
          <w:szCs w:val="22"/>
        </w:rPr>
        <w:t xml:space="preserve"> – This module is optional and allows grantees to voluntarily collect and report supplementary information that compliments the required performance </w:t>
      </w:r>
      <w:r>
        <w:rPr>
          <w:rFonts w:asciiTheme="minorHAnsi" w:hAnsiTheme="minorHAnsi"/>
          <w:spacing w:val="-4"/>
          <w:sz w:val="22"/>
          <w:szCs w:val="22"/>
        </w:rPr>
        <w:lastRenderedPageBreak/>
        <w:t>measures data.</w:t>
      </w:r>
      <w:r w:rsidR="008742B8">
        <w:rPr>
          <w:rFonts w:asciiTheme="minorHAnsi" w:hAnsiTheme="minorHAnsi"/>
          <w:spacing w:val="-4"/>
          <w:sz w:val="22"/>
          <w:szCs w:val="22"/>
        </w:rPr>
        <w:t xml:space="preserve">  These optional data increase the individual grantee’s ability to use the Performance Data for LIHEAP program management.</w:t>
      </w:r>
    </w:p>
    <w:p w:rsidR="00B964AD" w:rsidRDefault="00B964AD" w14:paraId="35B49555" w14:textId="430B2B46">
      <w:pPr>
        <w:tabs>
          <w:tab w:val="left" w:pos="918"/>
          <w:tab w:val="left" w:pos="1188"/>
        </w:tabs>
        <w:jc w:val="both"/>
        <w:rPr>
          <w:rFonts w:asciiTheme="minorHAnsi" w:hAnsiTheme="minorHAnsi"/>
          <w:spacing w:val="-4"/>
          <w:sz w:val="22"/>
          <w:szCs w:val="22"/>
        </w:rPr>
      </w:pPr>
    </w:p>
    <w:p w:rsidRPr="00317069" w:rsidR="00317069" w:rsidP="00C26405" w:rsidRDefault="00317069" w14:paraId="602DB02D" w14:textId="443F0D74">
      <w:pPr>
        <w:spacing w:after="120"/>
        <w:jc w:val="both"/>
        <w:rPr>
          <w:rFonts w:asciiTheme="minorHAnsi" w:hAnsiTheme="minorHAnsi"/>
          <w:i/>
          <w:sz w:val="22"/>
          <w:szCs w:val="22"/>
          <w:u w:val="single"/>
        </w:rPr>
      </w:pPr>
      <w:r>
        <w:rPr>
          <w:rFonts w:asciiTheme="minorHAnsi" w:hAnsiTheme="minorHAnsi"/>
          <w:i/>
          <w:sz w:val="22"/>
          <w:szCs w:val="22"/>
        </w:rPr>
        <w:t xml:space="preserve">Change </w:t>
      </w:r>
      <w:r w:rsidR="007B7869">
        <w:rPr>
          <w:rFonts w:asciiTheme="minorHAnsi" w:hAnsiTheme="minorHAnsi"/>
          <w:i/>
          <w:sz w:val="22"/>
          <w:szCs w:val="22"/>
        </w:rPr>
        <w:t>R</w:t>
      </w:r>
      <w:r>
        <w:rPr>
          <w:rFonts w:asciiTheme="minorHAnsi" w:hAnsiTheme="minorHAnsi"/>
          <w:i/>
          <w:sz w:val="22"/>
          <w:szCs w:val="22"/>
        </w:rPr>
        <w:t>equest Updates December 2020 – CARES Act Funds</w:t>
      </w:r>
    </w:p>
    <w:p w:rsidR="00CE3A35" w:rsidP="004F3AFB" w:rsidRDefault="007B67E8" w14:paraId="04E66D37" w14:textId="1E66DBB8">
      <w:pPr>
        <w:tabs>
          <w:tab w:val="left" w:pos="918"/>
          <w:tab w:val="left" w:pos="1188"/>
        </w:tabs>
        <w:ind w:left="360"/>
        <w:jc w:val="both"/>
        <w:rPr>
          <w:rFonts w:asciiTheme="minorHAnsi" w:hAnsiTheme="minorHAnsi"/>
          <w:spacing w:val="-4"/>
          <w:sz w:val="22"/>
          <w:szCs w:val="22"/>
        </w:rPr>
      </w:pPr>
      <w:r>
        <w:rPr>
          <w:rFonts w:asciiTheme="minorHAnsi" w:hAnsiTheme="minorHAnsi"/>
          <w:spacing w:val="-4"/>
          <w:sz w:val="22"/>
          <w:szCs w:val="22"/>
        </w:rPr>
        <w:t xml:space="preserve">Congress appropriated </w:t>
      </w:r>
      <w:r w:rsidRPr="00DF13A0" w:rsidR="00CE3A35">
        <w:rPr>
          <w:rFonts w:asciiTheme="minorHAnsi" w:hAnsiTheme="minorHAnsi"/>
          <w:spacing w:val="-4"/>
          <w:sz w:val="22"/>
          <w:szCs w:val="22"/>
        </w:rPr>
        <w:t xml:space="preserve">CARES Act (Public Law 116-136) </w:t>
      </w:r>
      <w:r>
        <w:rPr>
          <w:rFonts w:asciiTheme="minorHAnsi" w:hAnsiTheme="minorHAnsi"/>
          <w:spacing w:val="-4"/>
          <w:sz w:val="22"/>
          <w:szCs w:val="22"/>
        </w:rPr>
        <w:t xml:space="preserve">funding for LIHEAP and allows the funding to be used in FY 2020 and FY 2021.  The CARES Act </w:t>
      </w:r>
      <w:r w:rsidRPr="00DF13A0" w:rsidR="00CE3A35">
        <w:rPr>
          <w:rFonts w:asciiTheme="minorHAnsi" w:hAnsiTheme="minorHAnsi"/>
          <w:spacing w:val="-4"/>
          <w:sz w:val="22"/>
          <w:szCs w:val="22"/>
        </w:rPr>
        <w:t>overrode</w:t>
      </w:r>
      <w:r>
        <w:rPr>
          <w:rFonts w:asciiTheme="minorHAnsi" w:hAnsiTheme="minorHAnsi"/>
          <w:spacing w:val="-4"/>
          <w:sz w:val="22"/>
          <w:szCs w:val="22"/>
        </w:rPr>
        <w:t xml:space="preserve"> one important provision of</w:t>
      </w:r>
      <w:r w:rsidRPr="00DF13A0" w:rsidR="00CE3A35">
        <w:rPr>
          <w:rFonts w:asciiTheme="minorHAnsi" w:hAnsiTheme="minorHAnsi"/>
          <w:spacing w:val="-4"/>
          <w:sz w:val="22"/>
          <w:szCs w:val="22"/>
        </w:rPr>
        <w:t xml:space="preserve"> the LIHEAP statute </w:t>
      </w:r>
      <w:r>
        <w:rPr>
          <w:rFonts w:asciiTheme="minorHAnsi" w:hAnsiTheme="minorHAnsi"/>
          <w:spacing w:val="-4"/>
          <w:sz w:val="22"/>
          <w:szCs w:val="22"/>
        </w:rPr>
        <w:t xml:space="preserve">related to the obligation period and ability to carry forward funding.  The provision </w:t>
      </w:r>
      <w:r w:rsidRPr="00DF13A0" w:rsidR="00CE3A35">
        <w:rPr>
          <w:rFonts w:asciiTheme="minorHAnsi" w:hAnsiTheme="minorHAnsi"/>
          <w:spacing w:val="-4"/>
          <w:sz w:val="22"/>
          <w:szCs w:val="22"/>
        </w:rPr>
        <w:t>allow</w:t>
      </w:r>
      <w:r>
        <w:rPr>
          <w:rFonts w:asciiTheme="minorHAnsi" w:hAnsiTheme="minorHAnsi"/>
          <w:spacing w:val="-4"/>
          <w:sz w:val="22"/>
          <w:szCs w:val="22"/>
        </w:rPr>
        <w:t>s</w:t>
      </w:r>
      <w:r w:rsidRPr="00DF13A0" w:rsidR="00CE3A35">
        <w:rPr>
          <w:rFonts w:asciiTheme="minorHAnsi" w:hAnsiTheme="minorHAnsi"/>
          <w:spacing w:val="-4"/>
          <w:sz w:val="22"/>
          <w:szCs w:val="22"/>
        </w:rPr>
        <w:t xml:space="preserve"> </w:t>
      </w:r>
      <w:r>
        <w:rPr>
          <w:rFonts w:asciiTheme="minorHAnsi" w:hAnsiTheme="minorHAnsi"/>
          <w:spacing w:val="-4"/>
          <w:sz w:val="22"/>
          <w:szCs w:val="22"/>
        </w:rPr>
        <w:t xml:space="preserve">LIHEAP </w:t>
      </w:r>
      <w:r w:rsidRPr="00DF13A0" w:rsidR="00CE3A35">
        <w:rPr>
          <w:rFonts w:asciiTheme="minorHAnsi" w:hAnsiTheme="minorHAnsi"/>
          <w:spacing w:val="-4"/>
          <w:sz w:val="22"/>
          <w:szCs w:val="22"/>
        </w:rPr>
        <w:t>grantees to obligate any portion of the supplemental LIHEAP funds in FY 2020 and/or FY 2021, contingent upon their own rules for obligating thei</w:t>
      </w:r>
      <w:r w:rsidR="00CE3A35">
        <w:rPr>
          <w:rFonts w:asciiTheme="minorHAnsi" w:hAnsiTheme="minorHAnsi"/>
          <w:spacing w:val="-4"/>
          <w:sz w:val="22"/>
          <w:szCs w:val="22"/>
        </w:rPr>
        <w:t>r own funds (45 CFR 96.30(a)).</w:t>
      </w:r>
      <w:r>
        <w:rPr>
          <w:rFonts w:asciiTheme="minorHAnsi" w:hAnsiTheme="minorHAnsi"/>
          <w:spacing w:val="-4"/>
          <w:sz w:val="22"/>
          <w:szCs w:val="22"/>
        </w:rPr>
        <w:t xml:space="preserve">  ACF notified LIHEAP grantees through the CARES Act LIHEAP Notice of Award letters that grantees must track and report the CARES Act funding separately from other LIHEAP funding sources.</w:t>
      </w:r>
    </w:p>
    <w:p w:rsidR="00CE3A35" w:rsidP="004F3AFB" w:rsidRDefault="00CE3A35" w14:paraId="16F8965F" w14:textId="253C4508">
      <w:pPr>
        <w:tabs>
          <w:tab w:val="left" w:pos="918"/>
          <w:tab w:val="left" w:pos="1188"/>
        </w:tabs>
        <w:ind w:left="360"/>
        <w:jc w:val="both"/>
        <w:rPr>
          <w:rFonts w:asciiTheme="minorHAnsi" w:hAnsiTheme="minorHAnsi"/>
          <w:spacing w:val="-4"/>
          <w:sz w:val="22"/>
          <w:szCs w:val="22"/>
        </w:rPr>
      </w:pPr>
    </w:p>
    <w:p w:rsidR="007B67E8" w:rsidP="004F3AFB" w:rsidRDefault="007B67E8" w14:paraId="1430F8CF" w14:textId="7E0E503D">
      <w:pPr>
        <w:tabs>
          <w:tab w:val="left" w:pos="918"/>
          <w:tab w:val="left" w:pos="1188"/>
        </w:tabs>
        <w:ind w:left="360"/>
        <w:jc w:val="both"/>
        <w:rPr>
          <w:rFonts w:asciiTheme="minorHAnsi" w:hAnsiTheme="minorHAnsi"/>
          <w:spacing w:val="-4"/>
          <w:sz w:val="22"/>
          <w:szCs w:val="22"/>
        </w:rPr>
      </w:pPr>
      <w:r>
        <w:rPr>
          <w:rFonts w:asciiTheme="minorHAnsi" w:hAnsiTheme="minorHAnsi"/>
          <w:spacing w:val="-4"/>
          <w:sz w:val="22"/>
          <w:szCs w:val="22"/>
        </w:rPr>
        <w:t>In light of the current, national pandemic, ACF has revised this form to add lines specific to CARES Act funding.  Additionally, the form has been revised to have lines reserved for future supplemental funding from Congress.</w:t>
      </w:r>
    </w:p>
    <w:p w:rsidR="007B67E8" w:rsidP="004F3AFB" w:rsidRDefault="007B67E8" w14:paraId="58F48AF6" w14:textId="77777777">
      <w:pPr>
        <w:tabs>
          <w:tab w:val="left" w:pos="918"/>
          <w:tab w:val="left" w:pos="1188"/>
        </w:tabs>
        <w:ind w:left="360"/>
        <w:jc w:val="both"/>
        <w:rPr>
          <w:rFonts w:asciiTheme="minorHAnsi" w:hAnsiTheme="minorHAnsi"/>
          <w:spacing w:val="-4"/>
          <w:sz w:val="22"/>
          <w:szCs w:val="22"/>
        </w:rPr>
      </w:pPr>
    </w:p>
    <w:p w:rsidR="00922929" w:rsidP="004F3AFB" w:rsidRDefault="00922929" w14:paraId="49941342" w14:textId="55FBEB17">
      <w:pPr>
        <w:tabs>
          <w:tab w:val="left" w:pos="918"/>
          <w:tab w:val="left" w:pos="1188"/>
        </w:tabs>
        <w:ind w:left="360"/>
        <w:jc w:val="both"/>
        <w:rPr>
          <w:rFonts w:asciiTheme="minorHAnsi" w:hAnsiTheme="minorHAnsi"/>
          <w:spacing w:val="-4"/>
          <w:sz w:val="22"/>
          <w:szCs w:val="22"/>
        </w:rPr>
      </w:pPr>
      <w:r>
        <w:rPr>
          <w:rFonts w:asciiTheme="minorHAnsi" w:hAnsiTheme="minorHAnsi"/>
          <w:spacing w:val="-4"/>
          <w:sz w:val="22"/>
          <w:szCs w:val="22"/>
        </w:rPr>
        <w:t>N</w:t>
      </w:r>
      <w:r w:rsidRPr="00E21FC0">
        <w:rPr>
          <w:rFonts w:asciiTheme="minorHAnsi" w:hAnsiTheme="minorHAnsi"/>
          <w:spacing w:val="-4"/>
          <w:sz w:val="22"/>
          <w:szCs w:val="22"/>
        </w:rPr>
        <w:t xml:space="preserve">o other </w:t>
      </w:r>
      <w:r>
        <w:rPr>
          <w:rFonts w:asciiTheme="minorHAnsi" w:hAnsiTheme="minorHAnsi"/>
          <w:spacing w:val="-4"/>
          <w:sz w:val="22"/>
          <w:szCs w:val="22"/>
        </w:rPr>
        <w:t xml:space="preserve">federal </w:t>
      </w:r>
      <w:r w:rsidRPr="00E21FC0">
        <w:rPr>
          <w:rFonts w:asciiTheme="minorHAnsi" w:hAnsiTheme="minorHAnsi"/>
          <w:spacing w:val="-4"/>
          <w:sz w:val="22"/>
          <w:szCs w:val="22"/>
        </w:rPr>
        <w:t>data collection efforts provide the fiscal data</w:t>
      </w:r>
      <w:r>
        <w:rPr>
          <w:rFonts w:asciiTheme="minorHAnsi" w:hAnsiTheme="minorHAnsi"/>
          <w:spacing w:val="-4"/>
          <w:sz w:val="22"/>
          <w:szCs w:val="22"/>
        </w:rPr>
        <w:t xml:space="preserve">, other than carryover data collected on the </w:t>
      </w:r>
      <w:r w:rsidRPr="004F3AFB">
        <w:rPr>
          <w:rFonts w:asciiTheme="minorHAnsi" w:hAnsiTheme="minorHAnsi"/>
          <w:spacing w:val="-4"/>
          <w:sz w:val="22"/>
          <w:szCs w:val="22"/>
        </w:rPr>
        <w:t>LIHEAP Carryover and Reallotment Report</w:t>
      </w:r>
      <w:r w:rsidRPr="004F3AFB" w:rsidR="00E70464">
        <w:rPr>
          <w:rFonts w:asciiTheme="minorHAnsi" w:hAnsiTheme="minorHAnsi"/>
          <w:spacing w:val="-4"/>
          <w:sz w:val="22"/>
          <w:szCs w:val="22"/>
        </w:rPr>
        <w:t xml:space="preserve"> </w:t>
      </w:r>
      <w:r w:rsidRPr="00E70464" w:rsidR="00E70464">
        <w:rPr>
          <w:rFonts w:asciiTheme="minorHAnsi" w:hAnsiTheme="minorHAnsi"/>
          <w:spacing w:val="-4"/>
          <w:sz w:val="22"/>
          <w:szCs w:val="22"/>
        </w:rPr>
        <w:t>(</w:t>
      </w:r>
      <w:r w:rsidR="00E70464">
        <w:rPr>
          <w:rFonts w:asciiTheme="minorHAnsi" w:hAnsiTheme="minorHAnsi"/>
          <w:spacing w:val="-4"/>
          <w:sz w:val="22"/>
          <w:szCs w:val="22"/>
        </w:rPr>
        <w:t>Carryover Report)</w:t>
      </w:r>
      <w:r>
        <w:rPr>
          <w:rFonts w:asciiTheme="minorHAnsi" w:hAnsiTheme="minorHAnsi"/>
          <w:spacing w:val="-4"/>
          <w:sz w:val="22"/>
          <w:szCs w:val="22"/>
        </w:rPr>
        <w:t>, that the Grantee Survey</w:t>
      </w:r>
      <w:r w:rsidRPr="00F34F3F">
        <w:rPr>
          <w:rFonts w:asciiTheme="minorHAnsi" w:hAnsiTheme="minorHAnsi"/>
          <w:spacing w:val="-4"/>
          <w:sz w:val="22"/>
          <w:szCs w:val="22"/>
        </w:rPr>
        <w:t xml:space="preserve"> </w:t>
      </w:r>
      <w:r>
        <w:rPr>
          <w:rFonts w:asciiTheme="minorHAnsi" w:hAnsiTheme="minorHAnsi"/>
          <w:spacing w:val="-4"/>
          <w:sz w:val="22"/>
          <w:szCs w:val="22"/>
        </w:rPr>
        <w:t>collects.</w:t>
      </w:r>
      <w:r w:rsidRPr="00E21FC0" w:rsidR="003E1A58">
        <w:rPr>
          <w:rFonts w:asciiTheme="minorHAnsi" w:hAnsiTheme="minorHAnsi"/>
          <w:spacing w:val="-4"/>
          <w:sz w:val="22"/>
          <w:szCs w:val="22"/>
        </w:rPr>
        <w:t xml:space="preserve">  Without the collection of these data, there is no way to report to Congress on State-specific and aggregated fiscal </w:t>
      </w:r>
      <w:r w:rsidR="003E1A58">
        <w:rPr>
          <w:rFonts w:asciiTheme="minorHAnsi" w:hAnsiTheme="minorHAnsi"/>
          <w:spacing w:val="-4"/>
          <w:sz w:val="22"/>
          <w:szCs w:val="22"/>
        </w:rPr>
        <w:t xml:space="preserve">and performance measures </w:t>
      </w:r>
      <w:r w:rsidRPr="00E21FC0" w:rsidR="003E1A58">
        <w:rPr>
          <w:rFonts w:asciiTheme="minorHAnsi" w:hAnsiTheme="minorHAnsi"/>
          <w:spacing w:val="-4"/>
          <w:sz w:val="22"/>
          <w:szCs w:val="22"/>
        </w:rPr>
        <w:t>data for the most recent fiscal year on the program.</w:t>
      </w:r>
    </w:p>
    <w:p w:rsidR="00922929" w:rsidP="004F3AFB" w:rsidRDefault="00922929" w14:paraId="180E68DB" w14:textId="77777777">
      <w:pPr>
        <w:tabs>
          <w:tab w:val="left" w:pos="918"/>
          <w:tab w:val="left" w:pos="1188"/>
        </w:tabs>
        <w:ind w:left="360"/>
        <w:jc w:val="both"/>
        <w:rPr>
          <w:rFonts w:asciiTheme="minorHAnsi" w:hAnsiTheme="minorHAnsi"/>
          <w:spacing w:val="-4"/>
          <w:sz w:val="22"/>
          <w:szCs w:val="22"/>
        </w:rPr>
      </w:pPr>
    </w:p>
    <w:p w:rsidR="00D7406D" w:rsidP="00317069" w:rsidRDefault="00922929" w14:paraId="59E149B5" w14:textId="2708D2EA">
      <w:pPr>
        <w:tabs>
          <w:tab w:val="left" w:pos="918"/>
          <w:tab w:val="left" w:pos="1188"/>
        </w:tabs>
        <w:ind w:left="360"/>
        <w:jc w:val="both"/>
        <w:rPr>
          <w:rFonts w:asciiTheme="minorHAnsi" w:hAnsiTheme="minorHAnsi"/>
          <w:sz w:val="22"/>
          <w:szCs w:val="22"/>
        </w:rPr>
      </w:pPr>
      <w:r w:rsidRPr="00593756">
        <w:rPr>
          <w:rFonts w:asciiTheme="minorHAnsi" w:hAnsiTheme="minorHAnsi" w:cstheme="minorHAnsi"/>
          <w:spacing w:val="-4"/>
          <w:sz w:val="22"/>
          <w:szCs w:val="22"/>
        </w:rPr>
        <w:t xml:space="preserve">OMB approved the </w:t>
      </w:r>
      <w:r w:rsidRPr="00593756" w:rsidR="00CC0A11">
        <w:rPr>
          <w:rFonts w:asciiTheme="minorHAnsi" w:hAnsiTheme="minorHAnsi" w:cstheme="minorHAnsi"/>
          <w:spacing w:val="-4"/>
          <w:sz w:val="22"/>
          <w:szCs w:val="22"/>
        </w:rPr>
        <w:t xml:space="preserve">renewal of the </w:t>
      </w:r>
      <w:r w:rsidRPr="00593756">
        <w:rPr>
          <w:rFonts w:asciiTheme="minorHAnsi" w:hAnsiTheme="minorHAnsi" w:cstheme="minorHAnsi"/>
          <w:spacing w:val="-4"/>
          <w:sz w:val="22"/>
          <w:szCs w:val="22"/>
        </w:rPr>
        <w:t xml:space="preserve">LPDF, under </w:t>
      </w:r>
      <w:hyperlink w:history="1" r:id="rId14">
        <w:r w:rsidRPr="00593756" w:rsidR="0062795E">
          <w:rPr>
            <w:rStyle w:val="Hyperlink"/>
            <w:rFonts w:asciiTheme="minorHAnsi" w:hAnsiTheme="minorHAnsi" w:cstheme="minorHAnsi"/>
            <w:spacing w:val="-4"/>
            <w:sz w:val="22"/>
            <w:szCs w:val="22"/>
          </w:rPr>
          <w:t xml:space="preserve">ICR Reference </w:t>
        </w:r>
        <w:r w:rsidRPr="00593756">
          <w:rPr>
            <w:rStyle w:val="Hyperlink"/>
            <w:rFonts w:asciiTheme="minorHAnsi" w:hAnsiTheme="minorHAnsi" w:cstheme="minorHAnsi"/>
            <w:spacing w:val="-4"/>
            <w:sz w:val="22"/>
            <w:szCs w:val="22"/>
          </w:rPr>
          <w:t xml:space="preserve">No. </w:t>
        </w:r>
        <w:r w:rsidRPr="00593756" w:rsidR="0062795E">
          <w:rPr>
            <w:rStyle w:val="Hyperlink"/>
            <w:rFonts w:asciiTheme="minorHAnsi" w:hAnsiTheme="minorHAnsi" w:cstheme="minorHAnsi"/>
            <w:spacing w:val="-4"/>
            <w:sz w:val="22"/>
            <w:szCs w:val="22"/>
          </w:rPr>
          <w:t>201802-0970-007</w:t>
        </w:r>
      </w:hyperlink>
      <w:r w:rsidRPr="00593756">
        <w:rPr>
          <w:rFonts w:asciiTheme="minorHAnsi" w:hAnsiTheme="minorHAnsi" w:cstheme="minorHAnsi"/>
          <w:spacing w:val="-4"/>
          <w:sz w:val="22"/>
          <w:szCs w:val="22"/>
        </w:rPr>
        <w:t>, on March 27, 2018</w:t>
      </w:r>
      <w:r w:rsidRPr="00593756">
        <w:rPr>
          <w:rFonts w:asciiTheme="minorHAnsi" w:hAnsiTheme="minorHAnsi" w:cstheme="minorHAnsi"/>
          <w:sz w:val="22"/>
          <w:szCs w:val="22"/>
        </w:rPr>
        <w:t>.</w:t>
      </w:r>
      <w:r w:rsidRPr="00593756" w:rsidR="00593756">
        <w:rPr>
          <w:rFonts w:asciiTheme="minorHAnsi" w:hAnsiTheme="minorHAnsi" w:cstheme="minorHAnsi"/>
          <w:sz w:val="22"/>
          <w:szCs w:val="22"/>
        </w:rPr>
        <w:t xml:space="preserve"> This </w:t>
      </w:r>
      <w:r w:rsidR="00593756">
        <w:rPr>
          <w:rFonts w:asciiTheme="minorHAnsi" w:hAnsiTheme="minorHAnsi" w:cstheme="minorHAnsi"/>
          <w:sz w:val="22"/>
          <w:szCs w:val="22"/>
        </w:rPr>
        <w:t xml:space="preserve">current </w:t>
      </w:r>
      <w:r w:rsidRPr="00593756" w:rsidR="00593756">
        <w:rPr>
          <w:rFonts w:asciiTheme="minorHAnsi" w:hAnsiTheme="minorHAnsi" w:cstheme="minorHAnsi"/>
          <w:sz w:val="22"/>
          <w:szCs w:val="22"/>
        </w:rPr>
        <w:t>nonsubstantive change request</w:t>
      </w:r>
      <w:r w:rsidR="00593756">
        <w:rPr>
          <w:rFonts w:asciiTheme="minorHAnsi" w:hAnsiTheme="minorHAnsi" w:cstheme="minorHAnsi"/>
          <w:sz w:val="22"/>
          <w:szCs w:val="22"/>
        </w:rPr>
        <w:t xml:space="preserve"> will</w:t>
      </w:r>
      <w:r w:rsidRPr="00593756" w:rsidR="00593756">
        <w:rPr>
          <w:rFonts w:asciiTheme="minorHAnsi" w:hAnsiTheme="minorHAnsi" w:cstheme="minorHAnsi"/>
          <w:sz w:val="22"/>
          <w:szCs w:val="22"/>
        </w:rPr>
        <w:t xml:space="preserve"> allow grantees to report CARES Act funds separately from non-CARES Act funds on their reports. We </w:t>
      </w:r>
      <w:r w:rsidR="00593756">
        <w:rPr>
          <w:rFonts w:asciiTheme="minorHAnsi" w:hAnsiTheme="minorHAnsi" w:cstheme="minorHAnsi"/>
          <w:sz w:val="22"/>
          <w:szCs w:val="22"/>
        </w:rPr>
        <w:t>propose changes to Module I and minor edits to Modules II and III</w:t>
      </w:r>
      <w:r w:rsidR="0064176C">
        <w:rPr>
          <w:rFonts w:asciiTheme="minorHAnsi" w:hAnsiTheme="minorHAnsi"/>
          <w:sz w:val="22"/>
          <w:szCs w:val="22"/>
        </w:rPr>
        <w:t>.</w:t>
      </w:r>
    </w:p>
    <w:p w:rsidR="00053FDE" w:rsidRDefault="00053FDE" w14:paraId="32D58291" w14:textId="77777777">
      <w:pPr>
        <w:pStyle w:val="Level1"/>
        <w:tabs>
          <w:tab w:val="left" w:pos="544"/>
        </w:tabs>
        <w:jc w:val="both"/>
        <w:rPr>
          <w:rFonts w:asciiTheme="minorHAnsi" w:hAnsiTheme="minorHAnsi"/>
          <w:sz w:val="22"/>
          <w:szCs w:val="22"/>
        </w:rPr>
      </w:pPr>
    </w:p>
    <w:p w:rsidRPr="00593756" w:rsidR="002C3C4F" w:rsidP="00593756" w:rsidRDefault="00790D2C" w14:paraId="3264479C" w14:textId="1FBEA45F">
      <w:pPr>
        <w:widowControl/>
        <w:numPr>
          <w:ilvl w:val="0"/>
          <w:numId w:val="3"/>
        </w:numPr>
        <w:tabs>
          <w:tab w:val="num" w:pos="0"/>
          <w:tab w:val="num" w:pos="360"/>
        </w:tabs>
        <w:spacing w:after="120"/>
        <w:ind w:left="360"/>
        <w:rPr>
          <w:rFonts w:ascii="Times New Roman" w:hAnsi="Times New Roman"/>
          <w:b/>
          <w:sz w:val="24"/>
        </w:rPr>
      </w:pPr>
      <w:r w:rsidRPr="00593756">
        <w:rPr>
          <w:rFonts w:ascii="Times New Roman" w:hAnsi="Times New Roman"/>
          <w:b/>
          <w:sz w:val="24"/>
        </w:rPr>
        <w:t>P</w:t>
      </w:r>
      <w:r w:rsidRPr="00593756" w:rsidR="002C3C4F">
        <w:rPr>
          <w:rFonts w:ascii="Times New Roman" w:hAnsi="Times New Roman"/>
          <w:b/>
          <w:sz w:val="24"/>
        </w:rPr>
        <w:t>urpose and Use of the Information Collection</w:t>
      </w:r>
      <w:r w:rsidRPr="00772692" w:rsidR="002C3C4F">
        <w:rPr>
          <w:rFonts w:ascii="Times New Roman" w:hAnsi="Times New Roman"/>
          <w:b/>
          <w:snapToGrid/>
          <w:sz w:val="24"/>
          <w:szCs w:val="24"/>
        </w:rPr>
        <w:t xml:space="preserve"> </w:t>
      </w:r>
    </w:p>
    <w:p w:rsidRPr="00053FDE" w:rsidR="00053FDE" w:rsidP="00F268A4" w:rsidRDefault="00053FDE" w14:paraId="1DE7166D" w14:textId="77777777">
      <w:pPr>
        <w:jc w:val="both"/>
      </w:pPr>
    </w:p>
    <w:p w:rsidR="00DD352F" w:rsidP="00C26405" w:rsidRDefault="00DD352F" w14:paraId="45540F51" w14:textId="77777777">
      <w:pPr>
        <w:ind w:left="360"/>
        <w:jc w:val="both"/>
        <w:rPr>
          <w:rFonts w:asciiTheme="minorHAnsi" w:hAnsiTheme="minorHAnsi"/>
          <w:sz w:val="22"/>
          <w:szCs w:val="22"/>
        </w:rPr>
      </w:pPr>
      <w:r>
        <w:rPr>
          <w:rFonts w:asciiTheme="minorHAnsi" w:hAnsiTheme="minorHAnsi"/>
          <w:sz w:val="22"/>
          <w:szCs w:val="22"/>
        </w:rPr>
        <w:t>Below is a summary of the types of information that OCS is seeking authorization to continue to collect, the purpose in collecting these data, and how these data are used.</w:t>
      </w:r>
    </w:p>
    <w:p w:rsidR="00E30D2A" w:rsidP="00C26405" w:rsidRDefault="00E30D2A" w14:paraId="44DC6759" w14:textId="77777777">
      <w:pPr>
        <w:ind w:left="360"/>
        <w:jc w:val="both"/>
        <w:rPr>
          <w:rFonts w:asciiTheme="minorHAnsi" w:hAnsiTheme="minorHAnsi"/>
          <w:sz w:val="22"/>
          <w:szCs w:val="22"/>
        </w:rPr>
      </w:pPr>
    </w:p>
    <w:p w:rsidRPr="0033128F" w:rsidR="00B76F86" w:rsidP="00C26405" w:rsidRDefault="00E30D2A" w14:paraId="5675A1C4" w14:textId="77777777">
      <w:pPr>
        <w:ind w:left="360"/>
        <w:jc w:val="both"/>
        <w:rPr>
          <w:rFonts w:asciiTheme="minorHAnsi" w:hAnsiTheme="minorHAnsi"/>
          <w:sz w:val="22"/>
          <w:szCs w:val="22"/>
          <w:u w:val="single"/>
        </w:rPr>
      </w:pPr>
      <w:r w:rsidRPr="00F268A4">
        <w:rPr>
          <w:rFonts w:asciiTheme="minorHAnsi" w:hAnsiTheme="minorHAnsi"/>
          <w:sz w:val="22"/>
          <w:szCs w:val="22"/>
          <w:u w:val="single"/>
        </w:rPr>
        <w:t>Module 1 (Grantee Survey)</w:t>
      </w:r>
    </w:p>
    <w:p w:rsidR="00DD352F" w:rsidP="00C26405" w:rsidRDefault="00DD352F" w14:paraId="79CBAD46" w14:textId="77777777">
      <w:pPr>
        <w:ind w:left="360"/>
        <w:jc w:val="both"/>
        <w:rPr>
          <w:rFonts w:asciiTheme="minorHAnsi" w:hAnsiTheme="minorHAnsi"/>
          <w:sz w:val="22"/>
          <w:szCs w:val="22"/>
        </w:rPr>
      </w:pPr>
    </w:p>
    <w:p w:rsidR="00B76F86" w:rsidP="00C26405" w:rsidRDefault="00E30D2A" w14:paraId="15C344CD" w14:textId="77777777">
      <w:pPr>
        <w:ind w:left="360"/>
        <w:jc w:val="both"/>
        <w:rPr>
          <w:rFonts w:asciiTheme="minorHAnsi" w:hAnsiTheme="minorHAnsi"/>
          <w:sz w:val="22"/>
          <w:szCs w:val="22"/>
        </w:rPr>
      </w:pPr>
      <w:r w:rsidRPr="00F268A4">
        <w:rPr>
          <w:rFonts w:asciiTheme="minorHAnsi" w:hAnsiTheme="minorHAnsi"/>
          <w:sz w:val="22"/>
          <w:szCs w:val="22"/>
        </w:rPr>
        <w:t>OCS uses the mandatory Module 1 to collect and report on the States' annual estimates of their sources and uses of LIHEAP funding, LIHEAP average household benefits, and maximum annual income cutoffs for 4-person hou</w:t>
      </w:r>
      <w:r w:rsidRPr="00387192" w:rsidR="00387192">
        <w:rPr>
          <w:rFonts w:asciiTheme="minorHAnsi" w:hAnsiTheme="minorHAnsi"/>
          <w:sz w:val="22"/>
          <w:szCs w:val="22"/>
        </w:rPr>
        <w:t>seholds for LIHEAP (</w:t>
      </w:r>
      <w:hyperlink w:history="1" w:anchor="_Attachment_2">
        <w:r w:rsidRPr="00587825" w:rsidR="00387192">
          <w:rPr>
            <w:rStyle w:val="Hyperlink"/>
            <w:rFonts w:asciiTheme="minorHAnsi" w:hAnsiTheme="minorHAnsi"/>
            <w:sz w:val="22"/>
            <w:szCs w:val="22"/>
          </w:rPr>
          <w:t>Attachment 2</w:t>
        </w:r>
      </w:hyperlink>
      <w:r w:rsidRPr="00F268A4">
        <w:rPr>
          <w:rFonts w:asciiTheme="minorHAnsi" w:hAnsiTheme="minorHAnsi"/>
          <w:sz w:val="22"/>
          <w:szCs w:val="22"/>
        </w:rPr>
        <w:t xml:space="preserve">).  </w:t>
      </w:r>
    </w:p>
    <w:p w:rsidR="00DD352F" w:rsidP="00C26405" w:rsidRDefault="00DD352F" w14:paraId="7F333560" w14:textId="77777777">
      <w:pPr>
        <w:ind w:left="360"/>
        <w:jc w:val="both"/>
        <w:rPr>
          <w:rFonts w:asciiTheme="minorHAnsi" w:hAnsiTheme="minorHAnsi"/>
          <w:sz w:val="22"/>
          <w:szCs w:val="22"/>
          <w:u w:val="single"/>
        </w:rPr>
      </w:pPr>
    </w:p>
    <w:p w:rsidRPr="0033128F" w:rsidR="00DD352F" w:rsidP="00C26405" w:rsidRDefault="00DD352F" w14:paraId="6A9399F6" w14:textId="77777777">
      <w:pPr>
        <w:ind w:left="360"/>
        <w:jc w:val="both"/>
        <w:rPr>
          <w:rFonts w:asciiTheme="minorHAnsi" w:hAnsiTheme="minorHAnsi"/>
          <w:sz w:val="22"/>
          <w:szCs w:val="22"/>
        </w:rPr>
      </w:pPr>
      <w:r>
        <w:rPr>
          <w:rFonts w:asciiTheme="minorHAnsi" w:hAnsiTheme="minorHAnsi"/>
          <w:sz w:val="22"/>
          <w:szCs w:val="22"/>
        </w:rPr>
        <w:t>The purpose of collecting the data for Module 1 is to obtain fiscal and benefits data from all 50 states and the District of Columbia.  These data are used by OCS to analyze how grantees have chosen to implement the LIHEAP program to address the needs of low-income households and to report</w:t>
      </w:r>
      <w:r w:rsidRPr="00FB6FBA">
        <w:rPr>
          <w:rFonts w:asciiTheme="minorHAnsi" w:hAnsiTheme="minorHAnsi"/>
          <w:sz w:val="22"/>
          <w:szCs w:val="22"/>
        </w:rPr>
        <w:t xml:space="preserve"> aggregated and state-specific </w:t>
      </w:r>
      <w:r>
        <w:rPr>
          <w:rFonts w:asciiTheme="minorHAnsi" w:hAnsiTheme="minorHAnsi"/>
          <w:sz w:val="22"/>
          <w:szCs w:val="22"/>
        </w:rPr>
        <w:t>fiscal data</w:t>
      </w:r>
      <w:r w:rsidRPr="00FB6FBA">
        <w:rPr>
          <w:rFonts w:asciiTheme="minorHAnsi" w:hAnsiTheme="minorHAnsi"/>
          <w:sz w:val="22"/>
          <w:szCs w:val="22"/>
        </w:rPr>
        <w:t xml:space="preserve"> in the Secretary's annual LIHEAP </w:t>
      </w:r>
      <w:r w:rsidR="00387192">
        <w:rPr>
          <w:rFonts w:asciiTheme="minorHAnsi" w:hAnsiTheme="minorHAnsi"/>
          <w:sz w:val="22"/>
          <w:szCs w:val="22"/>
        </w:rPr>
        <w:t>Report to Congress (</w:t>
      </w:r>
      <w:hyperlink w:history="1" w:anchor="_Attachment_3">
        <w:r w:rsidRPr="00587825" w:rsidR="00387192">
          <w:rPr>
            <w:rStyle w:val="Hyperlink"/>
            <w:rFonts w:asciiTheme="minorHAnsi" w:hAnsiTheme="minorHAnsi"/>
            <w:sz w:val="22"/>
            <w:szCs w:val="22"/>
          </w:rPr>
          <w:t>Attachment 3</w:t>
        </w:r>
      </w:hyperlink>
      <w:r w:rsidR="00387192">
        <w:rPr>
          <w:rFonts w:asciiTheme="minorHAnsi" w:hAnsiTheme="minorHAnsi"/>
          <w:sz w:val="22"/>
          <w:szCs w:val="22"/>
        </w:rPr>
        <w:t>, Section I</w:t>
      </w:r>
      <w:r w:rsidR="00C215FE">
        <w:rPr>
          <w:rFonts w:asciiTheme="minorHAnsi" w:hAnsiTheme="minorHAnsi"/>
          <w:sz w:val="22"/>
          <w:szCs w:val="22"/>
        </w:rPr>
        <w:t>) and</w:t>
      </w:r>
      <w:r w:rsidRPr="00C215FE" w:rsidR="00C215FE">
        <w:rPr>
          <w:rFonts w:asciiTheme="minorHAnsi" w:hAnsiTheme="minorHAnsi"/>
          <w:sz w:val="22"/>
          <w:szCs w:val="22"/>
        </w:rPr>
        <w:t xml:space="preserve"> </w:t>
      </w:r>
      <w:r w:rsidR="00C215FE">
        <w:rPr>
          <w:rFonts w:asciiTheme="minorHAnsi" w:hAnsiTheme="minorHAnsi"/>
          <w:sz w:val="22"/>
          <w:szCs w:val="22"/>
        </w:rPr>
        <w:t>in the LIHEAP Data Warehouse</w:t>
      </w:r>
      <w:r w:rsidRPr="00FB6FBA">
        <w:rPr>
          <w:rFonts w:asciiTheme="minorHAnsi" w:hAnsiTheme="minorHAnsi"/>
          <w:sz w:val="22"/>
          <w:szCs w:val="22"/>
        </w:rPr>
        <w:t>. The data also are used to respond to inquiries from Congress, OMB, and the White House relating to budget and program decisions</w:t>
      </w:r>
      <w:r w:rsidR="00C215FE">
        <w:rPr>
          <w:rFonts w:asciiTheme="minorHAnsi" w:hAnsiTheme="minorHAnsi"/>
          <w:sz w:val="22"/>
          <w:szCs w:val="22"/>
        </w:rPr>
        <w:t>.</w:t>
      </w:r>
    </w:p>
    <w:p w:rsidRPr="00F268A4" w:rsidR="00B76F86" w:rsidP="00C26405" w:rsidRDefault="00B76F86" w14:paraId="3B865666" w14:textId="77777777">
      <w:pPr>
        <w:pStyle w:val="ListParagraph"/>
        <w:ind w:left="360"/>
        <w:jc w:val="both"/>
        <w:rPr>
          <w:rFonts w:asciiTheme="minorHAnsi" w:hAnsiTheme="minorHAnsi"/>
          <w:sz w:val="22"/>
          <w:szCs w:val="22"/>
          <w:u w:val="single"/>
        </w:rPr>
      </w:pPr>
    </w:p>
    <w:p w:rsidRPr="0033128F" w:rsidR="00B76F86" w:rsidP="00C26405" w:rsidRDefault="00BF44CC" w14:paraId="2BAD4D57" w14:textId="77777777">
      <w:pPr>
        <w:ind w:left="360"/>
        <w:jc w:val="both"/>
        <w:rPr>
          <w:rFonts w:asciiTheme="minorHAnsi" w:hAnsiTheme="minorHAnsi"/>
          <w:sz w:val="22"/>
          <w:szCs w:val="22"/>
          <w:u w:val="single"/>
        </w:rPr>
      </w:pPr>
      <w:r>
        <w:rPr>
          <w:rFonts w:asciiTheme="minorHAnsi" w:hAnsiTheme="minorHAnsi"/>
          <w:sz w:val="22"/>
          <w:szCs w:val="22"/>
          <w:u w:val="single"/>
        </w:rPr>
        <w:t>Module 2 (LIHEAP Per</w:t>
      </w:r>
      <w:r w:rsidRPr="00F268A4" w:rsidR="00E30D2A">
        <w:rPr>
          <w:rFonts w:asciiTheme="minorHAnsi" w:hAnsiTheme="minorHAnsi"/>
          <w:sz w:val="22"/>
          <w:szCs w:val="22"/>
          <w:u w:val="single"/>
        </w:rPr>
        <w:t>formance Measures)</w:t>
      </w:r>
    </w:p>
    <w:p w:rsidR="00DD352F" w:rsidP="00C26405" w:rsidRDefault="00DD352F" w14:paraId="327CC49E" w14:textId="77777777">
      <w:pPr>
        <w:ind w:left="360"/>
        <w:jc w:val="both"/>
        <w:rPr>
          <w:rFonts w:asciiTheme="minorHAnsi" w:hAnsiTheme="minorHAnsi"/>
          <w:sz w:val="22"/>
          <w:szCs w:val="22"/>
        </w:rPr>
      </w:pPr>
    </w:p>
    <w:p w:rsidRPr="00F268A4" w:rsidR="00B76F86" w:rsidP="00C26405" w:rsidRDefault="00E30D2A" w14:paraId="778FBC35" w14:textId="77777777">
      <w:pPr>
        <w:ind w:left="360"/>
        <w:jc w:val="both"/>
        <w:rPr>
          <w:rFonts w:asciiTheme="minorHAnsi" w:hAnsiTheme="minorHAnsi"/>
          <w:sz w:val="22"/>
          <w:szCs w:val="22"/>
          <w:u w:val="single"/>
        </w:rPr>
      </w:pPr>
      <w:r w:rsidRPr="00F268A4">
        <w:rPr>
          <w:rFonts w:asciiTheme="minorHAnsi" w:hAnsiTheme="minorHAnsi"/>
          <w:sz w:val="22"/>
          <w:szCs w:val="22"/>
        </w:rPr>
        <w:t>OCS uses the mandatory Module 2 to collect and report data for four</w:t>
      </w:r>
      <w:r w:rsidR="00AB64D1">
        <w:rPr>
          <w:rFonts w:asciiTheme="minorHAnsi" w:hAnsiTheme="minorHAnsi"/>
          <w:sz w:val="22"/>
          <w:szCs w:val="22"/>
        </w:rPr>
        <w:t xml:space="preserve"> developmental</w:t>
      </w:r>
      <w:r w:rsidRPr="00F268A4">
        <w:rPr>
          <w:rFonts w:asciiTheme="minorHAnsi" w:hAnsiTheme="minorHAnsi"/>
          <w:sz w:val="22"/>
          <w:szCs w:val="22"/>
        </w:rPr>
        <w:t xml:space="preserve"> performance measures.  The four performance measures are as follows:</w:t>
      </w:r>
    </w:p>
    <w:p w:rsidRPr="00F268A4" w:rsidR="00B76F86" w:rsidP="00F268A4" w:rsidRDefault="00B76F86" w14:paraId="60344326" w14:textId="77777777">
      <w:pPr>
        <w:pStyle w:val="ListParagraph"/>
        <w:ind w:left="2160"/>
        <w:jc w:val="both"/>
        <w:rPr>
          <w:rFonts w:asciiTheme="minorHAnsi" w:hAnsiTheme="minorHAnsi"/>
          <w:sz w:val="22"/>
          <w:szCs w:val="22"/>
        </w:rPr>
      </w:pPr>
    </w:p>
    <w:p w:rsidRPr="00F268A4" w:rsidR="00E30D2A" w:rsidP="00F268A4" w:rsidRDefault="00E30D2A" w14:paraId="5000F96C" w14:textId="77777777">
      <w:pPr>
        <w:pStyle w:val="ListParagraph"/>
        <w:widowControl/>
        <w:numPr>
          <w:ilvl w:val="0"/>
          <w:numId w:val="93"/>
        </w:numPr>
        <w:spacing w:after="120"/>
        <w:jc w:val="both"/>
        <w:rPr>
          <w:rFonts w:asciiTheme="minorHAnsi" w:hAnsiTheme="minorHAnsi"/>
          <w:sz w:val="22"/>
          <w:szCs w:val="22"/>
        </w:rPr>
      </w:pPr>
      <w:r w:rsidRPr="00F268A4">
        <w:rPr>
          <w:rFonts w:asciiTheme="minorHAnsi" w:hAnsiTheme="minorHAnsi"/>
          <w:i/>
          <w:sz w:val="22"/>
          <w:szCs w:val="22"/>
        </w:rPr>
        <w:t>The benefit targeting index for high burden households receiving LIHEAP fuel assistance</w:t>
      </w:r>
      <w:r w:rsidRPr="00E30D2A">
        <w:rPr>
          <w:rFonts w:asciiTheme="minorHAnsi" w:hAnsiTheme="minorHAnsi"/>
          <w:sz w:val="22"/>
          <w:szCs w:val="22"/>
        </w:rPr>
        <w:t xml:space="preserve">.  This measure </w:t>
      </w:r>
      <w:r w:rsidRPr="00F268A4">
        <w:rPr>
          <w:rFonts w:asciiTheme="minorHAnsi" w:hAnsiTheme="minorHAnsi"/>
          <w:sz w:val="22"/>
          <w:szCs w:val="22"/>
        </w:rPr>
        <w:t>quantifies LIHEAP’s benefit targeting performance</w:t>
      </w:r>
      <w:r>
        <w:rPr>
          <w:rFonts w:asciiTheme="minorHAnsi" w:hAnsiTheme="minorHAnsi"/>
          <w:sz w:val="22"/>
          <w:szCs w:val="22"/>
        </w:rPr>
        <w:t xml:space="preserve"> by</w:t>
      </w:r>
      <w:r w:rsidRPr="00E30D2A">
        <w:t xml:space="preserve"> </w:t>
      </w:r>
      <w:r>
        <w:rPr>
          <w:rFonts w:asciiTheme="minorHAnsi" w:hAnsiTheme="minorHAnsi"/>
          <w:sz w:val="22"/>
          <w:szCs w:val="22"/>
        </w:rPr>
        <w:t>measuring</w:t>
      </w:r>
      <w:r w:rsidRPr="00E30D2A">
        <w:rPr>
          <w:rFonts w:asciiTheme="minorHAnsi" w:hAnsiTheme="minorHAnsi"/>
          <w:sz w:val="22"/>
          <w:szCs w:val="22"/>
        </w:rPr>
        <w:t xml:space="preserve"> the extent to which the highest LIHEAP benefits are provided to household</w:t>
      </w:r>
      <w:r>
        <w:rPr>
          <w:rFonts w:asciiTheme="minorHAnsi" w:hAnsiTheme="minorHAnsi"/>
          <w:sz w:val="22"/>
          <w:szCs w:val="22"/>
        </w:rPr>
        <w:t>s with the highest energy costs</w:t>
      </w:r>
      <w:r w:rsidRPr="009B5D1B">
        <w:rPr>
          <w:rStyle w:val="FootnoteReference"/>
          <w:rFonts w:asciiTheme="minorHAnsi" w:hAnsiTheme="minorHAnsi"/>
          <w:sz w:val="22"/>
          <w:szCs w:val="22"/>
        </w:rPr>
        <w:footnoteReference w:id="3"/>
      </w:r>
      <w:r w:rsidRPr="00E30D2A">
        <w:rPr>
          <w:rFonts w:asciiTheme="minorHAnsi" w:hAnsiTheme="minorHAnsi"/>
          <w:sz w:val="22"/>
          <w:szCs w:val="22"/>
        </w:rPr>
        <w:t xml:space="preserve"> relative to </w:t>
      </w:r>
      <w:r>
        <w:rPr>
          <w:rFonts w:asciiTheme="minorHAnsi" w:hAnsiTheme="minorHAnsi"/>
          <w:sz w:val="22"/>
          <w:szCs w:val="22"/>
        </w:rPr>
        <w:t xml:space="preserve">household </w:t>
      </w:r>
      <w:r w:rsidRPr="00E30D2A">
        <w:rPr>
          <w:rFonts w:asciiTheme="minorHAnsi" w:hAnsiTheme="minorHAnsi"/>
          <w:sz w:val="22"/>
          <w:szCs w:val="22"/>
        </w:rPr>
        <w:t xml:space="preserve">income. </w:t>
      </w:r>
      <w:r>
        <w:rPr>
          <w:rFonts w:asciiTheme="minorHAnsi" w:hAnsiTheme="minorHAnsi"/>
          <w:sz w:val="22"/>
          <w:szCs w:val="22"/>
        </w:rPr>
        <w:t xml:space="preserve"> </w:t>
      </w:r>
    </w:p>
    <w:p w:rsidRPr="00F268A4" w:rsidR="00E30D2A" w:rsidP="00F268A4" w:rsidRDefault="00E30D2A" w14:paraId="506D7E4C" w14:textId="77777777">
      <w:pPr>
        <w:pStyle w:val="ListParagraph"/>
        <w:widowControl/>
        <w:numPr>
          <w:ilvl w:val="0"/>
          <w:numId w:val="93"/>
        </w:numPr>
        <w:spacing w:after="120"/>
        <w:jc w:val="both"/>
        <w:rPr>
          <w:rFonts w:asciiTheme="minorHAnsi" w:hAnsiTheme="minorHAnsi"/>
          <w:sz w:val="22"/>
          <w:szCs w:val="22"/>
        </w:rPr>
      </w:pPr>
      <w:r w:rsidRPr="00F268A4">
        <w:rPr>
          <w:rFonts w:asciiTheme="minorHAnsi" w:hAnsiTheme="minorHAnsi"/>
          <w:i/>
          <w:sz w:val="22"/>
          <w:szCs w:val="22"/>
        </w:rPr>
        <w:t>The burden reduction targeting index for high burden households receiving LIHEAP fuel assistance.</w:t>
      </w:r>
      <w:r>
        <w:rPr>
          <w:rFonts w:asciiTheme="minorHAnsi" w:hAnsiTheme="minorHAnsi"/>
          <w:sz w:val="22"/>
          <w:szCs w:val="22"/>
        </w:rPr>
        <w:t xml:space="preserve">  This measure</w:t>
      </w:r>
      <w:r w:rsidRPr="00F268A4">
        <w:rPr>
          <w:rFonts w:asciiTheme="minorHAnsi" w:hAnsiTheme="minorHAnsi"/>
          <w:sz w:val="22"/>
          <w:szCs w:val="22"/>
        </w:rPr>
        <w:t xml:space="preserve"> quantifies LIHEAP’s burden </w:t>
      </w:r>
      <w:r w:rsidRPr="00E30D2A">
        <w:rPr>
          <w:rFonts w:asciiTheme="minorHAnsi" w:hAnsiTheme="minorHAnsi"/>
          <w:sz w:val="22"/>
          <w:szCs w:val="22"/>
        </w:rPr>
        <w:t>reduction targeting performance</w:t>
      </w:r>
      <w:r w:rsidRPr="00F268A4">
        <w:rPr>
          <w:rFonts w:asciiTheme="minorHAnsi" w:hAnsiTheme="minorHAnsi"/>
          <w:sz w:val="22"/>
          <w:szCs w:val="22"/>
        </w:rPr>
        <w:t xml:space="preserve"> </w:t>
      </w:r>
      <w:r>
        <w:rPr>
          <w:rFonts w:asciiTheme="minorHAnsi" w:hAnsiTheme="minorHAnsi"/>
          <w:sz w:val="22"/>
          <w:szCs w:val="22"/>
        </w:rPr>
        <w:t>by measuring</w:t>
      </w:r>
      <w:r w:rsidRPr="00E30D2A">
        <w:rPr>
          <w:rFonts w:asciiTheme="minorHAnsi" w:hAnsiTheme="minorHAnsi"/>
          <w:sz w:val="22"/>
          <w:szCs w:val="22"/>
        </w:rPr>
        <w:t xml:space="preserve"> the extent to which households with the highest energy costs relative to income have a larger percentage of their energy bill paid with LIHEAP than households with average energy costs</w:t>
      </w:r>
      <w:r w:rsidR="008742B8">
        <w:rPr>
          <w:rFonts w:asciiTheme="minorHAnsi" w:hAnsiTheme="minorHAnsi"/>
          <w:sz w:val="22"/>
          <w:szCs w:val="22"/>
        </w:rPr>
        <w:t xml:space="preserve"> relative to income</w:t>
      </w:r>
      <w:r w:rsidRPr="00E30D2A">
        <w:rPr>
          <w:rFonts w:asciiTheme="minorHAnsi" w:hAnsiTheme="minorHAnsi"/>
          <w:sz w:val="22"/>
          <w:szCs w:val="22"/>
        </w:rPr>
        <w:t>.</w:t>
      </w:r>
    </w:p>
    <w:p w:rsidRPr="00F268A4" w:rsidR="00E30D2A" w:rsidP="00F268A4" w:rsidRDefault="00E30D2A" w14:paraId="13931030" w14:textId="77777777">
      <w:pPr>
        <w:pStyle w:val="ListParagraph"/>
        <w:widowControl/>
        <w:numPr>
          <w:ilvl w:val="0"/>
          <w:numId w:val="93"/>
        </w:numPr>
        <w:spacing w:after="120"/>
        <w:jc w:val="both"/>
        <w:rPr>
          <w:rFonts w:asciiTheme="minorHAnsi" w:hAnsiTheme="minorHAnsi"/>
          <w:sz w:val="22"/>
          <w:szCs w:val="22"/>
        </w:rPr>
      </w:pPr>
      <w:r w:rsidRPr="00F268A4">
        <w:rPr>
          <w:rFonts w:asciiTheme="minorHAnsi" w:hAnsiTheme="minorHAnsi"/>
          <w:i/>
          <w:sz w:val="22"/>
          <w:szCs w:val="22"/>
        </w:rPr>
        <w:t>The number of occurrences where LIHEAP benefits restored home energy services.</w:t>
      </w:r>
      <w:r w:rsidRPr="00F268A4">
        <w:rPr>
          <w:rFonts w:asciiTheme="minorHAnsi" w:hAnsiTheme="minorHAnsi"/>
          <w:sz w:val="22"/>
          <w:szCs w:val="22"/>
        </w:rPr>
        <w:t xml:space="preserve"> This measure includes the number of occurrences where energy service was restored after disconnection, where fuel was delivered after the household ran out of fuel, and where inoperable home energy equipment was repaired or replaced.</w:t>
      </w:r>
    </w:p>
    <w:p w:rsidR="00E30D2A" w:rsidP="00F268A4" w:rsidRDefault="00E30D2A" w14:paraId="0BE0CE78" w14:textId="77777777">
      <w:pPr>
        <w:pStyle w:val="ListParagraph"/>
        <w:widowControl/>
        <w:numPr>
          <w:ilvl w:val="0"/>
          <w:numId w:val="93"/>
        </w:numPr>
        <w:contextualSpacing/>
        <w:jc w:val="both"/>
        <w:rPr>
          <w:rFonts w:asciiTheme="minorHAnsi" w:hAnsiTheme="minorHAnsi"/>
          <w:sz w:val="22"/>
          <w:szCs w:val="22"/>
        </w:rPr>
      </w:pPr>
      <w:r w:rsidRPr="00F268A4">
        <w:rPr>
          <w:rFonts w:asciiTheme="minorHAnsi" w:hAnsiTheme="minorHAnsi"/>
          <w:i/>
          <w:sz w:val="22"/>
          <w:szCs w:val="22"/>
        </w:rPr>
        <w:t>The number of occurrences where LIHEAP prevented the loss of home energy services.</w:t>
      </w:r>
      <w:r w:rsidRPr="00F268A4">
        <w:rPr>
          <w:rFonts w:asciiTheme="minorHAnsi" w:hAnsiTheme="minorHAnsi"/>
          <w:sz w:val="22"/>
          <w:szCs w:val="22"/>
        </w:rPr>
        <w:t xml:space="preserve">  This measure includes the number of occurrences where a household had a past due or disconnect notice at the time of application and receipt of LIHEAP benefits, where assistance was provided to a household at imminent risk of running out of fuel, and where operable home energy equipment at imminent risk </w:t>
      </w:r>
      <w:r w:rsidR="006402C3">
        <w:rPr>
          <w:rFonts w:asciiTheme="minorHAnsi" w:hAnsiTheme="minorHAnsi"/>
          <w:sz w:val="22"/>
          <w:szCs w:val="22"/>
        </w:rPr>
        <w:t xml:space="preserve">of failure </w:t>
      </w:r>
      <w:r w:rsidRPr="00F268A4">
        <w:rPr>
          <w:rFonts w:asciiTheme="minorHAnsi" w:hAnsiTheme="minorHAnsi"/>
          <w:sz w:val="22"/>
          <w:szCs w:val="22"/>
        </w:rPr>
        <w:t>was repaired or replaced.</w:t>
      </w:r>
    </w:p>
    <w:p w:rsidR="00B23C58" w:rsidP="00F268A4" w:rsidRDefault="00B23C58" w14:paraId="4A5D7A94" w14:textId="77777777">
      <w:pPr>
        <w:contextualSpacing/>
        <w:jc w:val="both"/>
        <w:rPr>
          <w:rFonts w:asciiTheme="minorHAnsi" w:hAnsiTheme="minorHAnsi"/>
          <w:sz w:val="22"/>
          <w:szCs w:val="22"/>
        </w:rPr>
      </w:pPr>
    </w:p>
    <w:p w:rsidR="00B23C58" w:rsidP="00C26405" w:rsidRDefault="00B23C58" w14:paraId="7F346750" w14:textId="77777777">
      <w:pPr>
        <w:ind w:left="360"/>
        <w:jc w:val="both"/>
        <w:rPr>
          <w:rFonts w:asciiTheme="minorHAnsi" w:hAnsiTheme="minorHAnsi"/>
          <w:sz w:val="22"/>
          <w:szCs w:val="22"/>
        </w:rPr>
      </w:pPr>
      <w:r w:rsidRPr="0033128F">
        <w:rPr>
          <w:rFonts w:asciiTheme="minorHAnsi" w:hAnsiTheme="minorHAnsi"/>
          <w:sz w:val="22"/>
          <w:szCs w:val="22"/>
        </w:rPr>
        <w:t>The purpose of collecting the data for Module 2</w:t>
      </w:r>
      <w:r w:rsidRPr="00271BA5">
        <w:rPr>
          <w:rFonts w:asciiTheme="minorHAnsi" w:hAnsiTheme="minorHAnsi"/>
          <w:sz w:val="22"/>
          <w:szCs w:val="22"/>
        </w:rPr>
        <w:t xml:space="preserve"> is to obtain data from all 50 states and the District of Columbia</w:t>
      </w:r>
      <w:r w:rsidRPr="00F268A4">
        <w:rPr>
          <w:rFonts w:asciiTheme="minorHAnsi" w:hAnsiTheme="minorHAnsi"/>
          <w:sz w:val="22"/>
        </w:rPr>
        <w:t xml:space="preserve"> that directly relates to the LIHEAP statutory mandate that LIHEAP assistance be targeted to those low income </w:t>
      </w:r>
      <w:r w:rsidRPr="00F268A4">
        <w:rPr>
          <w:rFonts w:asciiTheme="minorHAnsi" w:hAnsiTheme="minorHAnsi"/>
          <w:sz w:val="22"/>
        </w:rPr>
        <w:lastRenderedPageBreak/>
        <w:t>households with the highest home energy needs, i.e., vulnerable households and high-energy burden households.</w:t>
      </w:r>
      <w:r w:rsidRPr="0033128F">
        <w:rPr>
          <w:rFonts w:asciiTheme="minorHAnsi" w:hAnsiTheme="minorHAnsi"/>
          <w:sz w:val="22"/>
          <w:szCs w:val="22"/>
        </w:rPr>
        <w:t xml:space="preserve"> </w:t>
      </w:r>
      <w:r w:rsidR="00C215FE">
        <w:rPr>
          <w:rFonts w:asciiTheme="minorHAnsi" w:hAnsiTheme="minorHAnsi"/>
          <w:sz w:val="22"/>
          <w:szCs w:val="22"/>
        </w:rPr>
        <w:t>The four performance measures quantify how each LIHEAP program is targeting benefits to high energy burden and vulnerable households</w:t>
      </w:r>
      <w:r w:rsidR="006402C3">
        <w:rPr>
          <w:rFonts w:asciiTheme="minorHAnsi" w:hAnsiTheme="minorHAnsi"/>
          <w:sz w:val="22"/>
          <w:szCs w:val="22"/>
        </w:rPr>
        <w:t xml:space="preserve"> to help them maintain healthy, safe, and continuous use of home energy services</w:t>
      </w:r>
      <w:r w:rsidR="00C215FE">
        <w:rPr>
          <w:rFonts w:asciiTheme="minorHAnsi" w:hAnsiTheme="minorHAnsi"/>
          <w:sz w:val="22"/>
          <w:szCs w:val="22"/>
        </w:rPr>
        <w:t xml:space="preserve">, allowing for comparison over time and providing each grantee with information valuable for effective performance management and program implementation.  </w:t>
      </w:r>
    </w:p>
    <w:p w:rsidR="00B23C58" w:rsidP="00C26405" w:rsidRDefault="00B23C58" w14:paraId="186C6951" w14:textId="77777777">
      <w:pPr>
        <w:ind w:left="360"/>
        <w:jc w:val="both"/>
        <w:rPr>
          <w:rFonts w:asciiTheme="minorHAnsi" w:hAnsiTheme="minorHAnsi"/>
          <w:sz w:val="22"/>
          <w:szCs w:val="22"/>
        </w:rPr>
      </w:pPr>
      <w:r w:rsidRPr="009B5D1B">
        <w:rPr>
          <w:rFonts w:asciiTheme="minorHAnsi" w:hAnsiTheme="minorHAnsi"/>
          <w:sz w:val="22"/>
          <w:szCs w:val="22"/>
        </w:rPr>
        <w:t xml:space="preserve"> </w:t>
      </w:r>
    </w:p>
    <w:p w:rsidR="00B23C58" w:rsidP="00C26405" w:rsidRDefault="005A4847" w14:paraId="121108A4" w14:textId="77777777">
      <w:pPr>
        <w:ind w:left="360"/>
        <w:jc w:val="both"/>
        <w:rPr>
          <w:rFonts w:asciiTheme="minorHAnsi" w:hAnsiTheme="minorHAnsi"/>
          <w:sz w:val="22"/>
          <w:szCs w:val="22"/>
        </w:rPr>
      </w:pPr>
      <w:r>
        <w:rPr>
          <w:rFonts w:asciiTheme="minorHAnsi" w:hAnsiTheme="minorHAnsi"/>
          <w:sz w:val="22"/>
          <w:szCs w:val="22"/>
        </w:rPr>
        <w:t xml:space="preserve">OCS uses </w:t>
      </w:r>
      <w:r w:rsidRPr="0033128F">
        <w:rPr>
          <w:rFonts w:asciiTheme="minorHAnsi" w:hAnsiTheme="minorHAnsi"/>
          <w:sz w:val="22"/>
          <w:szCs w:val="22"/>
        </w:rPr>
        <w:t>t</w:t>
      </w:r>
      <w:r w:rsidRPr="0033128F" w:rsidR="00B23C58">
        <w:rPr>
          <w:rFonts w:asciiTheme="minorHAnsi" w:hAnsiTheme="minorHAnsi"/>
          <w:sz w:val="22"/>
          <w:szCs w:val="22"/>
        </w:rPr>
        <w:t>he Performance Measures</w:t>
      </w:r>
      <w:r w:rsidRPr="00271BA5" w:rsidR="00B23C58">
        <w:rPr>
          <w:rFonts w:asciiTheme="minorHAnsi" w:hAnsiTheme="minorHAnsi"/>
          <w:sz w:val="22"/>
          <w:szCs w:val="22"/>
        </w:rPr>
        <w:t xml:space="preserve"> data to </w:t>
      </w:r>
      <w:r w:rsidRPr="009B5D1B" w:rsidR="00B23C58">
        <w:rPr>
          <w:rFonts w:asciiTheme="minorHAnsi" w:hAnsiTheme="minorHAnsi"/>
          <w:sz w:val="22"/>
          <w:szCs w:val="22"/>
        </w:rPr>
        <w:t xml:space="preserve">calculate </w:t>
      </w:r>
      <w:r>
        <w:rPr>
          <w:rFonts w:asciiTheme="minorHAnsi" w:hAnsiTheme="minorHAnsi"/>
          <w:sz w:val="22"/>
          <w:szCs w:val="22"/>
        </w:rPr>
        <w:t>aggregate</w:t>
      </w:r>
      <w:r w:rsidRPr="009B5D1B" w:rsidR="00B23C58">
        <w:rPr>
          <w:rFonts w:asciiTheme="minorHAnsi" w:hAnsiTheme="minorHAnsi"/>
          <w:sz w:val="22"/>
          <w:szCs w:val="22"/>
        </w:rPr>
        <w:t xml:space="preserve"> performance </w:t>
      </w:r>
      <w:r w:rsidR="00B23C58">
        <w:rPr>
          <w:rFonts w:asciiTheme="minorHAnsi" w:hAnsiTheme="minorHAnsi"/>
          <w:sz w:val="22"/>
          <w:szCs w:val="22"/>
        </w:rPr>
        <w:t>data</w:t>
      </w:r>
      <w:r w:rsidRPr="009B5D1B" w:rsidR="00B23C58">
        <w:rPr>
          <w:rFonts w:asciiTheme="minorHAnsi" w:hAnsiTheme="minorHAnsi"/>
          <w:sz w:val="22"/>
          <w:szCs w:val="22"/>
        </w:rPr>
        <w:t xml:space="preserve"> and report the results through the annual Congressional Justification budget process and in the annual LIHEAP Report to Congress.  </w:t>
      </w:r>
      <w:r w:rsidRPr="009B5D1B">
        <w:rPr>
          <w:rFonts w:asciiTheme="minorHAnsi" w:hAnsiTheme="minorHAnsi"/>
          <w:sz w:val="22"/>
          <w:szCs w:val="22"/>
        </w:rPr>
        <w:t xml:space="preserve">Once the data are published in the LIHEAP Report to Congress, grantees </w:t>
      </w:r>
      <w:r>
        <w:rPr>
          <w:rFonts w:asciiTheme="minorHAnsi" w:hAnsiTheme="minorHAnsi"/>
          <w:sz w:val="22"/>
          <w:szCs w:val="22"/>
        </w:rPr>
        <w:t>can</w:t>
      </w:r>
      <w:r w:rsidRPr="009B5D1B">
        <w:rPr>
          <w:rFonts w:asciiTheme="minorHAnsi" w:hAnsiTheme="minorHAnsi"/>
          <w:sz w:val="22"/>
          <w:szCs w:val="22"/>
        </w:rPr>
        <w:t xml:space="preserve"> compare their own results to the results for other states, as well as to regional and national summaries through </w:t>
      </w:r>
      <w:r w:rsidR="00271BA5">
        <w:rPr>
          <w:rFonts w:asciiTheme="minorHAnsi" w:hAnsiTheme="minorHAnsi"/>
          <w:sz w:val="22"/>
          <w:szCs w:val="22"/>
        </w:rPr>
        <w:t xml:space="preserve">the </w:t>
      </w:r>
      <w:r w:rsidRPr="009B5D1B">
        <w:rPr>
          <w:rFonts w:asciiTheme="minorHAnsi" w:hAnsiTheme="minorHAnsi"/>
          <w:sz w:val="22"/>
          <w:szCs w:val="22"/>
        </w:rPr>
        <w:t xml:space="preserve">LIHEAP </w:t>
      </w:r>
      <w:r>
        <w:rPr>
          <w:rFonts w:asciiTheme="minorHAnsi" w:hAnsiTheme="minorHAnsi"/>
          <w:sz w:val="22"/>
          <w:szCs w:val="22"/>
        </w:rPr>
        <w:t>Data Warehouse</w:t>
      </w:r>
      <w:r w:rsidRPr="009B5D1B">
        <w:rPr>
          <w:rFonts w:asciiTheme="minorHAnsi" w:hAnsiTheme="minorHAnsi"/>
          <w:sz w:val="22"/>
          <w:szCs w:val="22"/>
        </w:rPr>
        <w:t>.</w:t>
      </w:r>
    </w:p>
    <w:p w:rsidRPr="00F268A4" w:rsidR="00B76F86" w:rsidP="00C26405" w:rsidRDefault="00B76F86" w14:paraId="3285489B" w14:textId="77777777">
      <w:pPr>
        <w:ind w:left="360"/>
        <w:contextualSpacing/>
        <w:jc w:val="both"/>
        <w:rPr>
          <w:rFonts w:asciiTheme="minorHAnsi" w:hAnsiTheme="minorHAnsi"/>
          <w:sz w:val="22"/>
          <w:szCs w:val="22"/>
        </w:rPr>
      </w:pPr>
    </w:p>
    <w:p w:rsidRPr="0033128F" w:rsidR="00B76F86" w:rsidP="00C26405" w:rsidRDefault="00BF44CC" w14:paraId="3E3F31A8" w14:textId="77777777">
      <w:pPr>
        <w:ind w:left="360"/>
        <w:jc w:val="both"/>
        <w:rPr>
          <w:rFonts w:asciiTheme="minorHAnsi" w:hAnsiTheme="minorHAnsi"/>
          <w:sz w:val="22"/>
          <w:u w:val="single"/>
        </w:rPr>
      </w:pPr>
      <w:r>
        <w:rPr>
          <w:rFonts w:asciiTheme="minorHAnsi" w:hAnsiTheme="minorHAnsi"/>
          <w:sz w:val="22"/>
          <w:u w:val="single"/>
        </w:rPr>
        <w:t>Module 3 (Optional LIHEAP P</w:t>
      </w:r>
      <w:r w:rsidRPr="00F268A4" w:rsidR="00E30D2A">
        <w:rPr>
          <w:rFonts w:asciiTheme="minorHAnsi" w:hAnsiTheme="minorHAnsi"/>
          <w:sz w:val="22"/>
          <w:u w:val="single"/>
        </w:rPr>
        <w:t>erformance Measures)</w:t>
      </w:r>
    </w:p>
    <w:p w:rsidR="005A4847" w:rsidP="00C26405" w:rsidRDefault="005A4847" w14:paraId="1960E196" w14:textId="77777777">
      <w:pPr>
        <w:ind w:left="360"/>
        <w:jc w:val="both"/>
        <w:rPr>
          <w:rFonts w:asciiTheme="minorHAnsi" w:hAnsiTheme="minorHAnsi"/>
          <w:sz w:val="22"/>
          <w:szCs w:val="22"/>
        </w:rPr>
      </w:pPr>
    </w:p>
    <w:p w:rsidR="00E30D2A" w:rsidP="00C26405" w:rsidRDefault="00B76F86" w14:paraId="34BAEC05" w14:textId="39840C8A">
      <w:pPr>
        <w:ind w:left="360"/>
        <w:jc w:val="both"/>
        <w:rPr>
          <w:rFonts w:asciiTheme="minorHAnsi" w:hAnsiTheme="minorHAnsi"/>
          <w:sz w:val="22"/>
          <w:szCs w:val="22"/>
        </w:rPr>
      </w:pPr>
      <w:r w:rsidRPr="00F268A4">
        <w:rPr>
          <w:rFonts w:asciiTheme="minorHAnsi" w:hAnsiTheme="minorHAnsi"/>
          <w:sz w:val="22"/>
          <w:szCs w:val="22"/>
        </w:rPr>
        <w:t>Module 3 is optional.</w:t>
      </w:r>
      <w:r w:rsidRPr="00F268A4" w:rsidR="00E30D2A">
        <w:rPr>
          <w:rFonts w:asciiTheme="minorHAnsi" w:hAnsiTheme="minorHAnsi"/>
          <w:sz w:val="22"/>
          <w:szCs w:val="22"/>
        </w:rPr>
        <w:t xml:space="preserve"> </w:t>
      </w:r>
      <w:r w:rsidRPr="00F268A4">
        <w:rPr>
          <w:rFonts w:asciiTheme="minorHAnsi" w:hAnsiTheme="minorHAnsi"/>
          <w:sz w:val="22"/>
          <w:szCs w:val="22"/>
        </w:rPr>
        <w:t xml:space="preserve">OCS includes this module to allow grantees to report additional </w:t>
      </w:r>
      <w:r w:rsidRPr="00F268A4" w:rsidR="00E30D2A">
        <w:rPr>
          <w:rFonts w:asciiTheme="minorHAnsi" w:hAnsiTheme="minorHAnsi"/>
          <w:sz w:val="22"/>
          <w:szCs w:val="22"/>
        </w:rPr>
        <w:t>data</w:t>
      </w:r>
      <w:r w:rsidRPr="00F268A4">
        <w:rPr>
          <w:rFonts w:asciiTheme="minorHAnsi" w:hAnsiTheme="minorHAnsi"/>
          <w:sz w:val="22"/>
          <w:szCs w:val="22"/>
        </w:rPr>
        <w:t xml:space="preserve"> that supplements the data reported for Module 2</w:t>
      </w:r>
      <w:r w:rsidRPr="00F268A4" w:rsidR="00DD352F">
        <w:rPr>
          <w:rFonts w:asciiTheme="minorHAnsi" w:hAnsiTheme="minorHAnsi"/>
          <w:sz w:val="22"/>
          <w:szCs w:val="22"/>
        </w:rPr>
        <w:t>, including data on energy consumption, air conditioning use, and home energy service restoration and prevention of loss</w:t>
      </w:r>
      <w:r w:rsidRPr="00F268A4">
        <w:rPr>
          <w:rFonts w:asciiTheme="minorHAnsi" w:hAnsiTheme="minorHAnsi"/>
          <w:sz w:val="22"/>
          <w:szCs w:val="22"/>
        </w:rPr>
        <w:t>.</w:t>
      </w:r>
      <w:r w:rsidR="005A4847">
        <w:rPr>
          <w:rFonts w:asciiTheme="minorHAnsi" w:hAnsiTheme="minorHAnsi"/>
          <w:sz w:val="22"/>
          <w:szCs w:val="22"/>
        </w:rPr>
        <w:t xml:space="preserve">  </w:t>
      </w:r>
      <w:r w:rsidR="006402C3">
        <w:rPr>
          <w:rFonts w:asciiTheme="minorHAnsi" w:hAnsiTheme="minorHAnsi"/>
          <w:sz w:val="22"/>
          <w:szCs w:val="22"/>
        </w:rPr>
        <w:t>Individual grantees use</w:t>
      </w:r>
      <w:r w:rsidR="005A4847">
        <w:rPr>
          <w:rFonts w:asciiTheme="minorHAnsi" w:hAnsiTheme="minorHAnsi"/>
          <w:sz w:val="22"/>
          <w:szCs w:val="22"/>
        </w:rPr>
        <w:t xml:space="preserve"> the information voluntarily reported in this module to help analyze and interpret the</w:t>
      </w:r>
      <w:r w:rsidR="006402C3">
        <w:rPr>
          <w:rFonts w:asciiTheme="minorHAnsi" w:hAnsiTheme="minorHAnsi"/>
          <w:sz w:val="22"/>
          <w:szCs w:val="22"/>
        </w:rPr>
        <w:t>ir</w:t>
      </w:r>
      <w:r w:rsidR="005A4847">
        <w:rPr>
          <w:rFonts w:asciiTheme="minorHAnsi" w:hAnsiTheme="minorHAnsi"/>
          <w:sz w:val="22"/>
          <w:szCs w:val="22"/>
        </w:rPr>
        <w:t xml:space="preserve"> Performance Measures results.</w:t>
      </w:r>
    </w:p>
    <w:p w:rsidR="00317069" w:rsidP="00C26405" w:rsidRDefault="00317069" w14:paraId="19E1EA91" w14:textId="0AF08DC0">
      <w:pPr>
        <w:ind w:left="360"/>
        <w:jc w:val="both"/>
        <w:rPr>
          <w:rFonts w:asciiTheme="minorHAnsi" w:hAnsiTheme="minorHAnsi"/>
          <w:sz w:val="22"/>
          <w:szCs w:val="22"/>
        </w:rPr>
      </w:pPr>
    </w:p>
    <w:p w:rsidRPr="004238F4" w:rsidR="00532F17" w:rsidP="00C26405" w:rsidRDefault="007B7869" w14:paraId="01FD3BF6" w14:textId="18902F4E">
      <w:pPr>
        <w:tabs>
          <w:tab w:val="left" w:pos="548"/>
          <w:tab w:val="left" w:pos="814"/>
        </w:tabs>
        <w:ind w:left="360"/>
        <w:jc w:val="both"/>
        <w:rPr>
          <w:spacing w:val="-3"/>
          <w:szCs w:val="24"/>
        </w:rPr>
      </w:pPr>
      <w:r>
        <w:rPr>
          <w:rFonts w:asciiTheme="minorHAnsi" w:hAnsiTheme="minorHAnsi"/>
          <w:i/>
          <w:sz w:val="22"/>
          <w:szCs w:val="22"/>
        </w:rPr>
        <w:t>Change Request Updates December 2020 – CARES Act Funds</w:t>
      </w:r>
    </w:p>
    <w:p w:rsidR="000865D4" w:rsidP="00C26405" w:rsidRDefault="000865D4" w14:paraId="63662F1A" w14:textId="77777777">
      <w:pPr>
        <w:spacing w:after="120"/>
        <w:ind w:left="360"/>
        <w:jc w:val="both"/>
      </w:pPr>
    </w:p>
    <w:p w:rsidR="000865D4" w:rsidP="00C26405" w:rsidRDefault="00D07D90" w14:paraId="4DE145F1" w14:textId="77777777">
      <w:pPr>
        <w:spacing w:after="120"/>
        <w:ind w:left="360"/>
        <w:jc w:val="both"/>
        <w:rPr>
          <w:rFonts w:asciiTheme="minorHAnsi" w:hAnsiTheme="minorHAnsi"/>
          <w:spacing w:val="-4"/>
          <w:sz w:val="22"/>
          <w:szCs w:val="22"/>
        </w:rPr>
      </w:pPr>
      <w:r>
        <w:rPr>
          <w:rFonts w:asciiTheme="minorHAnsi" w:hAnsiTheme="minorHAnsi"/>
          <w:spacing w:val="-4"/>
          <w:sz w:val="22"/>
          <w:szCs w:val="22"/>
        </w:rPr>
        <w:t xml:space="preserve">OCS plans to use the </w:t>
      </w:r>
      <w:r w:rsidR="009C4D0C">
        <w:rPr>
          <w:rFonts w:asciiTheme="minorHAnsi" w:hAnsiTheme="minorHAnsi"/>
          <w:spacing w:val="-4"/>
          <w:sz w:val="22"/>
          <w:szCs w:val="22"/>
        </w:rPr>
        <w:t xml:space="preserve">additional </w:t>
      </w:r>
      <w:r>
        <w:rPr>
          <w:rFonts w:asciiTheme="minorHAnsi" w:hAnsiTheme="minorHAnsi"/>
          <w:spacing w:val="-4"/>
          <w:sz w:val="22"/>
          <w:szCs w:val="22"/>
        </w:rPr>
        <w:t xml:space="preserve">data reported on this form for validating the </w:t>
      </w:r>
      <w:r w:rsidRPr="00E70464" w:rsidR="00E70464">
        <w:rPr>
          <w:rFonts w:asciiTheme="minorHAnsi" w:hAnsiTheme="minorHAnsi"/>
          <w:spacing w:val="-4"/>
          <w:sz w:val="22"/>
          <w:szCs w:val="22"/>
        </w:rPr>
        <w:t xml:space="preserve">Carryover Report </w:t>
      </w:r>
      <w:r>
        <w:rPr>
          <w:rFonts w:asciiTheme="minorHAnsi" w:hAnsiTheme="minorHAnsi"/>
          <w:spacing w:val="-4"/>
          <w:sz w:val="22"/>
          <w:szCs w:val="22"/>
        </w:rPr>
        <w:t xml:space="preserve">and </w:t>
      </w:r>
      <w:r w:rsidRPr="00D07D90">
        <w:rPr>
          <w:rFonts w:asciiTheme="minorHAnsi" w:hAnsiTheme="minorHAnsi"/>
          <w:spacing w:val="-4"/>
          <w:sz w:val="22"/>
          <w:szCs w:val="22"/>
        </w:rPr>
        <w:t>reporting</w:t>
      </w:r>
      <w:r>
        <w:rPr>
          <w:rFonts w:asciiTheme="minorHAnsi" w:hAnsiTheme="minorHAnsi"/>
          <w:spacing w:val="-4"/>
          <w:sz w:val="22"/>
          <w:szCs w:val="22"/>
        </w:rPr>
        <w:t xml:space="preserve"> </w:t>
      </w:r>
      <w:r w:rsidR="000F11C8">
        <w:rPr>
          <w:rFonts w:asciiTheme="minorHAnsi" w:hAnsiTheme="minorHAnsi"/>
          <w:spacing w:val="-4"/>
          <w:sz w:val="22"/>
          <w:szCs w:val="22"/>
        </w:rPr>
        <w:t xml:space="preserve">on </w:t>
      </w:r>
      <w:r w:rsidRPr="00D07D90">
        <w:rPr>
          <w:rFonts w:asciiTheme="minorHAnsi" w:hAnsiTheme="minorHAnsi"/>
          <w:spacing w:val="-4"/>
          <w:sz w:val="22"/>
          <w:szCs w:val="22"/>
        </w:rPr>
        <w:t>use of CARES Act funds</w:t>
      </w:r>
      <w:r>
        <w:rPr>
          <w:rFonts w:asciiTheme="minorHAnsi" w:hAnsiTheme="minorHAnsi"/>
          <w:spacing w:val="-4"/>
          <w:sz w:val="22"/>
          <w:szCs w:val="22"/>
        </w:rPr>
        <w:t xml:space="preserve">.  OCS </w:t>
      </w:r>
      <w:r w:rsidRPr="00317069">
        <w:rPr>
          <w:rFonts w:asciiTheme="minorHAnsi" w:hAnsiTheme="minorHAnsi"/>
          <w:sz w:val="22"/>
          <w:szCs w:val="22"/>
        </w:rPr>
        <w:t>has</w:t>
      </w:r>
      <w:r>
        <w:rPr>
          <w:rFonts w:asciiTheme="minorHAnsi" w:hAnsiTheme="minorHAnsi"/>
          <w:spacing w:val="-4"/>
          <w:sz w:val="22"/>
          <w:szCs w:val="22"/>
        </w:rPr>
        <w:t xml:space="preserve"> previously used the (non-CARES Act) data reported on this form for validating </w:t>
      </w:r>
      <w:r w:rsidRPr="00E70464" w:rsidR="00E70464">
        <w:rPr>
          <w:rFonts w:asciiTheme="minorHAnsi" w:hAnsiTheme="minorHAnsi"/>
          <w:spacing w:val="-4"/>
          <w:sz w:val="22"/>
          <w:szCs w:val="22"/>
        </w:rPr>
        <w:t xml:space="preserve">Carryover Report </w:t>
      </w:r>
      <w:r>
        <w:rPr>
          <w:rFonts w:asciiTheme="minorHAnsi" w:hAnsiTheme="minorHAnsi"/>
          <w:spacing w:val="-4"/>
          <w:sz w:val="22"/>
          <w:szCs w:val="22"/>
        </w:rPr>
        <w:t xml:space="preserve">and for preparing the </w:t>
      </w:r>
      <w:r w:rsidRPr="00D07D90">
        <w:rPr>
          <w:rFonts w:asciiTheme="minorHAnsi" w:hAnsiTheme="minorHAnsi"/>
          <w:i/>
          <w:spacing w:val="-4"/>
          <w:sz w:val="22"/>
          <w:szCs w:val="22"/>
        </w:rPr>
        <w:t>LIHEAP Annual Report to Congress</w:t>
      </w:r>
      <w:r>
        <w:rPr>
          <w:rFonts w:asciiTheme="minorHAnsi" w:hAnsiTheme="minorHAnsi"/>
          <w:spacing w:val="-4"/>
          <w:sz w:val="22"/>
          <w:szCs w:val="22"/>
        </w:rPr>
        <w:t>.</w:t>
      </w:r>
      <w:r w:rsidR="00C0672C">
        <w:rPr>
          <w:rFonts w:asciiTheme="minorHAnsi" w:hAnsiTheme="minorHAnsi"/>
          <w:spacing w:val="-4"/>
          <w:sz w:val="22"/>
          <w:szCs w:val="22"/>
        </w:rPr>
        <w:t xml:space="preserve">  OCS must, on the Carryover Report, collect </w:t>
      </w:r>
      <w:r w:rsidRPr="00D07D90" w:rsidR="00C0672C">
        <w:rPr>
          <w:rFonts w:asciiTheme="minorHAnsi" w:hAnsiTheme="minorHAnsi"/>
          <w:spacing w:val="-4"/>
          <w:sz w:val="22"/>
          <w:szCs w:val="22"/>
        </w:rPr>
        <w:t>CARES Act</w:t>
      </w:r>
      <w:r w:rsidR="00C0672C">
        <w:rPr>
          <w:rFonts w:asciiTheme="minorHAnsi" w:hAnsiTheme="minorHAnsi"/>
          <w:spacing w:val="-4"/>
          <w:sz w:val="22"/>
          <w:szCs w:val="22"/>
        </w:rPr>
        <w:t xml:space="preserve"> and non-CARES Act data separately in order to calculate </w:t>
      </w:r>
      <w:r w:rsidR="009D0E13">
        <w:rPr>
          <w:rFonts w:asciiTheme="minorHAnsi" w:hAnsiTheme="minorHAnsi"/>
          <w:spacing w:val="-4"/>
          <w:sz w:val="22"/>
          <w:szCs w:val="22"/>
        </w:rPr>
        <w:t xml:space="preserve">the amounts of funds that grantees (1) may carry </w:t>
      </w:r>
      <w:r w:rsidR="00C0672C">
        <w:rPr>
          <w:rFonts w:asciiTheme="minorHAnsi" w:hAnsiTheme="minorHAnsi"/>
          <w:spacing w:val="-4"/>
          <w:sz w:val="22"/>
          <w:szCs w:val="22"/>
        </w:rPr>
        <w:t>over</w:t>
      </w:r>
      <w:r w:rsidR="009D0E13">
        <w:rPr>
          <w:rFonts w:asciiTheme="minorHAnsi" w:hAnsiTheme="minorHAnsi"/>
          <w:spacing w:val="-4"/>
          <w:sz w:val="22"/>
          <w:szCs w:val="22"/>
        </w:rPr>
        <w:t>;</w:t>
      </w:r>
      <w:r w:rsidR="00C0672C">
        <w:rPr>
          <w:rFonts w:asciiTheme="minorHAnsi" w:hAnsiTheme="minorHAnsi"/>
          <w:spacing w:val="-4"/>
          <w:sz w:val="22"/>
          <w:szCs w:val="22"/>
        </w:rPr>
        <w:t xml:space="preserve"> and </w:t>
      </w:r>
      <w:r w:rsidR="009D0E13">
        <w:rPr>
          <w:rFonts w:asciiTheme="minorHAnsi" w:hAnsiTheme="minorHAnsi"/>
          <w:spacing w:val="-4"/>
          <w:sz w:val="22"/>
          <w:szCs w:val="22"/>
        </w:rPr>
        <w:t>(2) must return to the government</w:t>
      </w:r>
      <w:r w:rsidR="00C0672C">
        <w:rPr>
          <w:rFonts w:asciiTheme="minorHAnsi" w:hAnsiTheme="minorHAnsi"/>
          <w:spacing w:val="-4"/>
          <w:sz w:val="22"/>
          <w:szCs w:val="22"/>
        </w:rPr>
        <w:t>.</w:t>
      </w:r>
    </w:p>
    <w:p w:rsidRPr="00D07D90" w:rsidR="00D07D90" w:rsidP="00C26405" w:rsidRDefault="008A63A9" w14:paraId="465EFF26" w14:textId="2325BF44">
      <w:pPr>
        <w:spacing w:after="120"/>
        <w:ind w:left="360"/>
        <w:jc w:val="both"/>
        <w:rPr>
          <w:rFonts w:asciiTheme="minorHAnsi" w:hAnsiTheme="minorHAnsi"/>
          <w:spacing w:val="-4"/>
          <w:sz w:val="22"/>
          <w:szCs w:val="22"/>
        </w:rPr>
      </w:pPr>
      <w:r>
        <w:rPr>
          <w:rFonts w:asciiTheme="minorHAnsi" w:hAnsiTheme="minorHAnsi"/>
          <w:spacing w:val="-4"/>
          <w:sz w:val="22"/>
          <w:szCs w:val="22"/>
        </w:rPr>
        <w:t>OCS added questions to this form that allow grantees to report non-CARES Act supplemental data.  These questions serve the same purposes as the CARES Act questions.  However, OCS will allow grantees to answer these questions only to the extent Congress passes a non-CARES Act supplemental in FFY 2021.</w:t>
      </w:r>
    </w:p>
    <w:p w:rsidRPr="00772692" w:rsidR="00D07D90" w:rsidP="00D7443D" w:rsidRDefault="00D07D90" w14:paraId="4445D73C" w14:textId="77777777">
      <w:pPr>
        <w:widowControl/>
        <w:tabs>
          <w:tab w:val="num" w:pos="360"/>
        </w:tabs>
        <w:ind w:left="360"/>
        <w:rPr>
          <w:rFonts w:ascii="Times New Roman" w:hAnsi="Times New Roman"/>
          <w:snapToGrid/>
          <w:sz w:val="24"/>
          <w:szCs w:val="24"/>
        </w:rPr>
      </w:pPr>
    </w:p>
    <w:p w:rsidRPr="00390511" w:rsidR="002C3C4F" w:rsidP="00390511" w:rsidRDefault="002C3C4F" w14:paraId="6DDB8C59" w14:textId="1705FEBF">
      <w:pPr>
        <w:pStyle w:val="ListBullet"/>
        <w:widowControl/>
        <w:numPr>
          <w:ilvl w:val="0"/>
          <w:numId w:val="3"/>
        </w:numPr>
        <w:tabs>
          <w:tab w:val="num" w:pos="360"/>
        </w:tabs>
        <w:spacing w:after="120"/>
        <w:ind w:left="360"/>
        <w:rPr>
          <w:b/>
        </w:rPr>
      </w:pPr>
      <w:r w:rsidRPr="00390511">
        <w:rPr>
          <w:b/>
        </w:rPr>
        <w:t xml:space="preserve">Use of </w:t>
      </w:r>
      <w:r w:rsidRPr="00D07D90">
        <w:rPr>
          <w:b/>
          <w:snapToGrid/>
          <w:szCs w:val="24"/>
        </w:rPr>
        <w:t xml:space="preserve">Improved </w:t>
      </w:r>
      <w:r w:rsidRPr="00390511">
        <w:rPr>
          <w:b/>
        </w:rPr>
        <w:t>Information Technology and Burden Reduction</w:t>
      </w:r>
      <w:r w:rsidRPr="00D07D90">
        <w:rPr>
          <w:b/>
          <w:snapToGrid/>
          <w:szCs w:val="24"/>
        </w:rPr>
        <w:t xml:space="preserve"> </w:t>
      </w:r>
    </w:p>
    <w:p w:rsidR="00C91463" w:rsidP="00C26405" w:rsidRDefault="009B5D1B" w14:paraId="18929D75" w14:textId="5B14B554">
      <w:pPr>
        <w:tabs>
          <w:tab w:val="left" w:pos="360"/>
          <w:tab w:val="left" w:pos="814"/>
        </w:tabs>
        <w:ind w:left="360"/>
        <w:jc w:val="both"/>
        <w:rPr>
          <w:rFonts w:asciiTheme="minorHAnsi" w:hAnsiTheme="minorHAnsi"/>
          <w:sz w:val="22"/>
          <w:szCs w:val="22"/>
        </w:rPr>
      </w:pPr>
      <w:r w:rsidRPr="009B5D1B">
        <w:rPr>
          <w:rFonts w:asciiTheme="minorHAnsi" w:hAnsiTheme="minorHAnsi"/>
          <w:sz w:val="22"/>
          <w:szCs w:val="22"/>
        </w:rPr>
        <w:t xml:space="preserve">Every effort will be made to </w:t>
      </w:r>
      <w:r w:rsidR="00C91463">
        <w:rPr>
          <w:rFonts w:asciiTheme="minorHAnsi" w:hAnsiTheme="minorHAnsi"/>
          <w:sz w:val="22"/>
          <w:szCs w:val="22"/>
        </w:rPr>
        <w:t>minimize</w:t>
      </w:r>
      <w:r w:rsidRPr="009B5D1B">
        <w:rPr>
          <w:rFonts w:asciiTheme="minorHAnsi" w:hAnsiTheme="minorHAnsi"/>
          <w:sz w:val="22"/>
          <w:szCs w:val="22"/>
        </w:rPr>
        <w:t xml:space="preserve"> the burden of this data collection</w:t>
      </w:r>
      <w:r w:rsidR="00C91463">
        <w:rPr>
          <w:rFonts w:asciiTheme="minorHAnsi" w:hAnsiTheme="minorHAnsi"/>
          <w:sz w:val="22"/>
          <w:szCs w:val="22"/>
        </w:rPr>
        <w:t xml:space="preserve"> by providing grantees with resources for efficient data collection, data processing, and data reporting</w:t>
      </w:r>
      <w:r w:rsidRPr="009B5D1B">
        <w:rPr>
          <w:rFonts w:asciiTheme="minorHAnsi" w:hAnsiTheme="minorHAnsi"/>
          <w:sz w:val="22"/>
          <w:szCs w:val="22"/>
        </w:rPr>
        <w:t xml:space="preserve">.  </w:t>
      </w:r>
    </w:p>
    <w:p w:rsidR="00C91463" w:rsidP="007B7869" w:rsidRDefault="00C91463" w14:paraId="4BAF62F3" w14:textId="77777777">
      <w:pPr>
        <w:tabs>
          <w:tab w:val="left" w:pos="548"/>
          <w:tab w:val="left" w:pos="814"/>
        </w:tabs>
        <w:jc w:val="both"/>
        <w:rPr>
          <w:rFonts w:asciiTheme="minorHAnsi" w:hAnsiTheme="minorHAnsi"/>
          <w:sz w:val="22"/>
          <w:szCs w:val="22"/>
        </w:rPr>
      </w:pPr>
    </w:p>
    <w:p w:rsidR="002178A6" w:rsidP="00C26405" w:rsidRDefault="00C91463" w14:paraId="2273EF21" w14:textId="77777777">
      <w:pPr>
        <w:pStyle w:val="ListParagraph"/>
        <w:numPr>
          <w:ilvl w:val="0"/>
          <w:numId w:val="96"/>
        </w:numPr>
        <w:tabs>
          <w:tab w:val="left" w:pos="814"/>
        </w:tabs>
        <w:ind w:left="1080"/>
        <w:jc w:val="both"/>
        <w:rPr>
          <w:rFonts w:asciiTheme="minorHAnsi" w:hAnsiTheme="minorHAnsi"/>
          <w:sz w:val="22"/>
          <w:szCs w:val="22"/>
        </w:rPr>
      </w:pPr>
      <w:r w:rsidRPr="00F268A4">
        <w:rPr>
          <w:rFonts w:asciiTheme="minorHAnsi" w:hAnsiTheme="minorHAnsi"/>
          <w:sz w:val="22"/>
          <w:szCs w:val="22"/>
        </w:rPr>
        <w:lastRenderedPageBreak/>
        <w:t>Data Collection</w:t>
      </w:r>
      <w:r w:rsidRPr="00F268A4" w:rsidR="00B84B29">
        <w:rPr>
          <w:rFonts w:asciiTheme="minorHAnsi" w:hAnsiTheme="minorHAnsi"/>
          <w:sz w:val="22"/>
          <w:szCs w:val="22"/>
        </w:rPr>
        <w:t xml:space="preserve"> – </w:t>
      </w:r>
      <w:r w:rsidRPr="0033128F" w:rsidR="002178A6">
        <w:rPr>
          <w:rFonts w:asciiTheme="minorHAnsi" w:hAnsiTheme="minorHAnsi"/>
          <w:sz w:val="22"/>
          <w:szCs w:val="22"/>
        </w:rPr>
        <w:t>OCS has prov</w:t>
      </w:r>
      <w:r w:rsidR="002178A6">
        <w:rPr>
          <w:rFonts w:asciiTheme="minorHAnsi" w:hAnsiTheme="minorHAnsi"/>
          <w:sz w:val="22"/>
          <w:szCs w:val="22"/>
        </w:rPr>
        <w:t>id</w:t>
      </w:r>
      <w:r w:rsidRPr="0033128F" w:rsidR="002178A6">
        <w:rPr>
          <w:rFonts w:asciiTheme="minorHAnsi" w:hAnsiTheme="minorHAnsi"/>
          <w:sz w:val="22"/>
          <w:szCs w:val="22"/>
        </w:rPr>
        <w:t>ed grantees with multiple resources</w:t>
      </w:r>
      <w:r w:rsidRPr="00F268A4" w:rsidR="002178A6">
        <w:rPr>
          <w:rFonts w:asciiTheme="minorHAnsi" w:hAnsiTheme="minorHAnsi"/>
          <w:sz w:val="22"/>
          <w:szCs w:val="22"/>
        </w:rPr>
        <w:t xml:space="preserve"> </w:t>
      </w:r>
      <w:r w:rsidRPr="0033128F" w:rsidR="002178A6">
        <w:rPr>
          <w:rFonts w:asciiTheme="minorHAnsi" w:hAnsiTheme="minorHAnsi"/>
          <w:sz w:val="22"/>
          <w:szCs w:val="22"/>
        </w:rPr>
        <w:t>to assist with</w:t>
      </w:r>
      <w:r w:rsidRPr="00F268A4" w:rsidR="002178A6">
        <w:rPr>
          <w:rFonts w:asciiTheme="minorHAnsi" w:hAnsiTheme="minorHAnsi"/>
          <w:sz w:val="22"/>
          <w:szCs w:val="22"/>
        </w:rPr>
        <w:t xml:space="preserve"> collecting the necessary data to complete the </w:t>
      </w:r>
      <w:r w:rsidRPr="00F268A4" w:rsidR="002178A6">
        <w:rPr>
          <w:rFonts w:asciiTheme="minorHAnsi" w:hAnsiTheme="minorHAnsi"/>
          <w:i/>
          <w:sz w:val="22"/>
          <w:szCs w:val="22"/>
        </w:rPr>
        <w:t>LIHEAP Performance Data Form</w:t>
      </w:r>
      <w:r w:rsidRPr="0033128F" w:rsidR="002178A6">
        <w:rPr>
          <w:rFonts w:asciiTheme="minorHAnsi" w:hAnsiTheme="minorHAnsi"/>
          <w:sz w:val="22"/>
          <w:szCs w:val="22"/>
        </w:rPr>
        <w:t>, including a data collection guide, data collection templates</w:t>
      </w:r>
      <w:r w:rsidR="002178A6">
        <w:rPr>
          <w:rFonts w:asciiTheme="minorHAnsi" w:hAnsiTheme="minorHAnsi"/>
          <w:sz w:val="22"/>
          <w:szCs w:val="22"/>
        </w:rPr>
        <w:t>, and training webinars reviewing data collection procedures.  OCS also has furnished</w:t>
      </w:r>
      <w:r w:rsidR="0033128F">
        <w:rPr>
          <w:rFonts w:asciiTheme="minorHAnsi" w:hAnsiTheme="minorHAnsi"/>
          <w:sz w:val="22"/>
          <w:szCs w:val="22"/>
        </w:rPr>
        <w:t xml:space="preserve"> one-on-one</w:t>
      </w:r>
      <w:r w:rsidR="002178A6">
        <w:rPr>
          <w:rFonts w:asciiTheme="minorHAnsi" w:hAnsiTheme="minorHAnsi"/>
          <w:sz w:val="22"/>
          <w:szCs w:val="22"/>
        </w:rPr>
        <w:t xml:space="preserve"> training and technical assistance to numerous grantees and makes such assistance available annually.</w:t>
      </w:r>
    </w:p>
    <w:p w:rsidRPr="00F268A4" w:rsidR="0033128F" w:rsidP="00C26405" w:rsidRDefault="0033128F" w14:paraId="54A97936" w14:textId="77777777">
      <w:pPr>
        <w:pStyle w:val="ListParagraph"/>
        <w:tabs>
          <w:tab w:val="left" w:pos="814"/>
        </w:tabs>
        <w:ind w:left="1080"/>
        <w:jc w:val="both"/>
        <w:rPr>
          <w:rFonts w:asciiTheme="minorHAnsi" w:hAnsiTheme="minorHAnsi"/>
          <w:sz w:val="22"/>
          <w:szCs w:val="22"/>
        </w:rPr>
      </w:pPr>
    </w:p>
    <w:p w:rsidRPr="00F268A4" w:rsidR="0033128F" w:rsidP="00C26405" w:rsidRDefault="00C91463" w14:paraId="049BFD9D" w14:textId="77777777">
      <w:pPr>
        <w:pStyle w:val="ListParagraph"/>
        <w:numPr>
          <w:ilvl w:val="0"/>
          <w:numId w:val="96"/>
        </w:numPr>
        <w:tabs>
          <w:tab w:val="left" w:pos="814"/>
        </w:tabs>
        <w:ind w:left="1080"/>
        <w:jc w:val="both"/>
        <w:rPr>
          <w:rFonts w:asciiTheme="minorHAnsi" w:hAnsiTheme="minorHAnsi"/>
          <w:sz w:val="22"/>
          <w:szCs w:val="22"/>
        </w:rPr>
      </w:pPr>
      <w:r w:rsidRPr="00F268A4">
        <w:rPr>
          <w:rFonts w:asciiTheme="minorHAnsi" w:hAnsiTheme="minorHAnsi"/>
          <w:sz w:val="22"/>
          <w:szCs w:val="22"/>
        </w:rPr>
        <w:t>Data Processing</w:t>
      </w:r>
      <w:r w:rsidR="002178A6">
        <w:rPr>
          <w:rFonts w:asciiTheme="minorHAnsi" w:hAnsiTheme="minorHAnsi"/>
          <w:sz w:val="22"/>
          <w:szCs w:val="22"/>
        </w:rPr>
        <w:t xml:space="preserve"> – OCS has developed guidance documents to assist grantees with data processing.  In addition, </w:t>
      </w:r>
      <w:r w:rsidR="00C4792E">
        <w:rPr>
          <w:rFonts w:asciiTheme="minorHAnsi" w:hAnsiTheme="minorHAnsi"/>
          <w:sz w:val="22"/>
          <w:szCs w:val="22"/>
        </w:rPr>
        <w:t xml:space="preserve">the </w:t>
      </w:r>
      <w:r w:rsidRPr="009B5D1B" w:rsidR="002178A6">
        <w:rPr>
          <w:rFonts w:asciiTheme="minorHAnsi" w:hAnsiTheme="minorHAnsi"/>
          <w:sz w:val="22"/>
          <w:szCs w:val="22"/>
        </w:rPr>
        <w:t>ACF On-Line Data Collection System (OLDC)</w:t>
      </w:r>
      <w:r w:rsidR="002178A6">
        <w:rPr>
          <w:rFonts w:asciiTheme="minorHAnsi" w:hAnsiTheme="minorHAnsi"/>
          <w:sz w:val="22"/>
          <w:szCs w:val="22"/>
        </w:rPr>
        <w:t xml:space="preserve"> calculates some of the data fields, rather than requiring the grantee to do so.</w:t>
      </w:r>
    </w:p>
    <w:p w:rsidRPr="00F268A4" w:rsidR="0033128F" w:rsidP="00C26405" w:rsidRDefault="0033128F" w14:paraId="6F5D2036" w14:textId="77777777">
      <w:pPr>
        <w:pStyle w:val="ListParagraph"/>
        <w:tabs>
          <w:tab w:val="left" w:pos="814"/>
        </w:tabs>
        <w:ind w:left="1080"/>
        <w:jc w:val="both"/>
        <w:rPr>
          <w:rFonts w:asciiTheme="minorHAnsi" w:hAnsiTheme="minorHAnsi"/>
          <w:sz w:val="22"/>
          <w:szCs w:val="22"/>
        </w:rPr>
      </w:pPr>
    </w:p>
    <w:p w:rsidRPr="00F268A4" w:rsidR="00C91463" w:rsidP="00C26405" w:rsidRDefault="00C91463" w14:paraId="62A9AFF3" w14:textId="77777777">
      <w:pPr>
        <w:pStyle w:val="ListParagraph"/>
        <w:numPr>
          <w:ilvl w:val="0"/>
          <w:numId w:val="96"/>
        </w:numPr>
        <w:tabs>
          <w:tab w:val="left" w:pos="814"/>
        </w:tabs>
        <w:ind w:left="1080"/>
        <w:jc w:val="both"/>
        <w:rPr>
          <w:rFonts w:asciiTheme="minorHAnsi" w:hAnsiTheme="minorHAnsi"/>
          <w:sz w:val="22"/>
          <w:szCs w:val="22"/>
        </w:rPr>
      </w:pPr>
      <w:r w:rsidRPr="00F268A4">
        <w:rPr>
          <w:rFonts w:asciiTheme="minorHAnsi" w:hAnsiTheme="minorHAnsi"/>
          <w:sz w:val="22"/>
          <w:szCs w:val="22"/>
        </w:rPr>
        <w:t>Data Reporting</w:t>
      </w:r>
      <w:r w:rsidR="002178A6">
        <w:rPr>
          <w:rFonts w:asciiTheme="minorHAnsi" w:hAnsiTheme="minorHAnsi"/>
          <w:sz w:val="22"/>
          <w:szCs w:val="22"/>
        </w:rPr>
        <w:t xml:space="preserve"> – </w:t>
      </w:r>
      <w:r w:rsidRPr="00F268A4">
        <w:rPr>
          <w:rFonts w:asciiTheme="minorHAnsi" w:hAnsiTheme="minorHAnsi"/>
          <w:sz w:val="22"/>
          <w:szCs w:val="22"/>
        </w:rPr>
        <w:t xml:space="preserve">The </w:t>
      </w:r>
      <w:r w:rsidRPr="00F268A4" w:rsidR="002178A6">
        <w:rPr>
          <w:rFonts w:asciiTheme="minorHAnsi" w:hAnsiTheme="minorHAnsi"/>
          <w:i/>
          <w:sz w:val="22"/>
          <w:szCs w:val="22"/>
        </w:rPr>
        <w:t xml:space="preserve">LIHEAP </w:t>
      </w:r>
      <w:r w:rsidRPr="00F268A4">
        <w:rPr>
          <w:rFonts w:asciiTheme="minorHAnsi" w:hAnsiTheme="minorHAnsi"/>
          <w:i/>
          <w:sz w:val="22"/>
          <w:szCs w:val="22"/>
        </w:rPr>
        <w:t>Performance Data Form</w:t>
      </w:r>
      <w:r w:rsidRPr="00F268A4">
        <w:rPr>
          <w:rFonts w:asciiTheme="minorHAnsi" w:hAnsiTheme="minorHAnsi"/>
          <w:sz w:val="22"/>
          <w:szCs w:val="22"/>
        </w:rPr>
        <w:t xml:space="preserve"> </w:t>
      </w:r>
      <w:r w:rsidR="002178A6">
        <w:rPr>
          <w:rFonts w:asciiTheme="minorHAnsi" w:hAnsiTheme="minorHAnsi"/>
          <w:sz w:val="22"/>
          <w:szCs w:val="22"/>
        </w:rPr>
        <w:t>is</w:t>
      </w:r>
      <w:r w:rsidRPr="00F268A4">
        <w:rPr>
          <w:rFonts w:asciiTheme="minorHAnsi" w:hAnsiTheme="minorHAnsi"/>
          <w:sz w:val="22"/>
          <w:szCs w:val="22"/>
        </w:rPr>
        <w:t xml:space="preserve"> collected by OCS using the ACF On-Line Data Collection System (OLDC), which is a web-based reporting tool that grantees use to complete several LIHEAP reports.  The OLDC tool assists grantees with comp</w:t>
      </w:r>
      <w:r w:rsidRPr="0033128F" w:rsidR="002178A6">
        <w:rPr>
          <w:rFonts w:asciiTheme="minorHAnsi" w:hAnsiTheme="minorHAnsi"/>
          <w:sz w:val="22"/>
          <w:szCs w:val="22"/>
        </w:rPr>
        <w:t xml:space="preserve">leting the form by providing instructions, alerting grantees to possible errors, </w:t>
      </w:r>
      <w:r w:rsidR="0021149B">
        <w:rPr>
          <w:rFonts w:asciiTheme="minorHAnsi" w:hAnsiTheme="minorHAnsi"/>
          <w:sz w:val="22"/>
          <w:szCs w:val="22"/>
        </w:rPr>
        <w:t xml:space="preserve">and allowing grantees to access prior versions of their report.  OCS also provides extensive resources and training on data reporting with the intention of minimizing the burden associated with reporting accurate information.  This includes detailed instructions on data reporting, webinars, a “Check before you submit” document, </w:t>
      </w:r>
      <w:r w:rsidR="0033128F">
        <w:rPr>
          <w:rFonts w:asciiTheme="minorHAnsi" w:hAnsiTheme="minorHAnsi"/>
          <w:sz w:val="22"/>
          <w:szCs w:val="22"/>
        </w:rPr>
        <w:t>one-on-one</w:t>
      </w:r>
      <w:r w:rsidR="0021149B">
        <w:rPr>
          <w:rFonts w:asciiTheme="minorHAnsi" w:hAnsiTheme="minorHAnsi"/>
          <w:sz w:val="22"/>
          <w:szCs w:val="22"/>
        </w:rPr>
        <w:t xml:space="preserve"> technical assistance, and providing a summary of data reporting issues or questions following the review of each grantee’s submitted information.</w:t>
      </w:r>
    </w:p>
    <w:p w:rsidR="00C91463" w:rsidP="007B7869" w:rsidRDefault="00C91463" w14:paraId="22CFF2B1" w14:textId="77777777">
      <w:pPr>
        <w:tabs>
          <w:tab w:val="left" w:pos="814"/>
        </w:tabs>
        <w:ind w:left="720" w:hanging="360"/>
        <w:jc w:val="both"/>
        <w:rPr>
          <w:rFonts w:asciiTheme="minorHAnsi" w:hAnsiTheme="minorHAnsi"/>
          <w:sz w:val="22"/>
          <w:szCs w:val="22"/>
        </w:rPr>
      </w:pPr>
    </w:p>
    <w:p w:rsidR="000D7391" w:rsidP="00C26405" w:rsidRDefault="0021149B" w14:paraId="29E24D2E" w14:textId="447D4F07">
      <w:pPr>
        <w:tabs>
          <w:tab w:val="left" w:pos="548"/>
          <w:tab w:val="left" w:pos="814"/>
        </w:tabs>
        <w:ind w:left="360"/>
        <w:jc w:val="both"/>
        <w:rPr>
          <w:rFonts w:asciiTheme="minorHAnsi" w:hAnsiTheme="minorHAnsi"/>
          <w:sz w:val="22"/>
          <w:szCs w:val="22"/>
        </w:rPr>
      </w:pPr>
      <w:r>
        <w:rPr>
          <w:rFonts w:asciiTheme="minorHAnsi" w:hAnsiTheme="minorHAnsi"/>
          <w:sz w:val="22"/>
          <w:szCs w:val="22"/>
        </w:rPr>
        <w:t>Since 2010, the LIHEAP Performance Measures Work Group (PMIWG)</w:t>
      </w:r>
      <w:r w:rsidRPr="0021149B">
        <w:rPr>
          <w:rFonts w:asciiTheme="minorHAnsi" w:hAnsiTheme="minorHAnsi"/>
          <w:sz w:val="22"/>
          <w:szCs w:val="22"/>
        </w:rPr>
        <w:t>, consisting of state LIHEAP directors and HHS staff</w:t>
      </w:r>
      <w:r w:rsidR="0033128F">
        <w:rPr>
          <w:rFonts w:asciiTheme="minorHAnsi" w:hAnsiTheme="minorHAnsi"/>
          <w:sz w:val="22"/>
          <w:szCs w:val="22"/>
        </w:rPr>
        <w:t>, has</w:t>
      </w:r>
      <w:r>
        <w:rPr>
          <w:rFonts w:asciiTheme="minorHAnsi" w:hAnsiTheme="minorHAnsi"/>
          <w:sz w:val="22"/>
          <w:szCs w:val="22"/>
        </w:rPr>
        <w:t xml:space="preserve"> worked </w:t>
      </w:r>
      <w:r w:rsidR="0033128F">
        <w:rPr>
          <w:rFonts w:asciiTheme="minorHAnsi" w:hAnsiTheme="minorHAnsi"/>
          <w:sz w:val="22"/>
          <w:szCs w:val="22"/>
        </w:rPr>
        <w:t xml:space="preserve">with OCS </w:t>
      </w:r>
      <w:r>
        <w:rPr>
          <w:rFonts w:asciiTheme="minorHAnsi" w:hAnsiTheme="minorHAnsi"/>
          <w:sz w:val="22"/>
          <w:szCs w:val="22"/>
        </w:rPr>
        <w:t>to develop resources and to encourage grantees to share</w:t>
      </w:r>
      <w:r w:rsidRPr="0021149B">
        <w:rPr>
          <w:rFonts w:asciiTheme="minorHAnsi" w:hAnsiTheme="minorHAnsi"/>
          <w:sz w:val="22"/>
          <w:szCs w:val="22"/>
        </w:rPr>
        <w:t xml:space="preserve"> </w:t>
      </w:r>
      <w:r w:rsidR="0033128F">
        <w:rPr>
          <w:rFonts w:asciiTheme="minorHAnsi" w:hAnsiTheme="minorHAnsi"/>
          <w:sz w:val="22"/>
          <w:szCs w:val="22"/>
        </w:rPr>
        <w:t xml:space="preserve">information to assist with minimizing the burden of this data collection.  </w:t>
      </w:r>
      <w:r>
        <w:rPr>
          <w:rFonts w:asciiTheme="minorHAnsi" w:hAnsiTheme="minorHAnsi"/>
          <w:sz w:val="22"/>
          <w:szCs w:val="22"/>
        </w:rPr>
        <w:t xml:space="preserve">Since the </w:t>
      </w:r>
      <w:r w:rsidRPr="00F268A4">
        <w:rPr>
          <w:rFonts w:asciiTheme="minorHAnsi" w:hAnsiTheme="minorHAnsi"/>
          <w:i/>
          <w:sz w:val="22"/>
          <w:szCs w:val="22"/>
        </w:rPr>
        <w:t xml:space="preserve">LIHEAP Performance Data Form </w:t>
      </w:r>
      <w:r>
        <w:rPr>
          <w:rFonts w:asciiTheme="minorHAnsi" w:hAnsiTheme="minorHAnsi"/>
          <w:sz w:val="22"/>
          <w:szCs w:val="22"/>
        </w:rPr>
        <w:t>was approved by OMB in 2014, a</w:t>
      </w:r>
      <w:r w:rsidRPr="009B5D1B" w:rsidR="009B5D1B">
        <w:rPr>
          <w:rFonts w:asciiTheme="minorHAnsi" w:hAnsiTheme="minorHAnsi"/>
          <w:sz w:val="22"/>
          <w:szCs w:val="22"/>
        </w:rPr>
        <w:t xml:space="preserve"> number of grantees have </w:t>
      </w:r>
      <w:r w:rsidR="00143929">
        <w:rPr>
          <w:rFonts w:asciiTheme="minorHAnsi" w:hAnsiTheme="minorHAnsi"/>
          <w:sz w:val="22"/>
          <w:szCs w:val="22"/>
        </w:rPr>
        <w:t>implemented</w:t>
      </w:r>
      <w:r w:rsidRPr="009B5D1B" w:rsidR="00143929">
        <w:rPr>
          <w:rFonts w:asciiTheme="minorHAnsi" w:hAnsiTheme="minorHAnsi"/>
          <w:sz w:val="22"/>
          <w:szCs w:val="22"/>
        </w:rPr>
        <w:t xml:space="preserve"> </w:t>
      </w:r>
      <w:r>
        <w:rPr>
          <w:rFonts w:asciiTheme="minorHAnsi" w:hAnsiTheme="minorHAnsi"/>
          <w:sz w:val="22"/>
          <w:szCs w:val="22"/>
        </w:rPr>
        <w:t xml:space="preserve">or enhanced their existing </w:t>
      </w:r>
      <w:r w:rsidR="0033128F">
        <w:rPr>
          <w:rFonts w:asciiTheme="minorHAnsi" w:hAnsiTheme="minorHAnsi"/>
          <w:sz w:val="22"/>
          <w:szCs w:val="22"/>
        </w:rPr>
        <w:t xml:space="preserve">data </w:t>
      </w:r>
      <w:r w:rsidRPr="009B5D1B" w:rsidR="009B5D1B">
        <w:rPr>
          <w:rFonts w:asciiTheme="minorHAnsi" w:hAnsiTheme="minorHAnsi"/>
          <w:sz w:val="22"/>
          <w:szCs w:val="22"/>
        </w:rPr>
        <w:t>systems</w:t>
      </w:r>
      <w:r w:rsidR="0033128F">
        <w:rPr>
          <w:rFonts w:asciiTheme="minorHAnsi" w:hAnsiTheme="minorHAnsi"/>
          <w:sz w:val="22"/>
          <w:szCs w:val="22"/>
        </w:rPr>
        <w:t>, client applications, client waivers, and vendor agreements</w:t>
      </w:r>
      <w:r w:rsidRPr="009B5D1B" w:rsidR="009B5D1B">
        <w:rPr>
          <w:rFonts w:asciiTheme="minorHAnsi" w:hAnsiTheme="minorHAnsi"/>
          <w:sz w:val="22"/>
          <w:szCs w:val="22"/>
        </w:rPr>
        <w:t xml:space="preserve"> </w:t>
      </w:r>
      <w:r w:rsidR="00B2553B">
        <w:rPr>
          <w:rFonts w:asciiTheme="minorHAnsi" w:hAnsiTheme="minorHAnsi"/>
          <w:sz w:val="22"/>
          <w:szCs w:val="22"/>
        </w:rPr>
        <w:t>to support</w:t>
      </w:r>
      <w:r w:rsidRPr="009B5D1B" w:rsidR="009B5D1B">
        <w:rPr>
          <w:rFonts w:asciiTheme="minorHAnsi" w:hAnsiTheme="minorHAnsi"/>
          <w:sz w:val="22"/>
          <w:szCs w:val="22"/>
        </w:rPr>
        <w:t xml:space="preserve"> collecting</w:t>
      </w:r>
      <w:r w:rsidR="00B2553B">
        <w:rPr>
          <w:rFonts w:asciiTheme="minorHAnsi" w:hAnsiTheme="minorHAnsi"/>
          <w:sz w:val="22"/>
          <w:szCs w:val="22"/>
        </w:rPr>
        <w:t xml:space="preserve"> and reporting</w:t>
      </w:r>
      <w:r w:rsidRPr="009B5D1B" w:rsidR="009B5D1B">
        <w:rPr>
          <w:rFonts w:asciiTheme="minorHAnsi" w:hAnsiTheme="minorHAnsi"/>
          <w:sz w:val="22"/>
          <w:szCs w:val="22"/>
        </w:rPr>
        <w:t xml:space="preserve"> </w:t>
      </w:r>
      <w:r>
        <w:rPr>
          <w:rFonts w:asciiTheme="minorHAnsi" w:hAnsiTheme="minorHAnsi"/>
          <w:sz w:val="22"/>
          <w:szCs w:val="22"/>
        </w:rPr>
        <w:t>the required data</w:t>
      </w:r>
      <w:r w:rsidR="0033128F">
        <w:rPr>
          <w:rFonts w:asciiTheme="minorHAnsi" w:hAnsiTheme="minorHAnsi"/>
          <w:sz w:val="22"/>
          <w:szCs w:val="22"/>
        </w:rPr>
        <w:t>.</w:t>
      </w:r>
    </w:p>
    <w:p w:rsidRPr="007B7869" w:rsidR="007B7869" w:rsidP="007B7869" w:rsidRDefault="007B7869" w14:paraId="164D8E85" w14:textId="77777777">
      <w:pPr>
        <w:tabs>
          <w:tab w:val="left" w:pos="548"/>
          <w:tab w:val="left" w:pos="814"/>
        </w:tabs>
        <w:jc w:val="both"/>
        <w:rPr>
          <w:rFonts w:asciiTheme="minorHAnsi" w:hAnsiTheme="minorHAnsi"/>
          <w:sz w:val="22"/>
          <w:szCs w:val="22"/>
        </w:rPr>
      </w:pPr>
    </w:p>
    <w:p w:rsidRPr="00772692" w:rsidR="00D60543" w:rsidP="00022586" w:rsidRDefault="00D60543" w14:paraId="5F5541A7" w14:textId="77777777">
      <w:pPr>
        <w:widowControl/>
        <w:tabs>
          <w:tab w:val="num" w:pos="360"/>
        </w:tabs>
        <w:ind w:left="360"/>
        <w:rPr>
          <w:rFonts w:ascii="Times New Roman" w:hAnsi="Times New Roman"/>
          <w:snapToGrid/>
          <w:sz w:val="24"/>
          <w:szCs w:val="24"/>
        </w:rPr>
      </w:pPr>
    </w:p>
    <w:p w:rsidRPr="00390511" w:rsidR="002C3C4F" w:rsidP="00390511" w:rsidRDefault="002C3C4F" w14:paraId="5E0F08A1" w14:textId="77777777">
      <w:pPr>
        <w:widowControl/>
        <w:numPr>
          <w:ilvl w:val="0"/>
          <w:numId w:val="3"/>
        </w:numPr>
        <w:tabs>
          <w:tab w:val="num" w:pos="360"/>
        </w:tabs>
        <w:spacing w:after="120"/>
        <w:ind w:left="360"/>
        <w:rPr>
          <w:rFonts w:ascii="Times New Roman" w:hAnsi="Times New Roman"/>
          <w:b/>
          <w:sz w:val="24"/>
        </w:rPr>
      </w:pPr>
      <w:r w:rsidRPr="00390511">
        <w:rPr>
          <w:rFonts w:ascii="Times New Roman" w:hAnsi="Times New Roman"/>
          <w:b/>
          <w:sz w:val="24"/>
        </w:rPr>
        <w:t>Efforts to Identify Duplication and Use of Similar Information</w:t>
      </w:r>
      <w:r w:rsidRPr="00772692">
        <w:rPr>
          <w:rFonts w:ascii="Times New Roman" w:hAnsi="Times New Roman"/>
          <w:b/>
          <w:snapToGrid/>
          <w:sz w:val="24"/>
          <w:szCs w:val="24"/>
        </w:rPr>
        <w:t xml:space="preserve"> </w:t>
      </w:r>
    </w:p>
    <w:p w:rsidR="008339E8" w:rsidP="007B7869" w:rsidRDefault="008339E8" w14:paraId="4ECADB87" w14:textId="77777777">
      <w:pPr>
        <w:tabs>
          <w:tab w:val="left" w:pos="548"/>
          <w:tab w:val="left" w:pos="814"/>
        </w:tabs>
        <w:ind w:left="360"/>
        <w:jc w:val="both"/>
        <w:rPr>
          <w:rFonts w:asciiTheme="minorHAnsi" w:hAnsiTheme="minorHAnsi"/>
          <w:sz w:val="22"/>
          <w:szCs w:val="22"/>
        </w:rPr>
      </w:pPr>
      <w:r w:rsidRPr="009B5D1B">
        <w:rPr>
          <w:rFonts w:asciiTheme="minorHAnsi" w:hAnsiTheme="minorHAnsi"/>
          <w:sz w:val="22"/>
          <w:szCs w:val="22"/>
        </w:rPr>
        <w:t xml:space="preserve">OCS investigation has revealed no duplicate sources of the state-level data elements required for the </w:t>
      </w:r>
      <w:r w:rsidRPr="004C401C">
        <w:rPr>
          <w:rFonts w:asciiTheme="minorHAnsi" w:hAnsiTheme="minorHAnsi"/>
          <w:i/>
          <w:sz w:val="22"/>
          <w:szCs w:val="22"/>
        </w:rPr>
        <w:t>LIHEAP Performance Data Form</w:t>
      </w:r>
      <w:r>
        <w:rPr>
          <w:rFonts w:asciiTheme="minorHAnsi" w:hAnsiTheme="minorHAnsi"/>
          <w:i/>
          <w:sz w:val="22"/>
          <w:szCs w:val="22"/>
        </w:rPr>
        <w:t>.</w:t>
      </w:r>
      <w:r w:rsidRPr="00B2553B">
        <w:rPr>
          <w:rFonts w:asciiTheme="minorHAnsi" w:hAnsiTheme="minorHAnsi"/>
          <w:sz w:val="22"/>
          <w:szCs w:val="22"/>
        </w:rPr>
        <w:t xml:space="preserve"> </w:t>
      </w:r>
    </w:p>
    <w:p w:rsidR="008339E8" w:rsidP="008339E8" w:rsidRDefault="008339E8" w14:paraId="5754B603" w14:textId="77777777">
      <w:pPr>
        <w:tabs>
          <w:tab w:val="left" w:pos="548"/>
          <w:tab w:val="left" w:pos="814"/>
        </w:tabs>
        <w:jc w:val="both"/>
        <w:rPr>
          <w:rFonts w:asciiTheme="minorHAnsi" w:hAnsiTheme="minorHAnsi"/>
          <w:sz w:val="22"/>
          <w:szCs w:val="22"/>
        </w:rPr>
      </w:pPr>
    </w:p>
    <w:p w:rsidR="008339E8" w:rsidP="007B7869" w:rsidRDefault="008339E8" w14:paraId="67D78779" w14:textId="11DF2738">
      <w:pPr>
        <w:tabs>
          <w:tab w:val="left" w:pos="548"/>
          <w:tab w:val="left" w:pos="814"/>
        </w:tabs>
        <w:ind w:left="360"/>
        <w:jc w:val="both"/>
        <w:rPr>
          <w:rFonts w:asciiTheme="minorHAnsi" w:hAnsiTheme="minorHAnsi"/>
          <w:sz w:val="22"/>
          <w:szCs w:val="22"/>
        </w:rPr>
      </w:pPr>
      <w:r>
        <w:rPr>
          <w:rFonts w:asciiTheme="minorHAnsi" w:hAnsiTheme="minorHAnsi"/>
          <w:sz w:val="22"/>
          <w:szCs w:val="22"/>
        </w:rPr>
        <w:t>For Module 1 (Grantee Survey), n</w:t>
      </w:r>
      <w:r w:rsidRPr="00B2553B">
        <w:rPr>
          <w:rFonts w:asciiTheme="minorHAnsi" w:hAnsiTheme="minorHAnsi"/>
          <w:sz w:val="22"/>
          <w:szCs w:val="22"/>
        </w:rPr>
        <w:t>o similar data are available for all categories of sources and uses of federal LIHEAP funds.  Without this collection effort, there would be no timely uniform data available to comply with requests from Congress, OMB, and the White House.  Nor would information regarding the impact of program funds be available for the Department’s Annual LIHEAP Report to Congress</w:t>
      </w:r>
      <w:r>
        <w:rPr>
          <w:rFonts w:asciiTheme="minorHAnsi" w:hAnsiTheme="minorHAnsi"/>
          <w:sz w:val="22"/>
          <w:szCs w:val="22"/>
        </w:rPr>
        <w:t xml:space="preserve"> (see </w:t>
      </w:r>
      <w:hyperlink w:history="1" w:anchor="_Attachment_3">
        <w:r w:rsidRPr="00587825">
          <w:rPr>
            <w:rStyle w:val="Hyperlink"/>
            <w:rFonts w:asciiTheme="minorHAnsi" w:hAnsiTheme="minorHAnsi"/>
            <w:sz w:val="22"/>
            <w:szCs w:val="22"/>
          </w:rPr>
          <w:t>Attachment 3</w:t>
        </w:r>
      </w:hyperlink>
      <w:r>
        <w:rPr>
          <w:rFonts w:asciiTheme="minorHAnsi" w:hAnsiTheme="minorHAnsi"/>
          <w:sz w:val="22"/>
          <w:szCs w:val="22"/>
        </w:rPr>
        <w:t xml:space="preserve">, </w:t>
      </w:r>
      <w:r>
        <w:rPr>
          <w:rFonts w:asciiTheme="minorHAnsi" w:hAnsiTheme="minorHAnsi"/>
          <w:sz w:val="22"/>
          <w:szCs w:val="22"/>
        </w:rPr>
        <w:lastRenderedPageBreak/>
        <w:t>Section I)</w:t>
      </w:r>
      <w:r w:rsidRPr="00B2553B">
        <w:rPr>
          <w:rFonts w:asciiTheme="minorHAnsi" w:hAnsiTheme="minorHAnsi"/>
          <w:sz w:val="22"/>
          <w:szCs w:val="22"/>
        </w:rPr>
        <w:t>, for hearings, and during the appropriations and oversight process.</w:t>
      </w:r>
    </w:p>
    <w:p w:rsidR="008339E8" w:rsidP="008339E8" w:rsidRDefault="008339E8" w14:paraId="52752CDC" w14:textId="77777777">
      <w:pPr>
        <w:tabs>
          <w:tab w:val="left" w:pos="548"/>
          <w:tab w:val="left" w:pos="814"/>
        </w:tabs>
        <w:jc w:val="both"/>
        <w:rPr>
          <w:rFonts w:asciiTheme="minorHAnsi" w:hAnsiTheme="minorHAnsi"/>
          <w:sz w:val="22"/>
          <w:szCs w:val="22"/>
        </w:rPr>
      </w:pPr>
    </w:p>
    <w:p w:rsidR="008339E8" w:rsidP="007B7869" w:rsidRDefault="008339E8" w14:paraId="7446D015" w14:textId="77777777">
      <w:pPr>
        <w:tabs>
          <w:tab w:val="left" w:pos="548"/>
          <w:tab w:val="left" w:pos="814"/>
        </w:tabs>
        <w:ind w:left="360"/>
        <w:jc w:val="both"/>
        <w:rPr>
          <w:rFonts w:asciiTheme="minorHAnsi" w:hAnsiTheme="minorHAnsi"/>
          <w:sz w:val="22"/>
          <w:szCs w:val="22"/>
        </w:rPr>
      </w:pPr>
      <w:r>
        <w:rPr>
          <w:rFonts w:asciiTheme="minorHAnsi" w:hAnsiTheme="minorHAnsi"/>
          <w:sz w:val="22"/>
          <w:szCs w:val="22"/>
        </w:rPr>
        <w:t xml:space="preserve">For Module 2 (LIHEAP Performance Measures), </w:t>
      </w:r>
      <w:r w:rsidRPr="009B5D1B">
        <w:rPr>
          <w:rFonts w:asciiTheme="minorHAnsi" w:hAnsiTheme="minorHAnsi"/>
          <w:sz w:val="22"/>
          <w:szCs w:val="22"/>
        </w:rPr>
        <w:t xml:space="preserve">similar data are available from </w:t>
      </w:r>
      <w:r>
        <w:rPr>
          <w:rFonts w:asciiTheme="minorHAnsi" w:hAnsiTheme="minorHAnsi"/>
          <w:sz w:val="22"/>
          <w:szCs w:val="22"/>
        </w:rPr>
        <w:t>two surveys published by the U.S. Energy Information Administration (EIA): the Residential Energy Consumption Survey (RECS)</w:t>
      </w:r>
      <w:r w:rsidRPr="009B5D1B">
        <w:rPr>
          <w:rFonts w:asciiTheme="minorHAnsi" w:hAnsiTheme="minorHAnsi"/>
          <w:sz w:val="22"/>
          <w:szCs w:val="22"/>
        </w:rPr>
        <w:t xml:space="preserve"> and the State Energy Consumption, Price, and Expenditure Estimates</w:t>
      </w:r>
      <w:r>
        <w:rPr>
          <w:rFonts w:asciiTheme="minorHAnsi" w:hAnsiTheme="minorHAnsi"/>
          <w:sz w:val="22"/>
          <w:szCs w:val="22"/>
        </w:rPr>
        <w:t xml:space="preserve"> (SEDS)</w:t>
      </w:r>
      <w:r w:rsidRPr="009B5D1B">
        <w:rPr>
          <w:rFonts w:asciiTheme="minorHAnsi" w:hAnsiTheme="minorHAnsi"/>
          <w:sz w:val="22"/>
          <w:szCs w:val="22"/>
        </w:rPr>
        <w:t xml:space="preserve">.  </w:t>
      </w:r>
      <w:r>
        <w:rPr>
          <w:rFonts w:asciiTheme="minorHAnsi" w:hAnsiTheme="minorHAnsi"/>
          <w:sz w:val="22"/>
          <w:szCs w:val="22"/>
        </w:rPr>
        <w:t>However, while these surveys provide similar information, neither survey provides adequate data for measuring LIHEAP performance:</w:t>
      </w:r>
    </w:p>
    <w:p w:rsidR="008339E8" w:rsidP="008339E8" w:rsidRDefault="008339E8" w14:paraId="5BA99F80" w14:textId="77777777">
      <w:pPr>
        <w:tabs>
          <w:tab w:val="left" w:pos="548"/>
          <w:tab w:val="left" w:pos="814"/>
        </w:tabs>
        <w:jc w:val="both"/>
        <w:rPr>
          <w:rFonts w:asciiTheme="minorHAnsi" w:hAnsiTheme="minorHAnsi"/>
          <w:sz w:val="22"/>
          <w:szCs w:val="22"/>
        </w:rPr>
      </w:pPr>
    </w:p>
    <w:p w:rsidRPr="00F268A4" w:rsidR="008339E8" w:rsidP="008339E8" w:rsidRDefault="008339E8" w14:paraId="1558E4AB" w14:textId="77777777">
      <w:pPr>
        <w:pStyle w:val="ListParagraph"/>
        <w:widowControl/>
        <w:numPr>
          <w:ilvl w:val="0"/>
          <w:numId w:val="102"/>
        </w:numPr>
        <w:rPr>
          <w:rFonts w:asciiTheme="minorHAnsi" w:hAnsiTheme="minorHAnsi"/>
          <w:sz w:val="22"/>
          <w:szCs w:val="22"/>
        </w:rPr>
      </w:pPr>
      <w:r w:rsidRPr="00F268A4">
        <w:rPr>
          <w:rFonts w:asciiTheme="minorHAnsi" w:hAnsiTheme="minorHAnsi"/>
          <w:sz w:val="22"/>
          <w:szCs w:val="22"/>
        </w:rPr>
        <w:t>RECS – This survey collects utility consumption, energy expenditure, and energy insecurity data for a nationally representative sample of households. However, the RECS data has two limitations that make in inadequate for measuring LIHEAP performance.  First, the RECS can only provide statistics for the nation, Census regions, and Census Division.  Due to RECS sample design, state-level estimates are not available.  Second, the RECS is conducted approximately every five years, limiting the timeliness of the data and prohibiting annual estimates.  Due to these limitations, the RECS is not suitable for annual, state-level LIHEAP performance measurement</w:t>
      </w:r>
      <w:r>
        <w:rPr>
          <w:rFonts w:asciiTheme="minorHAnsi" w:hAnsiTheme="minorHAnsi"/>
          <w:sz w:val="22"/>
          <w:szCs w:val="22"/>
        </w:rPr>
        <w:t>.</w:t>
      </w:r>
    </w:p>
    <w:p w:rsidR="008339E8" w:rsidP="008339E8" w:rsidRDefault="008339E8" w14:paraId="0E492E92" w14:textId="77777777">
      <w:pPr>
        <w:rPr>
          <w:rFonts w:asciiTheme="minorHAnsi" w:hAnsiTheme="minorHAnsi"/>
          <w:sz w:val="22"/>
          <w:szCs w:val="22"/>
        </w:rPr>
      </w:pPr>
    </w:p>
    <w:p w:rsidRPr="00F268A4" w:rsidR="008339E8" w:rsidP="008339E8" w:rsidRDefault="008339E8" w14:paraId="288C3E3A" w14:textId="77777777">
      <w:pPr>
        <w:pStyle w:val="ListParagraph"/>
        <w:numPr>
          <w:ilvl w:val="0"/>
          <w:numId w:val="23"/>
        </w:numPr>
        <w:tabs>
          <w:tab w:val="left" w:pos="814"/>
        </w:tabs>
        <w:jc w:val="both"/>
        <w:rPr>
          <w:rFonts w:asciiTheme="minorHAnsi" w:hAnsiTheme="minorHAnsi"/>
          <w:sz w:val="22"/>
          <w:szCs w:val="22"/>
        </w:rPr>
      </w:pPr>
      <w:r w:rsidRPr="00F268A4">
        <w:rPr>
          <w:rFonts w:asciiTheme="minorHAnsi" w:hAnsiTheme="minorHAnsi"/>
          <w:sz w:val="22"/>
          <w:szCs w:val="22"/>
        </w:rPr>
        <w:t xml:space="preserve">SEDS – This is an annual survey that furnishes information on energy consumption and energy expenditures for a number of different fuels at the state level.  However, the SEDS data cannot furnish any information </w:t>
      </w:r>
      <w:r>
        <w:rPr>
          <w:rFonts w:asciiTheme="minorHAnsi" w:hAnsiTheme="minorHAnsi"/>
          <w:sz w:val="22"/>
          <w:szCs w:val="22"/>
        </w:rPr>
        <w:t xml:space="preserve">on the LIHEAP population and </w:t>
      </w:r>
      <w:r w:rsidRPr="00F268A4">
        <w:rPr>
          <w:rFonts w:asciiTheme="minorHAnsi" w:hAnsiTheme="minorHAnsi"/>
          <w:sz w:val="22"/>
          <w:szCs w:val="22"/>
        </w:rPr>
        <w:t>LIHEAP performance.</w:t>
      </w:r>
    </w:p>
    <w:p w:rsidR="008339E8" w:rsidP="008339E8" w:rsidRDefault="008339E8" w14:paraId="273C10D6" w14:textId="77777777">
      <w:pPr>
        <w:tabs>
          <w:tab w:val="left" w:pos="548"/>
          <w:tab w:val="left" w:pos="814"/>
        </w:tabs>
        <w:jc w:val="both"/>
        <w:rPr>
          <w:rFonts w:asciiTheme="minorHAnsi" w:hAnsiTheme="minorHAnsi"/>
          <w:sz w:val="22"/>
          <w:szCs w:val="22"/>
        </w:rPr>
      </w:pPr>
    </w:p>
    <w:p w:rsidR="009C2DE1" w:rsidP="00022586" w:rsidRDefault="008339E8" w14:paraId="5BF82A71" w14:textId="0B7575DD">
      <w:pPr>
        <w:widowControl/>
        <w:tabs>
          <w:tab w:val="num" w:pos="360"/>
        </w:tabs>
        <w:ind w:left="360"/>
        <w:rPr>
          <w:rFonts w:asciiTheme="minorHAnsi" w:hAnsiTheme="minorHAnsi"/>
          <w:sz w:val="22"/>
          <w:szCs w:val="22"/>
        </w:rPr>
      </w:pPr>
      <w:r>
        <w:rPr>
          <w:rFonts w:asciiTheme="minorHAnsi" w:hAnsiTheme="minorHAnsi"/>
          <w:sz w:val="22"/>
          <w:szCs w:val="22"/>
        </w:rPr>
        <w:t>In summary, while b</w:t>
      </w:r>
      <w:r w:rsidRPr="009B5D1B">
        <w:rPr>
          <w:rFonts w:asciiTheme="minorHAnsi" w:hAnsiTheme="minorHAnsi"/>
          <w:sz w:val="22"/>
          <w:szCs w:val="22"/>
        </w:rPr>
        <w:t xml:space="preserve">oth RECS and SEDS </w:t>
      </w:r>
      <w:r>
        <w:rPr>
          <w:rFonts w:asciiTheme="minorHAnsi" w:hAnsiTheme="minorHAnsi"/>
          <w:sz w:val="22"/>
          <w:szCs w:val="22"/>
        </w:rPr>
        <w:t>provide</w:t>
      </w:r>
      <w:r w:rsidRPr="009B5D1B">
        <w:rPr>
          <w:rFonts w:asciiTheme="minorHAnsi" w:hAnsiTheme="minorHAnsi"/>
          <w:sz w:val="22"/>
          <w:szCs w:val="22"/>
        </w:rPr>
        <w:t xml:space="preserve"> useful information </w:t>
      </w:r>
      <w:r>
        <w:rPr>
          <w:rFonts w:asciiTheme="minorHAnsi" w:hAnsiTheme="minorHAnsi"/>
          <w:sz w:val="22"/>
          <w:szCs w:val="22"/>
        </w:rPr>
        <w:t>that is</w:t>
      </w:r>
      <w:r w:rsidRPr="009B5D1B">
        <w:rPr>
          <w:rFonts w:asciiTheme="minorHAnsi" w:hAnsiTheme="minorHAnsi"/>
          <w:sz w:val="22"/>
          <w:szCs w:val="22"/>
        </w:rPr>
        <w:t xml:space="preserve"> used by OCS for a number of purposes</w:t>
      </w:r>
      <w:r>
        <w:rPr>
          <w:rFonts w:asciiTheme="minorHAnsi" w:hAnsiTheme="minorHAnsi"/>
          <w:sz w:val="22"/>
          <w:szCs w:val="22"/>
        </w:rPr>
        <w:t>,</w:t>
      </w:r>
      <w:r w:rsidRPr="009B5D1B">
        <w:rPr>
          <w:rFonts w:asciiTheme="minorHAnsi" w:hAnsiTheme="minorHAnsi"/>
          <w:sz w:val="22"/>
          <w:szCs w:val="22"/>
        </w:rPr>
        <w:t xml:space="preserve"> neither data source</w:t>
      </w:r>
      <w:r>
        <w:rPr>
          <w:rFonts w:asciiTheme="minorHAnsi" w:hAnsiTheme="minorHAnsi"/>
          <w:sz w:val="22"/>
          <w:szCs w:val="22"/>
        </w:rPr>
        <w:t xml:space="preserve"> can</w:t>
      </w:r>
      <w:r w:rsidRPr="009B5D1B">
        <w:rPr>
          <w:rFonts w:asciiTheme="minorHAnsi" w:hAnsiTheme="minorHAnsi"/>
          <w:sz w:val="22"/>
          <w:szCs w:val="22"/>
        </w:rPr>
        <w:t xml:space="preserve"> furnish information on the annual performance of LIHEAP</w:t>
      </w:r>
      <w:r>
        <w:rPr>
          <w:rFonts w:asciiTheme="minorHAnsi" w:hAnsiTheme="minorHAnsi"/>
          <w:sz w:val="22"/>
          <w:szCs w:val="22"/>
        </w:rPr>
        <w:t xml:space="preserve"> at the state-level</w:t>
      </w:r>
      <w:r w:rsidR="007B7869">
        <w:rPr>
          <w:rFonts w:asciiTheme="minorHAnsi" w:hAnsiTheme="minorHAnsi"/>
          <w:sz w:val="22"/>
          <w:szCs w:val="22"/>
        </w:rPr>
        <w:t>.</w:t>
      </w:r>
    </w:p>
    <w:p w:rsidR="007B7869" w:rsidP="00022586" w:rsidRDefault="007B7869" w14:paraId="34374400" w14:textId="47388DFD">
      <w:pPr>
        <w:widowControl/>
        <w:tabs>
          <w:tab w:val="num" w:pos="360"/>
        </w:tabs>
        <w:ind w:left="360"/>
        <w:rPr>
          <w:rFonts w:asciiTheme="minorHAnsi" w:hAnsiTheme="minorHAnsi"/>
          <w:sz w:val="22"/>
          <w:szCs w:val="22"/>
        </w:rPr>
      </w:pPr>
    </w:p>
    <w:p w:rsidRPr="00772692" w:rsidR="007B7869" w:rsidP="00022586" w:rsidRDefault="007B7869" w14:paraId="5FAC0284" w14:textId="77777777">
      <w:pPr>
        <w:widowControl/>
        <w:tabs>
          <w:tab w:val="num" w:pos="360"/>
        </w:tabs>
        <w:ind w:left="360"/>
        <w:rPr>
          <w:rFonts w:ascii="Times New Roman" w:hAnsi="Times New Roman"/>
          <w:snapToGrid/>
          <w:sz w:val="24"/>
          <w:szCs w:val="24"/>
        </w:rPr>
      </w:pPr>
    </w:p>
    <w:p w:rsidRPr="00390511" w:rsidR="002C3C4F" w:rsidP="00390511" w:rsidRDefault="002C3C4F" w14:paraId="5A812530" w14:textId="77777777">
      <w:pPr>
        <w:widowControl/>
        <w:numPr>
          <w:ilvl w:val="0"/>
          <w:numId w:val="3"/>
        </w:numPr>
        <w:tabs>
          <w:tab w:val="num" w:pos="360"/>
        </w:tabs>
        <w:spacing w:after="120"/>
        <w:ind w:left="360"/>
        <w:rPr>
          <w:rFonts w:ascii="Times New Roman" w:hAnsi="Times New Roman"/>
          <w:b/>
          <w:sz w:val="24"/>
        </w:rPr>
      </w:pPr>
      <w:r w:rsidRPr="00390511">
        <w:rPr>
          <w:rFonts w:ascii="Times New Roman" w:hAnsi="Times New Roman"/>
          <w:b/>
          <w:sz w:val="24"/>
        </w:rPr>
        <w:t>Impact on Small Businesses or Other Small Entities</w:t>
      </w:r>
      <w:r w:rsidRPr="00772692">
        <w:rPr>
          <w:rFonts w:ascii="Times New Roman" w:hAnsi="Times New Roman"/>
          <w:b/>
          <w:snapToGrid/>
          <w:sz w:val="24"/>
          <w:szCs w:val="24"/>
        </w:rPr>
        <w:t xml:space="preserve"> </w:t>
      </w:r>
    </w:p>
    <w:p w:rsidRPr="00390511" w:rsidR="002B6B91" w:rsidP="00390511" w:rsidRDefault="002B6B91" w14:paraId="6D2FCA3D" w14:textId="1567B269">
      <w:pPr>
        <w:tabs>
          <w:tab w:val="left" w:pos="918"/>
          <w:tab w:val="left" w:pos="1188"/>
        </w:tabs>
        <w:ind w:left="360"/>
        <w:jc w:val="both"/>
        <w:rPr>
          <w:rFonts w:ascii="Calibri" w:hAnsi="Calibri"/>
          <w:sz w:val="22"/>
        </w:rPr>
      </w:pPr>
      <w:r w:rsidRPr="00390511">
        <w:rPr>
          <w:rFonts w:ascii="Calibri" w:hAnsi="Calibri"/>
          <w:sz w:val="22"/>
        </w:rPr>
        <w:t xml:space="preserve">There are </w:t>
      </w:r>
      <w:r w:rsidRPr="004F3AFB" w:rsidR="00336AA9">
        <w:rPr>
          <w:rFonts w:asciiTheme="minorHAnsi" w:hAnsiTheme="minorHAnsi"/>
          <w:spacing w:val="-4"/>
          <w:sz w:val="22"/>
          <w:szCs w:val="22"/>
        </w:rPr>
        <w:t>three</w:t>
      </w:r>
      <w:r w:rsidRPr="00390511" w:rsidR="00336AA9">
        <w:rPr>
          <w:rFonts w:ascii="Calibri" w:hAnsi="Calibri"/>
          <w:sz w:val="22"/>
        </w:rPr>
        <w:t xml:space="preserve"> </w:t>
      </w:r>
      <w:r w:rsidRPr="00390511">
        <w:rPr>
          <w:rFonts w:ascii="Calibri" w:hAnsi="Calibri"/>
          <w:sz w:val="22"/>
        </w:rPr>
        <w:t xml:space="preserve">sources of </w:t>
      </w:r>
      <w:r w:rsidRPr="00390511" w:rsidR="00336AA9">
        <w:rPr>
          <w:rFonts w:asciiTheme="minorHAnsi" w:hAnsiTheme="minorHAnsi"/>
          <w:spacing w:val="-4"/>
          <w:sz w:val="22"/>
        </w:rPr>
        <w:t xml:space="preserve">the </w:t>
      </w:r>
      <w:r w:rsidR="00336AA9">
        <w:rPr>
          <w:rFonts w:asciiTheme="minorHAnsi" w:hAnsiTheme="minorHAnsi"/>
          <w:spacing w:val="-4"/>
          <w:sz w:val="22"/>
          <w:szCs w:val="22"/>
        </w:rPr>
        <w:t>additional</w:t>
      </w:r>
      <w:r w:rsidRPr="00390511" w:rsidR="00336AA9">
        <w:rPr>
          <w:rFonts w:asciiTheme="minorHAnsi" w:hAnsiTheme="minorHAnsi"/>
          <w:spacing w:val="-4"/>
          <w:sz w:val="22"/>
        </w:rPr>
        <w:t xml:space="preserve"> data </w:t>
      </w:r>
      <w:r w:rsidR="00336AA9">
        <w:rPr>
          <w:rFonts w:ascii="Calibri" w:hAnsi="Calibri"/>
          <w:snapToGrid/>
          <w:sz w:val="22"/>
          <w:szCs w:val="24"/>
        </w:rPr>
        <w:t>sought–</w:t>
      </w:r>
      <w:r w:rsidRPr="00390511">
        <w:rPr>
          <w:rFonts w:ascii="Calibri" w:hAnsi="Calibri"/>
          <w:sz w:val="22"/>
        </w:rPr>
        <w:t>LIHEAP grantees</w:t>
      </w:r>
      <w:r w:rsidRPr="00390511" w:rsidR="00336AA9">
        <w:rPr>
          <w:rFonts w:ascii="Calibri" w:hAnsi="Calibri"/>
          <w:sz w:val="22"/>
        </w:rPr>
        <w:t xml:space="preserve">, </w:t>
      </w:r>
      <w:r w:rsidRPr="00390511">
        <w:rPr>
          <w:rFonts w:ascii="Calibri" w:hAnsi="Calibri"/>
          <w:sz w:val="22"/>
        </w:rPr>
        <w:t>LIHEAP sub-grantees (i.e., local agencies</w:t>
      </w:r>
      <w:r w:rsidRPr="002B6B91">
        <w:rPr>
          <w:rFonts w:ascii="Calibri" w:hAnsi="Calibri"/>
          <w:snapToGrid/>
          <w:sz w:val="22"/>
          <w:szCs w:val="24"/>
        </w:rPr>
        <w:t>)</w:t>
      </w:r>
      <w:r w:rsidR="00580FF5">
        <w:rPr>
          <w:rFonts w:ascii="Calibri" w:hAnsi="Calibri"/>
          <w:snapToGrid/>
          <w:sz w:val="22"/>
          <w:szCs w:val="24"/>
        </w:rPr>
        <w:t>, a</w:t>
      </w:r>
      <w:r w:rsidR="00336AA9">
        <w:rPr>
          <w:rFonts w:ascii="Calibri" w:hAnsi="Calibri"/>
          <w:snapToGrid/>
          <w:sz w:val="22"/>
          <w:szCs w:val="24"/>
        </w:rPr>
        <w:t>nd</w:t>
      </w:r>
      <w:r w:rsidRPr="00390511" w:rsidR="00336AA9">
        <w:rPr>
          <w:rFonts w:ascii="Calibri" w:hAnsi="Calibri"/>
          <w:sz w:val="22"/>
        </w:rPr>
        <w:t xml:space="preserve"> energy vendors</w:t>
      </w:r>
      <w:r w:rsidR="00336AA9">
        <w:rPr>
          <w:rFonts w:ascii="Calibri" w:hAnsi="Calibri"/>
          <w:snapToGrid/>
          <w:sz w:val="22"/>
          <w:szCs w:val="24"/>
        </w:rPr>
        <w:t xml:space="preserve">. </w:t>
      </w:r>
      <w:r w:rsidRPr="00390511" w:rsidR="00336AA9">
        <w:rPr>
          <w:rFonts w:ascii="Calibri" w:hAnsi="Calibri"/>
          <w:sz w:val="22"/>
        </w:rPr>
        <w:t xml:space="preserve"> </w:t>
      </w:r>
      <w:r w:rsidRPr="00390511">
        <w:rPr>
          <w:rFonts w:ascii="Calibri" w:hAnsi="Calibri"/>
          <w:sz w:val="22"/>
        </w:rPr>
        <w:t xml:space="preserve">LIHEAP sub-grantees are often small community-based organizations. </w:t>
      </w:r>
      <w:r w:rsidR="00336AA9">
        <w:rPr>
          <w:rFonts w:ascii="Calibri" w:hAnsi="Calibri"/>
          <w:snapToGrid/>
          <w:sz w:val="22"/>
          <w:szCs w:val="24"/>
        </w:rPr>
        <w:t xml:space="preserve"> Plus, s</w:t>
      </w:r>
      <w:r w:rsidRPr="002B6B91">
        <w:rPr>
          <w:rFonts w:ascii="Calibri" w:hAnsi="Calibri"/>
          <w:snapToGrid/>
          <w:sz w:val="22"/>
          <w:szCs w:val="24"/>
        </w:rPr>
        <w:t>ome</w:t>
      </w:r>
      <w:r w:rsidRPr="00390511">
        <w:rPr>
          <w:rFonts w:ascii="Calibri" w:hAnsi="Calibri"/>
          <w:sz w:val="22"/>
        </w:rPr>
        <w:t xml:space="preserve"> energy vendors are small businesses.</w:t>
      </w:r>
    </w:p>
    <w:p w:rsidRPr="00390511" w:rsidR="002B6B91" w:rsidP="00390511" w:rsidRDefault="002B6B91" w14:paraId="5D6E7B6C" w14:textId="77777777">
      <w:pPr>
        <w:tabs>
          <w:tab w:val="left" w:pos="-720"/>
          <w:tab w:val="left" w:pos="0"/>
        </w:tabs>
        <w:suppressAutoHyphens/>
        <w:rPr>
          <w:rFonts w:ascii="Calibri" w:hAnsi="Calibri"/>
          <w:sz w:val="22"/>
        </w:rPr>
      </w:pPr>
    </w:p>
    <w:p w:rsidR="00B45FBC" w:rsidP="004F3AFB" w:rsidRDefault="00336AA9" w14:paraId="5AC7D81D" w14:textId="46341580">
      <w:pPr>
        <w:tabs>
          <w:tab w:val="left" w:pos="918"/>
          <w:tab w:val="left" w:pos="1188"/>
        </w:tabs>
        <w:ind w:left="360"/>
        <w:jc w:val="both"/>
        <w:rPr>
          <w:rFonts w:ascii="Calibri" w:hAnsi="Calibri"/>
          <w:snapToGrid/>
          <w:sz w:val="22"/>
          <w:szCs w:val="24"/>
        </w:rPr>
      </w:pPr>
      <w:r w:rsidRPr="002B6B91">
        <w:rPr>
          <w:rFonts w:ascii="Calibri" w:hAnsi="Calibri"/>
          <w:snapToGrid/>
          <w:sz w:val="22"/>
          <w:szCs w:val="24"/>
        </w:rPr>
        <w:t xml:space="preserve">LIHEAP grantees </w:t>
      </w:r>
      <w:r>
        <w:rPr>
          <w:rFonts w:ascii="Calibri" w:hAnsi="Calibri"/>
          <w:snapToGrid/>
          <w:sz w:val="22"/>
          <w:szCs w:val="24"/>
        </w:rPr>
        <w:t xml:space="preserve">consist solely of states, including the District of Columbia; certain territories; and certain Indian tribes and tribal </w:t>
      </w:r>
      <w:r w:rsidRPr="004F3AFB">
        <w:rPr>
          <w:rFonts w:asciiTheme="minorHAnsi" w:hAnsiTheme="minorHAnsi"/>
          <w:spacing w:val="-4"/>
          <w:sz w:val="22"/>
          <w:szCs w:val="22"/>
        </w:rPr>
        <w:t>organizations</w:t>
      </w:r>
      <w:r>
        <w:rPr>
          <w:rFonts w:ascii="Calibri" w:hAnsi="Calibri"/>
          <w:snapToGrid/>
          <w:sz w:val="22"/>
          <w:szCs w:val="24"/>
        </w:rPr>
        <w:t xml:space="preserve">.  </w:t>
      </w:r>
      <w:r w:rsidR="000F21C0">
        <w:rPr>
          <w:rFonts w:ascii="Calibri" w:hAnsi="Calibri"/>
          <w:snapToGrid/>
          <w:sz w:val="22"/>
          <w:szCs w:val="24"/>
        </w:rPr>
        <w:t xml:space="preserve">Only the states and the District of Columbia complete the LPDF.  </w:t>
      </w:r>
      <w:r>
        <w:rPr>
          <w:rFonts w:ascii="Calibri" w:hAnsi="Calibri"/>
          <w:snapToGrid/>
          <w:sz w:val="22"/>
          <w:szCs w:val="24"/>
        </w:rPr>
        <w:t xml:space="preserve">None of </w:t>
      </w:r>
      <w:r w:rsidR="000F21C0">
        <w:rPr>
          <w:rFonts w:ascii="Calibri" w:hAnsi="Calibri"/>
          <w:snapToGrid/>
          <w:sz w:val="22"/>
          <w:szCs w:val="24"/>
        </w:rPr>
        <w:t xml:space="preserve">those </w:t>
      </w:r>
      <w:r>
        <w:rPr>
          <w:rFonts w:ascii="Calibri" w:hAnsi="Calibri"/>
          <w:snapToGrid/>
          <w:sz w:val="22"/>
          <w:szCs w:val="24"/>
        </w:rPr>
        <w:t>entities is a small business.</w:t>
      </w:r>
    </w:p>
    <w:p w:rsidR="00B45FBC" w:rsidP="002B6B91" w:rsidRDefault="00B45FBC" w14:paraId="7BC74143" w14:textId="77777777">
      <w:pPr>
        <w:tabs>
          <w:tab w:val="left" w:pos="-720"/>
          <w:tab w:val="left" w:pos="0"/>
        </w:tabs>
        <w:suppressAutoHyphens/>
        <w:rPr>
          <w:rFonts w:ascii="Calibri" w:hAnsi="Calibri"/>
          <w:snapToGrid/>
          <w:sz w:val="22"/>
          <w:szCs w:val="24"/>
        </w:rPr>
      </w:pPr>
    </w:p>
    <w:p w:rsidRPr="00390511" w:rsidR="002B6B91" w:rsidP="00390511" w:rsidRDefault="00B45FBC" w14:paraId="7281C269" w14:textId="7E5F81E8">
      <w:pPr>
        <w:tabs>
          <w:tab w:val="left" w:pos="918"/>
          <w:tab w:val="left" w:pos="1188"/>
        </w:tabs>
        <w:ind w:left="360"/>
        <w:jc w:val="both"/>
        <w:rPr>
          <w:rFonts w:ascii="Calibri" w:hAnsi="Calibri"/>
          <w:sz w:val="22"/>
        </w:rPr>
      </w:pPr>
      <w:r>
        <w:rPr>
          <w:rFonts w:ascii="Calibri" w:hAnsi="Calibri"/>
          <w:snapToGrid/>
          <w:sz w:val="22"/>
          <w:szCs w:val="24"/>
        </w:rPr>
        <w:t>LIHEAP sub-</w:t>
      </w:r>
      <w:r w:rsidRPr="004F3AFB">
        <w:rPr>
          <w:rFonts w:asciiTheme="minorHAnsi" w:hAnsiTheme="minorHAnsi"/>
          <w:spacing w:val="-4"/>
          <w:sz w:val="22"/>
          <w:szCs w:val="22"/>
        </w:rPr>
        <w:t>grantees</w:t>
      </w:r>
      <w:r>
        <w:rPr>
          <w:rFonts w:ascii="Calibri" w:hAnsi="Calibri"/>
          <w:snapToGrid/>
          <w:sz w:val="22"/>
          <w:szCs w:val="24"/>
        </w:rPr>
        <w:t xml:space="preserve"> often consist of </w:t>
      </w:r>
      <w:r w:rsidRPr="002B6B91" w:rsidR="002B6B91">
        <w:rPr>
          <w:rFonts w:ascii="Calibri" w:hAnsi="Calibri"/>
          <w:snapToGrid/>
          <w:sz w:val="22"/>
          <w:szCs w:val="24"/>
        </w:rPr>
        <w:t>small</w:t>
      </w:r>
      <w:r>
        <w:rPr>
          <w:rFonts w:ascii="Calibri" w:hAnsi="Calibri"/>
          <w:snapToGrid/>
          <w:sz w:val="22"/>
          <w:szCs w:val="24"/>
        </w:rPr>
        <w:t>,</w:t>
      </w:r>
      <w:r w:rsidRPr="00390511" w:rsidR="002B6B91">
        <w:rPr>
          <w:rFonts w:ascii="Calibri" w:hAnsi="Calibri"/>
          <w:sz w:val="22"/>
        </w:rPr>
        <w:t xml:space="preserve"> community-based organizations</w:t>
      </w:r>
      <w:r w:rsidRPr="002B6B91" w:rsidR="002B6B91">
        <w:rPr>
          <w:rFonts w:ascii="Calibri" w:hAnsi="Calibri"/>
          <w:snapToGrid/>
          <w:sz w:val="22"/>
          <w:szCs w:val="24"/>
        </w:rPr>
        <w:t xml:space="preserve">. </w:t>
      </w:r>
      <w:r>
        <w:rPr>
          <w:rFonts w:ascii="Calibri" w:hAnsi="Calibri"/>
          <w:snapToGrid/>
          <w:sz w:val="22"/>
          <w:szCs w:val="24"/>
        </w:rPr>
        <w:t>Prior to FFY 2020</w:t>
      </w:r>
      <w:r w:rsidRPr="00390511">
        <w:rPr>
          <w:rFonts w:ascii="Calibri" w:hAnsi="Calibri"/>
          <w:sz w:val="22"/>
        </w:rPr>
        <w:t xml:space="preserve">, </w:t>
      </w:r>
      <w:r w:rsidRPr="00390511" w:rsidR="002B6B91">
        <w:rPr>
          <w:rFonts w:ascii="Calibri" w:hAnsi="Calibri"/>
          <w:sz w:val="22"/>
        </w:rPr>
        <w:t>LIHEAP sub-</w:t>
      </w:r>
      <w:r w:rsidRPr="00390511" w:rsidR="002B6B91">
        <w:rPr>
          <w:rFonts w:ascii="Calibri" w:hAnsi="Calibri"/>
          <w:sz w:val="22"/>
        </w:rPr>
        <w:lastRenderedPageBreak/>
        <w:t xml:space="preserve">grantees </w:t>
      </w:r>
      <w:r>
        <w:rPr>
          <w:rFonts w:ascii="Calibri" w:hAnsi="Calibri"/>
          <w:snapToGrid/>
          <w:sz w:val="22"/>
          <w:szCs w:val="24"/>
        </w:rPr>
        <w:t>we</w:t>
      </w:r>
      <w:r w:rsidRPr="002B6B91" w:rsidR="002B6B91">
        <w:rPr>
          <w:rFonts w:ascii="Calibri" w:hAnsi="Calibri"/>
          <w:snapToGrid/>
          <w:sz w:val="22"/>
          <w:szCs w:val="24"/>
        </w:rPr>
        <w:t>re</w:t>
      </w:r>
      <w:r w:rsidRPr="00390511" w:rsidR="002B6B91">
        <w:rPr>
          <w:rFonts w:ascii="Calibri" w:hAnsi="Calibri"/>
          <w:sz w:val="22"/>
        </w:rPr>
        <w:t xml:space="preserve"> expected</w:t>
      </w:r>
      <w:r>
        <w:rPr>
          <w:rFonts w:ascii="Calibri" w:hAnsi="Calibri"/>
          <w:snapToGrid/>
          <w:sz w:val="22"/>
          <w:szCs w:val="24"/>
        </w:rPr>
        <w:t>, i</w:t>
      </w:r>
      <w:r w:rsidRPr="002B6B91">
        <w:rPr>
          <w:rFonts w:ascii="Calibri" w:hAnsi="Calibri"/>
          <w:snapToGrid/>
          <w:sz w:val="22"/>
          <w:szCs w:val="24"/>
        </w:rPr>
        <w:t>n the</w:t>
      </w:r>
      <w:r>
        <w:rPr>
          <w:rFonts w:ascii="Calibri" w:hAnsi="Calibri"/>
          <w:snapToGrid/>
          <w:sz w:val="22"/>
          <w:szCs w:val="24"/>
        </w:rPr>
        <w:t>ir</w:t>
      </w:r>
      <w:r w:rsidRPr="002B6B91">
        <w:rPr>
          <w:rFonts w:ascii="Calibri" w:hAnsi="Calibri"/>
          <w:snapToGrid/>
          <w:sz w:val="22"/>
          <w:szCs w:val="24"/>
        </w:rPr>
        <w:t xml:space="preserve"> normal course of </w:t>
      </w:r>
      <w:r>
        <w:rPr>
          <w:rFonts w:ascii="Calibri" w:hAnsi="Calibri"/>
          <w:snapToGrid/>
          <w:sz w:val="22"/>
          <w:szCs w:val="24"/>
        </w:rPr>
        <w:t>business,</w:t>
      </w:r>
      <w:r w:rsidRPr="002B6B91" w:rsidR="002B6B91">
        <w:rPr>
          <w:rFonts w:ascii="Calibri" w:hAnsi="Calibri"/>
          <w:snapToGrid/>
          <w:sz w:val="22"/>
          <w:szCs w:val="24"/>
        </w:rPr>
        <w:t xml:space="preserve"> to </w:t>
      </w:r>
      <w:r>
        <w:rPr>
          <w:rFonts w:ascii="Calibri" w:hAnsi="Calibri"/>
          <w:snapToGrid/>
          <w:sz w:val="22"/>
          <w:szCs w:val="24"/>
        </w:rPr>
        <w:t xml:space="preserve">track LIHEAP funds by federal fiscal year, source, and use.  For FFY 2020, OCS required their primary grantees to track funds appropriated by the CARES Act and otherwise. </w:t>
      </w:r>
      <w:r w:rsidRPr="002B6B91" w:rsidR="002B6B91">
        <w:rPr>
          <w:rFonts w:ascii="Calibri" w:hAnsi="Calibri"/>
          <w:snapToGrid/>
          <w:sz w:val="22"/>
          <w:szCs w:val="24"/>
        </w:rPr>
        <w:t xml:space="preserve"> </w:t>
      </w:r>
      <w:r>
        <w:rPr>
          <w:rFonts w:ascii="Calibri" w:hAnsi="Calibri"/>
          <w:snapToGrid/>
          <w:sz w:val="22"/>
          <w:szCs w:val="24"/>
        </w:rPr>
        <w:t xml:space="preserve">OCS expects their primary grantees to flow down this requirement to the LIHEAP </w:t>
      </w:r>
      <w:r w:rsidRPr="00390511">
        <w:rPr>
          <w:rFonts w:ascii="Calibri" w:hAnsi="Calibri"/>
          <w:sz w:val="22"/>
        </w:rPr>
        <w:t>sub-grantees</w:t>
      </w:r>
      <w:r>
        <w:rPr>
          <w:rFonts w:ascii="Calibri" w:hAnsi="Calibri"/>
          <w:snapToGrid/>
          <w:sz w:val="22"/>
          <w:szCs w:val="24"/>
        </w:rPr>
        <w:t>.</w:t>
      </w:r>
    </w:p>
    <w:p w:rsidRPr="00390511" w:rsidR="002B6B91" w:rsidP="00390511" w:rsidRDefault="002B6B91" w14:paraId="770C30B9" w14:textId="77777777">
      <w:pPr>
        <w:tabs>
          <w:tab w:val="left" w:pos="-720"/>
          <w:tab w:val="left" w:pos="0"/>
        </w:tabs>
        <w:suppressAutoHyphens/>
        <w:rPr>
          <w:rFonts w:ascii="Calibri" w:hAnsi="Calibri"/>
          <w:sz w:val="22"/>
        </w:rPr>
      </w:pPr>
    </w:p>
    <w:p w:rsidRPr="00390511" w:rsidR="002B6B91" w:rsidP="00390511" w:rsidRDefault="00B45FBC" w14:paraId="29B62FB4" w14:textId="05E602AD">
      <w:pPr>
        <w:tabs>
          <w:tab w:val="left" w:pos="918"/>
          <w:tab w:val="left" w:pos="1188"/>
        </w:tabs>
        <w:ind w:left="360"/>
        <w:jc w:val="both"/>
        <w:rPr>
          <w:rFonts w:ascii="Calibri" w:hAnsi="Calibri"/>
          <w:sz w:val="22"/>
        </w:rPr>
      </w:pPr>
      <w:r>
        <w:rPr>
          <w:rFonts w:ascii="Calibri" w:hAnsi="Calibri"/>
          <w:snapToGrid/>
          <w:sz w:val="22"/>
          <w:szCs w:val="24"/>
        </w:rPr>
        <w:t xml:space="preserve">Certain </w:t>
      </w:r>
      <w:r w:rsidRPr="00390511">
        <w:rPr>
          <w:rFonts w:ascii="Calibri" w:hAnsi="Calibri"/>
          <w:sz w:val="22"/>
        </w:rPr>
        <w:t xml:space="preserve">energy vendors </w:t>
      </w:r>
      <w:r>
        <w:rPr>
          <w:rFonts w:ascii="Calibri" w:hAnsi="Calibri"/>
          <w:sz w:val="22"/>
          <w:szCs w:val="24"/>
        </w:rPr>
        <w:t>consist of</w:t>
      </w:r>
      <w:r w:rsidRPr="00390511">
        <w:rPr>
          <w:rFonts w:ascii="Calibri" w:hAnsi="Calibri"/>
          <w:sz w:val="22"/>
        </w:rPr>
        <w:t xml:space="preserve"> small businesses. </w:t>
      </w:r>
      <w:r>
        <w:rPr>
          <w:rFonts w:ascii="Calibri" w:hAnsi="Calibri"/>
          <w:sz w:val="22"/>
          <w:szCs w:val="24"/>
        </w:rPr>
        <w:t xml:space="preserve"> Prior</w:t>
      </w:r>
      <w:r w:rsidRPr="00390511">
        <w:rPr>
          <w:rFonts w:ascii="Calibri" w:hAnsi="Calibri"/>
          <w:sz w:val="22"/>
        </w:rPr>
        <w:t xml:space="preserve"> to </w:t>
      </w:r>
      <w:r>
        <w:rPr>
          <w:rFonts w:ascii="Calibri" w:hAnsi="Calibri"/>
          <w:snapToGrid/>
          <w:sz w:val="22"/>
          <w:szCs w:val="24"/>
        </w:rPr>
        <w:t>FFY 2020,</w:t>
      </w:r>
      <w:r w:rsidRPr="00390511">
        <w:rPr>
          <w:rFonts w:ascii="Calibri" w:hAnsi="Calibri"/>
          <w:sz w:val="22"/>
        </w:rPr>
        <w:t xml:space="preserve"> LIHEAP </w:t>
      </w:r>
      <w:r w:rsidRPr="002B6B91">
        <w:rPr>
          <w:rFonts w:ascii="Calibri" w:hAnsi="Calibri"/>
          <w:snapToGrid/>
          <w:sz w:val="22"/>
          <w:szCs w:val="24"/>
        </w:rPr>
        <w:t xml:space="preserve">grantees </w:t>
      </w:r>
      <w:r>
        <w:rPr>
          <w:rFonts w:ascii="Calibri" w:hAnsi="Calibri"/>
          <w:snapToGrid/>
          <w:sz w:val="22"/>
          <w:szCs w:val="24"/>
        </w:rPr>
        <w:t xml:space="preserve">and </w:t>
      </w:r>
      <w:r w:rsidRPr="00390511">
        <w:rPr>
          <w:rFonts w:ascii="Calibri" w:hAnsi="Calibri"/>
          <w:sz w:val="22"/>
        </w:rPr>
        <w:t xml:space="preserve">LIHEAP </w:t>
      </w:r>
      <w:r w:rsidRPr="002B6B91">
        <w:rPr>
          <w:rFonts w:ascii="Calibri" w:hAnsi="Calibri"/>
          <w:snapToGrid/>
          <w:sz w:val="22"/>
          <w:szCs w:val="24"/>
        </w:rPr>
        <w:t>sub-</w:t>
      </w:r>
      <w:r w:rsidRPr="00390511">
        <w:rPr>
          <w:rFonts w:ascii="Calibri" w:hAnsi="Calibri"/>
          <w:sz w:val="22"/>
        </w:rPr>
        <w:t xml:space="preserve">grantees </w:t>
      </w:r>
      <w:r>
        <w:rPr>
          <w:rFonts w:ascii="Calibri" w:hAnsi="Calibri"/>
          <w:snapToGrid/>
          <w:sz w:val="22"/>
          <w:szCs w:val="24"/>
        </w:rPr>
        <w:t xml:space="preserve">required them to track LIHEAP funds by federal fiscal year, source, and use.  For FFY 2020, OCS expects them also to track funds appropriated by the CARES Act and otherwise.  However, OCS believes that this additional </w:t>
      </w:r>
      <w:r w:rsidR="00B5099D">
        <w:rPr>
          <w:rFonts w:ascii="Calibri" w:hAnsi="Calibri"/>
          <w:snapToGrid/>
          <w:sz w:val="22"/>
          <w:szCs w:val="24"/>
        </w:rPr>
        <w:t xml:space="preserve">requirement will require no more than a minor </w:t>
      </w:r>
      <w:r w:rsidRPr="004F3AFB" w:rsidR="00B5099D">
        <w:rPr>
          <w:rFonts w:asciiTheme="minorHAnsi" w:hAnsiTheme="minorHAnsi"/>
          <w:spacing w:val="-4"/>
          <w:sz w:val="22"/>
          <w:szCs w:val="22"/>
        </w:rPr>
        <w:t>adjustment</w:t>
      </w:r>
      <w:r w:rsidR="00B5099D">
        <w:rPr>
          <w:rFonts w:ascii="Calibri" w:hAnsi="Calibri"/>
          <w:snapToGrid/>
          <w:sz w:val="22"/>
          <w:szCs w:val="24"/>
        </w:rPr>
        <w:t xml:space="preserve"> to their existing tracking</w:t>
      </w:r>
      <w:r w:rsidRPr="00390511" w:rsidR="00B5099D">
        <w:rPr>
          <w:rFonts w:ascii="Calibri" w:hAnsi="Calibri"/>
          <w:sz w:val="22"/>
        </w:rPr>
        <w:t xml:space="preserve"> systems</w:t>
      </w:r>
      <w:r w:rsidR="00B5099D">
        <w:rPr>
          <w:rFonts w:ascii="Calibri" w:hAnsi="Calibri"/>
          <w:snapToGrid/>
          <w:sz w:val="22"/>
          <w:szCs w:val="24"/>
        </w:rPr>
        <w:t>.</w:t>
      </w:r>
    </w:p>
    <w:p w:rsidR="004F457B" w:rsidP="00390511" w:rsidRDefault="004F457B" w14:paraId="527F8A95" w14:textId="6844AA86">
      <w:pPr>
        <w:tabs>
          <w:tab w:val="left" w:pos="-720"/>
          <w:tab w:val="left" w:pos="0"/>
        </w:tabs>
        <w:suppressAutoHyphens/>
        <w:ind w:left="720" w:hanging="720"/>
        <w:rPr>
          <w:b/>
          <w:sz w:val="24"/>
          <w:highlight w:val="yellow"/>
        </w:rPr>
      </w:pPr>
    </w:p>
    <w:p w:rsidRPr="00390511" w:rsidR="00C26405" w:rsidP="00390511" w:rsidRDefault="00C26405" w14:paraId="2D4ED23D" w14:textId="77777777">
      <w:pPr>
        <w:tabs>
          <w:tab w:val="left" w:pos="-720"/>
          <w:tab w:val="left" w:pos="0"/>
        </w:tabs>
        <w:suppressAutoHyphens/>
        <w:ind w:left="720" w:hanging="720"/>
        <w:rPr>
          <w:b/>
          <w:sz w:val="24"/>
          <w:highlight w:val="yellow"/>
        </w:rPr>
      </w:pPr>
    </w:p>
    <w:p w:rsidRPr="00390511" w:rsidR="002C3C4F" w:rsidP="00390511" w:rsidRDefault="002C3C4F" w14:paraId="6374389D" w14:textId="220905F7">
      <w:pPr>
        <w:widowControl/>
        <w:numPr>
          <w:ilvl w:val="0"/>
          <w:numId w:val="3"/>
        </w:numPr>
        <w:tabs>
          <w:tab w:val="num" w:pos="360"/>
        </w:tabs>
        <w:spacing w:after="120"/>
        <w:ind w:left="360"/>
        <w:rPr>
          <w:rFonts w:ascii="Times New Roman" w:hAnsi="Times New Roman"/>
          <w:b/>
          <w:sz w:val="24"/>
        </w:rPr>
      </w:pPr>
      <w:r w:rsidRPr="00390511">
        <w:rPr>
          <w:rFonts w:ascii="Times New Roman" w:hAnsi="Times New Roman"/>
          <w:b/>
          <w:sz w:val="24"/>
        </w:rPr>
        <w:t>Consequences of Collecting the Information Less Frequently</w:t>
      </w:r>
      <w:r w:rsidRPr="00772692">
        <w:rPr>
          <w:rFonts w:ascii="Times New Roman" w:hAnsi="Times New Roman"/>
          <w:b/>
          <w:snapToGrid/>
          <w:sz w:val="24"/>
          <w:szCs w:val="24"/>
        </w:rPr>
        <w:t xml:space="preserve"> </w:t>
      </w:r>
    </w:p>
    <w:p w:rsidR="007B7869" w:rsidP="006D5275" w:rsidRDefault="00D57CEF" w14:paraId="569F622C" w14:textId="538BE4F6">
      <w:pPr>
        <w:tabs>
          <w:tab w:val="left" w:pos="918"/>
          <w:tab w:val="left" w:pos="1188"/>
        </w:tabs>
        <w:ind w:left="360"/>
        <w:jc w:val="both"/>
        <w:rPr>
          <w:rFonts w:ascii="Calibri" w:hAnsi="Calibri"/>
          <w:sz w:val="22"/>
        </w:rPr>
      </w:pPr>
      <w:r w:rsidRPr="00390511">
        <w:rPr>
          <w:rFonts w:ascii="Calibri" w:hAnsi="Calibri"/>
          <w:sz w:val="22"/>
        </w:rPr>
        <w:t xml:space="preserve">OCS </w:t>
      </w:r>
      <w:r w:rsidR="007B7869">
        <w:rPr>
          <w:rFonts w:asciiTheme="minorHAnsi" w:hAnsiTheme="minorHAnsi"/>
          <w:sz w:val="22"/>
          <w:szCs w:val="22"/>
        </w:rPr>
        <w:t>uses these forms</w:t>
      </w:r>
      <w:r w:rsidR="004A02E0">
        <w:rPr>
          <w:rFonts w:asciiTheme="minorHAnsi" w:hAnsiTheme="minorHAnsi"/>
          <w:sz w:val="22"/>
          <w:szCs w:val="22"/>
        </w:rPr>
        <w:t xml:space="preserve"> to</w:t>
      </w:r>
      <w:r w:rsidRPr="009B5D1B" w:rsidR="009B5D1B">
        <w:rPr>
          <w:rFonts w:asciiTheme="minorHAnsi" w:hAnsiTheme="minorHAnsi"/>
          <w:sz w:val="22"/>
          <w:szCs w:val="22"/>
        </w:rPr>
        <w:t xml:space="preserve"> </w:t>
      </w:r>
      <w:r w:rsidRPr="00390511">
        <w:rPr>
          <w:rFonts w:ascii="Calibri" w:hAnsi="Calibri"/>
          <w:sz w:val="22"/>
        </w:rPr>
        <w:t xml:space="preserve">collect </w:t>
      </w:r>
      <w:r w:rsidRPr="009B5D1B" w:rsidR="009B5D1B">
        <w:rPr>
          <w:rFonts w:asciiTheme="minorHAnsi" w:hAnsiTheme="minorHAnsi"/>
          <w:sz w:val="22"/>
          <w:szCs w:val="22"/>
        </w:rPr>
        <w:t xml:space="preserve">this </w:t>
      </w:r>
      <w:r w:rsidRPr="00390511">
        <w:rPr>
          <w:rFonts w:ascii="Calibri" w:hAnsi="Calibri"/>
          <w:sz w:val="22"/>
        </w:rPr>
        <w:t>information</w:t>
      </w:r>
      <w:r w:rsidRPr="00390511" w:rsidR="00C0672C">
        <w:rPr>
          <w:rFonts w:ascii="Calibri" w:hAnsi="Calibri"/>
          <w:sz w:val="22"/>
        </w:rPr>
        <w:t xml:space="preserve"> </w:t>
      </w:r>
      <w:r w:rsidRPr="009B5D1B" w:rsidR="009B5D1B">
        <w:rPr>
          <w:rFonts w:asciiTheme="minorHAnsi" w:hAnsiTheme="minorHAnsi"/>
          <w:sz w:val="22"/>
          <w:szCs w:val="22"/>
        </w:rPr>
        <w:t>annually, on a continuous basis.</w:t>
      </w:r>
      <w:r w:rsidRPr="00390511" w:rsidR="00C0672C">
        <w:rPr>
          <w:rFonts w:ascii="Calibri" w:hAnsi="Calibri"/>
          <w:sz w:val="22"/>
        </w:rPr>
        <w:t xml:space="preserve">  </w:t>
      </w:r>
      <w:r w:rsidRPr="00390511">
        <w:rPr>
          <w:rFonts w:ascii="Calibri" w:hAnsi="Calibri"/>
          <w:sz w:val="22"/>
        </w:rPr>
        <w:t xml:space="preserve">This </w:t>
      </w:r>
      <w:r w:rsidR="007B7869">
        <w:rPr>
          <w:rFonts w:ascii="Calibri" w:hAnsi="Calibri"/>
          <w:sz w:val="22"/>
        </w:rPr>
        <w:t>information</w:t>
      </w:r>
      <w:r w:rsidRPr="00390511">
        <w:rPr>
          <w:rFonts w:ascii="Calibri" w:hAnsi="Calibri"/>
          <w:sz w:val="22"/>
        </w:rPr>
        <w:t xml:space="preserve"> allow</w:t>
      </w:r>
      <w:r w:rsidR="007B7869">
        <w:rPr>
          <w:rFonts w:ascii="Calibri" w:hAnsi="Calibri"/>
          <w:sz w:val="22"/>
        </w:rPr>
        <w:t>s</w:t>
      </w:r>
      <w:r w:rsidRPr="00390511">
        <w:rPr>
          <w:rFonts w:ascii="Calibri" w:hAnsi="Calibri"/>
          <w:sz w:val="22"/>
        </w:rPr>
        <w:t xml:space="preserve"> OCS</w:t>
      </w:r>
      <w:r w:rsidRPr="009B5D1B" w:rsidR="009B5D1B">
        <w:rPr>
          <w:rFonts w:asciiTheme="minorHAnsi" w:hAnsiTheme="minorHAnsi"/>
          <w:sz w:val="22"/>
          <w:szCs w:val="22"/>
        </w:rPr>
        <w:t xml:space="preserve"> and its</w:t>
      </w:r>
      <w:r w:rsidRPr="00390511" w:rsidR="00C0672C">
        <w:rPr>
          <w:rFonts w:ascii="Calibri" w:hAnsi="Calibri"/>
          <w:sz w:val="22"/>
        </w:rPr>
        <w:t xml:space="preserve"> </w:t>
      </w:r>
      <w:r w:rsidRPr="00390511">
        <w:rPr>
          <w:rFonts w:ascii="Calibri" w:hAnsi="Calibri"/>
          <w:sz w:val="22"/>
        </w:rPr>
        <w:t>grantees</w:t>
      </w:r>
      <w:r w:rsidRPr="00390511" w:rsidR="00C0672C">
        <w:rPr>
          <w:rFonts w:ascii="Calibri" w:hAnsi="Calibri"/>
          <w:sz w:val="22"/>
        </w:rPr>
        <w:t xml:space="preserve">, </w:t>
      </w:r>
      <w:r w:rsidRPr="009B5D1B" w:rsidR="009B5D1B">
        <w:rPr>
          <w:rFonts w:asciiTheme="minorHAnsi" w:hAnsiTheme="minorHAnsi"/>
          <w:sz w:val="22"/>
          <w:szCs w:val="22"/>
        </w:rPr>
        <w:t xml:space="preserve">as well as Congress </w:t>
      </w:r>
      <w:r w:rsidRPr="00390511" w:rsidR="00C0672C">
        <w:rPr>
          <w:rFonts w:ascii="Calibri" w:hAnsi="Calibri"/>
          <w:sz w:val="22"/>
        </w:rPr>
        <w:t xml:space="preserve">and </w:t>
      </w:r>
      <w:r w:rsidRPr="00390511">
        <w:rPr>
          <w:rFonts w:ascii="Calibri" w:hAnsi="Calibri"/>
          <w:sz w:val="22"/>
        </w:rPr>
        <w:t>other decision-makers and stakeholders</w:t>
      </w:r>
      <w:r w:rsidRPr="009B5D1B" w:rsidR="009B5D1B">
        <w:rPr>
          <w:rFonts w:asciiTheme="minorHAnsi" w:hAnsiTheme="minorHAnsi"/>
          <w:sz w:val="22"/>
          <w:szCs w:val="22"/>
        </w:rPr>
        <w:t>,</w:t>
      </w:r>
      <w:r w:rsidRPr="00390511">
        <w:rPr>
          <w:rFonts w:ascii="Calibri" w:hAnsi="Calibri"/>
          <w:sz w:val="22"/>
        </w:rPr>
        <w:t xml:space="preserve"> to </w:t>
      </w:r>
      <w:r w:rsidR="007B7869">
        <w:rPr>
          <w:rFonts w:ascii="Calibri" w:hAnsi="Calibri"/>
          <w:sz w:val="22"/>
        </w:rPr>
        <w:t xml:space="preserve">(1) </w:t>
      </w:r>
      <w:r w:rsidRPr="00390511">
        <w:rPr>
          <w:rFonts w:ascii="Calibri" w:hAnsi="Calibri"/>
          <w:sz w:val="22"/>
        </w:rPr>
        <w:t xml:space="preserve">understand how grantees use </w:t>
      </w:r>
      <w:r w:rsidR="004A02E0">
        <w:rPr>
          <w:rFonts w:asciiTheme="minorHAnsi" w:hAnsiTheme="minorHAnsi"/>
          <w:sz w:val="22"/>
          <w:szCs w:val="22"/>
        </w:rPr>
        <w:t xml:space="preserve">federal LIHEAP </w:t>
      </w:r>
      <w:r w:rsidRPr="00390511">
        <w:rPr>
          <w:rFonts w:ascii="Calibri" w:hAnsi="Calibri"/>
          <w:sz w:val="22"/>
        </w:rPr>
        <w:t>funds</w:t>
      </w:r>
      <w:r w:rsidR="007B7869">
        <w:rPr>
          <w:rFonts w:ascii="Calibri" w:hAnsi="Calibri"/>
          <w:sz w:val="22"/>
        </w:rPr>
        <w:t>; (2) cross-validate the figures that appear on both forms; and (3)</w:t>
      </w:r>
      <w:r w:rsidR="004A02E0">
        <w:rPr>
          <w:rFonts w:asciiTheme="minorHAnsi" w:hAnsiTheme="minorHAnsi"/>
          <w:sz w:val="22"/>
          <w:szCs w:val="22"/>
        </w:rPr>
        <w:t xml:space="preserve"> track </w:t>
      </w:r>
      <w:r w:rsidR="002C0501">
        <w:rPr>
          <w:rFonts w:asciiTheme="minorHAnsi" w:hAnsiTheme="minorHAnsi"/>
          <w:sz w:val="22"/>
          <w:szCs w:val="22"/>
        </w:rPr>
        <w:t xml:space="preserve">the grantees’ usage </w:t>
      </w:r>
      <w:r w:rsidR="004A02E0">
        <w:rPr>
          <w:rFonts w:asciiTheme="minorHAnsi" w:hAnsiTheme="minorHAnsi"/>
          <w:sz w:val="22"/>
          <w:szCs w:val="22"/>
        </w:rPr>
        <w:t xml:space="preserve">of </w:t>
      </w:r>
      <w:r w:rsidR="002C0501">
        <w:rPr>
          <w:rFonts w:asciiTheme="minorHAnsi" w:hAnsiTheme="minorHAnsi"/>
          <w:sz w:val="22"/>
          <w:szCs w:val="22"/>
        </w:rPr>
        <w:t xml:space="preserve">their </w:t>
      </w:r>
      <w:r w:rsidRPr="00390511" w:rsidR="00DA6001">
        <w:rPr>
          <w:rFonts w:ascii="Calibri" w:hAnsi="Calibri"/>
          <w:sz w:val="22"/>
        </w:rPr>
        <w:t>funds</w:t>
      </w:r>
      <w:r w:rsidRPr="00390511" w:rsidR="00C0672C">
        <w:rPr>
          <w:rFonts w:ascii="Calibri" w:hAnsi="Calibri"/>
          <w:sz w:val="22"/>
        </w:rPr>
        <w:t>.</w:t>
      </w:r>
      <w:r w:rsidR="00390511">
        <w:rPr>
          <w:rFonts w:ascii="Calibri" w:hAnsi="Calibri"/>
          <w:sz w:val="22"/>
        </w:rPr>
        <w:t xml:space="preserve"> </w:t>
      </w:r>
    </w:p>
    <w:p w:rsidR="007B7869" w:rsidP="006D5275" w:rsidRDefault="007B7869" w14:paraId="20862F11" w14:textId="43E435CB">
      <w:pPr>
        <w:tabs>
          <w:tab w:val="left" w:pos="918"/>
          <w:tab w:val="left" w:pos="1188"/>
        </w:tabs>
        <w:ind w:left="360"/>
        <w:jc w:val="both"/>
        <w:rPr>
          <w:rFonts w:ascii="Calibri" w:hAnsi="Calibri"/>
          <w:sz w:val="22"/>
        </w:rPr>
      </w:pPr>
    </w:p>
    <w:p w:rsidR="00C26405" w:rsidP="006D5275" w:rsidRDefault="00C26405" w14:paraId="24F0791A" w14:textId="38629172">
      <w:pPr>
        <w:tabs>
          <w:tab w:val="left" w:pos="918"/>
          <w:tab w:val="left" w:pos="1188"/>
        </w:tabs>
        <w:ind w:left="360"/>
        <w:jc w:val="both"/>
        <w:rPr>
          <w:rFonts w:ascii="Calibri" w:hAnsi="Calibri"/>
          <w:sz w:val="22"/>
        </w:rPr>
      </w:pPr>
    </w:p>
    <w:p w:rsidR="00C26405" w:rsidP="006D5275" w:rsidRDefault="00C26405" w14:paraId="38728254" w14:textId="77777777">
      <w:pPr>
        <w:tabs>
          <w:tab w:val="left" w:pos="918"/>
          <w:tab w:val="left" w:pos="1188"/>
        </w:tabs>
        <w:ind w:left="360"/>
        <w:jc w:val="both"/>
        <w:rPr>
          <w:rFonts w:ascii="Calibri" w:hAnsi="Calibri"/>
          <w:sz w:val="22"/>
        </w:rPr>
      </w:pPr>
    </w:p>
    <w:p w:rsidR="007B7869" w:rsidP="00C26405" w:rsidRDefault="007B7869" w14:paraId="6289EF20" w14:textId="4BC2F043">
      <w:pPr>
        <w:tabs>
          <w:tab w:val="left" w:pos="918"/>
          <w:tab w:val="left" w:pos="1188"/>
        </w:tabs>
        <w:spacing w:after="120"/>
        <w:ind w:left="360"/>
        <w:jc w:val="both"/>
        <w:rPr>
          <w:rFonts w:ascii="Calibri" w:hAnsi="Calibri"/>
          <w:sz w:val="22"/>
        </w:rPr>
      </w:pPr>
      <w:r>
        <w:rPr>
          <w:rFonts w:asciiTheme="minorHAnsi" w:hAnsiTheme="minorHAnsi"/>
          <w:i/>
          <w:sz w:val="22"/>
          <w:szCs w:val="22"/>
        </w:rPr>
        <w:t>Change Request Updates December 2020 – CARES Act Funds</w:t>
      </w:r>
    </w:p>
    <w:p w:rsidRPr="006D5275" w:rsidR="00390511" w:rsidP="006D5275" w:rsidRDefault="00390511" w14:paraId="475CBA05" w14:textId="55B76D80">
      <w:pPr>
        <w:tabs>
          <w:tab w:val="left" w:pos="918"/>
          <w:tab w:val="left" w:pos="1188"/>
        </w:tabs>
        <w:ind w:left="360"/>
        <w:jc w:val="both"/>
        <w:rPr>
          <w:rFonts w:ascii="Calibri" w:hAnsi="Calibri"/>
          <w:snapToGrid/>
          <w:sz w:val="22"/>
          <w:szCs w:val="24"/>
        </w:rPr>
      </w:pPr>
      <w:r>
        <w:rPr>
          <w:rFonts w:ascii="Calibri" w:hAnsi="Calibri"/>
          <w:sz w:val="22"/>
        </w:rPr>
        <w:t xml:space="preserve">The updates through this nonsubstantive change request will allow </w:t>
      </w:r>
      <w:r w:rsidR="006D5275">
        <w:rPr>
          <w:rFonts w:ascii="Calibri" w:hAnsi="Calibri"/>
          <w:sz w:val="22"/>
        </w:rPr>
        <w:t xml:space="preserve">for understanding of how grantees use CARES Act and non-CARES Act funds. </w:t>
      </w:r>
      <w:r>
        <w:rPr>
          <w:rFonts w:ascii="Calibri" w:hAnsi="Calibri"/>
          <w:sz w:val="22"/>
        </w:rPr>
        <w:t xml:space="preserve">OCS plans to </w:t>
      </w:r>
      <w:r w:rsidRPr="00390511">
        <w:rPr>
          <w:rFonts w:ascii="Calibri" w:hAnsi="Calibri"/>
          <w:sz w:val="22"/>
        </w:rPr>
        <w:t>collect</w:t>
      </w:r>
      <w:r>
        <w:rPr>
          <w:rFonts w:ascii="Calibri" w:hAnsi="Calibri"/>
          <w:sz w:val="22"/>
        </w:rPr>
        <w:t xml:space="preserve"> </w:t>
      </w:r>
      <w:r w:rsidR="00513554">
        <w:rPr>
          <w:rFonts w:ascii="Calibri" w:hAnsi="Calibri"/>
          <w:sz w:val="22"/>
        </w:rPr>
        <w:t xml:space="preserve">CARES Act </w:t>
      </w:r>
      <w:r w:rsidRPr="00390511">
        <w:rPr>
          <w:rFonts w:ascii="Calibri" w:hAnsi="Calibri"/>
          <w:sz w:val="22"/>
        </w:rPr>
        <w:t xml:space="preserve">information </w:t>
      </w:r>
      <w:r>
        <w:rPr>
          <w:rFonts w:ascii="Calibri" w:hAnsi="Calibri"/>
          <w:sz w:val="22"/>
        </w:rPr>
        <w:t xml:space="preserve">through the amended forms </w:t>
      </w:r>
      <w:r>
        <w:rPr>
          <w:rFonts w:ascii="Calibri" w:hAnsi="Calibri"/>
          <w:snapToGrid/>
          <w:sz w:val="22"/>
          <w:szCs w:val="24"/>
        </w:rPr>
        <w:t>for FFY 2020 and FFY 2021.</w:t>
      </w:r>
      <w:r w:rsidRPr="00390511">
        <w:rPr>
          <w:rFonts w:ascii="Calibri" w:hAnsi="Calibri"/>
          <w:sz w:val="22"/>
        </w:rPr>
        <w:t xml:space="preserve">  This will allow OCS</w:t>
      </w:r>
      <w:r>
        <w:rPr>
          <w:rFonts w:ascii="Calibri" w:hAnsi="Calibri"/>
          <w:sz w:val="22"/>
          <w:szCs w:val="24"/>
        </w:rPr>
        <w:t>,</w:t>
      </w:r>
      <w:r w:rsidRPr="00D57CEF">
        <w:rPr>
          <w:rFonts w:ascii="Calibri" w:hAnsi="Calibri"/>
          <w:sz w:val="22"/>
          <w:szCs w:val="24"/>
        </w:rPr>
        <w:t xml:space="preserve"> </w:t>
      </w:r>
      <w:r>
        <w:rPr>
          <w:rFonts w:ascii="Calibri" w:hAnsi="Calibri"/>
          <w:sz w:val="22"/>
          <w:szCs w:val="24"/>
        </w:rPr>
        <w:t>LIHEAP</w:t>
      </w:r>
      <w:r w:rsidRPr="00390511">
        <w:rPr>
          <w:rFonts w:ascii="Calibri" w:hAnsi="Calibri"/>
          <w:sz w:val="22"/>
        </w:rPr>
        <w:t xml:space="preserve"> grantees, and other decision-makers and stakeholders to understand how grantees use </w:t>
      </w:r>
      <w:r>
        <w:rPr>
          <w:rFonts w:ascii="Calibri" w:hAnsi="Calibri"/>
          <w:sz w:val="22"/>
          <w:szCs w:val="24"/>
        </w:rPr>
        <w:t xml:space="preserve">CARES Act and non-CARES Act </w:t>
      </w:r>
      <w:r w:rsidRPr="00390511">
        <w:rPr>
          <w:rFonts w:ascii="Calibri" w:hAnsi="Calibri"/>
          <w:sz w:val="22"/>
        </w:rPr>
        <w:t xml:space="preserve">funds </w:t>
      </w:r>
      <w:r>
        <w:rPr>
          <w:rFonts w:ascii="Calibri" w:hAnsi="Calibri"/>
          <w:sz w:val="22"/>
          <w:szCs w:val="24"/>
        </w:rPr>
        <w:t>for</w:t>
      </w:r>
      <w:r w:rsidRPr="00390511">
        <w:rPr>
          <w:rFonts w:ascii="Calibri" w:hAnsi="Calibri"/>
          <w:sz w:val="22"/>
        </w:rPr>
        <w:t xml:space="preserve"> LIHEAP</w:t>
      </w:r>
      <w:r>
        <w:rPr>
          <w:rFonts w:ascii="Calibri" w:hAnsi="Calibri"/>
          <w:sz w:val="22"/>
          <w:szCs w:val="24"/>
        </w:rPr>
        <w:t>.</w:t>
      </w:r>
      <w:r w:rsidR="006D5275">
        <w:rPr>
          <w:rFonts w:ascii="Calibri" w:hAnsi="Calibri"/>
          <w:snapToGrid/>
          <w:sz w:val="22"/>
          <w:szCs w:val="24"/>
        </w:rPr>
        <w:t xml:space="preserve"> </w:t>
      </w:r>
      <w:r w:rsidR="00513554">
        <w:rPr>
          <w:rFonts w:ascii="Calibri" w:hAnsi="Calibri"/>
          <w:snapToGrid/>
          <w:sz w:val="22"/>
          <w:szCs w:val="24"/>
        </w:rPr>
        <w:t xml:space="preserve">It will also allow OCS to </w:t>
      </w:r>
      <w:r w:rsidRPr="00C0672C">
        <w:rPr>
          <w:rFonts w:ascii="Calibri" w:hAnsi="Calibri"/>
          <w:snapToGrid/>
          <w:sz w:val="22"/>
          <w:szCs w:val="24"/>
        </w:rPr>
        <w:t>validat</w:t>
      </w:r>
      <w:r w:rsidR="00513554">
        <w:rPr>
          <w:rFonts w:ascii="Calibri" w:hAnsi="Calibri"/>
          <w:snapToGrid/>
          <w:sz w:val="22"/>
          <w:szCs w:val="24"/>
        </w:rPr>
        <w:t>e</w:t>
      </w:r>
      <w:r w:rsidRPr="00C0672C">
        <w:rPr>
          <w:rFonts w:ascii="Calibri" w:hAnsi="Calibri"/>
          <w:snapToGrid/>
          <w:sz w:val="22"/>
          <w:szCs w:val="24"/>
        </w:rPr>
        <w:t xml:space="preserve"> the </w:t>
      </w:r>
      <w:r>
        <w:rPr>
          <w:rFonts w:ascii="Calibri" w:hAnsi="Calibri"/>
          <w:snapToGrid/>
          <w:sz w:val="22"/>
          <w:szCs w:val="24"/>
        </w:rPr>
        <w:t xml:space="preserve">grantees’ reports of </w:t>
      </w:r>
      <w:r w:rsidRPr="00390511">
        <w:rPr>
          <w:rFonts w:ascii="Calibri" w:hAnsi="Calibri"/>
          <w:sz w:val="22"/>
        </w:rPr>
        <w:t>funds</w:t>
      </w:r>
      <w:r>
        <w:rPr>
          <w:rFonts w:ascii="Calibri" w:hAnsi="Calibri"/>
          <w:snapToGrid/>
          <w:sz w:val="22"/>
          <w:szCs w:val="24"/>
        </w:rPr>
        <w:t xml:space="preserve"> carried over</w:t>
      </w:r>
      <w:r w:rsidRPr="00390511">
        <w:rPr>
          <w:rFonts w:ascii="Calibri" w:hAnsi="Calibri"/>
          <w:sz w:val="22"/>
        </w:rPr>
        <w:t xml:space="preserve"> and </w:t>
      </w:r>
      <w:r>
        <w:rPr>
          <w:rFonts w:ascii="Calibri" w:hAnsi="Calibri"/>
          <w:snapToGrid/>
          <w:sz w:val="22"/>
          <w:szCs w:val="24"/>
        </w:rPr>
        <w:t xml:space="preserve">returned on the </w:t>
      </w:r>
      <w:r w:rsidRPr="00C0672C">
        <w:rPr>
          <w:rFonts w:ascii="Calibri" w:hAnsi="Calibri"/>
          <w:snapToGrid/>
          <w:sz w:val="22"/>
          <w:szCs w:val="24"/>
        </w:rPr>
        <w:t>Carryover Report</w:t>
      </w:r>
      <w:r>
        <w:rPr>
          <w:rFonts w:ascii="Calibri" w:hAnsi="Calibri"/>
          <w:snapToGrid/>
          <w:sz w:val="22"/>
          <w:szCs w:val="24"/>
        </w:rPr>
        <w:t xml:space="preserve">.  </w:t>
      </w:r>
      <w:r w:rsidR="00513554">
        <w:rPr>
          <w:rFonts w:ascii="Calibri" w:hAnsi="Calibri"/>
          <w:snapToGrid/>
          <w:sz w:val="22"/>
          <w:szCs w:val="24"/>
        </w:rPr>
        <w:t xml:space="preserve">The </w:t>
      </w:r>
      <w:r>
        <w:rPr>
          <w:rFonts w:ascii="Calibri" w:hAnsi="Calibri"/>
          <w:snapToGrid/>
          <w:sz w:val="22"/>
          <w:szCs w:val="24"/>
        </w:rPr>
        <w:t>failure</w:t>
      </w:r>
      <w:r w:rsidRPr="00390511">
        <w:rPr>
          <w:rFonts w:ascii="Calibri" w:hAnsi="Calibri"/>
          <w:sz w:val="22"/>
        </w:rPr>
        <w:t xml:space="preserve"> </w:t>
      </w:r>
      <w:r w:rsidR="00513554">
        <w:rPr>
          <w:rFonts w:ascii="Calibri" w:hAnsi="Calibri"/>
          <w:sz w:val="22"/>
        </w:rPr>
        <w:t xml:space="preserve">to collect this data will keep these parties </w:t>
      </w:r>
      <w:r w:rsidRPr="00390511">
        <w:rPr>
          <w:rFonts w:ascii="Calibri" w:hAnsi="Calibri"/>
          <w:sz w:val="22"/>
        </w:rPr>
        <w:t xml:space="preserve">from </w:t>
      </w:r>
      <w:r w:rsidRPr="00C0672C">
        <w:rPr>
          <w:rFonts w:ascii="Calibri" w:hAnsi="Calibri"/>
          <w:snapToGrid/>
          <w:sz w:val="22"/>
          <w:szCs w:val="24"/>
        </w:rPr>
        <w:t xml:space="preserve">reporting on </w:t>
      </w:r>
      <w:r w:rsidR="00513554">
        <w:rPr>
          <w:rFonts w:ascii="Calibri" w:hAnsi="Calibri"/>
          <w:snapToGrid/>
          <w:sz w:val="22"/>
          <w:szCs w:val="24"/>
        </w:rPr>
        <w:t xml:space="preserve">such </w:t>
      </w:r>
      <w:r w:rsidRPr="00C0672C">
        <w:rPr>
          <w:rFonts w:ascii="Calibri" w:hAnsi="Calibri"/>
          <w:snapToGrid/>
          <w:sz w:val="22"/>
          <w:szCs w:val="24"/>
        </w:rPr>
        <w:t>us</w:t>
      </w:r>
      <w:r w:rsidR="00513554">
        <w:rPr>
          <w:rFonts w:ascii="Calibri" w:hAnsi="Calibri"/>
          <w:snapToGrid/>
          <w:sz w:val="22"/>
          <w:szCs w:val="24"/>
        </w:rPr>
        <w:t>age and carrying out such validations</w:t>
      </w:r>
      <w:r w:rsidRPr="00390511">
        <w:rPr>
          <w:rFonts w:ascii="Calibri" w:hAnsi="Calibri"/>
          <w:sz w:val="22"/>
        </w:rPr>
        <w:t>.</w:t>
      </w:r>
    </w:p>
    <w:p w:rsidRPr="00390511" w:rsidR="00390511" w:rsidP="00390511" w:rsidRDefault="00390511" w14:paraId="25C1C9A3" w14:textId="77777777">
      <w:pPr>
        <w:tabs>
          <w:tab w:val="left" w:pos="918"/>
          <w:tab w:val="left" w:pos="1188"/>
        </w:tabs>
        <w:ind w:left="360"/>
        <w:jc w:val="both"/>
        <w:rPr>
          <w:rFonts w:ascii="Calibri" w:hAnsi="Calibri"/>
          <w:sz w:val="22"/>
        </w:rPr>
      </w:pPr>
    </w:p>
    <w:p w:rsidRPr="00390511" w:rsidR="00D60543" w:rsidP="00390511" w:rsidRDefault="00D60543" w14:paraId="456E0DAC" w14:textId="1AA43A05">
      <w:pPr>
        <w:tabs>
          <w:tab w:val="left" w:pos="-720"/>
          <w:tab w:val="left" w:pos="0"/>
        </w:tabs>
        <w:suppressAutoHyphens/>
        <w:rPr>
          <w:rFonts w:ascii="Calibri" w:hAnsi="Calibri"/>
          <w:sz w:val="22"/>
        </w:rPr>
      </w:pPr>
    </w:p>
    <w:p w:rsidRPr="00390511" w:rsidR="002C3C4F" w:rsidP="00390511" w:rsidRDefault="002C3C4F" w14:paraId="16AA9585" w14:textId="0862FB94">
      <w:pPr>
        <w:widowControl/>
        <w:numPr>
          <w:ilvl w:val="0"/>
          <w:numId w:val="3"/>
        </w:numPr>
        <w:tabs>
          <w:tab w:val="num" w:pos="360"/>
        </w:tabs>
        <w:spacing w:after="120"/>
        <w:ind w:left="360"/>
        <w:rPr>
          <w:rFonts w:ascii="Times New Roman" w:hAnsi="Times New Roman"/>
          <w:b/>
          <w:sz w:val="24"/>
        </w:rPr>
      </w:pPr>
      <w:r w:rsidRPr="00390511">
        <w:rPr>
          <w:rFonts w:ascii="Times New Roman" w:hAnsi="Times New Roman"/>
          <w:b/>
          <w:sz w:val="24"/>
        </w:rPr>
        <w:t>Special Circumstances Relating to the Guidelines of 5 CFR 1320.5</w:t>
      </w:r>
      <w:r w:rsidRPr="00772692">
        <w:rPr>
          <w:rFonts w:ascii="Times New Roman" w:hAnsi="Times New Roman"/>
          <w:b/>
          <w:snapToGrid/>
          <w:sz w:val="24"/>
          <w:szCs w:val="24"/>
        </w:rPr>
        <w:t xml:space="preserve"> </w:t>
      </w:r>
    </w:p>
    <w:p w:rsidRPr="00390511" w:rsidR="004F457B" w:rsidP="00390511" w:rsidRDefault="008F5419" w14:paraId="47E5FE80" w14:textId="50F1C3F8">
      <w:pPr>
        <w:tabs>
          <w:tab w:val="left" w:pos="918"/>
          <w:tab w:val="left" w:pos="1188"/>
        </w:tabs>
        <w:ind w:left="360"/>
        <w:jc w:val="both"/>
        <w:rPr>
          <w:rFonts w:ascii="Calibri" w:hAnsi="Calibri"/>
          <w:sz w:val="22"/>
        </w:rPr>
      </w:pPr>
      <w:r w:rsidRPr="00390511">
        <w:rPr>
          <w:rFonts w:ascii="Calibri" w:hAnsi="Calibri"/>
          <w:sz w:val="22"/>
        </w:rPr>
        <w:t xml:space="preserve">No special </w:t>
      </w:r>
      <w:r w:rsidRPr="00390511">
        <w:rPr>
          <w:rFonts w:asciiTheme="minorHAnsi" w:hAnsiTheme="minorHAnsi"/>
          <w:spacing w:val="-4"/>
          <w:sz w:val="22"/>
        </w:rPr>
        <w:t>circumstances</w:t>
      </w:r>
      <w:r w:rsidRPr="00390511">
        <w:rPr>
          <w:rFonts w:ascii="Calibri" w:hAnsi="Calibri"/>
          <w:sz w:val="22"/>
        </w:rPr>
        <w:t xml:space="preserve"> apply to this data collection.</w:t>
      </w:r>
    </w:p>
    <w:p w:rsidR="00DE529D" w:rsidP="00390511" w:rsidRDefault="00DE529D" w14:paraId="2CFEBB22" w14:textId="1BFEA809">
      <w:pPr>
        <w:widowControl/>
        <w:tabs>
          <w:tab w:val="num" w:pos="360"/>
        </w:tabs>
        <w:ind w:left="360"/>
        <w:rPr>
          <w:rFonts w:ascii="Times New Roman" w:hAnsi="Times New Roman"/>
          <w:sz w:val="24"/>
        </w:rPr>
      </w:pPr>
    </w:p>
    <w:p w:rsidRPr="00390511" w:rsidR="00C26405" w:rsidP="00390511" w:rsidRDefault="00C26405" w14:paraId="13811ABE" w14:textId="77777777">
      <w:pPr>
        <w:widowControl/>
        <w:tabs>
          <w:tab w:val="num" w:pos="360"/>
        </w:tabs>
        <w:ind w:left="360"/>
        <w:rPr>
          <w:rFonts w:ascii="Times New Roman" w:hAnsi="Times New Roman"/>
          <w:sz w:val="24"/>
        </w:rPr>
      </w:pPr>
    </w:p>
    <w:p w:rsidRPr="00390511" w:rsidR="0051278C" w:rsidP="00390511" w:rsidRDefault="002C3C4F" w14:paraId="435DD2BB" w14:textId="450DD593">
      <w:pPr>
        <w:widowControl/>
        <w:numPr>
          <w:ilvl w:val="0"/>
          <w:numId w:val="3"/>
        </w:numPr>
        <w:tabs>
          <w:tab w:val="num" w:pos="360"/>
        </w:tabs>
        <w:spacing w:after="120"/>
        <w:ind w:left="360"/>
        <w:rPr>
          <w:rFonts w:ascii="Times New Roman" w:hAnsi="Times New Roman"/>
          <w:b/>
          <w:sz w:val="24"/>
        </w:rPr>
      </w:pPr>
      <w:r w:rsidRPr="00390511">
        <w:rPr>
          <w:rFonts w:ascii="Times New Roman" w:hAnsi="Times New Roman"/>
          <w:b/>
          <w:sz w:val="24"/>
        </w:rPr>
        <w:t>Comments in Response to the Federal Register Notice and Efforts to Consult Outside the Agency</w:t>
      </w:r>
      <w:r w:rsidRPr="00772692">
        <w:rPr>
          <w:rFonts w:ascii="Times New Roman" w:hAnsi="Times New Roman"/>
          <w:b/>
          <w:snapToGrid/>
          <w:sz w:val="24"/>
          <w:szCs w:val="24"/>
        </w:rPr>
        <w:t xml:space="preserve"> </w:t>
      </w:r>
    </w:p>
    <w:p w:rsidR="00CC0A11" w:rsidP="00390511" w:rsidRDefault="009B5D1B" w14:paraId="4465850C" w14:textId="749B7DC1">
      <w:pPr>
        <w:tabs>
          <w:tab w:val="left" w:pos="918"/>
          <w:tab w:val="left" w:pos="1188"/>
        </w:tabs>
        <w:ind w:left="360"/>
        <w:jc w:val="both"/>
        <w:rPr>
          <w:rFonts w:asciiTheme="minorHAnsi" w:hAnsiTheme="minorHAnsi"/>
          <w:color w:val="000000" w:themeColor="text1"/>
          <w:sz w:val="22"/>
          <w:szCs w:val="22"/>
        </w:rPr>
      </w:pPr>
      <w:r w:rsidRPr="009B5D1B">
        <w:rPr>
          <w:rFonts w:asciiTheme="minorHAnsi" w:hAnsiTheme="minorHAnsi"/>
          <w:sz w:val="22"/>
          <w:szCs w:val="22"/>
        </w:rPr>
        <w:t xml:space="preserve">A 60-day notice was published on pages </w:t>
      </w:r>
      <w:r w:rsidRPr="004A02E0" w:rsidR="004A02E0">
        <w:rPr>
          <w:rFonts w:asciiTheme="minorHAnsi" w:hAnsiTheme="minorHAnsi"/>
          <w:sz w:val="22"/>
          <w:szCs w:val="22"/>
        </w:rPr>
        <w:t>47211-47212</w:t>
      </w:r>
      <w:r w:rsidR="00CC0A11">
        <w:rPr>
          <w:rFonts w:asciiTheme="minorHAnsi" w:hAnsiTheme="minorHAnsi"/>
          <w:sz w:val="22"/>
          <w:szCs w:val="22"/>
        </w:rPr>
        <w:t xml:space="preserve"> of </w:t>
      </w:r>
      <w:r w:rsidRPr="009B5D1B">
        <w:rPr>
          <w:rFonts w:asciiTheme="minorHAnsi" w:hAnsiTheme="minorHAnsi"/>
          <w:sz w:val="22"/>
          <w:szCs w:val="22"/>
        </w:rPr>
        <w:t>the Federal Register</w:t>
      </w:r>
      <w:r w:rsidRPr="00CC0A11" w:rsidR="00CC0A11">
        <w:rPr>
          <w:rFonts w:asciiTheme="minorHAnsi" w:hAnsiTheme="minorHAnsi"/>
          <w:sz w:val="22"/>
          <w:szCs w:val="22"/>
        </w:rPr>
        <w:t xml:space="preserve"> </w:t>
      </w:r>
      <w:r w:rsidRPr="009B5D1B" w:rsidR="00CC0A11">
        <w:rPr>
          <w:rFonts w:asciiTheme="minorHAnsi" w:hAnsiTheme="minorHAnsi"/>
          <w:sz w:val="22"/>
          <w:szCs w:val="22"/>
        </w:rPr>
        <w:t xml:space="preserve">on </w:t>
      </w:r>
      <w:r w:rsidR="00CC0A11">
        <w:rPr>
          <w:rFonts w:asciiTheme="minorHAnsi" w:hAnsiTheme="minorHAnsi"/>
          <w:sz w:val="22"/>
          <w:szCs w:val="22"/>
        </w:rPr>
        <w:t>October 11</w:t>
      </w:r>
      <w:r w:rsidRPr="009B5D1B" w:rsidR="00CC0A11">
        <w:rPr>
          <w:rFonts w:asciiTheme="minorHAnsi" w:hAnsiTheme="minorHAnsi"/>
          <w:sz w:val="22"/>
          <w:szCs w:val="22"/>
        </w:rPr>
        <w:t>, 201</w:t>
      </w:r>
      <w:r w:rsidR="00CC0A11">
        <w:rPr>
          <w:rFonts w:asciiTheme="minorHAnsi" w:hAnsiTheme="minorHAnsi"/>
          <w:sz w:val="22"/>
          <w:szCs w:val="22"/>
        </w:rPr>
        <w:t>7</w:t>
      </w:r>
      <w:r w:rsidRPr="009B5D1B">
        <w:rPr>
          <w:rFonts w:asciiTheme="minorHAnsi" w:hAnsiTheme="minorHAnsi"/>
          <w:sz w:val="22"/>
          <w:szCs w:val="22"/>
        </w:rPr>
        <w:t xml:space="preserve"> (see </w:t>
      </w:r>
      <w:hyperlink w:history="1" w:anchor="_Attachment_4">
        <w:r w:rsidRPr="00587825">
          <w:rPr>
            <w:rStyle w:val="Hyperlink"/>
            <w:rFonts w:asciiTheme="minorHAnsi" w:hAnsiTheme="minorHAnsi"/>
            <w:sz w:val="22"/>
            <w:szCs w:val="22"/>
          </w:rPr>
          <w:t xml:space="preserve">Attachment </w:t>
        </w:r>
        <w:r w:rsidRPr="00587825" w:rsidR="00387192">
          <w:rPr>
            <w:rStyle w:val="Hyperlink"/>
            <w:rFonts w:asciiTheme="minorHAnsi" w:hAnsiTheme="minorHAnsi"/>
            <w:sz w:val="22"/>
            <w:szCs w:val="22"/>
          </w:rPr>
          <w:t>4</w:t>
        </w:r>
      </w:hyperlink>
      <w:r w:rsidRPr="009B5D1B">
        <w:rPr>
          <w:rFonts w:asciiTheme="minorHAnsi" w:hAnsiTheme="minorHAnsi"/>
          <w:sz w:val="22"/>
          <w:szCs w:val="22"/>
        </w:rPr>
        <w:t>).</w:t>
      </w:r>
      <w:r w:rsidR="00CC0A11">
        <w:rPr>
          <w:rFonts w:asciiTheme="minorHAnsi" w:hAnsiTheme="minorHAnsi"/>
          <w:sz w:val="22"/>
          <w:szCs w:val="22"/>
        </w:rPr>
        <w:t xml:space="preserve"> </w:t>
      </w:r>
      <w:r w:rsidRPr="009B5D1B" w:rsidR="00CC0A11">
        <w:rPr>
          <w:rFonts w:asciiTheme="minorHAnsi" w:hAnsiTheme="minorHAnsi"/>
          <w:sz w:val="22"/>
          <w:szCs w:val="22"/>
        </w:rPr>
        <w:t xml:space="preserve"> OCS </w:t>
      </w:r>
      <w:r w:rsidR="00CC0A11">
        <w:rPr>
          <w:rFonts w:asciiTheme="minorHAnsi" w:hAnsiTheme="minorHAnsi"/>
          <w:sz w:val="22"/>
          <w:szCs w:val="22"/>
        </w:rPr>
        <w:t>did not receive comments during this timeframe.</w:t>
      </w:r>
    </w:p>
    <w:p w:rsidR="00022586" w:rsidP="00390511" w:rsidRDefault="00022586" w14:paraId="2EDB417E" w14:textId="5AEBAAB6">
      <w:pPr>
        <w:widowControl/>
        <w:tabs>
          <w:tab w:val="num" w:pos="360"/>
        </w:tabs>
        <w:ind w:left="360"/>
      </w:pPr>
    </w:p>
    <w:p w:rsidRPr="00593756" w:rsidR="00C26405" w:rsidP="00390511" w:rsidRDefault="00C26405" w14:paraId="1E00F118" w14:textId="77777777">
      <w:pPr>
        <w:widowControl/>
        <w:tabs>
          <w:tab w:val="num" w:pos="360"/>
        </w:tabs>
        <w:ind w:left="360"/>
      </w:pPr>
    </w:p>
    <w:p w:rsidRPr="00390511" w:rsidR="002C3C4F" w:rsidP="00390511" w:rsidRDefault="002C3C4F" w14:paraId="2C6C564B" w14:textId="0C3455FE">
      <w:pPr>
        <w:widowControl/>
        <w:numPr>
          <w:ilvl w:val="0"/>
          <w:numId w:val="3"/>
        </w:numPr>
        <w:tabs>
          <w:tab w:val="num" w:pos="360"/>
        </w:tabs>
        <w:spacing w:after="120"/>
        <w:ind w:left="360"/>
        <w:rPr>
          <w:rFonts w:ascii="Times New Roman" w:hAnsi="Times New Roman"/>
          <w:b/>
          <w:sz w:val="24"/>
        </w:rPr>
      </w:pPr>
      <w:r w:rsidRPr="00390511">
        <w:rPr>
          <w:rFonts w:ascii="Times New Roman" w:hAnsi="Times New Roman"/>
          <w:b/>
          <w:sz w:val="24"/>
        </w:rPr>
        <w:t xml:space="preserve">Explanation of Any Payment or Gift to Respondents </w:t>
      </w:r>
    </w:p>
    <w:p w:rsidRPr="008D0F7E" w:rsidR="004F457B" w:rsidP="00390511" w:rsidRDefault="008D0F7E" w14:paraId="5B019FB6" w14:textId="22303AE4">
      <w:pPr>
        <w:tabs>
          <w:tab w:val="left" w:pos="918"/>
          <w:tab w:val="left" w:pos="1188"/>
        </w:tabs>
        <w:ind w:left="360"/>
        <w:jc w:val="both"/>
        <w:rPr>
          <w:rFonts w:asciiTheme="minorHAnsi" w:hAnsiTheme="minorHAnsi"/>
          <w:sz w:val="22"/>
          <w:szCs w:val="22"/>
        </w:rPr>
      </w:pPr>
      <w:r w:rsidRPr="008D0F7E">
        <w:rPr>
          <w:rFonts w:asciiTheme="minorHAnsi" w:hAnsiTheme="minorHAnsi"/>
          <w:sz w:val="22"/>
          <w:szCs w:val="22"/>
        </w:rPr>
        <w:t>No payments or gifts of any kind will be provided to respondents.</w:t>
      </w:r>
    </w:p>
    <w:p w:rsidR="004F457B" w:rsidP="00390511" w:rsidRDefault="004F457B" w14:paraId="363854F8" w14:textId="6FDF5657">
      <w:pPr>
        <w:tabs>
          <w:tab w:val="left" w:pos="-720"/>
        </w:tabs>
        <w:suppressAutoHyphens/>
        <w:rPr>
          <w:sz w:val="24"/>
          <w:highlight w:val="yellow"/>
        </w:rPr>
      </w:pPr>
    </w:p>
    <w:p w:rsidRPr="00390511" w:rsidR="00C26405" w:rsidP="00390511" w:rsidRDefault="00C26405" w14:paraId="66004B67" w14:textId="77777777">
      <w:pPr>
        <w:tabs>
          <w:tab w:val="left" w:pos="-720"/>
        </w:tabs>
        <w:suppressAutoHyphens/>
        <w:rPr>
          <w:sz w:val="24"/>
          <w:highlight w:val="yellow"/>
        </w:rPr>
      </w:pPr>
    </w:p>
    <w:p w:rsidRPr="00390511" w:rsidR="002C3C4F" w:rsidP="00C26405" w:rsidRDefault="002C3C4F" w14:paraId="4874FACA" w14:textId="77777777">
      <w:pPr>
        <w:widowControl/>
        <w:numPr>
          <w:ilvl w:val="0"/>
          <w:numId w:val="3"/>
        </w:numPr>
        <w:tabs>
          <w:tab w:val="num" w:pos="360"/>
        </w:tabs>
        <w:spacing w:after="120"/>
        <w:ind w:left="360"/>
        <w:rPr>
          <w:rFonts w:ascii="Times New Roman" w:hAnsi="Times New Roman"/>
          <w:b/>
          <w:sz w:val="24"/>
        </w:rPr>
      </w:pPr>
      <w:r w:rsidRPr="00390511">
        <w:rPr>
          <w:rFonts w:ascii="Times New Roman" w:hAnsi="Times New Roman"/>
          <w:b/>
          <w:sz w:val="24"/>
        </w:rPr>
        <w:t>Assurance of Confidentiality Provided to Respondents</w:t>
      </w:r>
      <w:r w:rsidRPr="00772692">
        <w:rPr>
          <w:rFonts w:ascii="Times New Roman" w:hAnsi="Times New Roman"/>
          <w:b/>
          <w:snapToGrid/>
          <w:sz w:val="24"/>
          <w:szCs w:val="24"/>
        </w:rPr>
        <w:t xml:space="preserve"> </w:t>
      </w:r>
    </w:p>
    <w:p w:rsidRPr="00321815" w:rsidR="00D60543" w:rsidP="00390511" w:rsidRDefault="00321815" w14:paraId="2748236F" w14:textId="3A9DE367">
      <w:pPr>
        <w:tabs>
          <w:tab w:val="left" w:pos="918"/>
          <w:tab w:val="left" w:pos="1188"/>
        </w:tabs>
        <w:ind w:left="360"/>
        <w:jc w:val="both"/>
        <w:rPr>
          <w:rFonts w:asciiTheme="minorHAnsi" w:hAnsiTheme="minorHAnsi"/>
          <w:sz w:val="22"/>
          <w:szCs w:val="22"/>
        </w:rPr>
      </w:pPr>
      <w:r w:rsidRPr="00321815">
        <w:rPr>
          <w:rFonts w:asciiTheme="minorHAnsi" w:hAnsiTheme="minorHAnsi"/>
          <w:sz w:val="22"/>
          <w:szCs w:val="22"/>
        </w:rPr>
        <w:t xml:space="preserve">We will protect the </w:t>
      </w:r>
      <w:r w:rsidRPr="00390511">
        <w:rPr>
          <w:rFonts w:asciiTheme="minorHAnsi" w:hAnsiTheme="minorHAnsi"/>
          <w:spacing w:val="-4"/>
          <w:sz w:val="22"/>
        </w:rPr>
        <w:t>information</w:t>
      </w:r>
      <w:r w:rsidRPr="00321815">
        <w:rPr>
          <w:rFonts w:asciiTheme="minorHAnsi" w:hAnsiTheme="minorHAnsi"/>
          <w:sz w:val="22"/>
          <w:szCs w:val="22"/>
        </w:rPr>
        <w:t xml:space="preserve"> to the extent allowed by Federal law.</w:t>
      </w:r>
    </w:p>
    <w:p w:rsidR="00D60543" w:rsidP="00390511" w:rsidRDefault="00D60543" w14:paraId="1C82E036" w14:textId="34599BBD">
      <w:pPr>
        <w:widowControl/>
        <w:tabs>
          <w:tab w:val="num" w:pos="360"/>
        </w:tabs>
        <w:ind w:left="360"/>
        <w:rPr>
          <w:rFonts w:ascii="Times New Roman" w:hAnsi="Times New Roman"/>
          <w:sz w:val="24"/>
        </w:rPr>
      </w:pPr>
    </w:p>
    <w:p w:rsidRPr="00390511" w:rsidR="00C26405" w:rsidP="00390511" w:rsidRDefault="00C26405" w14:paraId="6CB87C05" w14:textId="77777777">
      <w:pPr>
        <w:widowControl/>
        <w:tabs>
          <w:tab w:val="num" w:pos="360"/>
        </w:tabs>
        <w:ind w:left="360"/>
        <w:rPr>
          <w:rFonts w:ascii="Times New Roman" w:hAnsi="Times New Roman"/>
          <w:sz w:val="24"/>
        </w:rPr>
      </w:pPr>
    </w:p>
    <w:p w:rsidRPr="00390511" w:rsidR="002C3C4F" w:rsidP="00390511" w:rsidRDefault="002C3C4F" w14:paraId="63E02878" w14:textId="713C1DAD">
      <w:pPr>
        <w:widowControl/>
        <w:numPr>
          <w:ilvl w:val="0"/>
          <w:numId w:val="3"/>
        </w:numPr>
        <w:tabs>
          <w:tab w:val="num" w:pos="360"/>
        </w:tabs>
        <w:ind w:left="360"/>
        <w:rPr>
          <w:rFonts w:ascii="Times New Roman" w:hAnsi="Times New Roman"/>
          <w:b/>
          <w:sz w:val="24"/>
        </w:rPr>
      </w:pPr>
      <w:r w:rsidRPr="00390511">
        <w:rPr>
          <w:rFonts w:ascii="Times New Roman" w:hAnsi="Times New Roman"/>
          <w:b/>
          <w:sz w:val="24"/>
        </w:rPr>
        <w:t>Justification for Sensitive Questions</w:t>
      </w:r>
      <w:r w:rsidRPr="00772692">
        <w:rPr>
          <w:rFonts w:ascii="Times New Roman" w:hAnsi="Times New Roman"/>
          <w:b/>
          <w:snapToGrid/>
          <w:sz w:val="24"/>
          <w:szCs w:val="24"/>
        </w:rPr>
        <w:t xml:space="preserve"> </w:t>
      </w:r>
    </w:p>
    <w:p w:rsidRPr="00321815" w:rsidR="00CB1A12" w:rsidP="00390511" w:rsidRDefault="00CB1A12" w14:paraId="297D6DEB" w14:textId="77777777">
      <w:pPr>
        <w:tabs>
          <w:tab w:val="left" w:pos="544"/>
          <w:tab w:val="left" w:pos="814"/>
        </w:tabs>
        <w:jc w:val="both"/>
        <w:rPr>
          <w:rFonts w:asciiTheme="minorHAnsi" w:hAnsiTheme="minorHAnsi"/>
          <w:sz w:val="22"/>
          <w:szCs w:val="22"/>
        </w:rPr>
      </w:pPr>
    </w:p>
    <w:p w:rsidRPr="00321815" w:rsidR="00CB1A12" w:rsidP="00390511" w:rsidRDefault="00F12AF4" w14:paraId="4BEEA08B" w14:textId="7000BD5E">
      <w:pPr>
        <w:tabs>
          <w:tab w:val="left" w:pos="918"/>
          <w:tab w:val="left" w:pos="1188"/>
        </w:tabs>
        <w:ind w:left="360"/>
        <w:jc w:val="both"/>
        <w:rPr>
          <w:rFonts w:asciiTheme="minorHAnsi" w:hAnsiTheme="minorHAnsi"/>
          <w:sz w:val="22"/>
          <w:szCs w:val="22"/>
        </w:rPr>
      </w:pPr>
      <w:r w:rsidRPr="00F12AF4">
        <w:rPr>
          <w:rFonts w:asciiTheme="minorHAnsi" w:hAnsiTheme="minorHAnsi"/>
          <w:sz w:val="22"/>
          <w:szCs w:val="22"/>
        </w:rPr>
        <w:t xml:space="preserve">No sensitive </w:t>
      </w:r>
      <w:r w:rsidRPr="00390511">
        <w:rPr>
          <w:rFonts w:asciiTheme="minorHAnsi" w:hAnsiTheme="minorHAnsi"/>
          <w:spacing w:val="-4"/>
          <w:sz w:val="22"/>
        </w:rPr>
        <w:t>questions</w:t>
      </w:r>
      <w:r w:rsidRPr="00F12AF4">
        <w:rPr>
          <w:rFonts w:asciiTheme="minorHAnsi" w:hAnsiTheme="minorHAnsi"/>
          <w:sz w:val="22"/>
          <w:szCs w:val="22"/>
        </w:rPr>
        <w:t xml:space="preserve"> are asked in this data collection.</w:t>
      </w:r>
    </w:p>
    <w:p w:rsidR="00DE529D" w:rsidRDefault="00DE529D" w14:paraId="710C7355" w14:textId="7C7ACE43">
      <w:pPr>
        <w:tabs>
          <w:tab w:val="left" w:pos="544"/>
          <w:tab w:val="left" w:pos="814"/>
        </w:tabs>
        <w:jc w:val="both"/>
        <w:rPr>
          <w:rFonts w:asciiTheme="minorHAnsi" w:hAnsiTheme="minorHAnsi"/>
          <w:sz w:val="22"/>
        </w:rPr>
      </w:pPr>
    </w:p>
    <w:p w:rsidRPr="00390511" w:rsidR="00C26405" w:rsidRDefault="00C26405" w14:paraId="0E47E9B0" w14:textId="77777777">
      <w:pPr>
        <w:tabs>
          <w:tab w:val="left" w:pos="544"/>
          <w:tab w:val="left" w:pos="814"/>
        </w:tabs>
        <w:jc w:val="both"/>
        <w:rPr>
          <w:rFonts w:asciiTheme="minorHAnsi" w:hAnsiTheme="minorHAnsi"/>
          <w:sz w:val="22"/>
        </w:rPr>
      </w:pPr>
    </w:p>
    <w:p w:rsidRPr="00390511" w:rsidR="002C3C4F" w:rsidP="00390511" w:rsidRDefault="002C3C4F" w14:paraId="05B17E8A" w14:textId="59B97AA9">
      <w:pPr>
        <w:widowControl/>
        <w:numPr>
          <w:ilvl w:val="0"/>
          <w:numId w:val="3"/>
        </w:numPr>
        <w:tabs>
          <w:tab w:val="num" w:pos="360"/>
        </w:tabs>
        <w:spacing w:after="120"/>
        <w:ind w:left="360"/>
        <w:rPr>
          <w:rFonts w:ascii="Times New Roman" w:hAnsi="Times New Roman"/>
          <w:b/>
          <w:sz w:val="24"/>
        </w:rPr>
      </w:pPr>
      <w:r w:rsidRPr="00390511">
        <w:rPr>
          <w:rFonts w:ascii="Times New Roman" w:hAnsi="Times New Roman"/>
          <w:b/>
          <w:sz w:val="24"/>
        </w:rPr>
        <w:t xml:space="preserve">Estimates of Annualized </w:t>
      </w:r>
      <w:r w:rsidR="009875A4">
        <w:rPr>
          <w:rFonts w:ascii="Times New Roman" w:hAnsi="Times New Roman"/>
          <w:b/>
          <w:sz w:val="24"/>
        </w:rPr>
        <w:t xml:space="preserve">Burden </w:t>
      </w:r>
      <w:r w:rsidRPr="00390511">
        <w:rPr>
          <w:rFonts w:ascii="Times New Roman" w:hAnsi="Times New Roman"/>
          <w:b/>
          <w:sz w:val="24"/>
        </w:rPr>
        <w:t>Hours</w:t>
      </w:r>
      <w:r w:rsidR="009875A4">
        <w:rPr>
          <w:rFonts w:ascii="Times New Roman" w:hAnsi="Times New Roman"/>
          <w:b/>
          <w:sz w:val="24"/>
        </w:rPr>
        <w:t xml:space="preserve"> and Costs</w:t>
      </w:r>
    </w:p>
    <w:p w:rsidRPr="00390511" w:rsidR="000F21C0" w:rsidP="00390511" w:rsidRDefault="000F21C0" w14:paraId="20F7616F" w14:textId="017D330F">
      <w:pPr>
        <w:tabs>
          <w:tab w:val="left" w:pos="918"/>
          <w:tab w:val="left" w:pos="1188"/>
        </w:tabs>
        <w:ind w:left="360"/>
        <w:jc w:val="both"/>
        <w:rPr>
          <w:rFonts w:asciiTheme="minorHAnsi" w:hAnsiTheme="minorHAnsi"/>
          <w:spacing w:val="-4"/>
          <w:sz w:val="22"/>
        </w:rPr>
      </w:pPr>
      <w:r w:rsidRPr="00390511">
        <w:rPr>
          <w:rFonts w:asciiTheme="minorHAnsi" w:hAnsiTheme="minorHAnsi"/>
          <w:spacing w:val="-4"/>
          <w:sz w:val="22"/>
        </w:rPr>
        <w:t>The estimated burden hours associated with this data collection are shown in the table below</w:t>
      </w:r>
      <w:r>
        <w:rPr>
          <w:rFonts w:asciiTheme="minorHAnsi" w:hAnsiTheme="minorHAnsi"/>
          <w:spacing w:val="-4"/>
          <w:sz w:val="22"/>
          <w:szCs w:val="22"/>
        </w:rPr>
        <w:t>:</w:t>
      </w:r>
    </w:p>
    <w:p w:rsidRPr="00390511" w:rsidR="000F21C0" w:rsidP="00390511" w:rsidRDefault="000F21C0" w14:paraId="34F5E0E0" w14:textId="1DE991E9">
      <w:pPr>
        <w:tabs>
          <w:tab w:val="left" w:pos="918"/>
          <w:tab w:val="left" w:pos="1188"/>
        </w:tabs>
        <w:ind w:left="360"/>
        <w:jc w:val="both"/>
        <w:rPr>
          <w:rFonts w:asciiTheme="minorHAnsi" w:hAnsiTheme="minorHAnsi"/>
          <w:spacing w:val="-4"/>
          <w:sz w:val="22"/>
        </w:rPr>
      </w:pPr>
    </w:p>
    <w:p w:rsidRPr="00A91F82" w:rsidR="00755413" w:rsidP="00572EB3" w:rsidRDefault="00755413" w14:paraId="52BB1974" w14:textId="17DD4093">
      <w:pPr>
        <w:pStyle w:val="Level1"/>
        <w:tabs>
          <w:tab w:val="left" w:pos="544"/>
        </w:tabs>
        <w:ind w:left="360"/>
        <w:jc w:val="center"/>
        <w:outlineLvl w:val="0"/>
        <w:rPr>
          <w:rFonts w:cs="Arial" w:asciiTheme="minorHAnsi" w:hAnsiTheme="minorHAnsi"/>
          <w:b/>
          <w:szCs w:val="24"/>
        </w:rPr>
      </w:pPr>
      <w:bookmarkStart w:name="OLE_LINK8" w:id="0"/>
      <w:r w:rsidRPr="00A91F82">
        <w:rPr>
          <w:rFonts w:cs="Arial" w:asciiTheme="minorHAnsi" w:hAnsiTheme="minorHAnsi"/>
          <w:b/>
          <w:szCs w:val="24"/>
        </w:rPr>
        <w:t xml:space="preserve">Annual </w:t>
      </w:r>
      <w:r w:rsidR="006F0DE6">
        <w:rPr>
          <w:rFonts w:cs="Arial" w:asciiTheme="minorHAnsi" w:hAnsiTheme="minorHAnsi"/>
          <w:b/>
          <w:szCs w:val="24"/>
        </w:rPr>
        <w:t xml:space="preserve">Respondent </w:t>
      </w:r>
      <w:r w:rsidRPr="00A91F82">
        <w:rPr>
          <w:rFonts w:cs="Arial" w:asciiTheme="minorHAnsi" w:hAnsiTheme="minorHAnsi"/>
          <w:b/>
          <w:szCs w:val="24"/>
        </w:rPr>
        <w:t xml:space="preserve">Burden </w:t>
      </w:r>
      <w:r w:rsidR="006F0DE6">
        <w:rPr>
          <w:rFonts w:cs="Arial" w:asciiTheme="minorHAnsi" w:hAnsiTheme="minorHAnsi"/>
          <w:b/>
          <w:szCs w:val="24"/>
        </w:rPr>
        <w:t xml:space="preserve">and Cost </w:t>
      </w:r>
      <w:r w:rsidRPr="00A91F82">
        <w:rPr>
          <w:rFonts w:cs="Arial" w:asciiTheme="minorHAnsi" w:hAnsiTheme="minorHAnsi"/>
          <w:b/>
          <w:szCs w:val="24"/>
        </w:rPr>
        <w:t>Estimates for LIHEAP Performance Data Form</w:t>
      </w:r>
      <w:bookmarkEnd w:id="0"/>
    </w:p>
    <w:p w:rsidRPr="00A91F82" w:rsidR="00755413" w:rsidP="00755413" w:rsidRDefault="00755413" w14:paraId="6ECC6249" w14:textId="77777777">
      <w:pPr>
        <w:tabs>
          <w:tab w:val="center" w:pos="4493"/>
        </w:tabs>
        <w:jc w:val="both"/>
        <w:rPr>
          <w:rFonts w:asciiTheme="minorHAnsi" w:hAnsiTheme="minorHAnsi"/>
          <w:szCs w:val="24"/>
        </w:rPr>
      </w:pPr>
    </w:p>
    <w:p w:rsidR="00015E62" w:rsidP="00390511" w:rsidRDefault="002A696D" w14:paraId="3D6BE90C" w14:textId="59D4642D">
      <w:pPr>
        <w:tabs>
          <w:tab w:val="left" w:pos="918"/>
          <w:tab w:val="left" w:pos="1188"/>
        </w:tabs>
        <w:ind w:left="360"/>
        <w:jc w:val="both"/>
        <w:rPr>
          <w:rFonts w:asciiTheme="minorHAnsi" w:hAnsiTheme="minorHAnsi"/>
          <w:spacing w:val="-4"/>
          <w:sz w:val="22"/>
        </w:rPr>
      </w:pPr>
      <w:r w:rsidRPr="008B0A1F">
        <w:rPr>
          <w:rFonts w:asciiTheme="minorHAnsi" w:hAnsiTheme="minorHAnsi"/>
          <w:spacing w:val="-4"/>
          <w:sz w:val="22"/>
          <w:szCs w:val="22"/>
        </w:rPr>
        <w:t xml:space="preserve">These estimates derive from those </w:t>
      </w:r>
      <w:r w:rsidRPr="008B0A1F" w:rsidR="008B0A1F">
        <w:rPr>
          <w:rFonts w:asciiTheme="minorHAnsi" w:hAnsiTheme="minorHAnsi"/>
          <w:spacing w:val="-4"/>
          <w:sz w:val="22"/>
          <w:szCs w:val="22"/>
        </w:rPr>
        <w:t xml:space="preserve">reported on the Supporting Statement of </w:t>
      </w:r>
      <w:r w:rsidRPr="008B0A1F">
        <w:rPr>
          <w:rFonts w:asciiTheme="minorHAnsi" w:hAnsiTheme="minorHAnsi"/>
          <w:spacing w:val="-4"/>
          <w:sz w:val="22"/>
          <w:szCs w:val="22"/>
        </w:rPr>
        <w:t xml:space="preserve">the </w:t>
      </w:r>
      <w:hyperlink w:history="1" r:id="rId15">
        <w:r w:rsidRPr="0062795E">
          <w:rPr>
            <w:rStyle w:val="Hyperlink"/>
            <w:rFonts w:asciiTheme="minorHAnsi" w:hAnsiTheme="minorHAnsi"/>
            <w:spacing w:val="-4"/>
            <w:sz w:val="22"/>
            <w:szCs w:val="22"/>
          </w:rPr>
          <w:t xml:space="preserve">last renewal </w:t>
        </w:r>
        <w:r w:rsidRPr="0062795E" w:rsidR="008B0A1F">
          <w:rPr>
            <w:rStyle w:val="Hyperlink"/>
            <w:rFonts w:asciiTheme="minorHAnsi" w:hAnsiTheme="minorHAnsi"/>
            <w:spacing w:val="-4"/>
            <w:sz w:val="22"/>
            <w:szCs w:val="22"/>
          </w:rPr>
          <w:t xml:space="preserve">request for </w:t>
        </w:r>
        <w:r w:rsidRPr="0062795E">
          <w:rPr>
            <w:rStyle w:val="Hyperlink"/>
            <w:rFonts w:asciiTheme="minorHAnsi" w:hAnsiTheme="minorHAnsi"/>
            <w:spacing w:val="-4"/>
            <w:sz w:val="22"/>
            <w:szCs w:val="22"/>
          </w:rPr>
          <w:t>this form</w:t>
        </w:r>
      </w:hyperlink>
      <w:r w:rsidRPr="008B0A1F" w:rsidR="008B0A1F">
        <w:rPr>
          <w:rFonts w:asciiTheme="minorHAnsi" w:hAnsiTheme="minorHAnsi"/>
          <w:spacing w:val="-4"/>
          <w:sz w:val="22"/>
          <w:szCs w:val="22"/>
        </w:rPr>
        <w:t xml:space="preserve">.  </w:t>
      </w:r>
      <w:r w:rsidR="00015E62">
        <w:rPr>
          <w:rFonts w:asciiTheme="minorHAnsi" w:hAnsiTheme="minorHAnsi"/>
          <w:spacing w:val="-4"/>
          <w:sz w:val="22"/>
          <w:szCs w:val="22"/>
        </w:rPr>
        <w:t>OCS developed the estimates for that statement by conducting</w:t>
      </w:r>
      <w:r w:rsidRPr="00390511" w:rsidR="00015E62">
        <w:rPr>
          <w:rFonts w:asciiTheme="minorHAnsi" w:hAnsiTheme="minorHAnsi"/>
          <w:spacing w:val="-4"/>
          <w:sz w:val="22"/>
        </w:rPr>
        <w:t xml:space="preserve"> in-depth interviews with a small number of grantees to learn more about the annual burden hours required to implement their data collection and reporting systems for this effort.  </w:t>
      </w:r>
      <w:r w:rsidRPr="00015E62" w:rsidR="00015E62">
        <w:rPr>
          <w:rFonts w:asciiTheme="minorHAnsi" w:hAnsiTheme="minorHAnsi"/>
          <w:spacing w:val="-4"/>
          <w:sz w:val="22"/>
          <w:szCs w:val="22"/>
        </w:rPr>
        <w:t>O</w:t>
      </w:r>
      <w:r w:rsidR="00015E62">
        <w:rPr>
          <w:rFonts w:asciiTheme="minorHAnsi" w:hAnsiTheme="minorHAnsi"/>
          <w:spacing w:val="-4"/>
          <w:sz w:val="22"/>
          <w:szCs w:val="22"/>
        </w:rPr>
        <w:t>CS’</w:t>
      </w:r>
      <w:r w:rsidRPr="00390511" w:rsidR="00015E62">
        <w:rPr>
          <w:rFonts w:asciiTheme="minorHAnsi" w:hAnsiTheme="minorHAnsi"/>
          <w:spacing w:val="-4"/>
          <w:sz w:val="22"/>
        </w:rPr>
        <w:t xml:space="preserve"> interviews found that</w:t>
      </w:r>
      <w:r w:rsidR="00015E62">
        <w:rPr>
          <w:rFonts w:asciiTheme="minorHAnsi" w:hAnsiTheme="minorHAnsi"/>
          <w:spacing w:val="-4"/>
          <w:sz w:val="22"/>
          <w:szCs w:val="22"/>
        </w:rPr>
        <w:t>, f</w:t>
      </w:r>
      <w:r w:rsidRPr="00015E62" w:rsidR="00015E62">
        <w:rPr>
          <w:rFonts w:asciiTheme="minorHAnsi" w:hAnsiTheme="minorHAnsi"/>
          <w:spacing w:val="-4"/>
          <w:sz w:val="22"/>
          <w:szCs w:val="22"/>
        </w:rPr>
        <w:t>or Module 1,</w:t>
      </w:r>
      <w:r w:rsidRPr="00390511" w:rsidR="00015E62">
        <w:rPr>
          <w:rFonts w:asciiTheme="minorHAnsi" w:hAnsiTheme="minorHAnsi"/>
          <w:spacing w:val="-4"/>
          <w:sz w:val="22"/>
        </w:rPr>
        <w:t xml:space="preserve"> some grantees have fully developed reporting systems and that the time required each year to obtain the data and enter it into OLDC is less than 10 hours. Other grantees, particularly those where the fiscal office is separate from the LIHEAP program office face more challenges in preparing reports. Those grantees report that Module 1 takes them at least 40 hours. The average reported time for completion was 30 hours.</w:t>
      </w:r>
    </w:p>
    <w:p w:rsidRPr="00390511" w:rsidR="002D7C43" w:rsidP="00390511" w:rsidRDefault="002D7C43" w14:paraId="2A1B2720" w14:textId="77777777">
      <w:pPr>
        <w:tabs>
          <w:tab w:val="left" w:pos="918"/>
          <w:tab w:val="left" w:pos="1188"/>
        </w:tabs>
        <w:ind w:left="360"/>
        <w:jc w:val="both"/>
        <w:rPr>
          <w:rFonts w:asciiTheme="minorHAnsi" w:hAnsiTheme="minorHAnsi"/>
          <w:spacing w:val="-4"/>
          <w:sz w:val="22"/>
        </w:rPr>
      </w:pPr>
    </w:p>
    <w:p w:rsidR="00015E62" w:rsidP="00C26405" w:rsidRDefault="008A7A39" w14:paraId="563D070C" w14:textId="38DB80F1">
      <w:pPr>
        <w:tabs>
          <w:tab w:val="left" w:pos="918"/>
          <w:tab w:val="left" w:pos="1188"/>
        </w:tabs>
        <w:spacing w:after="120"/>
        <w:ind w:left="360"/>
        <w:jc w:val="both"/>
        <w:rPr>
          <w:rFonts w:asciiTheme="minorHAnsi" w:hAnsiTheme="minorHAnsi"/>
          <w:spacing w:val="-4"/>
          <w:sz w:val="22"/>
          <w:szCs w:val="22"/>
        </w:rPr>
      </w:pPr>
      <w:r>
        <w:rPr>
          <w:rFonts w:asciiTheme="minorHAnsi" w:hAnsiTheme="minorHAnsi"/>
          <w:i/>
          <w:sz w:val="22"/>
          <w:szCs w:val="22"/>
        </w:rPr>
        <w:t>Change Request Updates December 2020 – CARES Act Funds</w:t>
      </w:r>
    </w:p>
    <w:p w:rsidR="00C84A79" w:rsidP="00C84A79" w:rsidRDefault="008B0A1F" w14:paraId="751435F3" w14:textId="2FA2BA2E">
      <w:pPr>
        <w:tabs>
          <w:tab w:val="left" w:pos="918"/>
          <w:tab w:val="left" w:pos="1188"/>
        </w:tabs>
        <w:ind w:left="360"/>
        <w:rPr>
          <w:rFonts w:asciiTheme="minorHAnsi" w:hAnsiTheme="minorHAnsi"/>
          <w:spacing w:val="-4"/>
          <w:sz w:val="22"/>
          <w:szCs w:val="22"/>
        </w:rPr>
      </w:pPr>
      <w:r w:rsidRPr="008B0A1F">
        <w:rPr>
          <w:rFonts w:asciiTheme="minorHAnsi" w:hAnsiTheme="minorHAnsi"/>
          <w:spacing w:val="-4"/>
          <w:sz w:val="22"/>
          <w:szCs w:val="22"/>
        </w:rPr>
        <w:t xml:space="preserve">OCS </w:t>
      </w:r>
      <w:r w:rsidR="00C84A79">
        <w:rPr>
          <w:rFonts w:asciiTheme="minorHAnsi" w:hAnsiTheme="minorHAnsi"/>
          <w:spacing w:val="-4"/>
          <w:sz w:val="22"/>
          <w:szCs w:val="22"/>
        </w:rPr>
        <w:t xml:space="preserve">adjusted the </w:t>
      </w:r>
      <w:r w:rsidRPr="008B0A1F" w:rsidR="00C84A79">
        <w:rPr>
          <w:rFonts w:asciiTheme="minorHAnsi" w:hAnsiTheme="minorHAnsi"/>
          <w:spacing w:val="-4"/>
          <w:sz w:val="22"/>
          <w:szCs w:val="22"/>
        </w:rPr>
        <w:t xml:space="preserve">Supporting Statement of the last renewal request </w:t>
      </w:r>
      <w:r w:rsidR="00C84A79">
        <w:rPr>
          <w:rFonts w:asciiTheme="minorHAnsi" w:hAnsiTheme="minorHAnsi"/>
          <w:spacing w:val="-4"/>
          <w:sz w:val="22"/>
          <w:szCs w:val="22"/>
        </w:rPr>
        <w:t xml:space="preserve">as follows to estimate the additional burden of reporting on CARES Act funds in </w:t>
      </w:r>
      <w:r w:rsidRPr="00C84A79" w:rsidR="00C84A79">
        <w:rPr>
          <w:rFonts w:asciiTheme="minorHAnsi" w:hAnsiTheme="minorHAnsi"/>
          <w:spacing w:val="-4"/>
          <w:sz w:val="22"/>
          <w:szCs w:val="22"/>
        </w:rPr>
        <w:t>Module 1</w:t>
      </w:r>
      <w:r w:rsidR="00C84A79">
        <w:rPr>
          <w:rFonts w:asciiTheme="minorHAnsi" w:hAnsiTheme="minorHAnsi"/>
          <w:spacing w:val="-4"/>
          <w:sz w:val="22"/>
          <w:szCs w:val="22"/>
        </w:rPr>
        <w:t>:</w:t>
      </w:r>
      <w:r w:rsidR="00C84A79">
        <w:rPr>
          <w:rFonts w:asciiTheme="minorHAnsi" w:hAnsiTheme="minorHAnsi"/>
          <w:spacing w:val="-4"/>
          <w:sz w:val="22"/>
          <w:szCs w:val="22"/>
        </w:rPr>
        <w:br/>
      </w:r>
    </w:p>
    <w:p w:rsidR="00C84A79" w:rsidP="00C84A79" w:rsidRDefault="00C84A79" w14:paraId="61931772" w14:textId="39E22956">
      <w:pPr>
        <w:pStyle w:val="ListParagraph"/>
        <w:numPr>
          <w:ilvl w:val="0"/>
          <w:numId w:val="29"/>
        </w:numPr>
        <w:jc w:val="both"/>
        <w:rPr>
          <w:rFonts w:asciiTheme="minorHAnsi" w:hAnsiTheme="minorHAnsi"/>
          <w:spacing w:val="-4"/>
          <w:sz w:val="22"/>
          <w:szCs w:val="22"/>
        </w:rPr>
      </w:pPr>
      <w:r>
        <w:rPr>
          <w:rFonts w:asciiTheme="minorHAnsi" w:hAnsiTheme="minorHAnsi"/>
          <w:spacing w:val="-4"/>
          <w:sz w:val="22"/>
          <w:szCs w:val="22"/>
        </w:rPr>
        <w:t>By adding</w:t>
      </w:r>
      <w:r w:rsidRPr="00C84A79" w:rsidR="008B0A1F">
        <w:rPr>
          <w:rFonts w:asciiTheme="minorHAnsi" w:hAnsiTheme="minorHAnsi"/>
          <w:spacing w:val="-4"/>
          <w:sz w:val="22"/>
          <w:szCs w:val="22"/>
        </w:rPr>
        <w:t xml:space="preserve"> 20 percent to the </w:t>
      </w:r>
      <w:r w:rsidRPr="00C84A79" w:rsidR="008B0A1F">
        <w:rPr>
          <w:rFonts w:asciiTheme="minorHAnsi" w:hAnsiTheme="minorHAnsi"/>
          <w:b/>
          <w:spacing w:val="-4"/>
          <w:sz w:val="22"/>
          <w:szCs w:val="22"/>
        </w:rPr>
        <w:t>Average Hour Burden Per Response</w:t>
      </w:r>
      <w:r w:rsidRPr="00C84A79" w:rsidR="008B0A1F">
        <w:rPr>
          <w:rFonts w:asciiTheme="minorHAnsi" w:hAnsiTheme="minorHAnsi"/>
          <w:spacing w:val="-4"/>
          <w:sz w:val="22"/>
          <w:szCs w:val="22"/>
        </w:rPr>
        <w:t xml:space="preserve"> estimate </w:t>
      </w:r>
      <w:r w:rsidRPr="00C84A79">
        <w:rPr>
          <w:rFonts w:asciiTheme="minorHAnsi" w:hAnsiTheme="minorHAnsi"/>
          <w:spacing w:val="-4"/>
          <w:sz w:val="22"/>
          <w:szCs w:val="22"/>
        </w:rPr>
        <w:t>of State Grantees</w:t>
      </w:r>
      <w:r>
        <w:rPr>
          <w:rFonts w:asciiTheme="minorHAnsi" w:hAnsiTheme="minorHAnsi"/>
          <w:spacing w:val="-4"/>
          <w:sz w:val="22"/>
          <w:szCs w:val="22"/>
        </w:rPr>
        <w:t>; and</w:t>
      </w:r>
    </w:p>
    <w:p w:rsidRPr="00C84A79" w:rsidR="00572EB3" w:rsidP="00C84A79" w:rsidRDefault="00C84A79" w14:paraId="3310F042" w14:textId="34589C76">
      <w:pPr>
        <w:pStyle w:val="ListParagraph"/>
        <w:numPr>
          <w:ilvl w:val="0"/>
          <w:numId w:val="29"/>
        </w:numPr>
        <w:jc w:val="both"/>
        <w:rPr>
          <w:rFonts w:asciiTheme="minorHAnsi" w:hAnsiTheme="minorHAnsi"/>
          <w:spacing w:val="-4"/>
          <w:sz w:val="22"/>
          <w:szCs w:val="22"/>
        </w:rPr>
      </w:pPr>
      <w:r>
        <w:rPr>
          <w:rFonts w:asciiTheme="minorHAnsi" w:hAnsiTheme="minorHAnsi"/>
          <w:spacing w:val="-4"/>
          <w:sz w:val="22"/>
          <w:szCs w:val="22"/>
        </w:rPr>
        <w:t xml:space="preserve">By adding </w:t>
      </w:r>
      <w:r w:rsidRPr="00C84A79">
        <w:rPr>
          <w:rFonts w:asciiTheme="minorHAnsi" w:hAnsiTheme="minorHAnsi"/>
          <w:spacing w:val="-4"/>
          <w:sz w:val="22"/>
          <w:szCs w:val="22"/>
        </w:rPr>
        <w:t xml:space="preserve">one </w:t>
      </w:r>
      <w:r w:rsidRPr="00C84A79">
        <w:rPr>
          <w:rFonts w:asciiTheme="minorHAnsi" w:hAnsiTheme="minorHAnsi"/>
          <w:b/>
          <w:spacing w:val="-4"/>
          <w:sz w:val="22"/>
          <w:szCs w:val="22"/>
        </w:rPr>
        <w:t xml:space="preserve">Average Hour Burden Per Response </w:t>
      </w:r>
      <w:r w:rsidRPr="00C84A79">
        <w:rPr>
          <w:rFonts w:asciiTheme="minorHAnsi" w:hAnsiTheme="minorHAnsi"/>
          <w:spacing w:val="-4"/>
          <w:sz w:val="22"/>
          <w:szCs w:val="22"/>
        </w:rPr>
        <w:t>for each energy vendor.</w:t>
      </w:r>
    </w:p>
    <w:p w:rsidR="00572EB3" w:rsidP="00572EB3" w:rsidRDefault="00572EB3" w14:paraId="2BDDDED5" w14:textId="09EAF2CB">
      <w:pPr>
        <w:tabs>
          <w:tab w:val="left" w:pos="918"/>
          <w:tab w:val="left" w:pos="1188"/>
        </w:tabs>
        <w:ind w:left="360"/>
        <w:jc w:val="both"/>
        <w:rPr>
          <w:rFonts w:asciiTheme="minorHAnsi" w:hAnsiTheme="minorHAnsi"/>
          <w:spacing w:val="-4"/>
          <w:sz w:val="22"/>
          <w:szCs w:val="22"/>
          <w:highlight w:val="yellow"/>
        </w:rPr>
      </w:pPr>
    </w:p>
    <w:p w:rsidRPr="00147F9C" w:rsidR="00147F9C" w:rsidP="00397178" w:rsidRDefault="00C84A79" w14:paraId="217DBB70" w14:textId="03AABB02">
      <w:pPr>
        <w:tabs>
          <w:tab w:val="left" w:pos="918"/>
          <w:tab w:val="left" w:pos="1188"/>
        </w:tabs>
        <w:ind w:left="360"/>
        <w:jc w:val="both"/>
        <w:rPr>
          <w:rFonts w:asciiTheme="minorHAnsi" w:hAnsiTheme="minorHAnsi"/>
          <w:spacing w:val="-4"/>
          <w:sz w:val="22"/>
          <w:szCs w:val="22"/>
        </w:rPr>
      </w:pPr>
      <w:r>
        <w:rPr>
          <w:rFonts w:asciiTheme="minorHAnsi" w:hAnsiTheme="minorHAnsi"/>
          <w:spacing w:val="-4"/>
          <w:sz w:val="22"/>
          <w:szCs w:val="22"/>
        </w:rPr>
        <w:t xml:space="preserve">Both adjustments were </w:t>
      </w:r>
      <w:r w:rsidRPr="00C84A79">
        <w:rPr>
          <w:rFonts w:asciiTheme="minorHAnsi" w:hAnsiTheme="minorHAnsi"/>
          <w:spacing w:val="-4"/>
          <w:sz w:val="22"/>
          <w:szCs w:val="22"/>
        </w:rPr>
        <w:t>off-hand</w:t>
      </w:r>
      <w:r>
        <w:rPr>
          <w:rFonts w:asciiTheme="minorHAnsi" w:hAnsiTheme="minorHAnsi"/>
          <w:spacing w:val="-4"/>
          <w:sz w:val="22"/>
          <w:szCs w:val="22"/>
        </w:rPr>
        <w:t>ed</w:t>
      </w:r>
      <w:r w:rsidRPr="00C84A79">
        <w:rPr>
          <w:rFonts w:asciiTheme="minorHAnsi" w:hAnsiTheme="minorHAnsi"/>
          <w:spacing w:val="-4"/>
          <w:sz w:val="22"/>
          <w:szCs w:val="22"/>
        </w:rPr>
        <w:t xml:space="preserve"> estimate</w:t>
      </w:r>
      <w:r w:rsidR="00147F9C">
        <w:rPr>
          <w:rFonts w:asciiTheme="minorHAnsi" w:hAnsiTheme="minorHAnsi"/>
          <w:spacing w:val="-4"/>
          <w:sz w:val="22"/>
          <w:szCs w:val="22"/>
        </w:rPr>
        <w:t>s</w:t>
      </w:r>
      <w:r w:rsidRPr="00C84A79">
        <w:rPr>
          <w:rFonts w:asciiTheme="minorHAnsi" w:hAnsiTheme="minorHAnsi"/>
          <w:spacing w:val="-4"/>
          <w:sz w:val="22"/>
          <w:szCs w:val="22"/>
        </w:rPr>
        <w:t xml:space="preserve"> rather than </w:t>
      </w:r>
      <w:r>
        <w:rPr>
          <w:rFonts w:asciiTheme="minorHAnsi" w:hAnsiTheme="minorHAnsi"/>
          <w:spacing w:val="-4"/>
          <w:sz w:val="22"/>
          <w:szCs w:val="22"/>
        </w:rPr>
        <w:t xml:space="preserve">estimates </w:t>
      </w:r>
      <w:r w:rsidRPr="00C84A79">
        <w:rPr>
          <w:rFonts w:asciiTheme="minorHAnsi" w:hAnsiTheme="minorHAnsi"/>
          <w:spacing w:val="-4"/>
          <w:sz w:val="22"/>
          <w:szCs w:val="22"/>
        </w:rPr>
        <w:t>derived from OCS’ interviews</w:t>
      </w:r>
      <w:r w:rsidRPr="00147F9C" w:rsidR="00147F9C">
        <w:rPr>
          <w:rFonts w:asciiTheme="minorHAnsi" w:hAnsiTheme="minorHAnsi"/>
          <w:spacing w:val="-4"/>
          <w:sz w:val="22"/>
          <w:szCs w:val="22"/>
        </w:rPr>
        <w:t>.</w:t>
      </w:r>
    </w:p>
    <w:p w:rsidRPr="001E44FB" w:rsidR="00147F9C" w:rsidP="00572EB3" w:rsidRDefault="00147F9C" w14:paraId="795F7745" w14:textId="77777777">
      <w:pPr>
        <w:tabs>
          <w:tab w:val="left" w:pos="918"/>
          <w:tab w:val="left" w:pos="1188"/>
        </w:tabs>
        <w:ind w:left="360"/>
        <w:jc w:val="both"/>
        <w:rPr>
          <w:rFonts w:asciiTheme="minorHAnsi" w:hAnsiTheme="minorHAnsi"/>
          <w:spacing w:val="-4"/>
          <w:sz w:val="22"/>
          <w:szCs w:val="22"/>
          <w:highlight w:val="yellow"/>
        </w:rPr>
      </w:pPr>
    </w:p>
    <w:p w:rsidRPr="00015E62" w:rsidR="007950D1" w:rsidP="007950D1" w:rsidRDefault="007950D1" w14:paraId="2831D6FF" w14:textId="15069ED0">
      <w:pPr>
        <w:tabs>
          <w:tab w:val="left" w:pos="918"/>
          <w:tab w:val="left" w:pos="1188"/>
        </w:tabs>
        <w:ind w:left="360"/>
        <w:jc w:val="both"/>
        <w:rPr>
          <w:rFonts w:asciiTheme="minorHAnsi" w:hAnsiTheme="minorHAnsi"/>
          <w:spacing w:val="-4"/>
          <w:sz w:val="22"/>
          <w:szCs w:val="22"/>
        </w:rPr>
      </w:pPr>
      <w:r w:rsidRPr="008B0A1F">
        <w:rPr>
          <w:rFonts w:asciiTheme="minorHAnsi" w:hAnsiTheme="minorHAnsi"/>
          <w:spacing w:val="-4"/>
          <w:sz w:val="22"/>
          <w:szCs w:val="22"/>
        </w:rPr>
        <w:t xml:space="preserve">OCS </w:t>
      </w:r>
      <w:r>
        <w:rPr>
          <w:rFonts w:asciiTheme="minorHAnsi" w:hAnsiTheme="minorHAnsi"/>
          <w:spacing w:val="-4"/>
          <w:sz w:val="22"/>
          <w:szCs w:val="22"/>
        </w:rPr>
        <w:t xml:space="preserve">left the </w:t>
      </w:r>
      <w:r w:rsidRPr="008B0A1F">
        <w:rPr>
          <w:rFonts w:asciiTheme="minorHAnsi" w:hAnsiTheme="minorHAnsi"/>
          <w:b/>
          <w:spacing w:val="-4"/>
          <w:sz w:val="22"/>
          <w:szCs w:val="22"/>
        </w:rPr>
        <w:t>Average Hour Burden Per Response</w:t>
      </w:r>
      <w:r w:rsidRPr="008B0A1F">
        <w:rPr>
          <w:rFonts w:asciiTheme="minorHAnsi" w:hAnsiTheme="minorHAnsi"/>
          <w:spacing w:val="-4"/>
          <w:sz w:val="22"/>
          <w:szCs w:val="22"/>
        </w:rPr>
        <w:t xml:space="preserve"> estimate for Module </w:t>
      </w:r>
      <w:r>
        <w:rPr>
          <w:rFonts w:asciiTheme="minorHAnsi" w:hAnsiTheme="minorHAnsi"/>
          <w:spacing w:val="-4"/>
          <w:sz w:val="22"/>
          <w:szCs w:val="22"/>
        </w:rPr>
        <w:t xml:space="preserve">2 </w:t>
      </w:r>
      <w:r w:rsidR="000E71F8">
        <w:rPr>
          <w:rFonts w:asciiTheme="minorHAnsi" w:hAnsiTheme="minorHAnsi"/>
          <w:spacing w:val="-4"/>
          <w:sz w:val="22"/>
          <w:szCs w:val="22"/>
        </w:rPr>
        <w:t xml:space="preserve">and Module 3 </w:t>
      </w:r>
      <w:r>
        <w:rPr>
          <w:rFonts w:asciiTheme="minorHAnsi" w:hAnsiTheme="minorHAnsi"/>
          <w:spacing w:val="-4"/>
          <w:sz w:val="22"/>
          <w:szCs w:val="22"/>
        </w:rPr>
        <w:t>unchanged from that which it derived from its interviews.</w:t>
      </w:r>
    </w:p>
    <w:p w:rsidR="00755413" w:rsidP="004F3AFB" w:rsidRDefault="00755413" w14:paraId="3A5E67A6" w14:textId="592D2862">
      <w:pPr>
        <w:tabs>
          <w:tab w:val="left" w:pos="918"/>
          <w:tab w:val="left" w:pos="1188"/>
        </w:tabs>
        <w:ind w:left="360"/>
        <w:jc w:val="both"/>
        <w:rPr>
          <w:rFonts w:asciiTheme="minorHAnsi" w:hAnsiTheme="minorHAnsi"/>
          <w:spacing w:val="-4"/>
          <w:sz w:val="22"/>
          <w:szCs w:val="22"/>
        </w:rPr>
      </w:pPr>
    </w:p>
    <w:p w:rsidRPr="00677404" w:rsidR="009875A4" w:rsidP="009875A4" w:rsidRDefault="009875A4" w14:paraId="625B383B" w14:textId="77777777">
      <w:pPr>
        <w:tabs>
          <w:tab w:val="left" w:pos="918"/>
          <w:tab w:val="left" w:pos="1188"/>
        </w:tabs>
        <w:ind w:left="360"/>
        <w:jc w:val="center"/>
        <w:rPr>
          <w:rFonts w:asciiTheme="minorHAnsi" w:hAnsiTheme="minorHAnsi"/>
          <w:spacing w:val="-4"/>
          <w:sz w:val="22"/>
          <w:szCs w:val="22"/>
        </w:rPr>
      </w:pPr>
      <w:r w:rsidRPr="00677404">
        <w:rPr>
          <w:rFonts w:asciiTheme="minorHAnsi" w:hAnsiTheme="minorHAnsi"/>
          <w:spacing w:val="-4"/>
          <w:sz w:val="22"/>
          <w:szCs w:val="22"/>
        </w:rPr>
        <w:t>ANNUAL RESPONDENT BURDEN AND COST ESTIMATES FOR LIHEAP PERFORMANCE DATA FORM</w:t>
      </w:r>
    </w:p>
    <w:p w:rsidR="00580FF5" w:rsidP="004F3AFB" w:rsidRDefault="00580FF5" w14:paraId="34732778" w14:textId="5CE75C09">
      <w:pPr>
        <w:tabs>
          <w:tab w:val="left" w:pos="918"/>
          <w:tab w:val="left" w:pos="1188"/>
        </w:tabs>
        <w:ind w:left="360"/>
        <w:jc w:val="both"/>
        <w:rPr>
          <w:rFonts w:asciiTheme="minorHAnsi" w:hAnsiTheme="minorHAnsi"/>
          <w:spacing w:val="-4"/>
          <w:sz w:val="22"/>
          <w:szCs w:val="22"/>
        </w:rPr>
      </w:pPr>
    </w:p>
    <w:tbl>
      <w:tblPr>
        <w:tblW w:w="9360" w:type="dxa"/>
        <w:jc w:val="center"/>
        <w:tblLayout w:type="fixed"/>
        <w:tblCellMar>
          <w:left w:w="120" w:type="dxa"/>
          <w:right w:w="120" w:type="dxa"/>
        </w:tblCellMar>
        <w:tblLook w:val="0000" w:firstRow="0" w:lastRow="0" w:firstColumn="0" w:lastColumn="0" w:noHBand="0" w:noVBand="0"/>
      </w:tblPr>
      <w:tblGrid>
        <w:gridCol w:w="2970"/>
        <w:gridCol w:w="1710"/>
        <w:gridCol w:w="1863"/>
        <w:gridCol w:w="1557"/>
        <w:gridCol w:w="1260"/>
      </w:tblGrid>
      <w:tr w:rsidRPr="00A91F82" w:rsidR="00580FF5" w:rsidTr="009875A4" w14:paraId="139E36FC" w14:textId="77777777">
        <w:trPr>
          <w:cantSplit/>
          <w:trHeight w:val="924" w:hRule="exact"/>
          <w:tblHeader/>
          <w:jc w:val="center"/>
        </w:trPr>
        <w:tc>
          <w:tcPr>
            <w:tcW w:w="2970" w:type="dxa"/>
            <w:tcBorders>
              <w:top w:val="double" w:color="000000" w:sz="7" w:space="0"/>
              <w:left w:val="double" w:color="000000" w:sz="7" w:space="0"/>
              <w:bottom w:val="single" w:color="000000" w:sz="7" w:space="0"/>
              <w:right w:val="single" w:color="000000" w:sz="7" w:space="0"/>
            </w:tcBorders>
            <w:shd w:val="clear" w:color="auto" w:fill="D9D9D9" w:themeFill="background1" w:themeFillShade="D9"/>
            <w:vAlign w:val="center"/>
          </w:tcPr>
          <w:p w:rsidRPr="00A91F82" w:rsidR="00580FF5" w:rsidP="00317069" w:rsidRDefault="00580FF5" w14:paraId="11126F14" w14:textId="77777777">
            <w:pPr>
              <w:tabs>
                <w:tab w:val="left" w:pos="544"/>
                <w:tab w:val="left" w:pos="814"/>
              </w:tabs>
              <w:spacing w:line="216" w:lineRule="auto"/>
              <w:jc w:val="both"/>
              <w:rPr>
                <w:rFonts w:asciiTheme="minorHAnsi" w:hAnsiTheme="minorHAnsi"/>
                <w:b/>
              </w:rPr>
            </w:pPr>
          </w:p>
        </w:tc>
        <w:tc>
          <w:tcPr>
            <w:tcW w:w="1710" w:type="dxa"/>
            <w:tcBorders>
              <w:top w:val="double" w:color="000000" w:sz="7" w:space="0"/>
              <w:left w:val="single" w:color="000000" w:sz="7" w:space="0"/>
              <w:bottom w:val="single" w:color="000000" w:sz="7" w:space="0"/>
              <w:right w:val="single" w:color="000000" w:sz="7" w:space="0"/>
            </w:tcBorders>
            <w:shd w:val="clear" w:color="auto" w:fill="D9D9D9" w:themeFill="background1" w:themeFillShade="D9"/>
            <w:vAlign w:val="center"/>
          </w:tcPr>
          <w:p w:rsidRPr="00A91F82" w:rsidR="00580FF5" w:rsidP="00580FF5" w:rsidRDefault="00580FF5" w14:paraId="3D11740B" w14:textId="2054AEFB">
            <w:pPr>
              <w:tabs>
                <w:tab w:val="left" w:pos="544"/>
                <w:tab w:val="left" w:pos="814"/>
              </w:tabs>
              <w:spacing w:line="216" w:lineRule="auto"/>
              <w:jc w:val="center"/>
              <w:rPr>
                <w:rFonts w:asciiTheme="minorHAnsi" w:hAnsiTheme="minorHAnsi"/>
                <w:b/>
                <w:sz w:val="22"/>
              </w:rPr>
            </w:pPr>
            <w:r w:rsidRPr="00A91F82">
              <w:rPr>
                <w:rFonts w:asciiTheme="minorHAnsi" w:hAnsiTheme="minorHAnsi"/>
                <w:b/>
                <w:sz w:val="22"/>
              </w:rPr>
              <w:t>Number</w:t>
            </w:r>
            <w:r>
              <w:rPr>
                <w:rFonts w:asciiTheme="minorHAnsi" w:hAnsiTheme="minorHAnsi"/>
                <w:b/>
                <w:sz w:val="22"/>
              </w:rPr>
              <w:t xml:space="preserve"> </w:t>
            </w:r>
            <w:r w:rsidRPr="00A91F82">
              <w:rPr>
                <w:rFonts w:asciiTheme="minorHAnsi" w:hAnsiTheme="minorHAnsi"/>
                <w:b/>
                <w:sz w:val="22"/>
              </w:rPr>
              <w:t>of</w:t>
            </w:r>
            <w:r>
              <w:rPr>
                <w:rFonts w:asciiTheme="minorHAnsi" w:hAnsiTheme="minorHAnsi"/>
                <w:b/>
                <w:sz w:val="22"/>
              </w:rPr>
              <w:t xml:space="preserve"> </w:t>
            </w:r>
            <w:r w:rsidRPr="00A91F82">
              <w:rPr>
                <w:rFonts w:asciiTheme="minorHAnsi" w:hAnsiTheme="minorHAnsi"/>
                <w:b/>
                <w:sz w:val="22"/>
              </w:rPr>
              <w:t>Respondents</w:t>
            </w:r>
          </w:p>
        </w:tc>
        <w:tc>
          <w:tcPr>
            <w:tcW w:w="1863" w:type="dxa"/>
            <w:tcBorders>
              <w:top w:val="double" w:color="000000" w:sz="7" w:space="0"/>
              <w:left w:val="single" w:color="000000" w:sz="7" w:space="0"/>
              <w:bottom w:val="single" w:color="000000" w:sz="7" w:space="0"/>
              <w:right w:val="single" w:color="000000" w:sz="7" w:space="0"/>
            </w:tcBorders>
            <w:shd w:val="clear" w:color="auto" w:fill="D9D9D9" w:themeFill="background1" w:themeFillShade="D9"/>
            <w:vAlign w:val="center"/>
          </w:tcPr>
          <w:p w:rsidRPr="00A91F82" w:rsidR="00580FF5" w:rsidP="00317069" w:rsidRDefault="00580FF5" w14:paraId="619D9051" w14:textId="77777777">
            <w:pPr>
              <w:tabs>
                <w:tab w:val="left" w:pos="544"/>
                <w:tab w:val="left" w:pos="814"/>
              </w:tabs>
              <w:spacing w:line="216" w:lineRule="auto"/>
              <w:jc w:val="center"/>
              <w:rPr>
                <w:rFonts w:asciiTheme="minorHAnsi" w:hAnsiTheme="minorHAnsi"/>
                <w:b/>
                <w:sz w:val="22"/>
              </w:rPr>
            </w:pPr>
            <w:r w:rsidRPr="00A91F82">
              <w:rPr>
                <w:rFonts w:asciiTheme="minorHAnsi" w:hAnsiTheme="minorHAnsi"/>
                <w:b/>
                <w:sz w:val="22"/>
              </w:rPr>
              <w:t>Number of Responses Per Respondent</w:t>
            </w:r>
          </w:p>
        </w:tc>
        <w:tc>
          <w:tcPr>
            <w:tcW w:w="1557" w:type="dxa"/>
            <w:tcBorders>
              <w:top w:val="double" w:color="000000" w:sz="7" w:space="0"/>
              <w:left w:val="single" w:color="000000" w:sz="7" w:space="0"/>
              <w:bottom w:val="single" w:color="000000" w:sz="7" w:space="0"/>
              <w:right w:val="single" w:color="000000" w:sz="7" w:space="0"/>
            </w:tcBorders>
            <w:shd w:val="clear" w:color="auto" w:fill="D9D9D9" w:themeFill="background1" w:themeFillShade="D9"/>
            <w:vAlign w:val="center"/>
          </w:tcPr>
          <w:p w:rsidRPr="00A91F82" w:rsidR="00580FF5" w:rsidP="00317069" w:rsidRDefault="00580FF5" w14:paraId="74B64C23" w14:textId="77777777">
            <w:pPr>
              <w:tabs>
                <w:tab w:val="left" w:pos="544"/>
                <w:tab w:val="left" w:pos="814"/>
              </w:tabs>
              <w:spacing w:line="216" w:lineRule="auto"/>
              <w:jc w:val="center"/>
              <w:rPr>
                <w:rFonts w:asciiTheme="minorHAnsi" w:hAnsiTheme="minorHAnsi"/>
                <w:b/>
                <w:sz w:val="22"/>
              </w:rPr>
            </w:pPr>
            <w:r w:rsidRPr="00A91F82">
              <w:rPr>
                <w:rFonts w:asciiTheme="minorHAnsi" w:hAnsiTheme="minorHAnsi"/>
                <w:b/>
                <w:sz w:val="22"/>
              </w:rPr>
              <w:t>Average Hour Burden   Per Response</w:t>
            </w:r>
          </w:p>
        </w:tc>
        <w:tc>
          <w:tcPr>
            <w:tcW w:w="1260" w:type="dxa"/>
            <w:tcBorders>
              <w:top w:val="double" w:color="000000" w:sz="7" w:space="0"/>
              <w:left w:val="single" w:color="000000" w:sz="7" w:space="0"/>
              <w:bottom w:val="single" w:color="000000" w:sz="7" w:space="0"/>
              <w:right w:val="double" w:color="000000" w:sz="7" w:space="0"/>
            </w:tcBorders>
            <w:shd w:val="clear" w:color="auto" w:fill="D9D9D9" w:themeFill="background1" w:themeFillShade="D9"/>
            <w:vAlign w:val="center"/>
          </w:tcPr>
          <w:p w:rsidRPr="00A91F82" w:rsidR="00580FF5" w:rsidP="00317069" w:rsidRDefault="00580FF5" w14:paraId="1093DD51" w14:textId="77777777">
            <w:pPr>
              <w:tabs>
                <w:tab w:val="left" w:pos="544"/>
                <w:tab w:val="left" w:pos="814"/>
              </w:tabs>
              <w:spacing w:line="216" w:lineRule="auto"/>
              <w:jc w:val="center"/>
              <w:rPr>
                <w:rFonts w:asciiTheme="minorHAnsi" w:hAnsiTheme="minorHAnsi"/>
                <w:b/>
                <w:sz w:val="22"/>
              </w:rPr>
            </w:pPr>
            <w:r w:rsidRPr="00A91F82">
              <w:rPr>
                <w:rFonts w:asciiTheme="minorHAnsi" w:hAnsiTheme="minorHAnsi"/>
                <w:b/>
                <w:sz w:val="22"/>
              </w:rPr>
              <w:t>Total Burden Hours</w:t>
            </w:r>
          </w:p>
        </w:tc>
      </w:tr>
      <w:tr w:rsidRPr="00A91F82" w:rsidR="00580FF5" w:rsidTr="009875A4" w14:paraId="77998A91" w14:textId="77777777">
        <w:trPr>
          <w:cantSplit/>
          <w:trHeight w:val="469"/>
          <w:jc w:val="center"/>
        </w:trPr>
        <w:tc>
          <w:tcPr>
            <w:tcW w:w="9360" w:type="dxa"/>
            <w:gridSpan w:val="5"/>
            <w:tcBorders>
              <w:top w:val="single" w:color="000000" w:sz="7" w:space="0"/>
              <w:left w:val="double" w:color="000000" w:sz="7" w:space="0"/>
              <w:bottom w:val="single" w:color="000000" w:sz="7" w:space="0"/>
              <w:right w:val="double" w:color="000000" w:sz="7" w:space="0"/>
            </w:tcBorders>
            <w:vAlign w:val="center"/>
          </w:tcPr>
          <w:p w:rsidRPr="00A91F82" w:rsidR="00580FF5" w:rsidP="00317069" w:rsidRDefault="00580FF5" w14:paraId="37B00AC2" w14:textId="77777777">
            <w:pPr>
              <w:tabs>
                <w:tab w:val="left" w:pos="544"/>
                <w:tab w:val="left" w:pos="814"/>
              </w:tabs>
              <w:jc w:val="both"/>
              <w:rPr>
                <w:rFonts w:asciiTheme="minorHAnsi" w:hAnsiTheme="minorHAnsi"/>
                <w:sz w:val="22"/>
              </w:rPr>
            </w:pPr>
            <w:r w:rsidRPr="00A91F82">
              <w:rPr>
                <w:rFonts w:asciiTheme="minorHAnsi" w:hAnsiTheme="minorHAnsi"/>
                <w:b/>
                <w:i/>
                <w:sz w:val="22"/>
              </w:rPr>
              <w:t>Module 1 (Grantee Survey)</w:t>
            </w:r>
          </w:p>
        </w:tc>
      </w:tr>
      <w:tr w:rsidRPr="00A91F82" w:rsidR="00580FF5" w:rsidTr="009875A4" w14:paraId="0F7B3670" w14:textId="77777777">
        <w:trPr>
          <w:cantSplit/>
          <w:trHeight w:val="469"/>
          <w:jc w:val="center"/>
        </w:trPr>
        <w:tc>
          <w:tcPr>
            <w:tcW w:w="2970" w:type="dxa"/>
            <w:tcBorders>
              <w:top w:val="single" w:color="000000" w:sz="7" w:space="0"/>
              <w:left w:val="double" w:color="000000" w:sz="7" w:space="0"/>
              <w:bottom w:val="single" w:color="000000" w:sz="7" w:space="0"/>
              <w:right w:val="single" w:color="000000" w:sz="7" w:space="0"/>
            </w:tcBorders>
            <w:vAlign w:val="center"/>
          </w:tcPr>
          <w:p w:rsidRPr="00A91F82" w:rsidR="00580FF5" w:rsidP="00580FF5" w:rsidRDefault="00580FF5" w14:paraId="5865D190" w14:textId="77777777">
            <w:pPr>
              <w:tabs>
                <w:tab w:val="left" w:pos="544"/>
                <w:tab w:val="left" w:pos="814"/>
              </w:tabs>
              <w:spacing w:before="120" w:after="8"/>
              <w:rPr>
                <w:rFonts w:asciiTheme="minorHAnsi" w:hAnsiTheme="minorHAnsi"/>
                <w:b/>
                <w:sz w:val="22"/>
              </w:rPr>
            </w:pPr>
            <w:r w:rsidRPr="00A91F82">
              <w:rPr>
                <w:rFonts w:asciiTheme="minorHAnsi" w:hAnsiTheme="minorHAnsi"/>
                <w:b/>
                <w:sz w:val="22"/>
              </w:rPr>
              <w:t>State Grantees</w:t>
            </w:r>
          </w:p>
        </w:tc>
        <w:tc>
          <w:tcPr>
            <w:tcW w:w="1710" w:type="dxa"/>
            <w:tcBorders>
              <w:top w:val="single" w:color="000000" w:sz="7" w:space="0"/>
              <w:left w:val="single" w:color="000000" w:sz="7" w:space="0"/>
              <w:bottom w:val="single" w:color="000000" w:sz="7" w:space="0"/>
              <w:right w:val="single" w:color="000000" w:sz="7" w:space="0"/>
            </w:tcBorders>
            <w:vAlign w:val="center"/>
          </w:tcPr>
          <w:p w:rsidRPr="00A91F82" w:rsidR="00580FF5" w:rsidP="00580FF5" w:rsidRDefault="00580FF5" w14:paraId="552568F0" w14:textId="77777777">
            <w:pPr>
              <w:tabs>
                <w:tab w:val="left" w:pos="544"/>
                <w:tab w:val="left" w:pos="814"/>
              </w:tabs>
              <w:jc w:val="center"/>
              <w:rPr>
                <w:rFonts w:asciiTheme="minorHAnsi" w:hAnsiTheme="minorHAnsi"/>
                <w:sz w:val="22"/>
              </w:rPr>
            </w:pPr>
            <w:r w:rsidRPr="00A91F82">
              <w:rPr>
                <w:rFonts w:asciiTheme="minorHAnsi" w:hAnsiTheme="minorHAnsi"/>
                <w:sz w:val="22"/>
              </w:rPr>
              <w:t>51</w:t>
            </w:r>
          </w:p>
        </w:tc>
        <w:tc>
          <w:tcPr>
            <w:tcW w:w="1863" w:type="dxa"/>
            <w:tcBorders>
              <w:top w:val="single" w:color="000000" w:sz="7" w:space="0"/>
              <w:left w:val="single" w:color="000000" w:sz="7" w:space="0"/>
              <w:bottom w:val="single" w:color="000000" w:sz="7" w:space="0"/>
              <w:right w:val="single" w:color="000000" w:sz="7" w:space="0"/>
            </w:tcBorders>
            <w:vAlign w:val="center"/>
          </w:tcPr>
          <w:p w:rsidRPr="00A91F82" w:rsidR="00580FF5" w:rsidP="00580FF5" w:rsidRDefault="00580FF5" w14:paraId="1737A10C" w14:textId="77777777">
            <w:pPr>
              <w:tabs>
                <w:tab w:val="left" w:pos="544"/>
                <w:tab w:val="left" w:pos="814"/>
              </w:tabs>
              <w:jc w:val="center"/>
              <w:rPr>
                <w:rFonts w:asciiTheme="minorHAnsi" w:hAnsiTheme="minorHAnsi"/>
                <w:sz w:val="22"/>
              </w:rPr>
            </w:pPr>
            <w:r w:rsidRPr="00A91F82">
              <w:rPr>
                <w:rFonts w:asciiTheme="minorHAnsi" w:hAnsiTheme="minorHAnsi"/>
                <w:sz w:val="22"/>
              </w:rPr>
              <w:t>1</w:t>
            </w:r>
          </w:p>
        </w:tc>
        <w:tc>
          <w:tcPr>
            <w:tcW w:w="1557" w:type="dxa"/>
            <w:tcBorders>
              <w:top w:val="single" w:color="000000" w:sz="7" w:space="0"/>
              <w:left w:val="single" w:color="000000" w:sz="7" w:space="0"/>
              <w:bottom w:val="single" w:color="000000" w:sz="7" w:space="0"/>
              <w:right w:val="single" w:color="000000" w:sz="7" w:space="0"/>
            </w:tcBorders>
            <w:vAlign w:val="center"/>
          </w:tcPr>
          <w:p w:rsidRPr="00A91F82" w:rsidR="00580FF5" w:rsidP="00580FF5" w:rsidRDefault="00580FF5" w14:paraId="4C2A0560" w14:textId="57EE73A4">
            <w:pPr>
              <w:tabs>
                <w:tab w:val="left" w:pos="544"/>
                <w:tab w:val="left" w:pos="814"/>
              </w:tabs>
              <w:jc w:val="center"/>
              <w:rPr>
                <w:rFonts w:asciiTheme="minorHAnsi" w:hAnsiTheme="minorHAnsi"/>
                <w:sz w:val="22"/>
              </w:rPr>
            </w:pPr>
            <w:r w:rsidRPr="00BD3E49">
              <w:rPr>
                <w:rFonts w:asciiTheme="minorHAnsi" w:hAnsiTheme="minorHAnsi"/>
                <w:sz w:val="22"/>
              </w:rPr>
              <w:t>36</w:t>
            </w:r>
          </w:p>
        </w:tc>
        <w:tc>
          <w:tcPr>
            <w:tcW w:w="1260" w:type="dxa"/>
            <w:tcBorders>
              <w:top w:val="single" w:color="000000" w:sz="7" w:space="0"/>
              <w:left w:val="single" w:color="000000" w:sz="7" w:space="0"/>
              <w:bottom w:val="single" w:color="000000" w:sz="7" w:space="0"/>
              <w:right w:val="double" w:color="000000" w:sz="7" w:space="0"/>
            </w:tcBorders>
            <w:vAlign w:val="center"/>
          </w:tcPr>
          <w:p w:rsidRPr="00A91F82" w:rsidR="00580FF5" w:rsidP="00580FF5" w:rsidRDefault="00580FF5" w14:paraId="031D20AD" w14:textId="71D74F77">
            <w:pPr>
              <w:tabs>
                <w:tab w:val="left" w:pos="544"/>
                <w:tab w:val="left" w:pos="814"/>
              </w:tabs>
              <w:jc w:val="center"/>
              <w:rPr>
                <w:rFonts w:asciiTheme="minorHAnsi" w:hAnsiTheme="minorHAnsi"/>
                <w:sz w:val="22"/>
              </w:rPr>
            </w:pPr>
            <w:r w:rsidRPr="00BD3E49">
              <w:rPr>
                <w:rFonts w:asciiTheme="minorHAnsi" w:hAnsiTheme="minorHAnsi"/>
                <w:sz w:val="22"/>
              </w:rPr>
              <w:t>1,836</w:t>
            </w:r>
          </w:p>
        </w:tc>
      </w:tr>
      <w:tr w:rsidRPr="00A91F82" w:rsidR="00580FF5" w:rsidTr="009875A4" w14:paraId="7FED48EA" w14:textId="77777777">
        <w:trPr>
          <w:cantSplit/>
          <w:trHeight w:val="469"/>
          <w:jc w:val="center"/>
        </w:trPr>
        <w:tc>
          <w:tcPr>
            <w:tcW w:w="2970" w:type="dxa"/>
            <w:tcBorders>
              <w:top w:val="single" w:color="000000" w:sz="7" w:space="0"/>
              <w:left w:val="double" w:color="000000" w:sz="7" w:space="0"/>
              <w:bottom w:val="single" w:color="000000" w:sz="7" w:space="0"/>
              <w:right w:val="single" w:color="000000" w:sz="7" w:space="0"/>
            </w:tcBorders>
            <w:vAlign w:val="center"/>
          </w:tcPr>
          <w:p w:rsidRPr="00A91F82" w:rsidR="00580FF5" w:rsidP="00580FF5" w:rsidRDefault="00580FF5" w14:paraId="4C60BC4E" w14:textId="4DC37D53">
            <w:pPr>
              <w:tabs>
                <w:tab w:val="left" w:pos="544"/>
                <w:tab w:val="left" w:pos="814"/>
              </w:tabs>
              <w:spacing w:before="120" w:after="8"/>
              <w:rPr>
                <w:rFonts w:asciiTheme="minorHAnsi" w:hAnsiTheme="minorHAnsi"/>
                <w:b/>
                <w:sz w:val="22"/>
              </w:rPr>
            </w:pPr>
            <w:r w:rsidRPr="00BD3E49">
              <w:rPr>
                <w:rFonts w:asciiTheme="minorHAnsi" w:hAnsiTheme="minorHAnsi"/>
                <w:b/>
                <w:sz w:val="22"/>
              </w:rPr>
              <w:t>Energy Vendors (largest 5 electric, 5 natural gas, 10 fuel oil, and 10 propane vendors per state - average)</w:t>
            </w:r>
          </w:p>
        </w:tc>
        <w:tc>
          <w:tcPr>
            <w:tcW w:w="1710" w:type="dxa"/>
            <w:tcBorders>
              <w:top w:val="single" w:color="000000" w:sz="7" w:space="0"/>
              <w:left w:val="single" w:color="000000" w:sz="7" w:space="0"/>
              <w:bottom w:val="single" w:color="000000" w:sz="7" w:space="0"/>
              <w:right w:val="single" w:color="000000" w:sz="7" w:space="0"/>
            </w:tcBorders>
            <w:vAlign w:val="center"/>
          </w:tcPr>
          <w:p w:rsidRPr="00A91F82" w:rsidR="00580FF5" w:rsidP="00580FF5" w:rsidRDefault="00580FF5" w14:paraId="3624DE31" w14:textId="5FABACD8">
            <w:pPr>
              <w:tabs>
                <w:tab w:val="left" w:pos="544"/>
                <w:tab w:val="left" w:pos="814"/>
              </w:tabs>
              <w:jc w:val="center"/>
              <w:rPr>
                <w:rFonts w:asciiTheme="minorHAnsi" w:hAnsiTheme="minorHAnsi"/>
                <w:sz w:val="22"/>
              </w:rPr>
            </w:pPr>
            <w:r w:rsidRPr="00BD3E49">
              <w:rPr>
                <w:rFonts w:asciiTheme="minorHAnsi" w:hAnsiTheme="minorHAnsi"/>
                <w:sz w:val="22"/>
              </w:rPr>
              <w:t>1,530</w:t>
            </w:r>
          </w:p>
        </w:tc>
        <w:tc>
          <w:tcPr>
            <w:tcW w:w="1863" w:type="dxa"/>
            <w:tcBorders>
              <w:top w:val="single" w:color="000000" w:sz="7" w:space="0"/>
              <w:left w:val="single" w:color="000000" w:sz="7" w:space="0"/>
              <w:bottom w:val="single" w:color="000000" w:sz="7" w:space="0"/>
              <w:right w:val="single" w:color="000000" w:sz="7" w:space="0"/>
            </w:tcBorders>
            <w:vAlign w:val="center"/>
          </w:tcPr>
          <w:p w:rsidRPr="00A91F82" w:rsidR="00580FF5" w:rsidP="00580FF5" w:rsidRDefault="00580FF5" w14:paraId="3F6CE02F" w14:textId="5812D68D">
            <w:pPr>
              <w:tabs>
                <w:tab w:val="left" w:pos="544"/>
                <w:tab w:val="left" w:pos="814"/>
              </w:tabs>
              <w:jc w:val="center"/>
              <w:rPr>
                <w:rFonts w:asciiTheme="minorHAnsi" w:hAnsiTheme="minorHAnsi"/>
                <w:sz w:val="22"/>
              </w:rPr>
            </w:pPr>
            <w:r w:rsidRPr="00BD3E49">
              <w:rPr>
                <w:rFonts w:asciiTheme="minorHAnsi" w:hAnsiTheme="minorHAnsi"/>
                <w:sz w:val="22"/>
              </w:rPr>
              <w:t>1</w:t>
            </w:r>
          </w:p>
        </w:tc>
        <w:tc>
          <w:tcPr>
            <w:tcW w:w="1557" w:type="dxa"/>
            <w:tcBorders>
              <w:top w:val="single" w:color="000000" w:sz="7" w:space="0"/>
              <w:left w:val="single" w:color="000000" w:sz="7" w:space="0"/>
              <w:bottom w:val="single" w:color="000000" w:sz="7" w:space="0"/>
              <w:right w:val="single" w:color="000000" w:sz="7" w:space="0"/>
            </w:tcBorders>
            <w:vAlign w:val="center"/>
          </w:tcPr>
          <w:p w:rsidRPr="00BD3E49" w:rsidR="00580FF5" w:rsidP="00580FF5" w:rsidRDefault="00580FF5" w14:paraId="4EE13182" w14:textId="65BDB144">
            <w:pPr>
              <w:tabs>
                <w:tab w:val="left" w:pos="544"/>
                <w:tab w:val="left" w:pos="814"/>
              </w:tabs>
              <w:jc w:val="center"/>
              <w:rPr>
                <w:rFonts w:asciiTheme="minorHAnsi" w:hAnsiTheme="minorHAnsi"/>
                <w:sz w:val="22"/>
              </w:rPr>
            </w:pPr>
            <w:r w:rsidRPr="00BD3E49">
              <w:rPr>
                <w:rFonts w:asciiTheme="minorHAnsi" w:hAnsiTheme="minorHAnsi"/>
                <w:sz w:val="22"/>
              </w:rPr>
              <w:t>1</w:t>
            </w:r>
          </w:p>
        </w:tc>
        <w:tc>
          <w:tcPr>
            <w:tcW w:w="1260" w:type="dxa"/>
            <w:tcBorders>
              <w:top w:val="single" w:color="000000" w:sz="7" w:space="0"/>
              <w:left w:val="single" w:color="000000" w:sz="7" w:space="0"/>
              <w:bottom w:val="single" w:color="000000" w:sz="7" w:space="0"/>
              <w:right w:val="double" w:color="000000" w:sz="7" w:space="0"/>
            </w:tcBorders>
            <w:vAlign w:val="center"/>
          </w:tcPr>
          <w:p w:rsidRPr="00BD3E49" w:rsidR="00580FF5" w:rsidP="00580FF5" w:rsidRDefault="00580FF5" w14:paraId="3035182D" w14:textId="394679EF">
            <w:pPr>
              <w:tabs>
                <w:tab w:val="left" w:pos="544"/>
                <w:tab w:val="left" w:pos="814"/>
              </w:tabs>
              <w:jc w:val="center"/>
              <w:rPr>
                <w:rFonts w:asciiTheme="minorHAnsi" w:hAnsiTheme="minorHAnsi"/>
                <w:sz w:val="22"/>
              </w:rPr>
            </w:pPr>
            <w:r w:rsidRPr="00BD3E49">
              <w:rPr>
                <w:rFonts w:asciiTheme="minorHAnsi" w:hAnsiTheme="minorHAnsi"/>
                <w:sz w:val="22"/>
              </w:rPr>
              <w:t>1,530</w:t>
            </w:r>
          </w:p>
        </w:tc>
      </w:tr>
      <w:tr w:rsidRPr="00A91F82" w:rsidR="00580FF5" w:rsidTr="009875A4" w14:paraId="3CB5D27A" w14:textId="77777777">
        <w:trPr>
          <w:cantSplit/>
          <w:trHeight w:val="469"/>
          <w:jc w:val="center"/>
        </w:trPr>
        <w:tc>
          <w:tcPr>
            <w:tcW w:w="9360" w:type="dxa"/>
            <w:gridSpan w:val="5"/>
            <w:tcBorders>
              <w:top w:val="single" w:color="000000" w:sz="7" w:space="0"/>
              <w:left w:val="double" w:color="000000" w:sz="7" w:space="0"/>
              <w:bottom w:val="single" w:color="000000" w:sz="7" w:space="0"/>
              <w:right w:val="double" w:color="000000" w:sz="7" w:space="0"/>
            </w:tcBorders>
            <w:vAlign w:val="center"/>
          </w:tcPr>
          <w:p w:rsidRPr="00A91F82" w:rsidR="00580FF5" w:rsidP="00317069" w:rsidRDefault="00580FF5" w14:paraId="04E412E7" w14:textId="33EEF57D">
            <w:pPr>
              <w:tabs>
                <w:tab w:val="left" w:pos="544"/>
                <w:tab w:val="left" w:pos="814"/>
              </w:tabs>
              <w:jc w:val="center"/>
              <w:rPr>
                <w:rFonts w:asciiTheme="minorHAnsi" w:hAnsiTheme="minorHAnsi"/>
                <w:i/>
                <w:sz w:val="22"/>
              </w:rPr>
            </w:pPr>
            <w:r w:rsidRPr="00A91F82">
              <w:rPr>
                <w:rFonts w:asciiTheme="minorHAnsi" w:hAnsiTheme="minorHAnsi"/>
                <w:b/>
                <w:i/>
                <w:sz w:val="22"/>
              </w:rPr>
              <w:t>Module</w:t>
            </w:r>
            <w:r w:rsidR="004A7E4B">
              <w:rPr>
                <w:rFonts w:asciiTheme="minorHAnsi" w:hAnsiTheme="minorHAnsi"/>
                <w:b/>
                <w:i/>
                <w:sz w:val="22"/>
              </w:rPr>
              <w:t>s</w:t>
            </w:r>
            <w:r w:rsidRPr="00A91F82">
              <w:rPr>
                <w:rFonts w:asciiTheme="minorHAnsi" w:hAnsiTheme="minorHAnsi"/>
                <w:b/>
                <w:i/>
                <w:sz w:val="22"/>
              </w:rPr>
              <w:t xml:space="preserve"> 2</w:t>
            </w:r>
            <w:r w:rsidR="004A7E4B">
              <w:rPr>
                <w:rFonts w:asciiTheme="minorHAnsi" w:hAnsiTheme="minorHAnsi"/>
                <w:b/>
                <w:i/>
                <w:sz w:val="22"/>
              </w:rPr>
              <w:t xml:space="preserve"> and 3</w:t>
            </w:r>
            <w:r w:rsidRPr="00A91F82">
              <w:rPr>
                <w:rFonts w:asciiTheme="minorHAnsi" w:hAnsiTheme="minorHAnsi"/>
                <w:b/>
                <w:i/>
                <w:sz w:val="22"/>
              </w:rPr>
              <w:t xml:space="preserve"> (LIHEAP Performance Measures)</w:t>
            </w:r>
          </w:p>
        </w:tc>
      </w:tr>
      <w:tr w:rsidRPr="00A91F82" w:rsidR="00580FF5" w:rsidTr="009875A4" w14:paraId="1CAB32BB" w14:textId="77777777">
        <w:trPr>
          <w:cantSplit/>
          <w:trHeight w:val="469"/>
          <w:jc w:val="center"/>
        </w:trPr>
        <w:tc>
          <w:tcPr>
            <w:tcW w:w="2970" w:type="dxa"/>
            <w:tcBorders>
              <w:top w:val="single" w:color="000000" w:sz="7" w:space="0"/>
              <w:left w:val="double" w:color="000000" w:sz="7" w:space="0"/>
              <w:bottom w:val="single" w:color="000000" w:sz="7" w:space="0"/>
              <w:right w:val="single" w:color="000000" w:sz="7" w:space="0"/>
            </w:tcBorders>
            <w:vAlign w:val="center"/>
          </w:tcPr>
          <w:p w:rsidRPr="00A91F82" w:rsidR="00580FF5" w:rsidP="00317069" w:rsidRDefault="00580FF5" w14:paraId="265872C1" w14:textId="77777777">
            <w:pPr>
              <w:tabs>
                <w:tab w:val="left" w:pos="544"/>
                <w:tab w:val="left" w:pos="814"/>
              </w:tabs>
              <w:spacing w:before="120" w:after="8"/>
              <w:rPr>
                <w:rFonts w:asciiTheme="minorHAnsi" w:hAnsiTheme="minorHAnsi"/>
                <w:b/>
                <w:sz w:val="22"/>
              </w:rPr>
            </w:pPr>
            <w:r w:rsidRPr="00A91F82">
              <w:rPr>
                <w:rFonts w:asciiTheme="minorHAnsi" w:hAnsiTheme="minorHAnsi"/>
                <w:b/>
                <w:sz w:val="22"/>
              </w:rPr>
              <w:t>State Grantees—Part II</w:t>
            </w:r>
          </w:p>
        </w:tc>
        <w:tc>
          <w:tcPr>
            <w:tcW w:w="1710" w:type="dxa"/>
            <w:tcBorders>
              <w:top w:val="single" w:color="000000" w:sz="7" w:space="0"/>
              <w:left w:val="single" w:color="000000" w:sz="7" w:space="0"/>
              <w:bottom w:val="single" w:color="000000" w:sz="7" w:space="0"/>
              <w:right w:val="single" w:color="000000" w:sz="7" w:space="0"/>
            </w:tcBorders>
            <w:vAlign w:val="center"/>
          </w:tcPr>
          <w:p w:rsidRPr="00A91F82" w:rsidR="00580FF5" w:rsidP="00317069" w:rsidRDefault="00580FF5" w14:paraId="2A372730" w14:textId="77777777">
            <w:pPr>
              <w:tabs>
                <w:tab w:val="left" w:pos="544"/>
                <w:tab w:val="left" w:pos="814"/>
              </w:tabs>
              <w:jc w:val="center"/>
              <w:rPr>
                <w:rFonts w:asciiTheme="minorHAnsi" w:hAnsiTheme="minorHAnsi"/>
                <w:sz w:val="22"/>
              </w:rPr>
            </w:pPr>
            <w:r w:rsidRPr="00A91F82">
              <w:rPr>
                <w:rFonts w:asciiTheme="minorHAnsi" w:hAnsiTheme="minorHAnsi"/>
                <w:sz w:val="22"/>
              </w:rPr>
              <w:t>51</w:t>
            </w:r>
          </w:p>
        </w:tc>
        <w:tc>
          <w:tcPr>
            <w:tcW w:w="1863" w:type="dxa"/>
            <w:tcBorders>
              <w:top w:val="single" w:color="000000" w:sz="7" w:space="0"/>
              <w:left w:val="single" w:color="000000" w:sz="7" w:space="0"/>
              <w:bottom w:val="single" w:color="000000" w:sz="7" w:space="0"/>
              <w:right w:val="single" w:color="000000" w:sz="7" w:space="0"/>
            </w:tcBorders>
            <w:vAlign w:val="center"/>
          </w:tcPr>
          <w:p w:rsidRPr="00A91F82" w:rsidR="00580FF5" w:rsidP="00317069" w:rsidRDefault="00580FF5" w14:paraId="20E72472" w14:textId="77777777">
            <w:pPr>
              <w:tabs>
                <w:tab w:val="left" w:pos="544"/>
                <w:tab w:val="left" w:pos="814"/>
              </w:tabs>
              <w:jc w:val="center"/>
              <w:rPr>
                <w:rFonts w:asciiTheme="minorHAnsi" w:hAnsiTheme="minorHAnsi"/>
                <w:sz w:val="22"/>
              </w:rPr>
            </w:pPr>
            <w:r w:rsidRPr="00A91F82">
              <w:rPr>
                <w:rFonts w:asciiTheme="minorHAnsi" w:hAnsiTheme="minorHAnsi"/>
                <w:sz w:val="22"/>
              </w:rPr>
              <w:t>1</w:t>
            </w:r>
          </w:p>
        </w:tc>
        <w:tc>
          <w:tcPr>
            <w:tcW w:w="1557" w:type="dxa"/>
            <w:tcBorders>
              <w:top w:val="single" w:color="000000" w:sz="7" w:space="0"/>
              <w:left w:val="single" w:color="000000" w:sz="7" w:space="0"/>
              <w:bottom w:val="single" w:color="000000" w:sz="7" w:space="0"/>
              <w:right w:val="single" w:color="000000" w:sz="7" w:space="0"/>
            </w:tcBorders>
            <w:vAlign w:val="center"/>
          </w:tcPr>
          <w:p w:rsidRPr="00A91F82" w:rsidR="00580FF5" w:rsidP="00317069" w:rsidRDefault="00580FF5" w14:paraId="5E6DF23E" w14:textId="77777777">
            <w:pPr>
              <w:tabs>
                <w:tab w:val="left" w:pos="544"/>
                <w:tab w:val="left" w:pos="814"/>
              </w:tabs>
              <w:jc w:val="center"/>
              <w:rPr>
                <w:rFonts w:asciiTheme="minorHAnsi" w:hAnsiTheme="minorHAnsi"/>
                <w:sz w:val="22"/>
              </w:rPr>
            </w:pPr>
            <w:r w:rsidRPr="00A91F82">
              <w:rPr>
                <w:rFonts w:asciiTheme="minorHAnsi" w:hAnsiTheme="minorHAnsi"/>
                <w:sz w:val="22"/>
              </w:rPr>
              <w:t>150</w:t>
            </w:r>
          </w:p>
        </w:tc>
        <w:tc>
          <w:tcPr>
            <w:tcW w:w="1260" w:type="dxa"/>
            <w:tcBorders>
              <w:top w:val="single" w:color="000000" w:sz="7" w:space="0"/>
              <w:left w:val="single" w:color="000000" w:sz="7" w:space="0"/>
              <w:bottom w:val="single" w:color="000000" w:sz="7" w:space="0"/>
              <w:right w:val="double" w:color="000000" w:sz="7" w:space="0"/>
            </w:tcBorders>
            <w:vAlign w:val="center"/>
          </w:tcPr>
          <w:p w:rsidRPr="00A91F82" w:rsidR="00580FF5" w:rsidP="00317069" w:rsidRDefault="00580FF5" w14:paraId="3AF323A5" w14:textId="77777777">
            <w:pPr>
              <w:tabs>
                <w:tab w:val="left" w:pos="544"/>
                <w:tab w:val="left" w:pos="814"/>
              </w:tabs>
              <w:jc w:val="center"/>
              <w:rPr>
                <w:rFonts w:asciiTheme="minorHAnsi" w:hAnsiTheme="minorHAnsi"/>
                <w:sz w:val="22"/>
              </w:rPr>
            </w:pPr>
            <w:r w:rsidRPr="00A91F82">
              <w:rPr>
                <w:rFonts w:asciiTheme="minorHAnsi" w:hAnsiTheme="minorHAnsi"/>
                <w:sz w:val="22"/>
              </w:rPr>
              <w:t>7,650</w:t>
            </w:r>
          </w:p>
        </w:tc>
      </w:tr>
      <w:tr w:rsidRPr="00A91F82" w:rsidR="00580FF5" w:rsidTr="009875A4" w14:paraId="0A32E433" w14:textId="77777777">
        <w:trPr>
          <w:cantSplit/>
          <w:trHeight w:val="469"/>
          <w:jc w:val="center"/>
        </w:trPr>
        <w:tc>
          <w:tcPr>
            <w:tcW w:w="2970" w:type="dxa"/>
            <w:tcBorders>
              <w:top w:val="single" w:color="000000" w:sz="7" w:space="0"/>
              <w:left w:val="double" w:color="000000" w:sz="7" w:space="0"/>
              <w:bottom w:val="single" w:color="000000" w:sz="7" w:space="0"/>
              <w:right w:val="single" w:color="000000" w:sz="7" w:space="0"/>
            </w:tcBorders>
            <w:vAlign w:val="center"/>
          </w:tcPr>
          <w:p w:rsidRPr="00A91F82" w:rsidR="00580FF5" w:rsidP="00317069" w:rsidRDefault="00580FF5" w14:paraId="6EC5F5D7" w14:textId="77777777">
            <w:pPr>
              <w:tabs>
                <w:tab w:val="left" w:pos="544"/>
                <w:tab w:val="left" w:pos="814"/>
              </w:tabs>
              <w:spacing w:before="120" w:after="8"/>
              <w:rPr>
                <w:rFonts w:asciiTheme="minorHAnsi" w:hAnsiTheme="minorHAnsi"/>
                <w:b/>
                <w:sz w:val="22"/>
              </w:rPr>
            </w:pPr>
            <w:r w:rsidRPr="00A91F82">
              <w:rPr>
                <w:rFonts w:asciiTheme="minorHAnsi" w:hAnsiTheme="minorHAnsi"/>
                <w:b/>
                <w:sz w:val="22"/>
              </w:rPr>
              <w:t>Sub-Grantees (in states with sub-grantee managed systems) —</w:t>
            </w:r>
            <w:r>
              <w:rPr>
                <w:rFonts w:asciiTheme="minorHAnsi" w:hAnsiTheme="minorHAnsi"/>
                <w:b/>
                <w:sz w:val="22"/>
              </w:rPr>
              <w:t xml:space="preserve"> </w:t>
            </w:r>
            <w:r w:rsidRPr="00A91F82">
              <w:rPr>
                <w:rFonts w:asciiTheme="minorHAnsi" w:hAnsiTheme="minorHAnsi"/>
                <w:b/>
                <w:sz w:val="22"/>
              </w:rPr>
              <w:t>Part II</w:t>
            </w:r>
          </w:p>
        </w:tc>
        <w:tc>
          <w:tcPr>
            <w:tcW w:w="1710" w:type="dxa"/>
            <w:tcBorders>
              <w:top w:val="single" w:color="000000" w:sz="7" w:space="0"/>
              <w:left w:val="single" w:color="000000" w:sz="7" w:space="0"/>
              <w:bottom w:val="single" w:color="000000" w:sz="7" w:space="0"/>
              <w:right w:val="single" w:color="000000" w:sz="7" w:space="0"/>
            </w:tcBorders>
            <w:vAlign w:val="center"/>
          </w:tcPr>
          <w:p w:rsidRPr="00A91F82" w:rsidR="00580FF5" w:rsidP="00317069" w:rsidRDefault="00580FF5" w14:paraId="3B752501" w14:textId="77777777">
            <w:pPr>
              <w:tabs>
                <w:tab w:val="left" w:pos="544"/>
                <w:tab w:val="left" w:pos="814"/>
              </w:tabs>
              <w:jc w:val="center"/>
              <w:rPr>
                <w:rFonts w:asciiTheme="minorHAnsi" w:hAnsiTheme="minorHAnsi"/>
                <w:sz w:val="22"/>
              </w:rPr>
            </w:pPr>
            <w:r>
              <w:rPr>
                <w:rFonts w:asciiTheme="minorHAnsi" w:hAnsiTheme="minorHAnsi"/>
                <w:sz w:val="22"/>
              </w:rPr>
              <w:t>100</w:t>
            </w:r>
          </w:p>
        </w:tc>
        <w:tc>
          <w:tcPr>
            <w:tcW w:w="1863" w:type="dxa"/>
            <w:tcBorders>
              <w:top w:val="single" w:color="000000" w:sz="7" w:space="0"/>
              <w:left w:val="single" w:color="000000" w:sz="7" w:space="0"/>
              <w:bottom w:val="single" w:color="000000" w:sz="7" w:space="0"/>
              <w:right w:val="single" w:color="000000" w:sz="7" w:space="0"/>
            </w:tcBorders>
            <w:vAlign w:val="center"/>
          </w:tcPr>
          <w:p w:rsidRPr="00A91F82" w:rsidR="00580FF5" w:rsidP="00317069" w:rsidRDefault="00580FF5" w14:paraId="1819606C" w14:textId="77777777">
            <w:pPr>
              <w:tabs>
                <w:tab w:val="left" w:pos="544"/>
                <w:tab w:val="left" w:pos="814"/>
              </w:tabs>
              <w:jc w:val="center"/>
              <w:rPr>
                <w:rFonts w:asciiTheme="minorHAnsi" w:hAnsiTheme="minorHAnsi"/>
                <w:sz w:val="22"/>
              </w:rPr>
            </w:pPr>
            <w:r w:rsidRPr="00A91F82">
              <w:rPr>
                <w:rFonts w:asciiTheme="minorHAnsi" w:hAnsiTheme="minorHAnsi"/>
                <w:sz w:val="22"/>
              </w:rPr>
              <w:t>1</w:t>
            </w:r>
          </w:p>
        </w:tc>
        <w:tc>
          <w:tcPr>
            <w:tcW w:w="1557" w:type="dxa"/>
            <w:tcBorders>
              <w:top w:val="single" w:color="000000" w:sz="7" w:space="0"/>
              <w:left w:val="single" w:color="000000" w:sz="7" w:space="0"/>
              <w:bottom w:val="single" w:color="000000" w:sz="7" w:space="0"/>
              <w:right w:val="single" w:color="000000" w:sz="7" w:space="0"/>
            </w:tcBorders>
            <w:vAlign w:val="center"/>
          </w:tcPr>
          <w:p w:rsidRPr="00A91F82" w:rsidR="00580FF5" w:rsidP="00317069" w:rsidRDefault="00580FF5" w14:paraId="2094C689" w14:textId="77777777">
            <w:pPr>
              <w:tabs>
                <w:tab w:val="left" w:pos="544"/>
                <w:tab w:val="left" w:pos="814"/>
              </w:tabs>
              <w:jc w:val="center"/>
              <w:rPr>
                <w:rFonts w:asciiTheme="minorHAnsi" w:hAnsiTheme="minorHAnsi"/>
                <w:sz w:val="22"/>
              </w:rPr>
            </w:pPr>
            <w:r>
              <w:rPr>
                <w:rFonts w:asciiTheme="minorHAnsi" w:hAnsiTheme="minorHAnsi"/>
                <w:sz w:val="22"/>
              </w:rPr>
              <w:t>8</w:t>
            </w:r>
          </w:p>
        </w:tc>
        <w:tc>
          <w:tcPr>
            <w:tcW w:w="1260" w:type="dxa"/>
            <w:tcBorders>
              <w:top w:val="single" w:color="000000" w:sz="7" w:space="0"/>
              <w:left w:val="single" w:color="000000" w:sz="7" w:space="0"/>
              <w:bottom w:val="single" w:color="000000" w:sz="7" w:space="0"/>
              <w:right w:val="double" w:color="000000" w:sz="7" w:space="0"/>
            </w:tcBorders>
            <w:vAlign w:val="center"/>
          </w:tcPr>
          <w:p w:rsidRPr="00A91F82" w:rsidR="00580FF5" w:rsidP="00317069" w:rsidRDefault="00580FF5" w14:paraId="06912B32" w14:textId="77777777">
            <w:pPr>
              <w:tabs>
                <w:tab w:val="left" w:pos="544"/>
                <w:tab w:val="left" w:pos="814"/>
              </w:tabs>
              <w:jc w:val="center"/>
              <w:rPr>
                <w:rFonts w:asciiTheme="minorHAnsi" w:hAnsiTheme="minorHAnsi"/>
                <w:sz w:val="22"/>
              </w:rPr>
            </w:pPr>
            <w:r>
              <w:rPr>
                <w:rFonts w:asciiTheme="minorHAnsi" w:hAnsiTheme="minorHAnsi"/>
                <w:sz w:val="22"/>
              </w:rPr>
              <w:t>800</w:t>
            </w:r>
          </w:p>
        </w:tc>
      </w:tr>
      <w:tr w:rsidRPr="00A91F82" w:rsidR="00580FF5" w:rsidTr="009875A4" w14:paraId="7B7C13A8" w14:textId="77777777">
        <w:trPr>
          <w:cantSplit/>
          <w:trHeight w:val="469"/>
          <w:jc w:val="center"/>
        </w:trPr>
        <w:tc>
          <w:tcPr>
            <w:tcW w:w="2970" w:type="dxa"/>
            <w:tcBorders>
              <w:top w:val="single" w:color="000000" w:sz="7" w:space="0"/>
              <w:left w:val="double" w:color="000000" w:sz="7" w:space="0"/>
              <w:bottom w:val="single" w:color="000000" w:sz="7" w:space="0"/>
              <w:right w:val="single" w:color="000000" w:sz="7" w:space="0"/>
            </w:tcBorders>
            <w:vAlign w:val="center"/>
          </w:tcPr>
          <w:p w:rsidRPr="00A91F82" w:rsidR="00580FF5" w:rsidP="00580FF5" w:rsidRDefault="00580FF5" w14:paraId="5D69337F" w14:textId="77777777">
            <w:pPr>
              <w:tabs>
                <w:tab w:val="left" w:pos="544"/>
                <w:tab w:val="left" w:pos="814"/>
              </w:tabs>
              <w:spacing w:before="120" w:after="8"/>
              <w:rPr>
                <w:rFonts w:asciiTheme="minorHAnsi" w:hAnsiTheme="minorHAnsi"/>
                <w:b/>
                <w:sz w:val="22"/>
              </w:rPr>
            </w:pPr>
            <w:r w:rsidRPr="00A91F82">
              <w:rPr>
                <w:rFonts w:asciiTheme="minorHAnsi" w:hAnsiTheme="minorHAnsi"/>
                <w:b/>
                <w:sz w:val="22"/>
              </w:rPr>
              <w:t xml:space="preserve">Energy Vendors (largest 5 electric, 5 </w:t>
            </w:r>
            <w:r>
              <w:rPr>
                <w:rFonts w:asciiTheme="minorHAnsi" w:hAnsiTheme="minorHAnsi"/>
                <w:b/>
                <w:sz w:val="22"/>
              </w:rPr>
              <w:t xml:space="preserve">natural </w:t>
            </w:r>
            <w:r w:rsidRPr="00A91F82">
              <w:rPr>
                <w:rFonts w:asciiTheme="minorHAnsi" w:hAnsiTheme="minorHAnsi"/>
                <w:b/>
                <w:sz w:val="22"/>
              </w:rPr>
              <w:t>gas, 10 fuel oil, and 10 propane vendors per state - average) —</w:t>
            </w:r>
            <w:r>
              <w:rPr>
                <w:rFonts w:asciiTheme="minorHAnsi" w:hAnsiTheme="minorHAnsi"/>
                <w:b/>
                <w:sz w:val="22"/>
              </w:rPr>
              <w:t xml:space="preserve"> </w:t>
            </w:r>
            <w:r w:rsidRPr="00A91F82">
              <w:rPr>
                <w:rFonts w:asciiTheme="minorHAnsi" w:hAnsiTheme="minorHAnsi"/>
                <w:b/>
                <w:sz w:val="22"/>
              </w:rPr>
              <w:t>Part II</w:t>
            </w:r>
          </w:p>
        </w:tc>
        <w:tc>
          <w:tcPr>
            <w:tcW w:w="1710" w:type="dxa"/>
            <w:tcBorders>
              <w:top w:val="single" w:color="000000" w:sz="7" w:space="0"/>
              <w:left w:val="single" w:color="000000" w:sz="7" w:space="0"/>
              <w:bottom w:val="single" w:color="000000" w:sz="7" w:space="0"/>
              <w:right w:val="single" w:color="000000" w:sz="7" w:space="0"/>
            </w:tcBorders>
            <w:vAlign w:val="center"/>
          </w:tcPr>
          <w:p w:rsidRPr="00A91F82" w:rsidR="00580FF5" w:rsidP="00580FF5" w:rsidRDefault="00580FF5" w14:paraId="27E9671B" w14:textId="77777777">
            <w:pPr>
              <w:tabs>
                <w:tab w:val="left" w:pos="544"/>
                <w:tab w:val="left" w:pos="814"/>
              </w:tabs>
              <w:jc w:val="center"/>
              <w:rPr>
                <w:rFonts w:asciiTheme="minorHAnsi" w:hAnsiTheme="minorHAnsi"/>
                <w:sz w:val="22"/>
              </w:rPr>
            </w:pPr>
            <w:r w:rsidRPr="00A91F82">
              <w:rPr>
                <w:rFonts w:asciiTheme="minorHAnsi" w:hAnsiTheme="minorHAnsi"/>
                <w:sz w:val="22"/>
              </w:rPr>
              <w:t>1,530</w:t>
            </w:r>
          </w:p>
          <w:p w:rsidRPr="00A91F82" w:rsidR="00580FF5" w:rsidP="00580FF5" w:rsidRDefault="00580FF5" w14:paraId="402533BA" w14:textId="77777777">
            <w:pPr>
              <w:tabs>
                <w:tab w:val="left" w:pos="544"/>
                <w:tab w:val="left" w:pos="814"/>
              </w:tabs>
              <w:jc w:val="center"/>
              <w:rPr>
                <w:rFonts w:asciiTheme="minorHAnsi" w:hAnsiTheme="minorHAnsi"/>
                <w:sz w:val="22"/>
              </w:rPr>
            </w:pPr>
            <w:r w:rsidRPr="00A91F82">
              <w:rPr>
                <w:rFonts w:asciiTheme="minorHAnsi" w:hAnsiTheme="minorHAnsi"/>
                <w:sz w:val="22"/>
              </w:rPr>
              <w:t>(estimate)</w:t>
            </w:r>
          </w:p>
        </w:tc>
        <w:tc>
          <w:tcPr>
            <w:tcW w:w="1863" w:type="dxa"/>
            <w:tcBorders>
              <w:top w:val="single" w:color="000000" w:sz="7" w:space="0"/>
              <w:left w:val="single" w:color="000000" w:sz="7" w:space="0"/>
              <w:bottom w:val="single" w:color="000000" w:sz="7" w:space="0"/>
              <w:right w:val="single" w:color="000000" w:sz="7" w:space="0"/>
            </w:tcBorders>
            <w:vAlign w:val="center"/>
          </w:tcPr>
          <w:p w:rsidRPr="00A91F82" w:rsidR="00580FF5" w:rsidP="00580FF5" w:rsidRDefault="00580FF5" w14:paraId="6E3E33E5" w14:textId="77777777">
            <w:pPr>
              <w:tabs>
                <w:tab w:val="left" w:pos="544"/>
                <w:tab w:val="left" w:pos="814"/>
              </w:tabs>
              <w:jc w:val="center"/>
              <w:rPr>
                <w:rFonts w:asciiTheme="minorHAnsi" w:hAnsiTheme="minorHAnsi"/>
                <w:sz w:val="22"/>
              </w:rPr>
            </w:pPr>
            <w:r w:rsidRPr="00A91F82">
              <w:rPr>
                <w:rFonts w:asciiTheme="minorHAnsi" w:hAnsiTheme="minorHAnsi"/>
                <w:sz w:val="22"/>
              </w:rPr>
              <w:t>1</w:t>
            </w:r>
          </w:p>
        </w:tc>
        <w:tc>
          <w:tcPr>
            <w:tcW w:w="1557" w:type="dxa"/>
            <w:tcBorders>
              <w:top w:val="single" w:color="000000" w:sz="7" w:space="0"/>
              <w:left w:val="single" w:color="000000" w:sz="7" w:space="0"/>
              <w:bottom w:val="single" w:color="000000" w:sz="7" w:space="0"/>
              <w:right w:val="single" w:color="000000" w:sz="7" w:space="0"/>
            </w:tcBorders>
            <w:vAlign w:val="center"/>
          </w:tcPr>
          <w:p w:rsidRPr="00A91F82" w:rsidR="00580FF5" w:rsidP="00580FF5" w:rsidRDefault="00580FF5" w14:paraId="6359C369" w14:textId="6C106FDB">
            <w:pPr>
              <w:tabs>
                <w:tab w:val="left" w:pos="544"/>
                <w:tab w:val="left" w:pos="814"/>
              </w:tabs>
              <w:jc w:val="center"/>
              <w:rPr>
                <w:rFonts w:asciiTheme="minorHAnsi" w:hAnsiTheme="minorHAnsi"/>
                <w:sz w:val="22"/>
              </w:rPr>
            </w:pPr>
            <w:r w:rsidRPr="00BD3E49">
              <w:rPr>
                <w:rFonts w:asciiTheme="minorHAnsi" w:hAnsiTheme="minorHAnsi"/>
                <w:sz w:val="22"/>
              </w:rPr>
              <w:t>8.5</w:t>
            </w:r>
          </w:p>
        </w:tc>
        <w:tc>
          <w:tcPr>
            <w:tcW w:w="1260" w:type="dxa"/>
            <w:tcBorders>
              <w:top w:val="single" w:color="000000" w:sz="7" w:space="0"/>
              <w:left w:val="single" w:color="000000" w:sz="7" w:space="0"/>
              <w:bottom w:val="single" w:color="000000" w:sz="7" w:space="0"/>
              <w:right w:val="double" w:color="000000" w:sz="7" w:space="0"/>
            </w:tcBorders>
            <w:vAlign w:val="center"/>
          </w:tcPr>
          <w:p w:rsidRPr="00A91F82" w:rsidR="00580FF5" w:rsidP="00580FF5" w:rsidRDefault="00580FF5" w14:paraId="05AA90A7" w14:textId="4DA0067D">
            <w:pPr>
              <w:tabs>
                <w:tab w:val="left" w:pos="544"/>
                <w:tab w:val="left" w:pos="814"/>
              </w:tabs>
              <w:jc w:val="center"/>
              <w:rPr>
                <w:rFonts w:asciiTheme="minorHAnsi" w:hAnsiTheme="minorHAnsi"/>
                <w:sz w:val="22"/>
              </w:rPr>
            </w:pPr>
            <w:r w:rsidRPr="00BD3E49">
              <w:rPr>
                <w:rFonts w:asciiTheme="minorHAnsi" w:hAnsiTheme="minorHAnsi"/>
                <w:sz w:val="22"/>
              </w:rPr>
              <w:t>13,005</w:t>
            </w:r>
          </w:p>
        </w:tc>
      </w:tr>
      <w:tr w:rsidRPr="00386541" w:rsidR="00580FF5" w:rsidTr="009875A4" w14:paraId="5A5340D8" w14:textId="77777777">
        <w:trPr>
          <w:cantSplit/>
          <w:trHeight w:val="469"/>
          <w:jc w:val="center"/>
        </w:trPr>
        <w:tc>
          <w:tcPr>
            <w:tcW w:w="2970" w:type="dxa"/>
            <w:tcBorders>
              <w:top w:val="single" w:color="000000" w:sz="7" w:space="0"/>
              <w:left w:val="double" w:color="000000" w:sz="7" w:space="0"/>
              <w:bottom w:val="single" w:color="000000" w:sz="7" w:space="0"/>
              <w:right w:val="single" w:color="000000" w:sz="7" w:space="0"/>
            </w:tcBorders>
            <w:vAlign w:val="center"/>
          </w:tcPr>
          <w:p w:rsidRPr="00A91F82" w:rsidR="00580FF5" w:rsidP="00317069" w:rsidRDefault="00580FF5" w14:paraId="620B0EB0" w14:textId="77777777">
            <w:pPr>
              <w:tabs>
                <w:tab w:val="left" w:pos="544"/>
                <w:tab w:val="left" w:pos="814"/>
              </w:tabs>
              <w:spacing w:before="120" w:after="8"/>
              <w:jc w:val="both"/>
              <w:rPr>
                <w:rFonts w:asciiTheme="minorHAnsi" w:hAnsiTheme="minorHAnsi"/>
                <w:b/>
                <w:sz w:val="22"/>
              </w:rPr>
            </w:pPr>
            <w:r w:rsidRPr="00A91F82">
              <w:rPr>
                <w:rFonts w:asciiTheme="minorHAnsi" w:hAnsiTheme="minorHAnsi"/>
                <w:b/>
                <w:sz w:val="22"/>
              </w:rPr>
              <w:t>Total Annual Burden Hours</w:t>
            </w:r>
          </w:p>
        </w:tc>
        <w:tc>
          <w:tcPr>
            <w:tcW w:w="1710" w:type="dxa"/>
            <w:tcBorders>
              <w:top w:val="single" w:color="000000" w:sz="7" w:space="0"/>
              <w:left w:val="single" w:color="000000" w:sz="7" w:space="0"/>
              <w:bottom w:val="single" w:color="000000" w:sz="7" w:space="0"/>
              <w:right w:val="single" w:color="000000" w:sz="7" w:space="0"/>
            </w:tcBorders>
            <w:vAlign w:val="center"/>
          </w:tcPr>
          <w:p w:rsidRPr="00A91F82" w:rsidR="00580FF5" w:rsidP="00317069" w:rsidRDefault="00580FF5" w14:paraId="5D3F5D1D" w14:textId="77777777">
            <w:pPr>
              <w:tabs>
                <w:tab w:val="left" w:pos="544"/>
                <w:tab w:val="left" w:pos="814"/>
              </w:tabs>
              <w:jc w:val="center"/>
              <w:rPr>
                <w:rFonts w:asciiTheme="minorHAnsi" w:hAnsiTheme="minorHAnsi"/>
                <w:sz w:val="22"/>
              </w:rPr>
            </w:pPr>
          </w:p>
        </w:tc>
        <w:tc>
          <w:tcPr>
            <w:tcW w:w="1863" w:type="dxa"/>
            <w:tcBorders>
              <w:top w:val="single" w:color="000000" w:sz="7" w:space="0"/>
              <w:left w:val="single" w:color="000000" w:sz="7" w:space="0"/>
              <w:bottom w:val="single" w:color="000000" w:sz="7" w:space="0"/>
              <w:right w:val="single" w:color="000000" w:sz="7" w:space="0"/>
            </w:tcBorders>
            <w:vAlign w:val="center"/>
          </w:tcPr>
          <w:p w:rsidRPr="00A91F82" w:rsidR="00580FF5" w:rsidP="00317069" w:rsidRDefault="00580FF5" w14:paraId="62E3FFF1" w14:textId="77777777">
            <w:pPr>
              <w:tabs>
                <w:tab w:val="left" w:pos="544"/>
                <w:tab w:val="left" w:pos="814"/>
              </w:tabs>
              <w:jc w:val="center"/>
              <w:rPr>
                <w:rFonts w:asciiTheme="minorHAnsi" w:hAnsiTheme="minorHAnsi"/>
                <w:sz w:val="22"/>
              </w:rPr>
            </w:pPr>
          </w:p>
        </w:tc>
        <w:tc>
          <w:tcPr>
            <w:tcW w:w="1557" w:type="dxa"/>
            <w:tcBorders>
              <w:top w:val="single" w:color="000000" w:sz="7" w:space="0"/>
              <w:left w:val="single" w:color="000000" w:sz="7" w:space="0"/>
              <w:bottom w:val="single" w:color="000000" w:sz="7" w:space="0"/>
              <w:right w:val="single" w:color="000000" w:sz="7" w:space="0"/>
            </w:tcBorders>
            <w:vAlign w:val="center"/>
          </w:tcPr>
          <w:p w:rsidRPr="00A91F82" w:rsidR="00580FF5" w:rsidP="00317069" w:rsidRDefault="00580FF5" w14:paraId="5FDEBBA8" w14:textId="77777777">
            <w:pPr>
              <w:tabs>
                <w:tab w:val="left" w:pos="544"/>
                <w:tab w:val="left" w:pos="814"/>
              </w:tabs>
              <w:jc w:val="center"/>
              <w:rPr>
                <w:rFonts w:asciiTheme="minorHAnsi" w:hAnsiTheme="minorHAnsi"/>
                <w:sz w:val="22"/>
              </w:rPr>
            </w:pPr>
          </w:p>
        </w:tc>
        <w:tc>
          <w:tcPr>
            <w:tcW w:w="1260" w:type="dxa"/>
            <w:tcBorders>
              <w:top w:val="single" w:color="000000" w:sz="7" w:space="0"/>
              <w:left w:val="single" w:color="000000" w:sz="7" w:space="0"/>
              <w:bottom w:val="single" w:color="000000" w:sz="7" w:space="0"/>
              <w:right w:val="double" w:color="000000" w:sz="7" w:space="0"/>
            </w:tcBorders>
            <w:vAlign w:val="center"/>
          </w:tcPr>
          <w:p w:rsidR="00580FF5" w:rsidP="00317069" w:rsidRDefault="00580FF5" w14:paraId="7ED20693" w14:textId="0F25D2D6">
            <w:pPr>
              <w:tabs>
                <w:tab w:val="left" w:pos="544"/>
                <w:tab w:val="left" w:pos="814"/>
              </w:tabs>
              <w:jc w:val="center"/>
              <w:rPr>
                <w:rFonts w:asciiTheme="minorHAnsi" w:hAnsiTheme="minorHAnsi"/>
                <w:sz w:val="22"/>
              </w:rPr>
            </w:pPr>
            <w:r w:rsidRPr="00580FF5">
              <w:rPr>
                <w:rFonts w:asciiTheme="minorHAnsi" w:hAnsiTheme="minorHAnsi"/>
                <w:sz w:val="22"/>
              </w:rPr>
              <w:t>24,821</w:t>
            </w:r>
          </w:p>
        </w:tc>
      </w:tr>
    </w:tbl>
    <w:p w:rsidR="00580FF5" w:rsidP="004F3AFB" w:rsidRDefault="00580FF5" w14:paraId="32C2A661" w14:textId="77777777">
      <w:pPr>
        <w:tabs>
          <w:tab w:val="left" w:pos="918"/>
          <w:tab w:val="left" w:pos="1188"/>
        </w:tabs>
        <w:ind w:left="360"/>
        <w:jc w:val="both"/>
        <w:rPr>
          <w:rFonts w:asciiTheme="minorHAnsi" w:hAnsiTheme="minorHAnsi"/>
          <w:spacing w:val="-4"/>
          <w:sz w:val="22"/>
          <w:szCs w:val="22"/>
        </w:rPr>
      </w:pPr>
    </w:p>
    <w:p w:rsidRPr="006D5275" w:rsidR="000E1F85" w:rsidP="009875A4" w:rsidRDefault="00580FF5" w14:paraId="6A6F7D68" w14:textId="075A6FE5">
      <w:pPr>
        <w:tabs>
          <w:tab w:val="left" w:pos="918"/>
          <w:tab w:val="left" w:pos="1188"/>
        </w:tabs>
        <w:ind w:left="360"/>
        <w:jc w:val="both"/>
        <w:rPr>
          <w:rFonts w:ascii="Times New Roman" w:hAnsi="Times New Roman"/>
          <w:b/>
          <w:sz w:val="24"/>
        </w:rPr>
      </w:pPr>
      <w:r>
        <w:rPr>
          <w:rFonts w:asciiTheme="minorHAnsi" w:hAnsiTheme="minorHAnsi"/>
          <w:spacing w:val="-4"/>
          <w:sz w:val="22"/>
          <w:szCs w:val="22"/>
        </w:rPr>
        <w:tab/>
      </w:r>
    </w:p>
    <w:p w:rsidRPr="006D5275" w:rsidR="00D60543" w:rsidP="006D5275" w:rsidRDefault="002C3C4F" w14:paraId="548FE903" w14:textId="565BC1DE">
      <w:pPr>
        <w:widowControl/>
        <w:numPr>
          <w:ilvl w:val="0"/>
          <w:numId w:val="3"/>
        </w:numPr>
        <w:tabs>
          <w:tab w:val="num" w:pos="360"/>
        </w:tabs>
        <w:spacing w:after="120"/>
        <w:ind w:left="360"/>
        <w:rPr>
          <w:rFonts w:ascii="Times New Roman" w:hAnsi="Times New Roman"/>
          <w:b/>
          <w:sz w:val="24"/>
        </w:rPr>
      </w:pPr>
      <w:r w:rsidRPr="006D5275">
        <w:rPr>
          <w:rFonts w:ascii="Times New Roman" w:hAnsi="Times New Roman"/>
          <w:b/>
          <w:sz w:val="24"/>
        </w:rPr>
        <w:t>Estimates of Other Total Annual Cost Burden to Respondents and Record Keepers</w:t>
      </w:r>
      <w:r w:rsidRPr="008A7A39" w:rsidR="00532F17">
        <w:rPr>
          <w:rFonts w:ascii="Times New Roman" w:hAnsi="Times New Roman"/>
          <w:b/>
          <w:sz w:val="24"/>
        </w:rPr>
        <w:t>/Capital Costs</w:t>
      </w:r>
      <w:r w:rsidRPr="008A7A39">
        <w:rPr>
          <w:rFonts w:ascii="Times New Roman" w:hAnsi="Times New Roman"/>
          <w:b/>
          <w:snapToGrid/>
          <w:sz w:val="32"/>
          <w:szCs w:val="24"/>
        </w:rPr>
        <w:t xml:space="preserve"> </w:t>
      </w:r>
    </w:p>
    <w:p w:rsidRPr="006D5275" w:rsidR="00725243" w:rsidP="006D5275" w:rsidRDefault="009875A4" w14:paraId="6AB566E8" w14:textId="77DCB676">
      <w:pPr>
        <w:tabs>
          <w:tab w:val="left" w:pos="918"/>
          <w:tab w:val="left" w:pos="1188"/>
        </w:tabs>
        <w:ind w:left="360"/>
        <w:jc w:val="both"/>
        <w:rPr>
          <w:rFonts w:asciiTheme="minorHAnsi" w:hAnsiTheme="minorHAnsi"/>
          <w:spacing w:val="-4"/>
          <w:sz w:val="22"/>
        </w:rPr>
      </w:pPr>
      <w:r w:rsidRPr="006D5275">
        <w:rPr>
          <w:rFonts w:asciiTheme="minorHAnsi" w:hAnsiTheme="minorHAnsi"/>
          <w:spacing w:val="-4"/>
          <w:sz w:val="22"/>
        </w:rPr>
        <w:t xml:space="preserve">The data collection procedures should not require any new capital expenditures by grantees, sub-grantees, or </w:t>
      </w:r>
      <w:r w:rsidRPr="006D5275">
        <w:rPr>
          <w:rFonts w:asciiTheme="minorHAnsi" w:hAnsiTheme="minorHAnsi"/>
          <w:spacing w:val="-4"/>
          <w:sz w:val="22"/>
        </w:rPr>
        <w:lastRenderedPageBreak/>
        <w:t>energy vendors.</w:t>
      </w:r>
      <w:r w:rsidR="00C26405">
        <w:rPr>
          <w:rFonts w:asciiTheme="minorHAnsi" w:hAnsiTheme="minorHAnsi"/>
          <w:spacing w:val="-4"/>
          <w:sz w:val="22"/>
        </w:rPr>
        <w:t xml:space="preserve"> </w:t>
      </w:r>
      <w:r w:rsidRPr="00A6745E" w:rsidR="00A6745E">
        <w:rPr>
          <w:rFonts w:asciiTheme="minorHAnsi" w:hAnsiTheme="minorHAnsi"/>
          <w:spacing w:val="-4"/>
          <w:sz w:val="22"/>
        </w:rPr>
        <w:t xml:space="preserve">The amended data collection procedures required for reporting CARES Act funds build on existing systems </w:t>
      </w:r>
      <w:r w:rsidR="00A6745E">
        <w:rPr>
          <w:rFonts w:asciiTheme="minorHAnsi" w:hAnsiTheme="minorHAnsi"/>
          <w:spacing w:val="-4"/>
          <w:sz w:val="22"/>
        </w:rPr>
        <w:t xml:space="preserve">and </w:t>
      </w:r>
      <w:r w:rsidRPr="00A6745E" w:rsidR="00A6745E">
        <w:rPr>
          <w:rFonts w:asciiTheme="minorHAnsi" w:hAnsiTheme="minorHAnsi"/>
          <w:spacing w:val="-4"/>
          <w:sz w:val="22"/>
        </w:rPr>
        <w:t>so</w:t>
      </w:r>
      <w:r w:rsidR="00A6745E">
        <w:rPr>
          <w:rFonts w:asciiTheme="minorHAnsi" w:hAnsiTheme="minorHAnsi"/>
          <w:spacing w:val="-4"/>
          <w:sz w:val="22"/>
        </w:rPr>
        <w:t xml:space="preserve"> </w:t>
      </w:r>
      <w:r w:rsidRPr="00A6745E" w:rsidR="00A6745E">
        <w:rPr>
          <w:rFonts w:asciiTheme="minorHAnsi" w:hAnsiTheme="minorHAnsi"/>
          <w:spacing w:val="-4"/>
          <w:sz w:val="22"/>
        </w:rPr>
        <w:t>should not require any new capital expenditures by grantees, sub-grantees, or energy vendors</w:t>
      </w:r>
      <w:r>
        <w:rPr>
          <w:rFonts w:asciiTheme="minorHAnsi" w:hAnsiTheme="minorHAnsi"/>
          <w:spacing w:val="-4"/>
          <w:sz w:val="22"/>
        </w:rPr>
        <w:t xml:space="preserve">. </w:t>
      </w:r>
    </w:p>
    <w:p w:rsidRPr="006D5275" w:rsidR="004F457B" w:rsidP="006D5275" w:rsidRDefault="004F457B" w14:paraId="2FBBB744" w14:textId="77777777">
      <w:pPr>
        <w:tabs>
          <w:tab w:val="left" w:pos="918"/>
          <w:tab w:val="left" w:pos="1188"/>
        </w:tabs>
        <w:ind w:left="360"/>
        <w:jc w:val="both"/>
        <w:rPr>
          <w:rFonts w:asciiTheme="minorHAnsi" w:hAnsiTheme="minorHAnsi"/>
          <w:spacing w:val="-4"/>
          <w:sz w:val="22"/>
        </w:rPr>
      </w:pPr>
    </w:p>
    <w:p w:rsidRPr="006D5275" w:rsidR="002C3C4F" w:rsidP="006D5275" w:rsidRDefault="004602FE" w14:paraId="3C0D7334" w14:textId="006EC632">
      <w:pPr>
        <w:widowControl/>
        <w:numPr>
          <w:ilvl w:val="0"/>
          <w:numId w:val="3"/>
        </w:numPr>
        <w:tabs>
          <w:tab w:val="num" w:pos="360"/>
        </w:tabs>
        <w:spacing w:after="120"/>
        <w:ind w:left="360"/>
        <w:rPr>
          <w:rFonts w:ascii="Times New Roman" w:hAnsi="Times New Roman"/>
          <w:b/>
          <w:sz w:val="24"/>
        </w:rPr>
      </w:pPr>
      <w:r w:rsidRPr="006D5275">
        <w:rPr>
          <w:rFonts w:ascii="Times New Roman" w:hAnsi="Times New Roman"/>
          <w:b/>
          <w:sz w:val="24"/>
        </w:rPr>
        <w:t>A</w:t>
      </w:r>
      <w:r w:rsidRPr="006D5275" w:rsidR="002C3C4F">
        <w:rPr>
          <w:rFonts w:ascii="Times New Roman" w:hAnsi="Times New Roman"/>
          <w:b/>
          <w:sz w:val="24"/>
        </w:rPr>
        <w:t>nnualized Cost to the Federal Government</w:t>
      </w:r>
      <w:r w:rsidRPr="00772692" w:rsidR="002C3C4F">
        <w:rPr>
          <w:rFonts w:ascii="Times New Roman" w:hAnsi="Times New Roman"/>
          <w:b/>
          <w:snapToGrid/>
          <w:sz w:val="24"/>
          <w:szCs w:val="24"/>
        </w:rPr>
        <w:t xml:space="preserve"> </w:t>
      </w:r>
    </w:p>
    <w:p w:rsidR="00500D8E" w:rsidP="009875A4" w:rsidRDefault="00500D8E" w14:paraId="3887BEEF" w14:textId="77777777">
      <w:pPr>
        <w:tabs>
          <w:tab w:val="left" w:pos="918"/>
          <w:tab w:val="left" w:pos="1188"/>
        </w:tabs>
        <w:ind w:left="360"/>
        <w:jc w:val="both"/>
        <w:rPr>
          <w:rFonts w:asciiTheme="minorHAnsi" w:hAnsiTheme="minorHAnsi"/>
          <w:sz w:val="22"/>
          <w:szCs w:val="22"/>
        </w:rPr>
      </w:pPr>
      <w:r w:rsidRPr="009B5D1B">
        <w:rPr>
          <w:rFonts w:asciiTheme="minorHAnsi" w:hAnsiTheme="minorHAnsi"/>
          <w:sz w:val="22"/>
          <w:szCs w:val="22"/>
        </w:rPr>
        <w:t xml:space="preserve">Federal Government Staff tasks </w:t>
      </w:r>
      <w:r w:rsidRPr="009875A4">
        <w:rPr>
          <w:rFonts w:asciiTheme="minorHAnsi" w:hAnsiTheme="minorHAnsi"/>
          <w:spacing w:val="-4"/>
          <w:sz w:val="22"/>
        </w:rPr>
        <w:t>associated</w:t>
      </w:r>
      <w:r w:rsidRPr="009B5D1B">
        <w:rPr>
          <w:rFonts w:asciiTheme="minorHAnsi" w:hAnsiTheme="minorHAnsi"/>
          <w:sz w:val="22"/>
          <w:szCs w:val="22"/>
        </w:rPr>
        <w:t xml:space="preserve"> with the collection of these data include:</w:t>
      </w:r>
    </w:p>
    <w:p w:rsidR="00500D8E" w:rsidP="00500D8E" w:rsidRDefault="00500D8E" w14:paraId="4AB49610" w14:textId="77777777">
      <w:pPr>
        <w:pStyle w:val="ListParagraph"/>
        <w:tabs>
          <w:tab w:val="left" w:pos="-2250"/>
          <w:tab w:val="left" w:pos="814"/>
        </w:tabs>
        <w:ind w:left="360"/>
        <w:jc w:val="both"/>
        <w:rPr>
          <w:rFonts w:asciiTheme="minorHAnsi" w:hAnsiTheme="minorHAnsi"/>
          <w:sz w:val="22"/>
          <w:szCs w:val="22"/>
        </w:rPr>
      </w:pPr>
    </w:p>
    <w:p w:rsidRPr="00C26405" w:rsidR="00500D8E" w:rsidP="00C26405" w:rsidRDefault="00500D8E" w14:paraId="1951ED2B" w14:textId="72E7F707">
      <w:pPr>
        <w:pStyle w:val="ListParagraph"/>
        <w:numPr>
          <w:ilvl w:val="0"/>
          <w:numId w:val="74"/>
        </w:numPr>
        <w:tabs>
          <w:tab w:val="left" w:pos="-2250"/>
          <w:tab w:val="left" w:pos="814"/>
        </w:tabs>
        <w:spacing w:after="120"/>
        <w:jc w:val="both"/>
        <w:rPr>
          <w:rFonts w:asciiTheme="minorHAnsi" w:hAnsiTheme="minorHAnsi"/>
          <w:sz w:val="22"/>
          <w:szCs w:val="22"/>
        </w:rPr>
      </w:pPr>
      <w:r w:rsidRPr="009B5D1B">
        <w:rPr>
          <w:rFonts w:asciiTheme="minorHAnsi" w:hAnsiTheme="minorHAnsi"/>
          <w:sz w:val="22"/>
          <w:szCs w:val="22"/>
        </w:rPr>
        <w:t>Grantee Monitoring – Notifying grantees of the reporting requirement and conducting follow-up with grantees.</w:t>
      </w:r>
    </w:p>
    <w:p w:rsidRPr="00C26405" w:rsidR="00500D8E" w:rsidP="00C26405" w:rsidRDefault="00500D8E" w14:paraId="7A22477D" w14:textId="49F7F3CF">
      <w:pPr>
        <w:pStyle w:val="ListParagraph"/>
        <w:numPr>
          <w:ilvl w:val="0"/>
          <w:numId w:val="74"/>
        </w:numPr>
        <w:tabs>
          <w:tab w:val="left" w:pos="-2250"/>
          <w:tab w:val="left" w:pos="814"/>
        </w:tabs>
        <w:spacing w:after="120"/>
        <w:jc w:val="both"/>
        <w:rPr>
          <w:rFonts w:asciiTheme="minorHAnsi" w:hAnsiTheme="minorHAnsi"/>
          <w:sz w:val="22"/>
          <w:szCs w:val="22"/>
        </w:rPr>
      </w:pPr>
      <w:r w:rsidRPr="009B5D1B">
        <w:rPr>
          <w:rFonts w:asciiTheme="minorHAnsi" w:hAnsiTheme="minorHAnsi"/>
          <w:sz w:val="22"/>
          <w:szCs w:val="22"/>
        </w:rPr>
        <w:t>Report Review – Reviewing submitted reports and working with grantees to furnish reliable data.</w:t>
      </w:r>
    </w:p>
    <w:p w:rsidR="00500D8E" w:rsidP="009875A4" w:rsidRDefault="00500D8E" w14:paraId="101D929B" w14:textId="77777777">
      <w:pPr>
        <w:pStyle w:val="ListParagraph"/>
        <w:numPr>
          <w:ilvl w:val="0"/>
          <w:numId w:val="74"/>
        </w:numPr>
        <w:tabs>
          <w:tab w:val="left" w:pos="-2250"/>
          <w:tab w:val="left" w:pos="814"/>
        </w:tabs>
        <w:jc w:val="both"/>
        <w:rPr>
          <w:rFonts w:asciiTheme="minorHAnsi" w:hAnsiTheme="minorHAnsi"/>
          <w:sz w:val="22"/>
          <w:szCs w:val="22"/>
        </w:rPr>
      </w:pPr>
      <w:r w:rsidRPr="009B5D1B">
        <w:rPr>
          <w:rFonts w:asciiTheme="minorHAnsi" w:hAnsiTheme="minorHAnsi"/>
          <w:sz w:val="22"/>
          <w:szCs w:val="22"/>
        </w:rPr>
        <w:t xml:space="preserve">Analysis and Reporting – Conducting analysis of the reported data and preparing tables to be submitted with targeted administrative reports (e.g., LIHEAP Report to Congress).   </w:t>
      </w:r>
    </w:p>
    <w:p w:rsidR="00500D8E" w:rsidP="00500D8E" w:rsidRDefault="00500D8E" w14:paraId="598DF217" w14:textId="77777777">
      <w:pPr>
        <w:tabs>
          <w:tab w:val="left" w:pos="-734"/>
          <w:tab w:val="left" w:pos="544"/>
          <w:tab w:val="left" w:pos="814"/>
        </w:tabs>
        <w:jc w:val="both"/>
        <w:rPr>
          <w:rFonts w:asciiTheme="minorHAnsi" w:hAnsiTheme="minorHAnsi"/>
          <w:sz w:val="22"/>
          <w:szCs w:val="22"/>
        </w:rPr>
      </w:pPr>
    </w:p>
    <w:p w:rsidR="00500D8E" w:rsidP="009875A4" w:rsidRDefault="00500D8E" w14:paraId="358D3585" w14:textId="77777777">
      <w:pPr>
        <w:tabs>
          <w:tab w:val="left" w:pos="918"/>
          <w:tab w:val="left" w:pos="1188"/>
        </w:tabs>
        <w:ind w:left="360"/>
        <w:jc w:val="both"/>
        <w:rPr>
          <w:rFonts w:asciiTheme="minorHAnsi" w:hAnsiTheme="minorHAnsi"/>
          <w:sz w:val="22"/>
          <w:szCs w:val="22"/>
        </w:rPr>
      </w:pPr>
      <w:r w:rsidRPr="009B5D1B">
        <w:rPr>
          <w:rFonts w:asciiTheme="minorHAnsi" w:hAnsiTheme="minorHAnsi"/>
          <w:sz w:val="22"/>
          <w:szCs w:val="22"/>
        </w:rPr>
        <w:t>The table below furnishes information on the estimated Federal Staff hours and costs associated with each task</w:t>
      </w:r>
      <w:r>
        <w:rPr>
          <w:rFonts w:asciiTheme="minorHAnsi" w:hAnsiTheme="minorHAnsi"/>
          <w:sz w:val="22"/>
          <w:szCs w:val="22"/>
        </w:rPr>
        <w:t>:</w:t>
      </w:r>
    </w:p>
    <w:p w:rsidR="00500D8E" w:rsidP="00500D8E" w:rsidRDefault="00500D8E" w14:paraId="39F85F95" w14:textId="77777777">
      <w:pPr>
        <w:tabs>
          <w:tab w:val="left" w:pos="-734"/>
          <w:tab w:val="left" w:pos="544"/>
          <w:tab w:val="left" w:pos="814"/>
        </w:tabs>
        <w:jc w:val="both"/>
        <w:rPr>
          <w:rFonts w:asciiTheme="minorHAnsi" w:hAnsiTheme="minorHAnsi"/>
          <w:b/>
          <w:szCs w:val="22"/>
        </w:rPr>
      </w:pPr>
    </w:p>
    <w:p w:rsidRPr="009875A4" w:rsidR="00500D8E" w:rsidP="009875A4" w:rsidRDefault="00500D8E" w14:paraId="08779B05" w14:textId="77777777">
      <w:pPr>
        <w:tabs>
          <w:tab w:val="left" w:pos="-734"/>
          <w:tab w:val="left" w:pos="544"/>
          <w:tab w:val="left" w:pos="814"/>
        </w:tabs>
        <w:ind w:left="360"/>
        <w:jc w:val="both"/>
        <w:rPr>
          <w:rFonts w:asciiTheme="minorHAnsi" w:hAnsiTheme="minorHAnsi"/>
          <w:b/>
          <w:sz w:val="22"/>
          <w:szCs w:val="22"/>
        </w:rPr>
      </w:pPr>
      <w:r w:rsidRPr="009875A4">
        <w:rPr>
          <w:rFonts w:asciiTheme="minorHAnsi" w:hAnsiTheme="minorHAnsi"/>
          <w:b/>
          <w:sz w:val="22"/>
          <w:szCs w:val="22"/>
        </w:rPr>
        <w:t>Annual Federal Staff Hours and Costs</w:t>
      </w:r>
    </w:p>
    <w:p w:rsidRPr="00406344" w:rsidR="00500D8E" w:rsidP="00500D8E" w:rsidRDefault="00500D8E" w14:paraId="6F82B1A8" w14:textId="77777777">
      <w:pPr>
        <w:tabs>
          <w:tab w:val="left" w:pos="-734"/>
          <w:tab w:val="left" w:pos="544"/>
          <w:tab w:val="left" w:pos="814"/>
        </w:tabs>
        <w:jc w:val="both"/>
        <w:rPr>
          <w:rFonts w:asciiTheme="minorHAnsi" w:hAnsiTheme="minorHAnsi"/>
          <w:sz w:val="22"/>
          <w:szCs w:val="22"/>
        </w:rPr>
      </w:pPr>
    </w:p>
    <w:tbl>
      <w:tblPr>
        <w:tblStyle w:val="TableGrid"/>
        <w:tblW w:w="0" w:type="auto"/>
        <w:tblInd w:w="360" w:type="dxa"/>
        <w:tblLook w:val="04A0" w:firstRow="1" w:lastRow="0" w:firstColumn="1" w:lastColumn="0" w:noHBand="0" w:noVBand="1"/>
      </w:tblPr>
      <w:tblGrid>
        <w:gridCol w:w="2743"/>
        <w:gridCol w:w="2195"/>
        <w:gridCol w:w="2199"/>
        <w:gridCol w:w="2213"/>
      </w:tblGrid>
      <w:tr w:rsidRPr="00406344" w:rsidR="00500D8E" w:rsidTr="009875A4" w14:paraId="7164E348" w14:textId="77777777">
        <w:tc>
          <w:tcPr>
            <w:tcW w:w="2743" w:type="dxa"/>
            <w:shd w:val="clear" w:color="auto" w:fill="D9D9D9" w:themeFill="background1" w:themeFillShade="D9"/>
          </w:tcPr>
          <w:p w:rsidRPr="000C7402" w:rsidR="00500D8E" w:rsidP="003E1A58" w:rsidRDefault="00500D8E" w14:paraId="03E665A2" w14:textId="77777777">
            <w:pPr>
              <w:tabs>
                <w:tab w:val="left" w:pos="-734"/>
                <w:tab w:val="left" w:pos="544"/>
                <w:tab w:val="left" w:pos="814"/>
              </w:tabs>
              <w:spacing w:before="20" w:after="20"/>
              <w:jc w:val="both"/>
              <w:rPr>
                <w:rFonts w:asciiTheme="minorHAnsi" w:hAnsiTheme="minorHAnsi"/>
                <w:b/>
                <w:sz w:val="22"/>
                <w:szCs w:val="22"/>
              </w:rPr>
            </w:pPr>
            <w:r w:rsidRPr="009B5D1B">
              <w:rPr>
                <w:rFonts w:asciiTheme="minorHAnsi" w:hAnsiTheme="minorHAnsi"/>
                <w:b/>
                <w:sz w:val="22"/>
                <w:szCs w:val="22"/>
              </w:rPr>
              <w:t>Task</w:t>
            </w:r>
          </w:p>
        </w:tc>
        <w:tc>
          <w:tcPr>
            <w:tcW w:w="2195" w:type="dxa"/>
            <w:shd w:val="clear" w:color="auto" w:fill="D9D9D9" w:themeFill="background1" w:themeFillShade="D9"/>
          </w:tcPr>
          <w:p w:rsidRPr="000C7402" w:rsidR="00500D8E" w:rsidP="003E1A58" w:rsidRDefault="00500D8E" w14:paraId="38D5A509" w14:textId="77777777">
            <w:pPr>
              <w:tabs>
                <w:tab w:val="left" w:pos="-734"/>
                <w:tab w:val="left" w:pos="544"/>
                <w:tab w:val="left" w:pos="814"/>
              </w:tabs>
              <w:spacing w:before="20" w:after="20"/>
              <w:jc w:val="both"/>
              <w:rPr>
                <w:rFonts w:asciiTheme="minorHAnsi" w:hAnsiTheme="minorHAnsi"/>
                <w:b/>
                <w:sz w:val="22"/>
                <w:szCs w:val="22"/>
              </w:rPr>
            </w:pPr>
            <w:r w:rsidRPr="009B5D1B">
              <w:rPr>
                <w:rFonts w:asciiTheme="minorHAnsi" w:hAnsiTheme="minorHAnsi"/>
                <w:b/>
                <w:sz w:val="22"/>
                <w:szCs w:val="22"/>
              </w:rPr>
              <w:t>Number of Hours</w:t>
            </w:r>
          </w:p>
        </w:tc>
        <w:tc>
          <w:tcPr>
            <w:tcW w:w="2199" w:type="dxa"/>
            <w:shd w:val="clear" w:color="auto" w:fill="D9D9D9" w:themeFill="background1" w:themeFillShade="D9"/>
          </w:tcPr>
          <w:p w:rsidRPr="000C7402" w:rsidR="00500D8E" w:rsidP="003E1A58" w:rsidRDefault="00500D8E" w14:paraId="7729120C" w14:textId="77777777">
            <w:pPr>
              <w:tabs>
                <w:tab w:val="left" w:pos="-734"/>
                <w:tab w:val="left" w:pos="544"/>
                <w:tab w:val="left" w:pos="814"/>
              </w:tabs>
              <w:spacing w:before="20" w:after="20"/>
              <w:jc w:val="both"/>
              <w:rPr>
                <w:rFonts w:asciiTheme="minorHAnsi" w:hAnsiTheme="minorHAnsi"/>
                <w:b/>
                <w:sz w:val="22"/>
                <w:szCs w:val="22"/>
              </w:rPr>
            </w:pPr>
            <w:r w:rsidRPr="009B5D1B">
              <w:rPr>
                <w:rFonts w:asciiTheme="minorHAnsi" w:hAnsiTheme="minorHAnsi"/>
                <w:b/>
                <w:sz w:val="22"/>
                <w:szCs w:val="22"/>
              </w:rPr>
              <w:t>Rate</w:t>
            </w:r>
          </w:p>
        </w:tc>
        <w:tc>
          <w:tcPr>
            <w:tcW w:w="2213" w:type="dxa"/>
            <w:shd w:val="clear" w:color="auto" w:fill="D9D9D9" w:themeFill="background1" w:themeFillShade="D9"/>
          </w:tcPr>
          <w:p w:rsidRPr="000C7402" w:rsidR="00500D8E" w:rsidP="003E1A58" w:rsidRDefault="00500D8E" w14:paraId="7DA65702" w14:textId="77777777">
            <w:pPr>
              <w:tabs>
                <w:tab w:val="left" w:pos="-734"/>
                <w:tab w:val="left" w:pos="544"/>
                <w:tab w:val="left" w:pos="814"/>
              </w:tabs>
              <w:spacing w:before="20" w:after="20"/>
              <w:jc w:val="both"/>
              <w:rPr>
                <w:rFonts w:asciiTheme="minorHAnsi" w:hAnsiTheme="minorHAnsi"/>
                <w:b/>
                <w:sz w:val="22"/>
                <w:szCs w:val="22"/>
              </w:rPr>
            </w:pPr>
            <w:r w:rsidRPr="009B5D1B">
              <w:rPr>
                <w:rFonts w:asciiTheme="minorHAnsi" w:hAnsiTheme="minorHAnsi"/>
                <w:b/>
                <w:sz w:val="22"/>
                <w:szCs w:val="22"/>
              </w:rPr>
              <w:t>Total Cost</w:t>
            </w:r>
          </w:p>
        </w:tc>
      </w:tr>
      <w:tr w:rsidRPr="00406344" w:rsidR="0090404E" w:rsidTr="00500D8E" w14:paraId="36651A5C" w14:textId="77777777">
        <w:tc>
          <w:tcPr>
            <w:tcW w:w="2743" w:type="dxa"/>
          </w:tcPr>
          <w:p w:rsidRPr="009B5D1B" w:rsidR="0090404E" w:rsidP="0090404E" w:rsidRDefault="0090404E" w14:paraId="14ED4633" w14:textId="2AA3B29B">
            <w:pPr>
              <w:tabs>
                <w:tab w:val="left" w:pos="-734"/>
                <w:tab w:val="left" w:pos="544"/>
                <w:tab w:val="left" w:pos="814"/>
              </w:tabs>
              <w:spacing w:before="20" w:after="20"/>
              <w:jc w:val="both"/>
              <w:rPr>
                <w:rFonts w:asciiTheme="minorHAnsi" w:hAnsiTheme="minorHAnsi"/>
                <w:sz w:val="22"/>
                <w:szCs w:val="22"/>
              </w:rPr>
            </w:pPr>
            <w:r w:rsidRPr="0090404E">
              <w:rPr>
                <w:rFonts w:asciiTheme="minorHAnsi" w:hAnsiTheme="minorHAnsi"/>
                <w:sz w:val="22"/>
                <w:szCs w:val="22"/>
              </w:rPr>
              <w:t>OLDC Form Development</w:t>
            </w:r>
          </w:p>
        </w:tc>
        <w:tc>
          <w:tcPr>
            <w:tcW w:w="2195" w:type="dxa"/>
          </w:tcPr>
          <w:p w:rsidR="0090404E" w:rsidP="0090404E" w:rsidRDefault="0090404E" w14:paraId="6DAACF24" w14:textId="1641CA5E">
            <w:pPr>
              <w:tabs>
                <w:tab w:val="left" w:pos="-734"/>
                <w:tab w:val="left" w:pos="544"/>
                <w:tab w:val="left" w:pos="814"/>
              </w:tabs>
              <w:spacing w:before="20" w:after="20"/>
              <w:jc w:val="both"/>
              <w:rPr>
                <w:rFonts w:asciiTheme="minorHAnsi" w:hAnsiTheme="minorHAnsi"/>
                <w:sz w:val="22"/>
                <w:szCs w:val="22"/>
              </w:rPr>
            </w:pPr>
            <w:r w:rsidRPr="0090404E">
              <w:rPr>
                <w:rFonts w:asciiTheme="minorHAnsi" w:hAnsiTheme="minorHAnsi"/>
                <w:sz w:val="22"/>
                <w:szCs w:val="22"/>
              </w:rPr>
              <w:t>673</w:t>
            </w:r>
          </w:p>
        </w:tc>
        <w:tc>
          <w:tcPr>
            <w:tcW w:w="2199" w:type="dxa"/>
          </w:tcPr>
          <w:p w:rsidRPr="009B5D1B" w:rsidR="0090404E" w:rsidP="0090404E" w:rsidRDefault="0090404E" w14:paraId="4CD99642" w14:textId="48D89AA9">
            <w:pPr>
              <w:tabs>
                <w:tab w:val="left" w:pos="-734"/>
                <w:tab w:val="left" w:pos="544"/>
                <w:tab w:val="left" w:pos="814"/>
              </w:tabs>
              <w:spacing w:before="20" w:after="20"/>
              <w:jc w:val="both"/>
              <w:rPr>
                <w:rFonts w:asciiTheme="minorHAnsi" w:hAnsiTheme="minorHAnsi"/>
                <w:sz w:val="22"/>
                <w:szCs w:val="22"/>
              </w:rPr>
            </w:pPr>
            <w:r w:rsidRPr="0090404E">
              <w:rPr>
                <w:rFonts w:asciiTheme="minorHAnsi" w:hAnsiTheme="minorHAnsi"/>
                <w:sz w:val="22"/>
                <w:szCs w:val="22"/>
              </w:rPr>
              <w:t>$111.50</w:t>
            </w:r>
            <w:r>
              <w:rPr>
                <w:rFonts w:asciiTheme="minorHAnsi" w:hAnsiTheme="minorHAnsi"/>
                <w:sz w:val="22"/>
                <w:szCs w:val="22"/>
              </w:rPr>
              <w:t>/hour</w:t>
            </w:r>
          </w:p>
        </w:tc>
        <w:tc>
          <w:tcPr>
            <w:tcW w:w="2213" w:type="dxa"/>
          </w:tcPr>
          <w:p w:rsidR="0090404E" w:rsidP="0090404E" w:rsidRDefault="0090404E" w14:paraId="52663752" w14:textId="6A9E60C6">
            <w:pPr>
              <w:tabs>
                <w:tab w:val="left" w:pos="-734"/>
                <w:tab w:val="left" w:pos="544"/>
                <w:tab w:val="left" w:pos="814"/>
              </w:tabs>
              <w:spacing w:before="20" w:after="20"/>
              <w:jc w:val="both"/>
              <w:rPr>
                <w:rFonts w:asciiTheme="minorHAnsi" w:hAnsiTheme="minorHAnsi"/>
                <w:sz w:val="22"/>
                <w:szCs w:val="22"/>
              </w:rPr>
            </w:pPr>
            <w:r w:rsidRPr="0090404E">
              <w:rPr>
                <w:rFonts w:asciiTheme="minorHAnsi" w:hAnsiTheme="minorHAnsi"/>
                <w:sz w:val="22"/>
                <w:szCs w:val="22"/>
              </w:rPr>
              <w:t>$75,040</w:t>
            </w:r>
          </w:p>
        </w:tc>
      </w:tr>
      <w:tr w:rsidRPr="00406344" w:rsidR="0090404E" w:rsidTr="009875A4" w14:paraId="050667B8" w14:textId="77777777">
        <w:tc>
          <w:tcPr>
            <w:tcW w:w="2743" w:type="dxa"/>
          </w:tcPr>
          <w:p w:rsidRPr="00406344" w:rsidR="0090404E" w:rsidP="0090404E" w:rsidRDefault="0090404E" w14:paraId="46702F3A" w14:textId="77777777">
            <w:pPr>
              <w:tabs>
                <w:tab w:val="left" w:pos="-734"/>
                <w:tab w:val="left" w:pos="544"/>
                <w:tab w:val="left" w:pos="814"/>
              </w:tabs>
              <w:spacing w:before="20" w:after="20"/>
              <w:jc w:val="both"/>
              <w:rPr>
                <w:rFonts w:asciiTheme="minorHAnsi" w:hAnsiTheme="minorHAnsi"/>
                <w:sz w:val="22"/>
                <w:szCs w:val="22"/>
              </w:rPr>
            </w:pPr>
            <w:r w:rsidRPr="009B5D1B">
              <w:rPr>
                <w:rFonts w:asciiTheme="minorHAnsi" w:hAnsiTheme="minorHAnsi"/>
                <w:sz w:val="22"/>
                <w:szCs w:val="22"/>
              </w:rPr>
              <w:t>Grantee Monitoring</w:t>
            </w:r>
          </w:p>
        </w:tc>
        <w:tc>
          <w:tcPr>
            <w:tcW w:w="2195" w:type="dxa"/>
          </w:tcPr>
          <w:p w:rsidRPr="00406344" w:rsidR="0090404E" w:rsidP="0090404E" w:rsidRDefault="0090404E" w14:paraId="58D09777" w14:textId="39162506">
            <w:pPr>
              <w:tabs>
                <w:tab w:val="left" w:pos="-734"/>
                <w:tab w:val="left" w:pos="544"/>
                <w:tab w:val="left" w:pos="814"/>
              </w:tabs>
              <w:spacing w:before="20" w:after="20"/>
              <w:jc w:val="both"/>
              <w:rPr>
                <w:rFonts w:asciiTheme="minorHAnsi" w:hAnsiTheme="minorHAnsi"/>
                <w:sz w:val="22"/>
                <w:szCs w:val="22"/>
              </w:rPr>
            </w:pPr>
            <w:r>
              <w:rPr>
                <w:rFonts w:asciiTheme="minorHAnsi" w:hAnsiTheme="minorHAnsi"/>
                <w:sz w:val="22"/>
                <w:szCs w:val="22"/>
              </w:rPr>
              <w:t>42</w:t>
            </w:r>
          </w:p>
        </w:tc>
        <w:tc>
          <w:tcPr>
            <w:tcW w:w="2199" w:type="dxa"/>
          </w:tcPr>
          <w:p w:rsidRPr="00406344" w:rsidR="0090404E" w:rsidP="0090404E" w:rsidRDefault="0090404E" w14:paraId="554F9070" w14:textId="21972362">
            <w:pPr>
              <w:tabs>
                <w:tab w:val="left" w:pos="-734"/>
                <w:tab w:val="left" w:pos="544"/>
                <w:tab w:val="left" w:pos="814"/>
              </w:tabs>
              <w:spacing w:before="20" w:after="20"/>
              <w:jc w:val="both"/>
              <w:rPr>
                <w:rFonts w:asciiTheme="minorHAnsi" w:hAnsiTheme="minorHAnsi"/>
                <w:sz w:val="22"/>
                <w:szCs w:val="22"/>
              </w:rPr>
            </w:pPr>
            <w:r w:rsidRPr="009B5D1B">
              <w:rPr>
                <w:rFonts w:asciiTheme="minorHAnsi" w:hAnsiTheme="minorHAnsi"/>
                <w:sz w:val="22"/>
                <w:szCs w:val="22"/>
              </w:rPr>
              <w:t>$</w:t>
            </w:r>
            <w:r>
              <w:rPr>
                <w:rFonts w:asciiTheme="minorHAnsi" w:hAnsiTheme="minorHAnsi"/>
                <w:sz w:val="22"/>
                <w:szCs w:val="22"/>
              </w:rPr>
              <w:t>111.50</w:t>
            </w:r>
            <w:r w:rsidRPr="009B5D1B">
              <w:rPr>
                <w:rFonts w:asciiTheme="minorHAnsi" w:hAnsiTheme="minorHAnsi"/>
                <w:sz w:val="22"/>
                <w:szCs w:val="22"/>
              </w:rPr>
              <w:t>/hour</w:t>
            </w:r>
          </w:p>
        </w:tc>
        <w:tc>
          <w:tcPr>
            <w:tcW w:w="2213" w:type="dxa"/>
          </w:tcPr>
          <w:p w:rsidRPr="00406344" w:rsidR="0090404E" w:rsidP="0090404E" w:rsidRDefault="0090404E" w14:paraId="6864FB37" w14:textId="3E353607">
            <w:pPr>
              <w:tabs>
                <w:tab w:val="left" w:pos="-734"/>
                <w:tab w:val="left" w:pos="544"/>
                <w:tab w:val="left" w:pos="814"/>
              </w:tabs>
              <w:spacing w:before="20" w:after="20"/>
              <w:jc w:val="both"/>
              <w:rPr>
                <w:rFonts w:asciiTheme="minorHAnsi" w:hAnsiTheme="minorHAnsi"/>
                <w:sz w:val="22"/>
                <w:szCs w:val="22"/>
              </w:rPr>
            </w:pPr>
            <w:r w:rsidRPr="0090404E">
              <w:rPr>
                <w:rFonts w:asciiTheme="minorHAnsi" w:hAnsiTheme="minorHAnsi"/>
                <w:sz w:val="22"/>
                <w:szCs w:val="22"/>
              </w:rPr>
              <w:t xml:space="preserve">$4,683 </w:t>
            </w:r>
          </w:p>
        </w:tc>
      </w:tr>
      <w:tr w:rsidRPr="00406344" w:rsidR="0090404E" w:rsidTr="009875A4" w14:paraId="3C495938" w14:textId="77777777">
        <w:tc>
          <w:tcPr>
            <w:tcW w:w="2743" w:type="dxa"/>
          </w:tcPr>
          <w:p w:rsidRPr="00406344" w:rsidR="0090404E" w:rsidP="0090404E" w:rsidRDefault="0090404E" w14:paraId="61C59F2F" w14:textId="77777777">
            <w:pPr>
              <w:tabs>
                <w:tab w:val="left" w:pos="-734"/>
                <w:tab w:val="left" w:pos="544"/>
                <w:tab w:val="left" w:pos="814"/>
              </w:tabs>
              <w:spacing w:before="20" w:after="20"/>
              <w:jc w:val="both"/>
              <w:rPr>
                <w:rFonts w:asciiTheme="minorHAnsi" w:hAnsiTheme="minorHAnsi"/>
                <w:sz w:val="22"/>
                <w:szCs w:val="22"/>
              </w:rPr>
            </w:pPr>
            <w:r w:rsidRPr="009B5D1B">
              <w:rPr>
                <w:rFonts w:asciiTheme="minorHAnsi" w:hAnsiTheme="minorHAnsi"/>
                <w:sz w:val="22"/>
                <w:szCs w:val="22"/>
              </w:rPr>
              <w:t>Grantee Report Review</w:t>
            </w:r>
          </w:p>
        </w:tc>
        <w:tc>
          <w:tcPr>
            <w:tcW w:w="2195" w:type="dxa"/>
          </w:tcPr>
          <w:p w:rsidRPr="00406344" w:rsidR="0090404E" w:rsidP="0090404E" w:rsidRDefault="0090404E" w14:paraId="7578C7C1" w14:textId="1A6672B4">
            <w:pPr>
              <w:tabs>
                <w:tab w:val="left" w:pos="-734"/>
                <w:tab w:val="left" w:pos="544"/>
                <w:tab w:val="left" w:pos="814"/>
              </w:tabs>
              <w:spacing w:before="20" w:after="20"/>
              <w:jc w:val="both"/>
              <w:rPr>
                <w:rFonts w:asciiTheme="minorHAnsi" w:hAnsiTheme="minorHAnsi"/>
                <w:sz w:val="22"/>
                <w:szCs w:val="22"/>
              </w:rPr>
            </w:pPr>
            <w:r w:rsidRPr="009B5D1B">
              <w:rPr>
                <w:rFonts w:asciiTheme="minorHAnsi" w:hAnsiTheme="minorHAnsi"/>
                <w:sz w:val="22"/>
                <w:szCs w:val="22"/>
              </w:rPr>
              <w:t>6</w:t>
            </w:r>
            <w:r>
              <w:rPr>
                <w:rFonts w:asciiTheme="minorHAnsi" w:hAnsiTheme="minorHAnsi"/>
                <w:sz w:val="22"/>
                <w:szCs w:val="22"/>
              </w:rPr>
              <w:t>6</w:t>
            </w:r>
          </w:p>
        </w:tc>
        <w:tc>
          <w:tcPr>
            <w:tcW w:w="2199" w:type="dxa"/>
          </w:tcPr>
          <w:p w:rsidRPr="00406344" w:rsidR="0090404E" w:rsidP="0090404E" w:rsidRDefault="0090404E" w14:paraId="359436B8" w14:textId="674B13CB">
            <w:pPr>
              <w:tabs>
                <w:tab w:val="left" w:pos="-734"/>
                <w:tab w:val="left" w:pos="544"/>
                <w:tab w:val="left" w:pos="814"/>
              </w:tabs>
              <w:spacing w:before="20" w:after="20"/>
              <w:jc w:val="both"/>
              <w:rPr>
                <w:rFonts w:asciiTheme="minorHAnsi" w:hAnsiTheme="minorHAnsi"/>
                <w:sz w:val="22"/>
                <w:szCs w:val="22"/>
              </w:rPr>
            </w:pPr>
            <w:r w:rsidRPr="009B5D1B">
              <w:rPr>
                <w:rFonts w:asciiTheme="minorHAnsi" w:hAnsiTheme="minorHAnsi"/>
                <w:sz w:val="22"/>
                <w:szCs w:val="22"/>
              </w:rPr>
              <w:t>$</w:t>
            </w:r>
            <w:r>
              <w:rPr>
                <w:rFonts w:asciiTheme="minorHAnsi" w:hAnsiTheme="minorHAnsi"/>
                <w:sz w:val="22"/>
                <w:szCs w:val="22"/>
              </w:rPr>
              <w:t>111.50</w:t>
            </w:r>
            <w:r w:rsidRPr="009B5D1B">
              <w:rPr>
                <w:rFonts w:asciiTheme="minorHAnsi" w:hAnsiTheme="minorHAnsi"/>
                <w:sz w:val="22"/>
                <w:szCs w:val="22"/>
              </w:rPr>
              <w:t>/hour</w:t>
            </w:r>
          </w:p>
        </w:tc>
        <w:tc>
          <w:tcPr>
            <w:tcW w:w="2213" w:type="dxa"/>
          </w:tcPr>
          <w:p w:rsidRPr="00406344" w:rsidR="0090404E" w:rsidP="0090404E" w:rsidRDefault="0090404E" w14:paraId="1203F136" w14:textId="4643399F">
            <w:pPr>
              <w:tabs>
                <w:tab w:val="left" w:pos="-734"/>
                <w:tab w:val="left" w:pos="544"/>
                <w:tab w:val="left" w:pos="814"/>
              </w:tabs>
              <w:spacing w:before="20" w:after="20"/>
              <w:jc w:val="both"/>
              <w:rPr>
                <w:rFonts w:asciiTheme="minorHAnsi" w:hAnsiTheme="minorHAnsi"/>
                <w:sz w:val="22"/>
                <w:szCs w:val="22"/>
              </w:rPr>
            </w:pPr>
            <w:r w:rsidRPr="0090404E">
              <w:rPr>
                <w:rFonts w:asciiTheme="minorHAnsi" w:hAnsiTheme="minorHAnsi"/>
                <w:sz w:val="22"/>
                <w:szCs w:val="22"/>
              </w:rPr>
              <w:t xml:space="preserve">$7,359 </w:t>
            </w:r>
          </w:p>
        </w:tc>
      </w:tr>
      <w:tr w:rsidRPr="00406344" w:rsidR="0090404E" w:rsidTr="009875A4" w14:paraId="4044EEB1" w14:textId="77777777">
        <w:tc>
          <w:tcPr>
            <w:tcW w:w="2743" w:type="dxa"/>
          </w:tcPr>
          <w:p w:rsidRPr="00406344" w:rsidR="0090404E" w:rsidP="0090404E" w:rsidRDefault="0090404E" w14:paraId="64F08073" w14:textId="77777777">
            <w:pPr>
              <w:tabs>
                <w:tab w:val="left" w:pos="-734"/>
                <w:tab w:val="left" w:pos="544"/>
                <w:tab w:val="left" w:pos="814"/>
              </w:tabs>
              <w:spacing w:before="20" w:after="20"/>
              <w:jc w:val="both"/>
              <w:rPr>
                <w:rFonts w:asciiTheme="minorHAnsi" w:hAnsiTheme="minorHAnsi"/>
                <w:sz w:val="22"/>
                <w:szCs w:val="22"/>
              </w:rPr>
            </w:pPr>
            <w:r w:rsidRPr="009B5D1B">
              <w:rPr>
                <w:rFonts w:asciiTheme="minorHAnsi" w:hAnsiTheme="minorHAnsi"/>
                <w:sz w:val="22"/>
                <w:szCs w:val="22"/>
              </w:rPr>
              <w:t>Analysis and Reporting</w:t>
            </w:r>
          </w:p>
        </w:tc>
        <w:tc>
          <w:tcPr>
            <w:tcW w:w="2195" w:type="dxa"/>
          </w:tcPr>
          <w:p w:rsidRPr="00406344" w:rsidR="0090404E" w:rsidP="0090404E" w:rsidRDefault="0090404E" w14:paraId="797CA413" w14:textId="77777777">
            <w:pPr>
              <w:tabs>
                <w:tab w:val="left" w:pos="-734"/>
                <w:tab w:val="left" w:pos="544"/>
                <w:tab w:val="left" w:pos="814"/>
              </w:tabs>
              <w:spacing w:before="20" w:after="20"/>
              <w:jc w:val="both"/>
              <w:rPr>
                <w:rFonts w:asciiTheme="minorHAnsi" w:hAnsiTheme="minorHAnsi"/>
                <w:sz w:val="22"/>
                <w:szCs w:val="22"/>
              </w:rPr>
            </w:pPr>
            <w:r>
              <w:rPr>
                <w:rFonts w:asciiTheme="minorHAnsi" w:hAnsiTheme="minorHAnsi"/>
                <w:sz w:val="22"/>
                <w:szCs w:val="22"/>
              </w:rPr>
              <w:t>105</w:t>
            </w:r>
          </w:p>
        </w:tc>
        <w:tc>
          <w:tcPr>
            <w:tcW w:w="2199" w:type="dxa"/>
          </w:tcPr>
          <w:p w:rsidRPr="00406344" w:rsidR="0090404E" w:rsidP="0090404E" w:rsidRDefault="0090404E" w14:paraId="3DAF671C" w14:textId="1C0671AA">
            <w:pPr>
              <w:tabs>
                <w:tab w:val="left" w:pos="-734"/>
                <w:tab w:val="left" w:pos="544"/>
                <w:tab w:val="left" w:pos="814"/>
              </w:tabs>
              <w:spacing w:before="20" w:after="20"/>
              <w:jc w:val="both"/>
              <w:rPr>
                <w:rFonts w:asciiTheme="minorHAnsi" w:hAnsiTheme="minorHAnsi"/>
                <w:sz w:val="22"/>
                <w:szCs w:val="22"/>
              </w:rPr>
            </w:pPr>
            <w:r w:rsidRPr="009B5D1B">
              <w:rPr>
                <w:rFonts w:asciiTheme="minorHAnsi" w:hAnsiTheme="minorHAnsi"/>
                <w:sz w:val="22"/>
                <w:szCs w:val="22"/>
              </w:rPr>
              <w:t>$</w:t>
            </w:r>
            <w:r>
              <w:rPr>
                <w:rFonts w:asciiTheme="minorHAnsi" w:hAnsiTheme="minorHAnsi"/>
                <w:sz w:val="22"/>
                <w:szCs w:val="22"/>
              </w:rPr>
              <w:t>111.50</w:t>
            </w:r>
            <w:r w:rsidRPr="009B5D1B">
              <w:rPr>
                <w:rFonts w:asciiTheme="minorHAnsi" w:hAnsiTheme="minorHAnsi"/>
                <w:sz w:val="22"/>
                <w:szCs w:val="22"/>
              </w:rPr>
              <w:t>/hour</w:t>
            </w:r>
          </w:p>
        </w:tc>
        <w:tc>
          <w:tcPr>
            <w:tcW w:w="2213" w:type="dxa"/>
          </w:tcPr>
          <w:p w:rsidRPr="00406344" w:rsidR="0090404E" w:rsidP="0090404E" w:rsidRDefault="0090404E" w14:paraId="0D1380E8" w14:textId="3E4345A0">
            <w:pPr>
              <w:tabs>
                <w:tab w:val="left" w:pos="-734"/>
                <w:tab w:val="left" w:pos="544"/>
                <w:tab w:val="left" w:pos="814"/>
              </w:tabs>
              <w:spacing w:before="20" w:after="20"/>
              <w:jc w:val="both"/>
              <w:rPr>
                <w:rFonts w:asciiTheme="minorHAnsi" w:hAnsiTheme="minorHAnsi"/>
                <w:sz w:val="22"/>
                <w:szCs w:val="22"/>
              </w:rPr>
            </w:pPr>
            <w:r w:rsidRPr="0090404E">
              <w:rPr>
                <w:rFonts w:asciiTheme="minorHAnsi" w:hAnsiTheme="minorHAnsi"/>
                <w:sz w:val="22"/>
                <w:szCs w:val="22"/>
              </w:rPr>
              <w:t xml:space="preserve">$11,708 </w:t>
            </w:r>
          </w:p>
        </w:tc>
      </w:tr>
      <w:tr w:rsidRPr="00406344" w:rsidR="00500D8E" w:rsidTr="009875A4" w14:paraId="36E9B9DB" w14:textId="77777777">
        <w:tc>
          <w:tcPr>
            <w:tcW w:w="7137" w:type="dxa"/>
            <w:gridSpan w:val="3"/>
            <w:shd w:val="clear" w:color="auto" w:fill="FFFFFF" w:themeFill="background1"/>
          </w:tcPr>
          <w:p w:rsidRPr="000C7402" w:rsidR="00500D8E" w:rsidP="003E1A58" w:rsidRDefault="00500D8E" w14:paraId="2F85CECC" w14:textId="77777777">
            <w:pPr>
              <w:tabs>
                <w:tab w:val="left" w:pos="-734"/>
                <w:tab w:val="left" w:pos="544"/>
                <w:tab w:val="left" w:pos="814"/>
              </w:tabs>
              <w:spacing w:before="20" w:after="20"/>
              <w:jc w:val="both"/>
              <w:rPr>
                <w:rFonts w:asciiTheme="minorHAnsi" w:hAnsiTheme="minorHAnsi"/>
                <w:b/>
                <w:sz w:val="22"/>
                <w:szCs w:val="22"/>
              </w:rPr>
            </w:pPr>
            <w:r>
              <w:rPr>
                <w:rFonts w:asciiTheme="minorHAnsi" w:hAnsiTheme="minorHAnsi"/>
                <w:b/>
                <w:sz w:val="22"/>
                <w:szCs w:val="22"/>
              </w:rPr>
              <w:t>Subt</w:t>
            </w:r>
            <w:r w:rsidRPr="009B5D1B">
              <w:rPr>
                <w:rFonts w:asciiTheme="minorHAnsi" w:hAnsiTheme="minorHAnsi"/>
                <w:b/>
                <w:sz w:val="22"/>
                <w:szCs w:val="22"/>
              </w:rPr>
              <w:t>otal:</w:t>
            </w:r>
          </w:p>
        </w:tc>
        <w:tc>
          <w:tcPr>
            <w:tcW w:w="2213" w:type="dxa"/>
          </w:tcPr>
          <w:p w:rsidRPr="000C7402" w:rsidR="00500D8E" w:rsidP="003E1A58" w:rsidRDefault="0090404E" w14:paraId="3B5B416D" w14:textId="35D2CDD0">
            <w:pPr>
              <w:tabs>
                <w:tab w:val="left" w:pos="-734"/>
                <w:tab w:val="left" w:pos="544"/>
                <w:tab w:val="left" w:pos="814"/>
              </w:tabs>
              <w:spacing w:before="20" w:after="20"/>
              <w:jc w:val="both"/>
              <w:rPr>
                <w:rFonts w:asciiTheme="minorHAnsi" w:hAnsiTheme="minorHAnsi"/>
                <w:b/>
                <w:sz w:val="22"/>
                <w:szCs w:val="22"/>
              </w:rPr>
            </w:pPr>
            <w:r w:rsidRPr="0090404E">
              <w:rPr>
                <w:rFonts w:asciiTheme="minorHAnsi" w:hAnsiTheme="minorHAnsi"/>
                <w:b/>
                <w:sz w:val="22"/>
                <w:szCs w:val="22"/>
              </w:rPr>
              <w:t>$98,790</w:t>
            </w:r>
          </w:p>
        </w:tc>
      </w:tr>
    </w:tbl>
    <w:p w:rsidRPr="00406344" w:rsidR="00500D8E" w:rsidP="00500D8E" w:rsidRDefault="00500D8E" w14:paraId="3F8BD66F" w14:textId="77777777">
      <w:pPr>
        <w:tabs>
          <w:tab w:val="left" w:pos="-734"/>
          <w:tab w:val="left" w:pos="544"/>
          <w:tab w:val="left" w:pos="814"/>
        </w:tabs>
        <w:jc w:val="both"/>
        <w:rPr>
          <w:rFonts w:asciiTheme="minorHAnsi" w:hAnsiTheme="minorHAnsi"/>
          <w:sz w:val="22"/>
          <w:szCs w:val="22"/>
        </w:rPr>
      </w:pPr>
    </w:p>
    <w:p w:rsidR="00500D8E" w:rsidP="009875A4" w:rsidRDefault="00500D8E" w14:paraId="72AE2BED" w14:textId="77777777">
      <w:pPr>
        <w:tabs>
          <w:tab w:val="left" w:pos="918"/>
          <w:tab w:val="left" w:pos="1188"/>
        </w:tabs>
        <w:ind w:left="360"/>
        <w:jc w:val="both"/>
        <w:rPr>
          <w:rFonts w:asciiTheme="minorHAnsi" w:hAnsiTheme="minorHAnsi"/>
          <w:sz w:val="22"/>
          <w:szCs w:val="22"/>
        </w:rPr>
      </w:pPr>
      <w:r w:rsidRPr="009B5D1B">
        <w:rPr>
          <w:rFonts w:asciiTheme="minorHAnsi" w:hAnsiTheme="minorHAnsi"/>
          <w:sz w:val="22"/>
          <w:szCs w:val="22"/>
        </w:rPr>
        <w:t xml:space="preserve">The table below furnishes information on the </w:t>
      </w:r>
      <w:r w:rsidRPr="009875A4">
        <w:rPr>
          <w:rFonts w:asciiTheme="minorHAnsi" w:hAnsiTheme="minorHAnsi"/>
          <w:spacing w:val="-4"/>
          <w:sz w:val="22"/>
        </w:rPr>
        <w:t>estimated</w:t>
      </w:r>
      <w:r w:rsidRPr="009B5D1B">
        <w:rPr>
          <w:rFonts w:asciiTheme="minorHAnsi" w:hAnsiTheme="minorHAnsi"/>
          <w:sz w:val="22"/>
          <w:szCs w:val="22"/>
        </w:rPr>
        <w:t xml:space="preserve"> Federal Contractor Staff hours and costs associated with each task</w:t>
      </w:r>
      <w:r>
        <w:rPr>
          <w:rFonts w:asciiTheme="minorHAnsi" w:hAnsiTheme="minorHAnsi"/>
          <w:sz w:val="22"/>
          <w:szCs w:val="22"/>
        </w:rPr>
        <w:t>:</w:t>
      </w:r>
    </w:p>
    <w:p w:rsidRPr="00406344" w:rsidR="00500D8E" w:rsidP="00500D8E" w:rsidRDefault="00500D8E" w14:paraId="1ED80781" w14:textId="77777777">
      <w:pPr>
        <w:tabs>
          <w:tab w:val="left" w:pos="-734"/>
          <w:tab w:val="left" w:pos="544"/>
          <w:tab w:val="left" w:pos="814"/>
        </w:tabs>
        <w:jc w:val="both"/>
        <w:rPr>
          <w:rFonts w:asciiTheme="minorHAnsi" w:hAnsiTheme="minorHAnsi"/>
          <w:sz w:val="22"/>
          <w:szCs w:val="22"/>
        </w:rPr>
      </w:pPr>
    </w:p>
    <w:p w:rsidRPr="009875A4" w:rsidR="00500D8E" w:rsidP="009875A4" w:rsidRDefault="00500D8E" w14:paraId="60A4A29F" w14:textId="77777777">
      <w:pPr>
        <w:tabs>
          <w:tab w:val="left" w:pos="-734"/>
          <w:tab w:val="left" w:pos="544"/>
          <w:tab w:val="left" w:pos="814"/>
        </w:tabs>
        <w:ind w:left="360"/>
        <w:jc w:val="both"/>
        <w:rPr>
          <w:rFonts w:asciiTheme="minorHAnsi" w:hAnsiTheme="minorHAnsi"/>
          <w:b/>
          <w:sz w:val="22"/>
          <w:szCs w:val="22"/>
        </w:rPr>
      </w:pPr>
      <w:r w:rsidRPr="009875A4">
        <w:rPr>
          <w:rFonts w:asciiTheme="minorHAnsi" w:hAnsiTheme="minorHAnsi"/>
          <w:b/>
          <w:sz w:val="22"/>
          <w:szCs w:val="22"/>
        </w:rPr>
        <w:t>Annual Federal Contractor Staff Hours and Costs</w:t>
      </w:r>
    </w:p>
    <w:p w:rsidRPr="00406344" w:rsidR="00500D8E" w:rsidP="00500D8E" w:rsidRDefault="00500D8E" w14:paraId="26FFA7E6" w14:textId="77777777">
      <w:pPr>
        <w:tabs>
          <w:tab w:val="left" w:pos="-734"/>
          <w:tab w:val="left" w:pos="544"/>
          <w:tab w:val="left" w:pos="814"/>
        </w:tabs>
        <w:jc w:val="both"/>
        <w:rPr>
          <w:rFonts w:asciiTheme="minorHAnsi" w:hAnsiTheme="minorHAnsi"/>
          <w:sz w:val="22"/>
          <w:szCs w:val="22"/>
        </w:rPr>
      </w:pPr>
    </w:p>
    <w:tbl>
      <w:tblPr>
        <w:tblStyle w:val="TableGrid"/>
        <w:tblW w:w="0" w:type="auto"/>
        <w:tblInd w:w="360" w:type="dxa"/>
        <w:tblLook w:val="04A0" w:firstRow="1" w:lastRow="0" w:firstColumn="1" w:lastColumn="0" w:noHBand="0" w:noVBand="1"/>
      </w:tblPr>
      <w:tblGrid>
        <w:gridCol w:w="2628"/>
        <w:gridCol w:w="2160"/>
        <w:gridCol w:w="2394"/>
        <w:gridCol w:w="2394"/>
      </w:tblGrid>
      <w:tr w:rsidRPr="00406344" w:rsidR="00500D8E" w:rsidTr="009875A4" w14:paraId="485B1B1F" w14:textId="77777777">
        <w:tc>
          <w:tcPr>
            <w:tcW w:w="2628" w:type="dxa"/>
            <w:shd w:val="clear" w:color="auto" w:fill="D9D9D9" w:themeFill="background1" w:themeFillShade="D9"/>
          </w:tcPr>
          <w:p w:rsidRPr="000C7402" w:rsidR="00500D8E" w:rsidP="003E1A58" w:rsidRDefault="00500D8E" w14:paraId="38D8D8E1" w14:textId="77777777">
            <w:pPr>
              <w:tabs>
                <w:tab w:val="left" w:pos="-734"/>
                <w:tab w:val="left" w:pos="544"/>
                <w:tab w:val="left" w:pos="814"/>
              </w:tabs>
              <w:spacing w:before="20" w:after="20"/>
              <w:jc w:val="both"/>
              <w:rPr>
                <w:rFonts w:asciiTheme="minorHAnsi" w:hAnsiTheme="minorHAnsi"/>
                <w:b/>
                <w:sz w:val="22"/>
                <w:szCs w:val="22"/>
              </w:rPr>
            </w:pPr>
            <w:r w:rsidRPr="009B5D1B">
              <w:rPr>
                <w:rFonts w:asciiTheme="minorHAnsi" w:hAnsiTheme="minorHAnsi"/>
                <w:b/>
                <w:sz w:val="22"/>
                <w:szCs w:val="22"/>
              </w:rPr>
              <w:t>Task</w:t>
            </w:r>
          </w:p>
        </w:tc>
        <w:tc>
          <w:tcPr>
            <w:tcW w:w="2160" w:type="dxa"/>
            <w:shd w:val="clear" w:color="auto" w:fill="D9D9D9" w:themeFill="background1" w:themeFillShade="D9"/>
          </w:tcPr>
          <w:p w:rsidRPr="000C7402" w:rsidR="00500D8E" w:rsidP="003E1A58" w:rsidRDefault="00500D8E" w14:paraId="7204FDA9" w14:textId="77777777">
            <w:pPr>
              <w:tabs>
                <w:tab w:val="left" w:pos="-734"/>
                <w:tab w:val="left" w:pos="544"/>
                <w:tab w:val="left" w:pos="814"/>
              </w:tabs>
              <w:spacing w:before="20" w:after="20"/>
              <w:jc w:val="both"/>
              <w:rPr>
                <w:rFonts w:asciiTheme="minorHAnsi" w:hAnsiTheme="minorHAnsi"/>
                <w:b/>
                <w:sz w:val="22"/>
                <w:szCs w:val="22"/>
              </w:rPr>
            </w:pPr>
            <w:r w:rsidRPr="009B5D1B">
              <w:rPr>
                <w:rFonts w:asciiTheme="minorHAnsi" w:hAnsiTheme="minorHAnsi"/>
                <w:b/>
                <w:sz w:val="22"/>
                <w:szCs w:val="22"/>
              </w:rPr>
              <w:t>Number of Hours</w:t>
            </w:r>
          </w:p>
        </w:tc>
        <w:tc>
          <w:tcPr>
            <w:tcW w:w="2394" w:type="dxa"/>
            <w:shd w:val="clear" w:color="auto" w:fill="D9D9D9" w:themeFill="background1" w:themeFillShade="D9"/>
          </w:tcPr>
          <w:p w:rsidRPr="000C7402" w:rsidR="00500D8E" w:rsidP="003E1A58" w:rsidRDefault="00500D8E" w14:paraId="44843900" w14:textId="77777777">
            <w:pPr>
              <w:tabs>
                <w:tab w:val="left" w:pos="-734"/>
                <w:tab w:val="left" w:pos="544"/>
                <w:tab w:val="left" w:pos="814"/>
              </w:tabs>
              <w:spacing w:before="20" w:after="20"/>
              <w:jc w:val="both"/>
              <w:rPr>
                <w:rFonts w:asciiTheme="minorHAnsi" w:hAnsiTheme="minorHAnsi"/>
                <w:b/>
                <w:sz w:val="22"/>
                <w:szCs w:val="22"/>
              </w:rPr>
            </w:pPr>
            <w:r w:rsidRPr="009B5D1B">
              <w:rPr>
                <w:rFonts w:asciiTheme="minorHAnsi" w:hAnsiTheme="minorHAnsi"/>
                <w:b/>
                <w:sz w:val="22"/>
                <w:szCs w:val="22"/>
              </w:rPr>
              <w:t>Average Rate</w:t>
            </w:r>
          </w:p>
        </w:tc>
        <w:tc>
          <w:tcPr>
            <w:tcW w:w="2394" w:type="dxa"/>
            <w:shd w:val="clear" w:color="auto" w:fill="D9D9D9" w:themeFill="background1" w:themeFillShade="D9"/>
          </w:tcPr>
          <w:p w:rsidRPr="000C7402" w:rsidR="00500D8E" w:rsidP="003E1A58" w:rsidRDefault="00500D8E" w14:paraId="1F8B918A" w14:textId="77777777">
            <w:pPr>
              <w:tabs>
                <w:tab w:val="left" w:pos="-734"/>
                <w:tab w:val="left" w:pos="544"/>
                <w:tab w:val="left" w:pos="814"/>
              </w:tabs>
              <w:spacing w:before="20" w:after="20"/>
              <w:jc w:val="both"/>
              <w:rPr>
                <w:rFonts w:asciiTheme="minorHAnsi" w:hAnsiTheme="minorHAnsi"/>
                <w:b/>
                <w:sz w:val="22"/>
                <w:szCs w:val="22"/>
              </w:rPr>
            </w:pPr>
            <w:r w:rsidRPr="009B5D1B">
              <w:rPr>
                <w:rFonts w:asciiTheme="minorHAnsi" w:hAnsiTheme="minorHAnsi"/>
                <w:b/>
                <w:sz w:val="22"/>
                <w:szCs w:val="22"/>
              </w:rPr>
              <w:t>Total Cost</w:t>
            </w:r>
          </w:p>
        </w:tc>
      </w:tr>
      <w:tr w:rsidRPr="00406344" w:rsidR="0090404E" w:rsidTr="009875A4" w14:paraId="7D20B0CC" w14:textId="77777777">
        <w:tc>
          <w:tcPr>
            <w:tcW w:w="2628" w:type="dxa"/>
          </w:tcPr>
          <w:p w:rsidRPr="000C7402" w:rsidR="0090404E" w:rsidP="0090404E" w:rsidRDefault="0090404E" w14:paraId="6A2C52BE" w14:textId="77777777">
            <w:pPr>
              <w:tabs>
                <w:tab w:val="left" w:pos="-734"/>
                <w:tab w:val="left" w:pos="544"/>
                <w:tab w:val="left" w:pos="814"/>
              </w:tabs>
              <w:spacing w:before="20" w:after="20"/>
              <w:jc w:val="both"/>
              <w:rPr>
                <w:rFonts w:asciiTheme="minorHAnsi" w:hAnsiTheme="minorHAnsi"/>
                <w:b/>
                <w:sz w:val="22"/>
                <w:szCs w:val="22"/>
              </w:rPr>
            </w:pPr>
            <w:r w:rsidRPr="009B5D1B">
              <w:rPr>
                <w:rFonts w:asciiTheme="minorHAnsi" w:hAnsiTheme="minorHAnsi"/>
                <w:b/>
                <w:sz w:val="22"/>
                <w:szCs w:val="22"/>
              </w:rPr>
              <w:t>Grantee Report Review</w:t>
            </w:r>
          </w:p>
        </w:tc>
        <w:tc>
          <w:tcPr>
            <w:tcW w:w="2160" w:type="dxa"/>
          </w:tcPr>
          <w:p w:rsidRPr="00406344" w:rsidR="0090404E" w:rsidP="0090404E" w:rsidRDefault="0090404E" w14:paraId="416F4519" w14:textId="732E715C">
            <w:pPr>
              <w:tabs>
                <w:tab w:val="left" w:pos="-734"/>
                <w:tab w:val="left" w:pos="544"/>
                <w:tab w:val="left" w:pos="814"/>
              </w:tabs>
              <w:spacing w:before="20" w:after="20"/>
              <w:jc w:val="both"/>
              <w:rPr>
                <w:rFonts w:asciiTheme="minorHAnsi" w:hAnsiTheme="minorHAnsi"/>
                <w:sz w:val="22"/>
                <w:szCs w:val="22"/>
              </w:rPr>
            </w:pPr>
            <w:r w:rsidRPr="0090404E">
              <w:rPr>
                <w:rFonts w:asciiTheme="minorHAnsi" w:hAnsiTheme="minorHAnsi"/>
                <w:sz w:val="22"/>
                <w:szCs w:val="22"/>
              </w:rPr>
              <w:t>384</w:t>
            </w:r>
          </w:p>
        </w:tc>
        <w:tc>
          <w:tcPr>
            <w:tcW w:w="2394" w:type="dxa"/>
          </w:tcPr>
          <w:p w:rsidRPr="00406344" w:rsidR="0090404E" w:rsidP="0090404E" w:rsidRDefault="0090404E" w14:paraId="64BAB682" w14:textId="76A4DDC4">
            <w:pPr>
              <w:tabs>
                <w:tab w:val="left" w:pos="-734"/>
                <w:tab w:val="left" w:pos="544"/>
                <w:tab w:val="left" w:pos="814"/>
              </w:tabs>
              <w:spacing w:before="20" w:after="20"/>
              <w:jc w:val="both"/>
              <w:rPr>
                <w:rFonts w:asciiTheme="minorHAnsi" w:hAnsiTheme="minorHAnsi"/>
                <w:sz w:val="22"/>
                <w:szCs w:val="22"/>
              </w:rPr>
            </w:pPr>
            <w:r w:rsidRPr="0090404E">
              <w:rPr>
                <w:rFonts w:asciiTheme="minorHAnsi" w:hAnsiTheme="minorHAnsi"/>
                <w:sz w:val="22"/>
                <w:szCs w:val="22"/>
              </w:rPr>
              <w:t xml:space="preserve">$63.65 </w:t>
            </w:r>
          </w:p>
        </w:tc>
        <w:tc>
          <w:tcPr>
            <w:tcW w:w="2394" w:type="dxa"/>
          </w:tcPr>
          <w:p w:rsidRPr="00406344" w:rsidR="0090404E" w:rsidP="0090404E" w:rsidRDefault="0090404E" w14:paraId="69F87EAD" w14:textId="2DDCA855">
            <w:pPr>
              <w:tabs>
                <w:tab w:val="left" w:pos="-734"/>
                <w:tab w:val="left" w:pos="544"/>
                <w:tab w:val="left" w:pos="814"/>
              </w:tabs>
              <w:spacing w:before="20" w:after="20"/>
              <w:jc w:val="both"/>
              <w:rPr>
                <w:rFonts w:asciiTheme="minorHAnsi" w:hAnsiTheme="minorHAnsi"/>
                <w:sz w:val="22"/>
                <w:szCs w:val="22"/>
              </w:rPr>
            </w:pPr>
            <w:r w:rsidRPr="0090404E">
              <w:rPr>
                <w:rFonts w:asciiTheme="minorHAnsi" w:hAnsiTheme="minorHAnsi"/>
                <w:sz w:val="22"/>
                <w:szCs w:val="22"/>
              </w:rPr>
              <w:t xml:space="preserve">$24,442 </w:t>
            </w:r>
          </w:p>
        </w:tc>
      </w:tr>
      <w:tr w:rsidRPr="00406344" w:rsidR="0090404E" w:rsidTr="009875A4" w14:paraId="3BF96CD9" w14:textId="77777777">
        <w:tc>
          <w:tcPr>
            <w:tcW w:w="2628" w:type="dxa"/>
          </w:tcPr>
          <w:p w:rsidRPr="000C7402" w:rsidR="0090404E" w:rsidP="0090404E" w:rsidRDefault="0090404E" w14:paraId="6A2B8F46" w14:textId="77777777">
            <w:pPr>
              <w:tabs>
                <w:tab w:val="left" w:pos="-734"/>
                <w:tab w:val="left" w:pos="544"/>
                <w:tab w:val="left" w:pos="814"/>
              </w:tabs>
              <w:spacing w:before="20" w:after="20"/>
              <w:jc w:val="both"/>
              <w:rPr>
                <w:rFonts w:asciiTheme="minorHAnsi" w:hAnsiTheme="minorHAnsi"/>
                <w:b/>
                <w:sz w:val="22"/>
                <w:szCs w:val="22"/>
              </w:rPr>
            </w:pPr>
            <w:r w:rsidRPr="009B5D1B">
              <w:rPr>
                <w:rFonts w:asciiTheme="minorHAnsi" w:hAnsiTheme="minorHAnsi"/>
                <w:b/>
                <w:sz w:val="22"/>
                <w:szCs w:val="22"/>
              </w:rPr>
              <w:t>Analysis and Reporting</w:t>
            </w:r>
          </w:p>
        </w:tc>
        <w:tc>
          <w:tcPr>
            <w:tcW w:w="2160" w:type="dxa"/>
          </w:tcPr>
          <w:p w:rsidRPr="00406344" w:rsidR="0090404E" w:rsidP="0090404E" w:rsidRDefault="0090404E" w14:paraId="2424525D" w14:textId="05328FBC">
            <w:pPr>
              <w:tabs>
                <w:tab w:val="left" w:pos="-734"/>
                <w:tab w:val="left" w:pos="544"/>
                <w:tab w:val="left" w:pos="814"/>
              </w:tabs>
              <w:spacing w:before="20" w:after="20"/>
              <w:jc w:val="both"/>
              <w:rPr>
                <w:rFonts w:asciiTheme="minorHAnsi" w:hAnsiTheme="minorHAnsi"/>
                <w:sz w:val="22"/>
                <w:szCs w:val="22"/>
              </w:rPr>
            </w:pPr>
            <w:r w:rsidRPr="0090404E">
              <w:rPr>
                <w:rFonts w:asciiTheme="minorHAnsi" w:hAnsiTheme="minorHAnsi"/>
                <w:sz w:val="22"/>
                <w:szCs w:val="22"/>
              </w:rPr>
              <w:t>216</w:t>
            </w:r>
          </w:p>
        </w:tc>
        <w:tc>
          <w:tcPr>
            <w:tcW w:w="2394" w:type="dxa"/>
          </w:tcPr>
          <w:p w:rsidRPr="00406344" w:rsidR="0090404E" w:rsidP="0090404E" w:rsidRDefault="0090404E" w14:paraId="20787CC6" w14:textId="7FC0E461">
            <w:pPr>
              <w:tabs>
                <w:tab w:val="left" w:pos="-734"/>
                <w:tab w:val="left" w:pos="544"/>
                <w:tab w:val="left" w:pos="814"/>
              </w:tabs>
              <w:spacing w:before="20" w:after="20"/>
              <w:jc w:val="both"/>
              <w:rPr>
                <w:rFonts w:asciiTheme="minorHAnsi" w:hAnsiTheme="minorHAnsi"/>
                <w:sz w:val="22"/>
                <w:szCs w:val="22"/>
              </w:rPr>
            </w:pPr>
            <w:r w:rsidRPr="0090404E">
              <w:rPr>
                <w:rFonts w:asciiTheme="minorHAnsi" w:hAnsiTheme="minorHAnsi"/>
                <w:sz w:val="22"/>
                <w:szCs w:val="22"/>
              </w:rPr>
              <w:t xml:space="preserve">$63.65 </w:t>
            </w:r>
          </w:p>
        </w:tc>
        <w:tc>
          <w:tcPr>
            <w:tcW w:w="2394" w:type="dxa"/>
          </w:tcPr>
          <w:p w:rsidRPr="00406344" w:rsidR="0090404E" w:rsidP="0090404E" w:rsidRDefault="0090404E" w14:paraId="49577A3E" w14:textId="26064936">
            <w:pPr>
              <w:tabs>
                <w:tab w:val="left" w:pos="-734"/>
                <w:tab w:val="left" w:pos="544"/>
                <w:tab w:val="left" w:pos="814"/>
              </w:tabs>
              <w:spacing w:before="20" w:after="20"/>
              <w:jc w:val="both"/>
              <w:rPr>
                <w:rFonts w:asciiTheme="minorHAnsi" w:hAnsiTheme="minorHAnsi"/>
                <w:sz w:val="22"/>
                <w:szCs w:val="22"/>
              </w:rPr>
            </w:pPr>
            <w:r w:rsidRPr="0090404E">
              <w:rPr>
                <w:rFonts w:asciiTheme="minorHAnsi" w:hAnsiTheme="minorHAnsi"/>
                <w:sz w:val="22"/>
                <w:szCs w:val="22"/>
              </w:rPr>
              <w:t xml:space="preserve">$13,748 </w:t>
            </w:r>
          </w:p>
        </w:tc>
      </w:tr>
      <w:tr w:rsidRPr="00406344" w:rsidR="0090404E" w:rsidTr="009875A4" w14:paraId="184277C5" w14:textId="77777777">
        <w:tc>
          <w:tcPr>
            <w:tcW w:w="2628" w:type="dxa"/>
          </w:tcPr>
          <w:p w:rsidRPr="000C7402" w:rsidR="0090404E" w:rsidP="0090404E" w:rsidRDefault="0090404E" w14:paraId="6AD18FE1" w14:textId="77777777">
            <w:pPr>
              <w:tabs>
                <w:tab w:val="left" w:pos="-734"/>
                <w:tab w:val="left" w:pos="544"/>
                <w:tab w:val="left" w:pos="814"/>
              </w:tabs>
              <w:spacing w:before="20" w:after="20"/>
              <w:jc w:val="both"/>
              <w:rPr>
                <w:rFonts w:asciiTheme="minorHAnsi" w:hAnsiTheme="minorHAnsi"/>
                <w:b/>
                <w:sz w:val="22"/>
                <w:szCs w:val="22"/>
              </w:rPr>
            </w:pPr>
            <w:r w:rsidRPr="009B5D1B">
              <w:rPr>
                <w:rFonts w:asciiTheme="minorHAnsi" w:hAnsiTheme="minorHAnsi"/>
                <w:b/>
                <w:sz w:val="22"/>
                <w:szCs w:val="22"/>
              </w:rPr>
              <w:lastRenderedPageBreak/>
              <w:t>Technical Assistance</w:t>
            </w:r>
          </w:p>
        </w:tc>
        <w:tc>
          <w:tcPr>
            <w:tcW w:w="2160" w:type="dxa"/>
          </w:tcPr>
          <w:p w:rsidRPr="00406344" w:rsidR="0090404E" w:rsidP="0090404E" w:rsidRDefault="0090404E" w14:paraId="04899CC8" w14:textId="5A336CB7">
            <w:pPr>
              <w:tabs>
                <w:tab w:val="left" w:pos="-734"/>
                <w:tab w:val="left" w:pos="544"/>
                <w:tab w:val="left" w:pos="814"/>
              </w:tabs>
              <w:spacing w:before="20" w:after="20"/>
              <w:jc w:val="both"/>
              <w:rPr>
                <w:rFonts w:asciiTheme="minorHAnsi" w:hAnsiTheme="minorHAnsi"/>
                <w:sz w:val="22"/>
                <w:szCs w:val="22"/>
              </w:rPr>
            </w:pPr>
            <w:r w:rsidRPr="0090404E">
              <w:rPr>
                <w:rFonts w:asciiTheme="minorHAnsi" w:hAnsiTheme="minorHAnsi"/>
                <w:sz w:val="22"/>
                <w:szCs w:val="22"/>
              </w:rPr>
              <w:t>288</w:t>
            </w:r>
          </w:p>
        </w:tc>
        <w:tc>
          <w:tcPr>
            <w:tcW w:w="2394" w:type="dxa"/>
          </w:tcPr>
          <w:p w:rsidRPr="00406344" w:rsidR="0090404E" w:rsidP="0090404E" w:rsidRDefault="0090404E" w14:paraId="2E5069D1" w14:textId="01DE88FE">
            <w:pPr>
              <w:tabs>
                <w:tab w:val="left" w:pos="-734"/>
                <w:tab w:val="left" w:pos="544"/>
                <w:tab w:val="left" w:pos="814"/>
              </w:tabs>
              <w:spacing w:before="20" w:after="20"/>
              <w:jc w:val="both"/>
              <w:rPr>
                <w:rFonts w:asciiTheme="minorHAnsi" w:hAnsiTheme="minorHAnsi"/>
                <w:sz w:val="22"/>
                <w:szCs w:val="22"/>
              </w:rPr>
            </w:pPr>
            <w:r w:rsidRPr="0090404E">
              <w:rPr>
                <w:rFonts w:asciiTheme="minorHAnsi" w:hAnsiTheme="minorHAnsi"/>
                <w:sz w:val="22"/>
                <w:szCs w:val="22"/>
              </w:rPr>
              <w:t xml:space="preserve">$84.87 </w:t>
            </w:r>
          </w:p>
        </w:tc>
        <w:tc>
          <w:tcPr>
            <w:tcW w:w="2394" w:type="dxa"/>
          </w:tcPr>
          <w:p w:rsidRPr="00406344" w:rsidR="0090404E" w:rsidP="0090404E" w:rsidRDefault="0090404E" w14:paraId="5DF84380" w14:textId="513A29F3">
            <w:pPr>
              <w:tabs>
                <w:tab w:val="left" w:pos="-734"/>
                <w:tab w:val="left" w:pos="544"/>
                <w:tab w:val="left" w:pos="814"/>
              </w:tabs>
              <w:spacing w:before="20" w:after="20"/>
              <w:jc w:val="both"/>
              <w:rPr>
                <w:rFonts w:asciiTheme="minorHAnsi" w:hAnsiTheme="minorHAnsi"/>
                <w:sz w:val="22"/>
                <w:szCs w:val="22"/>
              </w:rPr>
            </w:pPr>
            <w:r w:rsidRPr="0090404E">
              <w:rPr>
                <w:rFonts w:asciiTheme="minorHAnsi" w:hAnsiTheme="minorHAnsi"/>
                <w:sz w:val="22"/>
                <w:szCs w:val="22"/>
              </w:rPr>
              <w:t xml:space="preserve">$24,443 </w:t>
            </w:r>
          </w:p>
        </w:tc>
      </w:tr>
      <w:tr w:rsidRPr="00406344" w:rsidR="00500D8E" w:rsidTr="009875A4" w14:paraId="05D83268" w14:textId="77777777">
        <w:tc>
          <w:tcPr>
            <w:tcW w:w="7182" w:type="dxa"/>
            <w:gridSpan w:val="3"/>
            <w:shd w:val="clear" w:color="auto" w:fill="FFFFFF" w:themeFill="background1"/>
          </w:tcPr>
          <w:p w:rsidR="00500D8E" w:rsidP="003E1A58" w:rsidRDefault="00500D8E" w14:paraId="48F9741E" w14:textId="77777777">
            <w:pPr>
              <w:tabs>
                <w:tab w:val="left" w:pos="-734"/>
                <w:tab w:val="left" w:pos="544"/>
                <w:tab w:val="left" w:pos="814"/>
                <w:tab w:val="left" w:pos="4185"/>
                <w:tab w:val="right" w:pos="6966"/>
              </w:tabs>
              <w:spacing w:before="20" w:after="20"/>
              <w:jc w:val="both"/>
              <w:rPr>
                <w:rFonts w:asciiTheme="minorHAnsi" w:hAnsiTheme="minorHAnsi"/>
                <w:b/>
                <w:sz w:val="22"/>
                <w:szCs w:val="22"/>
              </w:rPr>
            </w:pP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t>Subt</w:t>
            </w:r>
            <w:r w:rsidRPr="009B5D1B">
              <w:rPr>
                <w:rFonts w:asciiTheme="minorHAnsi" w:hAnsiTheme="minorHAnsi"/>
                <w:b/>
                <w:sz w:val="22"/>
                <w:szCs w:val="22"/>
              </w:rPr>
              <w:t>otal:</w:t>
            </w:r>
          </w:p>
        </w:tc>
        <w:tc>
          <w:tcPr>
            <w:tcW w:w="2394" w:type="dxa"/>
          </w:tcPr>
          <w:p w:rsidRPr="000C7402" w:rsidR="00500D8E" w:rsidP="003E1A58" w:rsidRDefault="0090404E" w14:paraId="24E87B8A" w14:textId="3F683987">
            <w:pPr>
              <w:tabs>
                <w:tab w:val="left" w:pos="-734"/>
                <w:tab w:val="left" w:pos="544"/>
                <w:tab w:val="left" w:pos="814"/>
              </w:tabs>
              <w:spacing w:before="20" w:after="20"/>
              <w:jc w:val="both"/>
              <w:rPr>
                <w:rFonts w:asciiTheme="minorHAnsi" w:hAnsiTheme="minorHAnsi"/>
                <w:b/>
                <w:sz w:val="22"/>
                <w:szCs w:val="22"/>
              </w:rPr>
            </w:pPr>
            <w:r w:rsidRPr="0090404E">
              <w:rPr>
                <w:rFonts w:asciiTheme="minorHAnsi" w:hAnsiTheme="minorHAnsi"/>
                <w:b/>
                <w:sz w:val="22"/>
                <w:szCs w:val="22"/>
              </w:rPr>
              <w:t>$62,633</w:t>
            </w:r>
          </w:p>
        </w:tc>
      </w:tr>
    </w:tbl>
    <w:p w:rsidR="00500D8E" w:rsidP="00500D8E" w:rsidRDefault="00500D8E" w14:paraId="52126804" w14:textId="77777777">
      <w:pPr>
        <w:tabs>
          <w:tab w:val="left" w:pos="-734"/>
          <w:tab w:val="left" w:pos="544"/>
          <w:tab w:val="left" w:pos="814"/>
        </w:tabs>
        <w:jc w:val="both"/>
        <w:rPr>
          <w:szCs w:val="24"/>
        </w:rPr>
      </w:pPr>
    </w:p>
    <w:p w:rsidR="00500D8E" w:rsidP="009875A4" w:rsidRDefault="00500D8E" w14:paraId="272D500D" w14:textId="220909C8">
      <w:pPr>
        <w:tabs>
          <w:tab w:val="left" w:pos="918"/>
          <w:tab w:val="left" w:pos="1188"/>
        </w:tabs>
        <w:ind w:left="360"/>
        <w:jc w:val="both"/>
        <w:rPr>
          <w:rFonts w:asciiTheme="minorHAnsi" w:hAnsiTheme="minorHAnsi"/>
          <w:sz w:val="22"/>
          <w:szCs w:val="22"/>
        </w:rPr>
      </w:pPr>
      <w:r>
        <w:rPr>
          <w:rFonts w:asciiTheme="minorHAnsi" w:hAnsiTheme="minorHAnsi"/>
          <w:sz w:val="22"/>
          <w:szCs w:val="22"/>
        </w:rPr>
        <w:t xml:space="preserve">Total federal </w:t>
      </w:r>
      <w:r w:rsidRPr="009875A4">
        <w:rPr>
          <w:rFonts w:asciiTheme="minorHAnsi" w:hAnsiTheme="minorHAnsi"/>
          <w:spacing w:val="-4"/>
          <w:sz w:val="22"/>
        </w:rPr>
        <w:t>government</w:t>
      </w:r>
      <w:r>
        <w:rPr>
          <w:rFonts w:asciiTheme="minorHAnsi" w:hAnsiTheme="minorHAnsi"/>
          <w:sz w:val="22"/>
          <w:szCs w:val="22"/>
        </w:rPr>
        <w:t xml:space="preserve"> costs are </w:t>
      </w:r>
      <w:r w:rsidRPr="00424D6C" w:rsidR="00424D6C">
        <w:rPr>
          <w:rFonts w:asciiTheme="minorHAnsi" w:hAnsiTheme="minorHAnsi"/>
          <w:b/>
          <w:sz w:val="22"/>
          <w:szCs w:val="22"/>
        </w:rPr>
        <w:t>$161,423</w:t>
      </w:r>
      <w:r w:rsidRPr="00F329D4">
        <w:rPr>
          <w:rFonts w:asciiTheme="minorHAnsi" w:hAnsiTheme="minorHAnsi"/>
          <w:b/>
          <w:sz w:val="22"/>
          <w:szCs w:val="22"/>
        </w:rPr>
        <w:t>.</w:t>
      </w:r>
    </w:p>
    <w:p w:rsidR="00500D8E" w:rsidP="006D5275" w:rsidRDefault="00500D8E" w14:paraId="4018076F" w14:textId="41E4D10C">
      <w:pPr>
        <w:tabs>
          <w:tab w:val="left" w:pos="918"/>
          <w:tab w:val="left" w:pos="1188"/>
        </w:tabs>
        <w:ind w:left="360"/>
        <w:jc w:val="both"/>
        <w:rPr>
          <w:rFonts w:asciiTheme="minorHAnsi" w:hAnsiTheme="minorHAnsi"/>
          <w:spacing w:val="-4"/>
          <w:sz w:val="22"/>
        </w:rPr>
      </w:pPr>
    </w:p>
    <w:p w:rsidRPr="006D5275" w:rsidR="009875A4" w:rsidP="006D5275" w:rsidRDefault="009875A4" w14:paraId="02348651" w14:textId="77777777">
      <w:pPr>
        <w:tabs>
          <w:tab w:val="left" w:pos="918"/>
          <w:tab w:val="left" w:pos="1188"/>
        </w:tabs>
        <w:ind w:left="360"/>
        <w:jc w:val="both"/>
        <w:rPr>
          <w:rFonts w:asciiTheme="minorHAnsi" w:hAnsiTheme="minorHAnsi"/>
          <w:spacing w:val="-4"/>
          <w:sz w:val="22"/>
        </w:rPr>
      </w:pPr>
    </w:p>
    <w:p w:rsidRPr="00772692" w:rsidR="002C3C4F" w:rsidP="00817E2B" w:rsidRDefault="002C3C4F" w14:paraId="34A74A36" w14:textId="77777777">
      <w:pPr>
        <w:widowControl/>
        <w:numPr>
          <w:ilvl w:val="0"/>
          <w:numId w:val="3"/>
        </w:numPr>
        <w:tabs>
          <w:tab w:val="num" w:pos="360"/>
        </w:tabs>
        <w:spacing w:after="120"/>
        <w:ind w:left="360"/>
        <w:rPr>
          <w:rFonts w:ascii="Times New Roman" w:hAnsi="Times New Roman"/>
          <w:b/>
          <w:snapToGrid/>
          <w:sz w:val="24"/>
          <w:szCs w:val="24"/>
        </w:rPr>
      </w:pPr>
      <w:r w:rsidRPr="00772692">
        <w:rPr>
          <w:rFonts w:ascii="Times New Roman" w:hAnsi="Times New Roman"/>
          <w:b/>
          <w:snapToGrid/>
          <w:sz w:val="24"/>
          <w:szCs w:val="24"/>
        </w:rPr>
        <w:t xml:space="preserve">Explanation for Program Changes or Adjustments </w:t>
      </w:r>
    </w:p>
    <w:p w:rsidRPr="005F49A8" w:rsidR="00D60543" w:rsidP="004F3AFB" w:rsidRDefault="005F49A8" w14:paraId="1CCB7D8F" w14:textId="43DAA192">
      <w:pPr>
        <w:tabs>
          <w:tab w:val="left" w:pos="918"/>
          <w:tab w:val="left" w:pos="1188"/>
        </w:tabs>
        <w:ind w:left="360"/>
        <w:jc w:val="both"/>
        <w:rPr>
          <w:rFonts w:ascii="Calibri" w:hAnsi="Calibri"/>
          <w:spacing w:val="-4"/>
          <w:sz w:val="22"/>
          <w:szCs w:val="22"/>
        </w:rPr>
      </w:pPr>
      <w:r w:rsidRPr="005F49A8">
        <w:rPr>
          <w:rFonts w:ascii="Calibri" w:hAnsi="Calibri"/>
          <w:spacing w:val="-4"/>
          <w:sz w:val="22"/>
          <w:szCs w:val="22"/>
        </w:rPr>
        <w:t xml:space="preserve">This request is for a non-substantive change to the collection approved by OMB </w:t>
      </w:r>
      <w:r w:rsidRPr="005F49A8">
        <w:rPr>
          <w:rFonts w:ascii="Calibri" w:hAnsi="Calibri"/>
          <w:sz w:val="22"/>
        </w:rPr>
        <w:t xml:space="preserve">under </w:t>
      </w:r>
      <w:hyperlink w:history="1" r:id="rId16">
        <w:r w:rsidRPr="005F49A8">
          <w:rPr>
            <w:rStyle w:val="Hyperlink"/>
            <w:rFonts w:ascii="Calibri" w:hAnsi="Calibri"/>
            <w:sz w:val="22"/>
          </w:rPr>
          <w:t>ICR Reference No. 201406-0970-003</w:t>
        </w:r>
      </w:hyperlink>
      <w:r w:rsidRPr="005F49A8">
        <w:rPr>
          <w:rFonts w:ascii="Calibri" w:hAnsi="Calibri"/>
          <w:spacing w:val="-4"/>
          <w:sz w:val="22"/>
          <w:szCs w:val="22"/>
        </w:rPr>
        <w:t xml:space="preserve">.  It calls for grantees to report </w:t>
      </w:r>
      <w:r>
        <w:rPr>
          <w:rFonts w:ascii="Calibri" w:hAnsi="Calibri"/>
          <w:spacing w:val="-4"/>
          <w:sz w:val="22"/>
          <w:szCs w:val="22"/>
        </w:rPr>
        <w:t>(1) CARES Act funds as a separate source; and (2) uses of all LIHEAP funds from the CARES Act and from other FFY 2020 sources separately</w:t>
      </w:r>
      <w:r w:rsidRPr="005F49A8">
        <w:rPr>
          <w:rFonts w:ascii="Calibri" w:hAnsi="Calibri"/>
          <w:spacing w:val="-4"/>
          <w:sz w:val="22"/>
          <w:szCs w:val="22"/>
        </w:rPr>
        <w:t xml:space="preserve">.  ACF needs this change to </w:t>
      </w:r>
      <w:r>
        <w:rPr>
          <w:rFonts w:ascii="Calibri" w:hAnsi="Calibri"/>
          <w:spacing w:val="-4"/>
          <w:sz w:val="22"/>
          <w:szCs w:val="22"/>
        </w:rPr>
        <w:t>report</w:t>
      </w:r>
      <w:r w:rsidRPr="005F49A8">
        <w:rPr>
          <w:rFonts w:ascii="Calibri" w:hAnsi="Calibri"/>
          <w:spacing w:val="-4"/>
          <w:sz w:val="22"/>
          <w:szCs w:val="22"/>
        </w:rPr>
        <w:t xml:space="preserve"> on use of CARES Act funds </w:t>
      </w:r>
      <w:r>
        <w:rPr>
          <w:rFonts w:ascii="Calibri" w:hAnsi="Calibri"/>
          <w:spacing w:val="-4"/>
          <w:sz w:val="22"/>
          <w:szCs w:val="22"/>
        </w:rPr>
        <w:t>and to validate</w:t>
      </w:r>
      <w:r w:rsidRPr="005F49A8">
        <w:rPr>
          <w:rFonts w:ascii="Calibri" w:hAnsi="Calibri"/>
          <w:spacing w:val="-4"/>
          <w:sz w:val="22"/>
          <w:szCs w:val="22"/>
        </w:rPr>
        <w:t xml:space="preserve"> the Carryover </w:t>
      </w:r>
      <w:r>
        <w:rPr>
          <w:rFonts w:ascii="Calibri" w:hAnsi="Calibri"/>
          <w:spacing w:val="-4"/>
          <w:sz w:val="22"/>
          <w:szCs w:val="22"/>
        </w:rPr>
        <w:t>Report.</w:t>
      </w:r>
      <w:r w:rsidRPr="00EF48C5" w:rsidR="00EF48C5">
        <w:rPr>
          <w:rFonts w:asciiTheme="minorHAnsi" w:hAnsiTheme="minorHAnsi" w:cstheme="minorHAnsi"/>
          <w:spacing w:val="-4"/>
          <w:sz w:val="22"/>
          <w:szCs w:val="22"/>
        </w:rPr>
        <w:t xml:space="preserve">  </w:t>
      </w:r>
      <w:r w:rsidRPr="009875A4" w:rsidR="00EF48C5">
        <w:rPr>
          <w:rFonts w:asciiTheme="minorHAnsi" w:hAnsiTheme="minorHAnsi" w:cstheme="minorHAnsi"/>
          <w:sz w:val="22"/>
          <w:szCs w:val="22"/>
        </w:rPr>
        <w:t>We anticipate that the changes will increase the estimated time to respond from 30 to 36 hours for Module I.</w:t>
      </w:r>
    </w:p>
    <w:p w:rsidRPr="004F3AFB" w:rsidR="004F457B" w:rsidP="004F3AFB" w:rsidRDefault="004F457B" w14:paraId="6E32BE2F" w14:textId="77777777">
      <w:pPr>
        <w:tabs>
          <w:tab w:val="left" w:pos="918"/>
          <w:tab w:val="left" w:pos="1188"/>
        </w:tabs>
        <w:ind w:left="360"/>
        <w:jc w:val="both"/>
        <w:rPr>
          <w:rFonts w:asciiTheme="minorHAnsi" w:hAnsiTheme="minorHAnsi"/>
          <w:spacing w:val="-4"/>
          <w:sz w:val="22"/>
          <w:szCs w:val="22"/>
        </w:rPr>
      </w:pPr>
    </w:p>
    <w:p w:rsidRPr="00772692" w:rsidR="002C3C4F" w:rsidP="00817E2B" w:rsidRDefault="002C3C4F" w14:paraId="113CF5B4" w14:textId="77777777">
      <w:pPr>
        <w:widowControl/>
        <w:numPr>
          <w:ilvl w:val="0"/>
          <w:numId w:val="3"/>
        </w:numPr>
        <w:tabs>
          <w:tab w:val="num" w:pos="360"/>
        </w:tabs>
        <w:spacing w:after="120"/>
        <w:ind w:left="360"/>
        <w:rPr>
          <w:rFonts w:ascii="Times New Roman" w:hAnsi="Times New Roman"/>
          <w:b/>
          <w:snapToGrid/>
          <w:sz w:val="24"/>
          <w:szCs w:val="24"/>
        </w:rPr>
      </w:pPr>
      <w:r w:rsidRPr="00EF48C5">
        <w:rPr>
          <w:rFonts w:ascii="Times New Roman" w:hAnsi="Times New Roman"/>
          <w:b/>
          <w:sz w:val="24"/>
        </w:rPr>
        <w:t>Plans for Tabulation and Publication and Project Time Schedule</w:t>
      </w:r>
      <w:r w:rsidRPr="00772692">
        <w:rPr>
          <w:rFonts w:ascii="Times New Roman" w:hAnsi="Times New Roman"/>
          <w:b/>
          <w:snapToGrid/>
          <w:sz w:val="24"/>
          <w:szCs w:val="24"/>
        </w:rPr>
        <w:t xml:space="preserve"> </w:t>
      </w:r>
    </w:p>
    <w:p w:rsidR="007935D5" w:rsidP="00EF48C5" w:rsidRDefault="007935D5" w14:paraId="6AAAC2FE" w14:textId="2E25275E">
      <w:pPr>
        <w:tabs>
          <w:tab w:val="left" w:pos="918"/>
          <w:tab w:val="left" w:pos="1188"/>
        </w:tabs>
        <w:ind w:left="360"/>
        <w:jc w:val="both"/>
        <w:rPr>
          <w:rFonts w:asciiTheme="minorHAnsi" w:hAnsiTheme="minorHAnsi"/>
          <w:spacing w:val="-4"/>
          <w:sz w:val="22"/>
        </w:rPr>
      </w:pPr>
    </w:p>
    <w:p w:rsidR="003E1A58" w:rsidP="00C26405" w:rsidRDefault="003E1A58" w14:paraId="6379CF70" w14:textId="77777777">
      <w:pPr>
        <w:tabs>
          <w:tab w:val="left" w:pos="-734"/>
          <w:tab w:val="left" w:pos="547"/>
          <w:tab w:val="left" w:pos="1080"/>
        </w:tabs>
        <w:ind w:left="360"/>
        <w:jc w:val="both"/>
        <w:rPr>
          <w:rFonts w:asciiTheme="minorHAnsi" w:hAnsiTheme="minorHAnsi"/>
          <w:sz w:val="22"/>
          <w:szCs w:val="22"/>
        </w:rPr>
      </w:pPr>
      <w:r>
        <w:rPr>
          <w:rFonts w:asciiTheme="minorHAnsi" w:hAnsiTheme="minorHAnsi"/>
          <w:sz w:val="22"/>
          <w:szCs w:val="22"/>
        </w:rPr>
        <w:t xml:space="preserve">The data from Module 1 of the </w:t>
      </w:r>
      <w:r w:rsidRPr="00F268A4">
        <w:rPr>
          <w:rFonts w:asciiTheme="minorHAnsi" w:hAnsiTheme="minorHAnsi"/>
          <w:i/>
          <w:sz w:val="22"/>
          <w:szCs w:val="22"/>
        </w:rPr>
        <w:t>LIHEAP Performance Data Form</w:t>
      </w:r>
      <w:r w:rsidRPr="00271BA5">
        <w:rPr>
          <w:rFonts w:asciiTheme="minorHAnsi" w:hAnsiTheme="minorHAnsi"/>
          <w:sz w:val="22"/>
          <w:szCs w:val="22"/>
        </w:rPr>
        <w:t xml:space="preserve"> is</w:t>
      </w:r>
      <w:r>
        <w:rPr>
          <w:rFonts w:asciiTheme="minorHAnsi" w:hAnsiTheme="minorHAnsi"/>
          <w:sz w:val="22"/>
          <w:szCs w:val="22"/>
        </w:rPr>
        <w:t xml:space="preserve"> included in the LIHEAP Report to Congress (see </w:t>
      </w:r>
      <w:hyperlink w:history="1" w:anchor="_Attachment_3">
        <w:r w:rsidRPr="00587825">
          <w:rPr>
            <w:rStyle w:val="Hyperlink"/>
            <w:rFonts w:asciiTheme="minorHAnsi" w:hAnsiTheme="minorHAnsi"/>
            <w:sz w:val="22"/>
            <w:szCs w:val="22"/>
          </w:rPr>
          <w:t>Attachment 3</w:t>
        </w:r>
      </w:hyperlink>
      <w:r>
        <w:rPr>
          <w:rFonts w:asciiTheme="minorHAnsi" w:hAnsiTheme="minorHAnsi"/>
          <w:sz w:val="22"/>
          <w:szCs w:val="22"/>
        </w:rPr>
        <w:t>, Section I) to furnish Congress with information on how LIHEAP funds are used by grantees to deliver services to clients.</w:t>
      </w:r>
    </w:p>
    <w:p w:rsidR="003E1A58" w:rsidP="00C26405" w:rsidRDefault="003E1A58" w14:paraId="5317DFA4" w14:textId="1F8B486D">
      <w:pPr>
        <w:tabs>
          <w:tab w:val="left" w:pos="-734"/>
          <w:tab w:val="left" w:pos="547"/>
          <w:tab w:val="left" w:pos="1080"/>
        </w:tabs>
        <w:ind w:left="360"/>
        <w:jc w:val="both"/>
        <w:rPr>
          <w:rFonts w:asciiTheme="minorHAnsi" w:hAnsiTheme="minorHAnsi"/>
          <w:sz w:val="22"/>
          <w:szCs w:val="22"/>
        </w:rPr>
      </w:pPr>
    </w:p>
    <w:p w:rsidR="007630C6" w:rsidP="00C26405" w:rsidRDefault="007630C6" w14:paraId="3D6648C0" w14:textId="38D863F5">
      <w:pPr>
        <w:tabs>
          <w:tab w:val="left" w:pos="-734"/>
          <w:tab w:val="left" w:pos="547"/>
          <w:tab w:val="left" w:pos="1080"/>
        </w:tabs>
        <w:ind w:left="360"/>
        <w:jc w:val="both"/>
        <w:rPr>
          <w:rFonts w:asciiTheme="minorHAnsi" w:hAnsiTheme="minorHAnsi"/>
          <w:sz w:val="22"/>
          <w:szCs w:val="22"/>
        </w:rPr>
      </w:pPr>
      <w:r w:rsidRPr="009B5D1B">
        <w:rPr>
          <w:rFonts w:asciiTheme="minorHAnsi" w:hAnsiTheme="minorHAnsi"/>
          <w:sz w:val="22"/>
          <w:szCs w:val="22"/>
        </w:rPr>
        <w:t>The data from</w:t>
      </w:r>
      <w:r>
        <w:rPr>
          <w:rFonts w:asciiTheme="minorHAnsi" w:hAnsiTheme="minorHAnsi"/>
          <w:sz w:val="22"/>
          <w:szCs w:val="22"/>
        </w:rPr>
        <w:t xml:space="preserve"> Module 2 </w:t>
      </w:r>
      <w:r w:rsidRPr="009B5D1B">
        <w:rPr>
          <w:rFonts w:asciiTheme="minorHAnsi" w:hAnsiTheme="minorHAnsi"/>
          <w:sz w:val="22"/>
          <w:szCs w:val="22"/>
        </w:rPr>
        <w:t xml:space="preserve">will be synthesized into the four performance measures described above and published in the annual LIHEAP Report to Congress.  In addition, the raw data, as well as the synthesized performance measures will be made available to each grantee through the LIHEAP </w:t>
      </w:r>
      <w:r>
        <w:rPr>
          <w:rFonts w:asciiTheme="minorHAnsi" w:hAnsiTheme="minorHAnsi"/>
          <w:sz w:val="22"/>
          <w:szCs w:val="22"/>
        </w:rPr>
        <w:t>Data Warehouse</w:t>
      </w:r>
      <w:r w:rsidRPr="009B5D1B">
        <w:rPr>
          <w:rFonts w:asciiTheme="minorHAnsi" w:hAnsiTheme="minorHAnsi"/>
          <w:sz w:val="22"/>
          <w:szCs w:val="22"/>
        </w:rPr>
        <w:t xml:space="preserve">.  Each grantee will also be able to access their performance measures, the measures for other grantees, and national and regional summaries.  </w:t>
      </w:r>
    </w:p>
    <w:tbl>
      <w:tblPr>
        <w:tblW w:w="9450" w:type="dxa"/>
        <w:tblInd w:w="120" w:type="dxa"/>
        <w:tblLayout w:type="fixed"/>
        <w:tblCellMar>
          <w:left w:w="120" w:type="dxa"/>
          <w:right w:w="120" w:type="dxa"/>
        </w:tblCellMar>
        <w:tblLook w:val="04A0" w:firstRow="1" w:lastRow="0" w:firstColumn="1" w:lastColumn="0" w:noHBand="0" w:noVBand="1"/>
      </w:tblPr>
      <w:tblGrid>
        <w:gridCol w:w="6210"/>
        <w:gridCol w:w="3240"/>
      </w:tblGrid>
      <w:tr w:rsidRPr="00406344" w:rsidR="003E1A58" w:rsidTr="003E1A58" w14:paraId="43D90937" w14:textId="77777777">
        <w:trPr>
          <w:cantSplit/>
          <w:trHeight w:val="945"/>
          <w:tblHeader/>
        </w:trPr>
        <w:tc>
          <w:tcPr>
            <w:tcW w:w="6210" w:type="dxa"/>
            <w:tcBorders>
              <w:top w:val="double" w:color="000000" w:sz="6" w:space="0"/>
              <w:left w:val="double" w:color="000000" w:sz="6" w:space="0"/>
              <w:bottom w:val="single" w:color="000000" w:sz="8" w:space="0"/>
              <w:right w:val="single" w:color="000000" w:sz="8" w:space="0"/>
            </w:tcBorders>
            <w:shd w:val="clear" w:color="auto" w:fill="D9D9D9" w:themeFill="background1" w:themeFillShade="D9"/>
            <w:vAlign w:val="center"/>
            <w:hideMark/>
          </w:tcPr>
          <w:p w:rsidRPr="00406344" w:rsidR="003E1A58" w:rsidP="003E1A58" w:rsidRDefault="003E1A58" w14:paraId="7386F8B3" w14:textId="626F52C7">
            <w:pPr>
              <w:tabs>
                <w:tab w:val="left" w:pos="-734"/>
                <w:tab w:val="left" w:pos="544"/>
                <w:tab w:val="left" w:pos="814"/>
              </w:tabs>
              <w:spacing w:before="120" w:after="12"/>
              <w:jc w:val="both"/>
              <w:rPr>
                <w:rFonts w:asciiTheme="minorHAnsi" w:hAnsiTheme="minorHAnsi"/>
                <w:sz w:val="22"/>
                <w:szCs w:val="22"/>
              </w:rPr>
            </w:pPr>
            <w:r w:rsidRPr="009B5D1B">
              <w:rPr>
                <w:rFonts w:asciiTheme="minorHAnsi" w:hAnsiTheme="minorHAnsi"/>
                <w:b/>
                <w:sz w:val="22"/>
                <w:szCs w:val="22"/>
              </w:rPr>
              <w:t>Activity</w:t>
            </w:r>
          </w:p>
        </w:tc>
        <w:tc>
          <w:tcPr>
            <w:tcW w:w="3240" w:type="dxa"/>
            <w:tcBorders>
              <w:top w:val="double" w:color="000000" w:sz="6" w:space="0"/>
              <w:left w:val="single" w:color="000000" w:sz="8" w:space="0"/>
              <w:bottom w:val="single" w:color="000000" w:sz="8" w:space="0"/>
              <w:right w:val="double" w:color="000000" w:sz="6" w:space="0"/>
            </w:tcBorders>
            <w:shd w:val="clear" w:color="auto" w:fill="D9D9D9" w:themeFill="background1" w:themeFillShade="D9"/>
            <w:vAlign w:val="center"/>
            <w:hideMark/>
          </w:tcPr>
          <w:p w:rsidR="003E1A58" w:rsidP="009875A4" w:rsidRDefault="003E1A58" w14:paraId="1BFFEAA2" w14:textId="77777777">
            <w:pPr>
              <w:tabs>
                <w:tab w:val="left" w:pos="-734"/>
                <w:tab w:val="left" w:pos="544"/>
                <w:tab w:val="left" w:pos="814"/>
              </w:tabs>
              <w:spacing w:before="120" w:after="12"/>
              <w:rPr>
                <w:rFonts w:asciiTheme="minorHAnsi" w:hAnsiTheme="minorHAnsi"/>
                <w:sz w:val="22"/>
                <w:szCs w:val="22"/>
                <w:vertAlign w:val="superscript"/>
              </w:rPr>
            </w:pPr>
            <w:r w:rsidRPr="009B5D1B">
              <w:rPr>
                <w:rFonts w:asciiTheme="minorHAnsi" w:hAnsiTheme="minorHAnsi"/>
                <w:b/>
                <w:sz w:val="22"/>
                <w:szCs w:val="22"/>
              </w:rPr>
              <w:t>Weeks Following Report Submission Deadline</w:t>
            </w:r>
          </w:p>
        </w:tc>
      </w:tr>
      <w:tr w:rsidRPr="00406344" w:rsidR="003E1A58" w:rsidTr="003E1A58" w14:paraId="4F0DAC31" w14:textId="77777777">
        <w:trPr>
          <w:cantSplit/>
          <w:trHeight w:val="1060"/>
        </w:trPr>
        <w:tc>
          <w:tcPr>
            <w:tcW w:w="6210" w:type="dxa"/>
            <w:tcBorders>
              <w:top w:val="single" w:color="000000" w:sz="8" w:space="0"/>
              <w:left w:val="double" w:color="000000" w:sz="6" w:space="0"/>
              <w:bottom w:val="single" w:color="000000" w:sz="8" w:space="0"/>
              <w:right w:val="single" w:color="000000" w:sz="8" w:space="0"/>
            </w:tcBorders>
            <w:vAlign w:val="center"/>
            <w:hideMark/>
          </w:tcPr>
          <w:p w:rsidRPr="00406344" w:rsidR="003E1A58" w:rsidP="003E1A58" w:rsidRDefault="003E1A58" w14:paraId="78435DF1" w14:textId="77777777">
            <w:pPr>
              <w:tabs>
                <w:tab w:val="left" w:pos="-734"/>
                <w:tab w:val="left" w:pos="544"/>
                <w:tab w:val="left" w:pos="814"/>
              </w:tabs>
              <w:spacing w:before="120" w:after="12"/>
              <w:jc w:val="both"/>
              <w:rPr>
                <w:rFonts w:asciiTheme="minorHAnsi" w:hAnsiTheme="minorHAnsi"/>
                <w:i/>
                <w:sz w:val="22"/>
                <w:szCs w:val="22"/>
              </w:rPr>
            </w:pPr>
            <w:r w:rsidRPr="009B5D1B">
              <w:rPr>
                <w:rFonts w:asciiTheme="minorHAnsi" w:hAnsiTheme="minorHAnsi"/>
                <w:sz w:val="22"/>
                <w:szCs w:val="22"/>
              </w:rPr>
              <w:t>Completion of quality assurance testing on performance measures data (requires review of data inconsistencies and outliers with grantees)</w:t>
            </w:r>
          </w:p>
        </w:tc>
        <w:tc>
          <w:tcPr>
            <w:tcW w:w="3240" w:type="dxa"/>
            <w:tcBorders>
              <w:top w:val="single" w:color="000000" w:sz="8" w:space="0"/>
              <w:left w:val="single" w:color="000000" w:sz="8" w:space="0"/>
              <w:bottom w:val="single" w:color="000000" w:sz="8" w:space="0"/>
              <w:right w:val="double" w:color="000000" w:sz="6" w:space="0"/>
            </w:tcBorders>
            <w:vAlign w:val="center"/>
            <w:hideMark/>
          </w:tcPr>
          <w:p w:rsidR="003E1A58" w:rsidP="003E1A58" w:rsidRDefault="003E1A58" w14:paraId="4B77D405" w14:textId="77777777">
            <w:pPr>
              <w:tabs>
                <w:tab w:val="left" w:pos="-734"/>
                <w:tab w:val="left" w:pos="544"/>
                <w:tab w:val="left" w:pos="814"/>
              </w:tabs>
              <w:spacing w:before="120" w:after="12"/>
              <w:jc w:val="both"/>
              <w:rPr>
                <w:rFonts w:asciiTheme="minorHAnsi" w:hAnsiTheme="minorHAnsi"/>
                <w:sz w:val="22"/>
                <w:szCs w:val="22"/>
              </w:rPr>
            </w:pPr>
            <w:r w:rsidRPr="009B5D1B">
              <w:rPr>
                <w:rFonts w:asciiTheme="minorHAnsi" w:hAnsiTheme="minorHAnsi"/>
                <w:sz w:val="22"/>
                <w:szCs w:val="22"/>
              </w:rPr>
              <w:t>8 Weeks</w:t>
            </w:r>
          </w:p>
        </w:tc>
      </w:tr>
      <w:tr w:rsidRPr="00406344" w:rsidR="003E1A58" w:rsidTr="003E1A58" w14:paraId="55E95738" w14:textId="77777777">
        <w:trPr>
          <w:cantSplit/>
          <w:trHeight w:val="475"/>
        </w:trPr>
        <w:tc>
          <w:tcPr>
            <w:tcW w:w="6210" w:type="dxa"/>
            <w:tcBorders>
              <w:top w:val="single" w:color="000000" w:sz="8" w:space="0"/>
              <w:left w:val="double" w:color="000000" w:sz="6" w:space="0"/>
              <w:bottom w:val="single" w:color="000000" w:sz="8" w:space="0"/>
              <w:right w:val="single" w:color="000000" w:sz="8" w:space="0"/>
            </w:tcBorders>
            <w:vAlign w:val="center"/>
          </w:tcPr>
          <w:p w:rsidRPr="00406344" w:rsidR="003E1A58" w:rsidP="003E1A58" w:rsidRDefault="003E1A58" w14:paraId="5A93AE9D" w14:textId="77777777">
            <w:pPr>
              <w:tabs>
                <w:tab w:val="left" w:pos="-734"/>
                <w:tab w:val="left" w:pos="544"/>
                <w:tab w:val="left" w:pos="814"/>
              </w:tabs>
              <w:spacing w:before="120" w:after="12"/>
              <w:jc w:val="both"/>
              <w:rPr>
                <w:rFonts w:asciiTheme="minorHAnsi" w:hAnsiTheme="minorHAnsi"/>
                <w:sz w:val="22"/>
                <w:szCs w:val="22"/>
              </w:rPr>
            </w:pPr>
            <w:r w:rsidRPr="009B5D1B">
              <w:rPr>
                <w:rFonts w:asciiTheme="minorHAnsi" w:hAnsiTheme="minorHAnsi"/>
                <w:sz w:val="22"/>
                <w:szCs w:val="22"/>
              </w:rPr>
              <w:t>Synthesis of data into performance measures indicators</w:t>
            </w:r>
          </w:p>
        </w:tc>
        <w:tc>
          <w:tcPr>
            <w:tcW w:w="3240" w:type="dxa"/>
            <w:tcBorders>
              <w:top w:val="single" w:color="000000" w:sz="8" w:space="0"/>
              <w:left w:val="single" w:color="000000" w:sz="8" w:space="0"/>
              <w:bottom w:val="single" w:color="000000" w:sz="8" w:space="0"/>
              <w:right w:val="double" w:color="000000" w:sz="6" w:space="0"/>
            </w:tcBorders>
            <w:vAlign w:val="center"/>
          </w:tcPr>
          <w:p w:rsidR="003E1A58" w:rsidP="003E1A58" w:rsidRDefault="003E1A58" w14:paraId="6E9E9C91" w14:textId="77777777">
            <w:pPr>
              <w:tabs>
                <w:tab w:val="left" w:pos="-734"/>
                <w:tab w:val="left" w:pos="544"/>
                <w:tab w:val="left" w:pos="814"/>
              </w:tabs>
              <w:spacing w:before="120" w:after="12"/>
              <w:jc w:val="both"/>
              <w:rPr>
                <w:rFonts w:asciiTheme="minorHAnsi" w:hAnsiTheme="minorHAnsi"/>
                <w:sz w:val="22"/>
                <w:szCs w:val="22"/>
              </w:rPr>
            </w:pPr>
            <w:r w:rsidRPr="009B5D1B">
              <w:rPr>
                <w:rFonts w:asciiTheme="minorHAnsi" w:hAnsiTheme="minorHAnsi"/>
                <w:sz w:val="22"/>
                <w:szCs w:val="22"/>
              </w:rPr>
              <w:t>12 Weeks</w:t>
            </w:r>
          </w:p>
        </w:tc>
      </w:tr>
      <w:tr w:rsidRPr="00406344" w:rsidR="003E1A58" w:rsidTr="003E1A58" w14:paraId="5ECE5F8C" w14:textId="77777777">
        <w:trPr>
          <w:cantSplit/>
          <w:trHeight w:val="772"/>
        </w:trPr>
        <w:tc>
          <w:tcPr>
            <w:tcW w:w="6210" w:type="dxa"/>
            <w:tcBorders>
              <w:top w:val="single" w:color="000000" w:sz="8" w:space="0"/>
              <w:left w:val="double" w:color="000000" w:sz="6" w:space="0"/>
              <w:bottom w:val="single" w:color="000000" w:sz="8" w:space="0"/>
              <w:right w:val="single" w:color="000000" w:sz="8" w:space="0"/>
            </w:tcBorders>
            <w:vAlign w:val="center"/>
            <w:hideMark/>
          </w:tcPr>
          <w:p w:rsidRPr="00406344" w:rsidR="003E1A58" w:rsidP="003E1A58" w:rsidRDefault="003E1A58" w14:paraId="73C3D296" w14:textId="77777777">
            <w:pPr>
              <w:tabs>
                <w:tab w:val="left" w:pos="-734"/>
                <w:tab w:val="left" w:pos="544"/>
                <w:tab w:val="left" w:pos="814"/>
              </w:tabs>
              <w:spacing w:before="120" w:after="12"/>
              <w:jc w:val="both"/>
              <w:rPr>
                <w:rFonts w:asciiTheme="minorHAnsi" w:hAnsiTheme="minorHAnsi"/>
                <w:sz w:val="22"/>
                <w:szCs w:val="22"/>
              </w:rPr>
            </w:pPr>
            <w:r w:rsidRPr="009B5D1B">
              <w:rPr>
                <w:rFonts w:asciiTheme="minorHAnsi" w:hAnsiTheme="minorHAnsi"/>
                <w:sz w:val="22"/>
                <w:szCs w:val="22"/>
              </w:rPr>
              <w:t>Draft of statistical tables for inclusion in annual LIHEAP Report to Congress – text and appendices</w:t>
            </w:r>
          </w:p>
        </w:tc>
        <w:tc>
          <w:tcPr>
            <w:tcW w:w="3240" w:type="dxa"/>
            <w:tcBorders>
              <w:top w:val="single" w:color="000000" w:sz="8" w:space="0"/>
              <w:left w:val="single" w:color="000000" w:sz="8" w:space="0"/>
              <w:bottom w:val="single" w:color="000000" w:sz="8" w:space="0"/>
              <w:right w:val="double" w:color="000000" w:sz="6" w:space="0"/>
            </w:tcBorders>
            <w:vAlign w:val="center"/>
            <w:hideMark/>
          </w:tcPr>
          <w:p w:rsidR="003E1A58" w:rsidP="003E1A58" w:rsidRDefault="003E1A58" w14:paraId="3A72BD21" w14:textId="77777777">
            <w:pPr>
              <w:tabs>
                <w:tab w:val="left" w:pos="-734"/>
                <w:tab w:val="left" w:pos="544"/>
                <w:tab w:val="left" w:pos="814"/>
              </w:tabs>
              <w:spacing w:before="120" w:after="12"/>
              <w:jc w:val="both"/>
              <w:rPr>
                <w:rFonts w:asciiTheme="minorHAnsi" w:hAnsiTheme="minorHAnsi"/>
                <w:sz w:val="22"/>
                <w:szCs w:val="22"/>
              </w:rPr>
            </w:pPr>
            <w:r w:rsidRPr="009B5D1B">
              <w:rPr>
                <w:rFonts w:asciiTheme="minorHAnsi" w:hAnsiTheme="minorHAnsi"/>
                <w:sz w:val="22"/>
                <w:szCs w:val="22"/>
              </w:rPr>
              <w:t xml:space="preserve"> 16 Weeks</w:t>
            </w:r>
          </w:p>
        </w:tc>
      </w:tr>
      <w:tr w:rsidRPr="00406344" w:rsidR="003E1A58" w:rsidTr="003E1A58" w14:paraId="0D8E2A29" w14:textId="77777777">
        <w:trPr>
          <w:cantSplit/>
          <w:trHeight w:val="808"/>
        </w:trPr>
        <w:tc>
          <w:tcPr>
            <w:tcW w:w="6210" w:type="dxa"/>
            <w:tcBorders>
              <w:top w:val="single" w:color="000000" w:sz="8" w:space="0"/>
              <w:left w:val="double" w:color="000000" w:sz="6" w:space="0"/>
              <w:bottom w:val="single" w:color="000000" w:sz="8" w:space="0"/>
              <w:right w:val="single" w:color="000000" w:sz="8" w:space="0"/>
            </w:tcBorders>
            <w:vAlign w:val="center"/>
            <w:hideMark/>
          </w:tcPr>
          <w:p w:rsidRPr="00406344" w:rsidR="003E1A58" w:rsidP="003E1A58" w:rsidRDefault="003E1A58" w14:paraId="2E345F6B" w14:textId="77777777">
            <w:pPr>
              <w:tabs>
                <w:tab w:val="left" w:pos="-734"/>
                <w:tab w:val="left" w:pos="544"/>
                <w:tab w:val="left" w:pos="814"/>
              </w:tabs>
              <w:spacing w:before="120" w:after="12"/>
              <w:jc w:val="both"/>
              <w:rPr>
                <w:rFonts w:asciiTheme="minorHAnsi" w:hAnsiTheme="minorHAnsi"/>
                <w:sz w:val="22"/>
                <w:szCs w:val="22"/>
              </w:rPr>
            </w:pPr>
            <w:r w:rsidRPr="009B5D1B">
              <w:rPr>
                <w:rFonts w:asciiTheme="minorHAnsi" w:hAnsiTheme="minorHAnsi"/>
                <w:sz w:val="22"/>
                <w:szCs w:val="22"/>
              </w:rPr>
              <w:lastRenderedPageBreak/>
              <w:t>Final statistical tables for inclusion in annual LIHEAP Report to Congress</w:t>
            </w:r>
          </w:p>
        </w:tc>
        <w:tc>
          <w:tcPr>
            <w:tcW w:w="3240" w:type="dxa"/>
            <w:tcBorders>
              <w:top w:val="single" w:color="000000" w:sz="8" w:space="0"/>
              <w:left w:val="single" w:color="000000" w:sz="8" w:space="0"/>
              <w:bottom w:val="single" w:color="000000" w:sz="8" w:space="0"/>
              <w:right w:val="double" w:color="000000" w:sz="6" w:space="0"/>
            </w:tcBorders>
            <w:vAlign w:val="center"/>
            <w:hideMark/>
          </w:tcPr>
          <w:p w:rsidR="003E1A58" w:rsidP="003E1A58" w:rsidRDefault="003E1A58" w14:paraId="2A3D5261" w14:textId="77777777">
            <w:pPr>
              <w:tabs>
                <w:tab w:val="left" w:pos="-734"/>
                <w:tab w:val="left" w:pos="544"/>
                <w:tab w:val="left" w:pos="814"/>
              </w:tabs>
              <w:spacing w:before="120" w:after="12"/>
              <w:jc w:val="both"/>
              <w:rPr>
                <w:rFonts w:asciiTheme="minorHAnsi" w:hAnsiTheme="minorHAnsi"/>
                <w:sz w:val="22"/>
                <w:szCs w:val="22"/>
              </w:rPr>
            </w:pPr>
            <w:r w:rsidRPr="009B5D1B">
              <w:rPr>
                <w:rFonts w:asciiTheme="minorHAnsi" w:hAnsiTheme="minorHAnsi"/>
                <w:sz w:val="22"/>
                <w:szCs w:val="22"/>
              </w:rPr>
              <w:t>20 Weeks</w:t>
            </w:r>
          </w:p>
        </w:tc>
      </w:tr>
      <w:tr w:rsidRPr="00406344" w:rsidR="003E1A58" w:rsidTr="003E1A58" w14:paraId="44078515" w14:textId="77777777">
        <w:trPr>
          <w:cantSplit/>
          <w:trHeight w:val="655"/>
        </w:trPr>
        <w:tc>
          <w:tcPr>
            <w:tcW w:w="6210" w:type="dxa"/>
            <w:tcBorders>
              <w:top w:val="single" w:color="000000" w:sz="8" w:space="0"/>
              <w:left w:val="double" w:color="000000" w:sz="6" w:space="0"/>
              <w:bottom w:val="single" w:color="000000" w:sz="8" w:space="0"/>
              <w:right w:val="single" w:color="000000" w:sz="8" w:space="0"/>
            </w:tcBorders>
            <w:vAlign w:val="center"/>
            <w:hideMark/>
          </w:tcPr>
          <w:p w:rsidRPr="00406344" w:rsidR="003E1A58" w:rsidP="003E1A58" w:rsidRDefault="003E1A58" w14:paraId="21F40EFC" w14:textId="77777777">
            <w:pPr>
              <w:tabs>
                <w:tab w:val="left" w:pos="-734"/>
                <w:tab w:val="left" w:pos="544"/>
                <w:tab w:val="left" w:pos="814"/>
              </w:tabs>
              <w:spacing w:before="120" w:after="12"/>
              <w:jc w:val="both"/>
              <w:rPr>
                <w:rFonts w:asciiTheme="minorHAnsi" w:hAnsiTheme="minorHAnsi"/>
                <w:sz w:val="22"/>
                <w:szCs w:val="22"/>
              </w:rPr>
            </w:pPr>
            <w:r w:rsidRPr="009B5D1B">
              <w:rPr>
                <w:rFonts w:asciiTheme="minorHAnsi" w:hAnsiTheme="minorHAnsi"/>
                <w:sz w:val="22"/>
                <w:szCs w:val="22"/>
              </w:rPr>
              <w:t>Publication of annual LIHEAP Report to Congress*</w:t>
            </w:r>
          </w:p>
        </w:tc>
        <w:tc>
          <w:tcPr>
            <w:tcW w:w="3240" w:type="dxa"/>
            <w:tcBorders>
              <w:top w:val="single" w:color="000000" w:sz="8" w:space="0"/>
              <w:left w:val="single" w:color="000000" w:sz="8" w:space="0"/>
              <w:bottom w:val="single" w:color="000000" w:sz="8" w:space="0"/>
              <w:right w:val="double" w:color="000000" w:sz="6" w:space="0"/>
            </w:tcBorders>
            <w:vAlign w:val="center"/>
            <w:hideMark/>
          </w:tcPr>
          <w:p w:rsidR="003E1A58" w:rsidP="003E1A58" w:rsidRDefault="003E1A58" w14:paraId="2AEF93D8" w14:textId="77777777">
            <w:pPr>
              <w:tabs>
                <w:tab w:val="left" w:pos="-734"/>
                <w:tab w:val="left" w:pos="544"/>
                <w:tab w:val="left" w:pos="814"/>
              </w:tabs>
              <w:spacing w:before="120" w:after="12"/>
              <w:jc w:val="both"/>
              <w:rPr>
                <w:rFonts w:asciiTheme="minorHAnsi" w:hAnsiTheme="minorHAnsi"/>
                <w:sz w:val="22"/>
                <w:szCs w:val="22"/>
              </w:rPr>
            </w:pPr>
            <w:r w:rsidRPr="009B5D1B">
              <w:rPr>
                <w:rFonts w:asciiTheme="minorHAnsi" w:hAnsiTheme="minorHAnsi"/>
                <w:sz w:val="22"/>
                <w:szCs w:val="22"/>
              </w:rPr>
              <w:t>--</w:t>
            </w:r>
          </w:p>
        </w:tc>
      </w:tr>
      <w:tr w:rsidRPr="00406344" w:rsidR="003E1A58" w:rsidTr="003E1A58" w14:paraId="1E906941" w14:textId="77777777">
        <w:trPr>
          <w:cantSplit/>
          <w:trHeight w:val="862"/>
        </w:trPr>
        <w:tc>
          <w:tcPr>
            <w:tcW w:w="6210" w:type="dxa"/>
            <w:tcBorders>
              <w:top w:val="single" w:color="000000" w:sz="8" w:space="0"/>
              <w:left w:val="double" w:color="000000" w:sz="6" w:space="0"/>
              <w:bottom w:val="single" w:color="000000" w:sz="8" w:space="0"/>
              <w:right w:val="single" w:color="000000" w:sz="8" w:space="0"/>
            </w:tcBorders>
            <w:vAlign w:val="center"/>
          </w:tcPr>
          <w:p w:rsidRPr="00406344" w:rsidR="003E1A58" w:rsidP="003E1A58" w:rsidRDefault="003E1A58" w14:paraId="6F8958A2" w14:textId="77777777">
            <w:pPr>
              <w:tabs>
                <w:tab w:val="left" w:pos="-734"/>
                <w:tab w:val="left" w:pos="544"/>
                <w:tab w:val="left" w:pos="814"/>
              </w:tabs>
              <w:spacing w:before="120" w:after="12"/>
              <w:jc w:val="both"/>
              <w:rPr>
                <w:rFonts w:asciiTheme="minorHAnsi" w:hAnsiTheme="minorHAnsi"/>
                <w:sz w:val="22"/>
                <w:szCs w:val="22"/>
              </w:rPr>
            </w:pPr>
            <w:r w:rsidRPr="009B5D1B">
              <w:rPr>
                <w:rFonts w:asciiTheme="minorHAnsi" w:hAnsiTheme="minorHAnsi"/>
                <w:sz w:val="22"/>
                <w:szCs w:val="22"/>
              </w:rPr>
              <w:t xml:space="preserve">Live launch of raw data and performance measures indicators on the LIHEAP </w:t>
            </w:r>
            <w:r>
              <w:rPr>
                <w:rFonts w:asciiTheme="minorHAnsi" w:hAnsiTheme="minorHAnsi"/>
                <w:sz w:val="22"/>
                <w:szCs w:val="22"/>
              </w:rPr>
              <w:t>Data Warehouse</w:t>
            </w:r>
          </w:p>
        </w:tc>
        <w:tc>
          <w:tcPr>
            <w:tcW w:w="3240" w:type="dxa"/>
            <w:tcBorders>
              <w:top w:val="single" w:color="000000" w:sz="8" w:space="0"/>
              <w:left w:val="single" w:color="000000" w:sz="8" w:space="0"/>
              <w:bottom w:val="single" w:color="000000" w:sz="8" w:space="0"/>
              <w:right w:val="double" w:color="000000" w:sz="6" w:space="0"/>
            </w:tcBorders>
            <w:vAlign w:val="center"/>
          </w:tcPr>
          <w:p w:rsidR="003E1A58" w:rsidP="003E1A58" w:rsidRDefault="003E1A58" w14:paraId="031A2F2C" w14:textId="77777777">
            <w:pPr>
              <w:tabs>
                <w:tab w:val="left" w:pos="-734"/>
                <w:tab w:val="left" w:pos="544"/>
                <w:tab w:val="left" w:pos="814"/>
              </w:tabs>
              <w:spacing w:before="120" w:after="12"/>
              <w:jc w:val="both"/>
              <w:rPr>
                <w:rFonts w:asciiTheme="minorHAnsi" w:hAnsiTheme="minorHAnsi"/>
                <w:sz w:val="22"/>
                <w:szCs w:val="22"/>
              </w:rPr>
            </w:pPr>
            <w:r w:rsidRPr="009B5D1B">
              <w:rPr>
                <w:rFonts w:asciiTheme="minorHAnsi" w:hAnsiTheme="minorHAnsi"/>
                <w:sz w:val="22"/>
                <w:szCs w:val="22"/>
              </w:rPr>
              <w:t>1 day post publication of Report to Congress</w:t>
            </w:r>
          </w:p>
        </w:tc>
      </w:tr>
    </w:tbl>
    <w:p w:rsidR="00D7406D" w:rsidP="0070451D" w:rsidRDefault="000C7402" w14:paraId="7EF862D7" w14:textId="0FF2AD53">
      <w:pPr>
        <w:jc w:val="both"/>
        <w:rPr>
          <w:rFonts w:asciiTheme="minorHAnsi" w:hAnsiTheme="minorHAnsi"/>
          <w:i/>
        </w:rPr>
      </w:pPr>
      <w:r w:rsidRPr="00F03D5B">
        <w:rPr>
          <w:rFonts w:asciiTheme="minorHAnsi" w:hAnsiTheme="minorHAnsi"/>
          <w:sz w:val="22"/>
          <w:szCs w:val="22"/>
        </w:rPr>
        <w:t>*</w:t>
      </w:r>
      <w:r>
        <w:rPr>
          <w:rFonts w:asciiTheme="minorHAnsi" w:hAnsiTheme="minorHAnsi"/>
          <w:sz w:val="22"/>
          <w:szCs w:val="22"/>
        </w:rPr>
        <w:t xml:space="preserve"> </w:t>
      </w:r>
      <w:r w:rsidRPr="009B5D1B" w:rsidR="009B5D1B">
        <w:rPr>
          <w:rFonts w:asciiTheme="minorHAnsi" w:hAnsiTheme="minorHAnsi"/>
          <w:sz w:val="22"/>
          <w:szCs w:val="22"/>
        </w:rPr>
        <w:t xml:space="preserve"> </w:t>
      </w:r>
      <w:r w:rsidRPr="009B5D1B" w:rsidR="009B5D1B">
        <w:rPr>
          <w:rFonts w:asciiTheme="minorHAnsi" w:hAnsiTheme="minorHAnsi"/>
          <w:i/>
        </w:rPr>
        <w:t>Publication is dependent upon the Department’s clearance process of the annual LIHEAP Report to Congress.</w:t>
      </w:r>
    </w:p>
    <w:p w:rsidRPr="004238F4" w:rsidR="009A5B14" w:rsidP="00F268A4" w:rsidRDefault="009A5B14" w14:paraId="19F4CC64" w14:textId="77777777">
      <w:pPr>
        <w:tabs>
          <w:tab w:val="left" w:pos="-734"/>
          <w:tab w:val="left" w:pos="547"/>
          <w:tab w:val="left" w:pos="1080"/>
        </w:tabs>
        <w:jc w:val="both"/>
        <w:rPr>
          <w:szCs w:val="24"/>
        </w:rPr>
      </w:pPr>
    </w:p>
    <w:p w:rsidR="00D46DBA" w:rsidP="00D46DBA" w:rsidRDefault="00D46DBA" w14:paraId="40742F2B" w14:textId="42BD01FB">
      <w:pPr>
        <w:tabs>
          <w:tab w:val="left" w:pos="918"/>
          <w:tab w:val="left" w:pos="1188"/>
        </w:tabs>
        <w:ind w:left="360"/>
        <w:jc w:val="both"/>
        <w:rPr>
          <w:rFonts w:asciiTheme="minorHAnsi" w:hAnsiTheme="minorHAnsi"/>
          <w:spacing w:val="-4"/>
          <w:sz w:val="22"/>
          <w:szCs w:val="22"/>
        </w:rPr>
      </w:pPr>
      <w:r w:rsidRPr="00D46DBA">
        <w:rPr>
          <w:rFonts w:asciiTheme="minorHAnsi" w:hAnsiTheme="minorHAnsi"/>
          <w:spacing w:val="-4"/>
          <w:sz w:val="22"/>
          <w:szCs w:val="22"/>
        </w:rPr>
        <w:t>The form will be due by grantees</w:t>
      </w:r>
      <w:r>
        <w:rPr>
          <w:rFonts w:asciiTheme="minorHAnsi" w:hAnsiTheme="minorHAnsi"/>
          <w:spacing w:val="-4"/>
          <w:sz w:val="22"/>
          <w:szCs w:val="22"/>
        </w:rPr>
        <w:t xml:space="preserve"> </w:t>
      </w:r>
      <w:r w:rsidRPr="00D46DBA">
        <w:rPr>
          <w:rFonts w:asciiTheme="minorHAnsi" w:hAnsiTheme="minorHAnsi"/>
          <w:spacing w:val="-4"/>
          <w:sz w:val="22"/>
          <w:szCs w:val="22"/>
        </w:rPr>
        <w:t>on February 16, 2021.</w:t>
      </w:r>
    </w:p>
    <w:p w:rsidRPr="004F3AFB" w:rsidR="007935D5" w:rsidP="004F3AFB" w:rsidRDefault="007935D5" w14:paraId="298DD100" w14:textId="77777777">
      <w:pPr>
        <w:tabs>
          <w:tab w:val="left" w:pos="918"/>
          <w:tab w:val="left" w:pos="1188"/>
        </w:tabs>
        <w:ind w:left="360"/>
        <w:jc w:val="both"/>
        <w:rPr>
          <w:rFonts w:asciiTheme="minorHAnsi" w:hAnsiTheme="minorHAnsi"/>
          <w:spacing w:val="-4"/>
          <w:sz w:val="22"/>
          <w:szCs w:val="22"/>
        </w:rPr>
      </w:pPr>
    </w:p>
    <w:p w:rsidRPr="00EF48C5" w:rsidR="002C3C4F" w:rsidP="00EF48C5" w:rsidRDefault="002C3C4F" w14:paraId="4097A725" w14:textId="77777777">
      <w:pPr>
        <w:widowControl/>
        <w:numPr>
          <w:ilvl w:val="0"/>
          <w:numId w:val="3"/>
        </w:numPr>
        <w:tabs>
          <w:tab w:val="left" w:pos="360"/>
        </w:tabs>
        <w:spacing w:after="120"/>
        <w:ind w:left="360"/>
        <w:rPr>
          <w:rFonts w:ascii="Times New Roman" w:hAnsi="Times New Roman"/>
          <w:b/>
          <w:sz w:val="24"/>
        </w:rPr>
      </w:pPr>
      <w:r w:rsidRPr="00EF48C5">
        <w:rPr>
          <w:rFonts w:ascii="Times New Roman" w:hAnsi="Times New Roman"/>
          <w:b/>
          <w:sz w:val="24"/>
        </w:rPr>
        <w:t>Reason(s) Display of OMB Expiration Date is Inappropriate</w:t>
      </w:r>
      <w:r w:rsidRPr="00772692">
        <w:rPr>
          <w:rFonts w:ascii="Times New Roman" w:hAnsi="Times New Roman"/>
          <w:b/>
          <w:snapToGrid/>
          <w:sz w:val="24"/>
          <w:szCs w:val="24"/>
        </w:rPr>
        <w:t xml:space="preserve"> </w:t>
      </w:r>
    </w:p>
    <w:p w:rsidRPr="00EF48C5" w:rsidR="00A04EF3" w:rsidP="00EF48C5" w:rsidRDefault="00A04EF3" w14:paraId="14F40E7C" w14:textId="77777777">
      <w:pPr>
        <w:tabs>
          <w:tab w:val="left" w:pos="918"/>
          <w:tab w:val="left" w:pos="1188"/>
        </w:tabs>
        <w:ind w:left="360"/>
        <w:jc w:val="both"/>
        <w:rPr>
          <w:rFonts w:asciiTheme="minorHAnsi" w:hAnsiTheme="minorHAnsi"/>
          <w:spacing w:val="-4"/>
          <w:sz w:val="22"/>
        </w:rPr>
      </w:pPr>
    </w:p>
    <w:p w:rsidRPr="00C26405" w:rsidR="00532F17" w:rsidP="00C26405" w:rsidRDefault="00F94067" w14:paraId="62885289" w14:textId="77777777">
      <w:pPr>
        <w:tabs>
          <w:tab w:val="left" w:pos="-734"/>
          <w:tab w:val="left" w:pos="544"/>
          <w:tab w:val="left" w:pos="814"/>
        </w:tabs>
        <w:ind w:left="360"/>
        <w:jc w:val="both"/>
        <w:rPr>
          <w:rFonts w:asciiTheme="minorHAnsi" w:hAnsiTheme="minorHAnsi" w:cstheme="minorHAnsi"/>
          <w:sz w:val="24"/>
          <w:szCs w:val="24"/>
        </w:rPr>
      </w:pPr>
      <w:r w:rsidRPr="004238F4">
        <w:rPr>
          <w:szCs w:val="24"/>
        </w:rPr>
        <w:fldChar w:fldCharType="begin"/>
      </w:r>
      <w:r w:rsidRPr="004238F4" w:rsidR="00532F17">
        <w:rPr>
          <w:szCs w:val="24"/>
        </w:rPr>
        <w:instrText xml:space="preserve"> ADVANCE \u 4</w:instrText>
      </w:r>
      <w:r w:rsidRPr="004238F4">
        <w:rPr>
          <w:szCs w:val="24"/>
        </w:rPr>
        <w:fldChar w:fldCharType="end"/>
      </w:r>
      <w:r w:rsidRPr="00C26405" w:rsidR="009B5D1B">
        <w:rPr>
          <w:rFonts w:asciiTheme="minorHAnsi" w:hAnsiTheme="minorHAnsi" w:cstheme="minorHAnsi"/>
          <w:sz w:val="24"/>
          <w:szCs w:val="24"/>
        </w:rPr>
        <w:t>Non-applicable.</w:t>
      </w:r>
    </w:p>
    <w:p w:rsidRPr="00C26405" w:rsidR="004F457B" w:rsidP="008A7A39" w:rsidRDefault="004F457B" w14:paraId="1017B695" w14:textId="56554D9F">
      <w:pPr>
        <w:tabs>
          <w:tab w:val="left" w:pos="918"/>
          <w:tab w:val="left" w:pos="1188"/>
        </w:tabs>
        <w:jc w:val="both"/>
        <w:rPr>
          <w:rFonts w:asciiTheme="minorHAnsi" w:hAnsiTheme="minorHAnsi" w:cstheme="minorHAnsi"/>
          <w:spacing w:val="-4"/>
          <w:sz w:val="24"/>
          <w:szCs w:val="24"/>
        </w:rPr>
      </w:pPr>
    </w:p>
    <w:p w:rsidRPr="00C26405" w:rsidR="002C3C4F" w:rsidP="00EF48C5" w:rsidRDefault="002C3C4F" w14:paraId="7CE40BCB" w14:textId="220DFE0C">
      <w:pPr>
        <w:widowControl/>
        <w:numPr>
          <w:ilvl w:val="0"/>
          <w:numId w:val="3"/>
        </w:numPr>
        <w:tabs>
          <w:tab w:val="num" w:pos="360"/>
        </w:tabs>
        <w:spacing w:after="120"/>
        <w:ind w:left="360"/>
        <w:rPr>
          <w:rFonts w:ascii="Times New Roman" w:hAnsi="Times New Roman"/>
          <w:b/>
          <w:sz w:val="24"/>
          <w:szCs w:val="24"/>
        </w:rPr>
      </w:pPr>
      <w:r w:rsidRPr="00C26405">
        <w:rPr>
          <w:rFonts w:ascii="Times New Roman" w:hAnsi="Times New Roman"/>
          <w:b/>
          <w:sz w:val="24"/>
          <w:szCs w:val="24"/>
        </w:rPr>
        <w:t xml:space="preserve">Exceptions to Certification for Paperwork Reduction Act </w:t>
      </w:r>
      <w:r w:rsidRPr="00C26405">
        <w:rPr>
          <w:rFonts w:ascii="Times New Roman" w:hAnsi="Times New Roman"/>
          <w:b/>
          <w:snapToGrid/>
          <w:sz w:val="24"/>
          <w:szCs w:val="24"/>
        </w:rPr>
        <w:t>Submissions</w:t>
      </w:r>
    </w:p>
    <w:p w:rsidRPr="00C26405" w:rsidR="007935D5" w:rsidP="00EF48C5" w:rsidRDefault="007935D5" w14:paraId="53A56BC6" w14:textId="77777777">
      <w:pPr>
        <w:tabs>
          <w:tab w:val="left" w:pos="918"/>
          <w:tab w:val="left" w:pos="1188"/>
        </w:tabs>
        <w:ind w:left="360"/>
        <w:jc w:val="both"/>
        <w:rPr>
          <w:rFonts w:asciiTheme="minorHAnsi" w:hAnsiTheme="minorHAnsi" w:cstheme="minorHAnsi"/>
          <w:spacing w:val="-4"/>
          <w:sz w:val="24"/>
          <w:szCs w:val="24"/>
        </w:rPr>
      </w:pPr>
    </w:p>
    <w:p w:rsidRPr="00C26405" w:rsidR="00B45E24" w:rsidP="00C26405" w:rsidRDefault="009B5D1B" w14:paraId="5B3F75C2" w14:textId="77777777">
      <w:pPr>
        <w:tabs>
          <w:tab w:val="left" w:pos="-734"/>
          <w:tab w:val="left" w:pos="544"/>
          <w:tab w:val="left" w:pos="814"/>
        </w:tabs>
        <w:ind w:left="360"/>
        <w:jc w:val="both"/>
        <w:rPr>
          <w:rFonts w:asciiTheme="minorHAnsi" w:hAnsiTheme="minorHAnsi" w:cstheme="minorHAnsi"/>
          <w:sz w:val="24"/>
          <w:szCs w:val="24"/>
        </w:rPr>
      </w:pPr>
      <w:bookmarkStart w:name="_GoBack" w:id="1"/>
      <w:r w:rsidRPr="00C26405">
        <w:rPr>
          <w:rFonts w:asciiTheme="minorHAnsi" w:hAnsiTheme="minorHAnsi" w:cstheme="minorHAnsi"/>
          <w:sz w:val="24"/>
          <w:szCs w:val="24"/>
        </w:rPr>
        <w:t>None.</w:t>
      </w:r>
    </w:p>
    <w:bookmarkEnd w:id="1"/>
    <w:p w:rsidRPr="000C7402" w:rsidR="00532F17" w:rsidP="00F268A4" w:rsidRDefault="00532F17" w14:paraId="2C9571F6" w14:textId="77777777">
      <w:pPr>
        <w:tabs>
          <w:tab w:val="left" w:pos="-734"/>
          <w:tab w:val="left" w:pos="544"/>
          <w:tab w:val="left" w:pos="814"/>
        </w:tabs>
        <w:ind w:left="562" w:hanging="562"/>
        <w:jc w:val="both"/>
        <w:rPr>
          <w:sz w:val="36"/>
          <w:szCs w:val="24"/>
        </w:rPr>
      </w:pPr>
    </w:p>
    <w:p w:rsidR="008A7A39" w:rsidRDefault="008A7A39" w14:paraId="0DA49DBD" w14:textId="77777777">
      <w:pPr>
        <w:widowControl/>
        <w:rPr>
          <w:rFonts w:asciiTheme="minorHAnsi" w:hAnsiTheme="minorHAnsi"/>
          <w:b/>
          <w:sz w:val="32"/>
          <w:szCs w:val="24"/>
        </w:rPr>
      </w:pPr>
      <w:r>
        <w:rPr>
          <w:rFonts w:asciiTheme="minorHAnsi" w:hAnsiTheme="minorHAnsi"/>
          <w:b/>
          <w:sz w:val="32"/>
          <w:szCs w:val="24"/>
        </w:rPr>
        <w:br w:type="page"/>
      </w:r>
    </w:p>
    <w:p w:rsidRPr="000C7402" w:rsidR="00170EE7" w:rsidP="00F268A4" w:rsidRDefault="009B5D1B" w14:paraId="7C41C613" w14:textId="71C42AA3">
      <w:pPr>
        <w:tabs>
          <w:tab w:val="left" w:pos="918"/>
          <w:tab w:val="left" w:pos="1188"/>
        </w:tabs>
        <w:jc w:val="both"/>
        <w:rPr>
          <w:rFonts w:asciiTheme="minorHAnsi" w:hAnsiTheme="minorHAnsi"/>
          <w:b/>
          <w:sz w:val="32"/>
          <w:szCs w:val="24"/>
        </w:rPr>
      </w:pPr>
      <w:r w:rsidRPr="009B5D1B">
        <w:rPr>
          <w:rFonts w:asciiTheme="minorHAnsi" w:hAnsiTheme="minorHAnsi"/>
          <w:b/>
          <w:sz w:val="32"/>
          <w:szCs w:val="24"/>
        </w:rPr>
        <w:lastRenderedPageBreak/>
        <w:t xml:space="preserve">B.  Collection of Information Employing Statistical Methods </w:t>
      </w:r>
    </w:p>
    <w:p w:rsidR="00BD6CD1" w:rsidP="00F268A4" w:rsidRDefault="00BD6CD1" w14:paraId="0258D3B2" w14:textId="77777777">
      <w:pPr>
        <w:tabs>
          <w:tab w:val="left" w:pos="918"/>
          <w:tab w:val="left" w:pos="1188"/>
        </w:tabs>
        <w:jc w:val="both"/>
        <w:rPr>
          <w:b/>
          <w:szCs w:val="24"/>
        </w:rPr>
      </w:pPr>
    </w:p>
    <w:p w:rsidRPr="00CE21D6" w:rsidR="00CE21D6" w:rsidP="00BF44CC" w:rsidRDefault="00CE21D6" w14:paraId="2AE52D94" w14:textId="557A090F">
      <w:pPr>
        <w:tabs>
          <w:tab w:val="left" w:pos="918"/>
          <w:tab w:val="left" w:pos="1188"/>
        </w:tabs>
        <w:jc w:val="both"/>
        <w:rPr>
          <w:rFonts w:asciiTheme="minorHAnsi" w:hAnsiTheme="minorHAnsi"/>
          <w:sz w:val="22"/>
          <w:szCs w:val="22"/>
        </w:rPr>
      </w:pPr>
      <w:r>
        <w:rPr>
          <w:rFonts w:asciiTheme="minorHAnsi" w:hAnsiTheme="minorHAnsi"/>
          <w:sz w:val="22"/>
          <w:szCs w:val="22"/>
        </w:rPr>
        <w:t>S</w:t>
      </w:r>
      <w:r w:rsidRPr="00CE21D6">
        <w:rPr>
          <w:rFonts w:asciiTheme="minorHAnsi" w:hAnsiTheme="minorHAnsi"/>
          <w:sz w:val="22"/>
          <w:szCs w:val="22"/>
        </w:rPr>
        <w:t>tatistical methods</w:t>
      </w:r>
      <w:r w:rsidRPr="00EF48C5" w:rsidR="00EE4CBA">
        <w:rPr>
          <w:rFonts w:asciiTheme="minorHAnsi" w:hAnsiTheme="minorHAnsi"/>
          <w:spacing w:val="-4"/>
          <w:sz w:val="22"/>
        </w:rPr>
        <w:t xml:space="preserve"> are </w:t>
      </w:r>
      <w:r w:rsidRPr="00CE21D6">
        <w:rPr>
          <w:rFonts w:asciiTheme="minorHAnsi" w:hAnsiTheme="minorHAnsi"/>
          <w:sz w:val="22"/>
          <w:szCs w:val="22"/>
        </w:rPr>
        <w:t>not employed</w:t>
      </w:r>
      <w:r>
        <w:rPr>
          <w:rFonts w:asciiTheme="minorHAnsi" w:hAnsiTheme="minorHAnsi"/>
          <w:sz w:val="22"/>
          <w:szCs w:val="22"/>
        </w:rPr>
        <w:t xml:space="preserve"> for collecting, analyzing, reporting data from Module 1 (Grantee Survey)</w:t>
      </w:r>
      <w:r w:rsidRPr="00F268A4">
        <w:rPr>
          <w:rFonts w:asciiTheme="minorHAnsi" w:hAnsiTheme="minorHAnsi"/>
          <w:color w:val="000000"/>
          <w:sz w:val="22"/>
          <w:szCs w:val="22"/>
        </w:rPr>
        <w:t xml:space="preserve"> as only </w:t>
      </w:r>
      <w:r w:rsidRPr="00CE21D6">
        <w:rPr>
          <w:rFonts w:asciiTheme="minorHAnsi" w:hAnsiTheme="minorHAnsi"/>
          <w:color w:val="000000"/>
          <w:sz w:val="22"/>
          <w:szCs w:val="22"/>
        </w:rPr>
        <w:t>total amounts</w:t>
      </w:r>
      <w:r w:rsidRPr="00F268A4">
        <w:rPr>
          <w:rFonts w:asciiTheme="minorHAnsi" w:hAnsiTheme="minorHAnsi"/>
          <w:color w:val="000000"/>
          <w:sz w:val="22"/>
          <w:szCs w:val="22"/>
        </w:rPr>
        <w:t xml:space="preserve"> and percent distributions are</w:t>
      </w:r>
      <w:r>
        <w:rPr>
          <w:rFonts w:asciiTheme="minorHAnsi" w:hAnsiTheme="minorHAnsi"/>
          <w:color w:val="000000"/>
          <w:sz w:val="22"/>
          <w:szCs w:val="22"/>
        </w:rPr>
        <w:t xml:space="preserve"> reported or</w:t>
      </w:r>
      <w:r w:rsidRPr="00F268A4">
        <w:rPr>
          <w:rFonts w:asciiTheme="minorHAnsi" w:hAnsiTheme="minorHAnsi"/>
          <w:color w:val="000000"/>
          <w:sz w:val="22"/>
          <w:szCs w:val="22"/>
        </w:rPr>
        <w:t xml:space="preserve"> tabulated.</w:t>
      </w:r>
    </w:p>
    <w:p w:rsidRPr="00CE21D6" w:rsidR="00CE21D6" w:rsidRDefault="00CE21D6" w14:paraId="35125A16" w14:textId="77777777">
      <w:pPr>
        <w:tabs>
          <w:tab w:val="left" w:pos="918"/>
          <w:tab w:val="left" w:pos="1188"/>
        </w:tabs>
        <w:jc w:val="both"/>
        <w:rPr>
          <w:rFonts w:asciiTheme="minorHAnsi" w:hAnsiTheme="minorHAnsi"/>
          <w:sz w:val="22"/>
          <w:szCs w:val="22"/>
        </w:rPr>
      </w:pPr>
      <w:r w:rsidRPr="00CE21D6">
        <w:rPr>
          <w:rFonts w:asciiTheme="minorHAnsi" w:hAnsiTheme="minorHAnsi"/>
          <w:sz w:val="22"/>
          <w:szCs w:val="22"/>
        </w:rPr>
        <w:t xml:space="preserve"> </w:t>
      </w:r>
    </w:p>
    <w:p w:rsidR="00D7406D" w:rsidRDefault="009B5D1B" w14:paraId="334BD916" w14:textId="45BA6D6C">
      <w:pPr>
        <w:tabs>
          <w:tab w:val="left" w:pos="918"/>
          <w:tab w:val="left" w:pos="1188"/>
        </w:tabs>
        <w:jc w:val="both"/>
        <w:rPr>
          <w:rFonts w:asciiTheme="minorHAnsi" w:hAnsiTheme="minorHAnsi"/>
          <w:sz w:val="22"/>
          <w:szCs w:val="22"/>
        </w:rPr>
      </w:pPr>
      <w:r w:rsidRPr="009B5D1B">
        <w:rPr>
          <w:rFonts w:asciiTheme="minorHAnsi" w:hAnsiTheme="minorHAnsi"/>
          <w:sz w:val="22"/>
          <w:szCs w:val="22"/>
        </w:rPr>
        <w:t xml:space="preserve">One purpose of </w:t>
      </w:r>
      <w:r w:rsidR="00BF44CC">
        <w:rPr>
          <w:rFonts w:asciiTheme="minorHAnsi" w:hAnsiTheme="minorHAnsi"/>
          <w:sz w:val="22"/>
          <w:szCs w:val="22"/>
        </w:rPr>
        <w:t>Module 2 (LIHEAP Per</w:t>
      </w:r>
      <w:r w:rsidR="00CE21D6">
        <w:rPr>
          <w:rFonts w:asciiTheme="minorHAnsi" w:hAnsiTheme="minorHAnsi"/>
          <w:sz w:val="22"/>
          <w:szCs w:val="22"/>
        </w:rPr>
        <w:t>formance Measures)</w:t>
      </w:r>
      <w:r w:rsidRPr="009B5D1B">
        <w:rPr>
          <w:rFonts w:asciiTheme="minorHAnsi" w:hAnsiTheme="minorHAnsi"/>
          <w:sz w:val="22"/>
          <w:szCs w:val="22"/>
        </w:rPr>
        <w:t xml:space="preserve"> is to</w:t>
      </w:r>
      <w:r w:rsidR="00271BA5">
        <w:rPr>
          <w:rFonts w:asciiTheme="minorHAnsi" w:hAnsiTheme="minorHAnsi"/>
          <w:sz w:val="22"/>
          <w:szCs w:val="22"/>
        </w:rPr>
        <w:t xml:space="preserve"> calculate</w:t>
      </w:r>
      <w:r w:rsidRPr="009B5D1B">
        <w:rPr>
          <w:rFonts w:asciiTheme="minorHAnsi" w:hAnsiTheme="minorHAnsi"/>
          <w:sz w:val="22"/>
          <w:szCs w:val="22"/>
        </w:rPr>
        <w:t xml:space="preserve"> performance measures for individual states and the nation on the targeting of benefits and energy burden reduction to high burden households. As part of this process, grantees collect data on LIHEAP client energy expenditures from energy vendors. OCS worked with grantees to identify procedures that would furnish high quality data but also minimize reporting burden</w:t>
      </w:r>
      <w:r w:rsidR="00CE21D6">
        <w:rPr>
          <w:rFonts w:asciiTheme="minorHAnsi" w:hAnsiTheme="minorHAnsi"/>
          <w:sz w:val="22"/>
          <w:szCs w:val="22"/>
        </w:rPr>
        <w:t xml:space="preserve"> by targeting data collection to a subset of large energy vendors</w:t>
      </w:r>
      <w:r w:rsidRPr="009B5D1B">
        <w:rPr>
          <w:rFonts w:asciiTheme="minorHAnsi" w:hAnsiTheme="minorHAnsi"/>
          <w:sz w:val="22"/>
          <w:szCs w:val="22"/>
        </w:rPr>
        <w:t>.</w:t>
      </w:r>
      <w:r w:rsidR="00CE21D6">
        <w:rPr>
          <w:rFonts w:asciiTheme="minorHAnsi" w:hAnsiTheme="minorHAnsi"/>
          <w:sz w:val="22"/>
          <w:szCs w:val="22"/>
        </w:rPr>
        <w:t xml:space="preserve">  </w:t>
      </w:r>
      <w:r w:rsidRPr="009B5D1B">
        <w:rPr>
          <w:rFonts w:asciiTheme="minorHAnsi" w:hAnsiTheme="minorHAnsi"/>
          <w:sz w:val="22"/>
          <w:szCs w:val="22"/>
        </w:rPr>
        <w:t>Analysis of data</w:t>
      </w:r>
      <w:r w:rsidR="00CE21D6">
        <w:rPr>
          <w:rFonts w:asciiTheme="minorHAnsi" w:hAnsiTheme="minorHAnsi"/>
          <w:sz w:val="22"/>
          <w:szCs w:val="22"/>
        </w:rPr>
        <w:t xml:space="preserve"> by OCS</w:t>
      </w:r>
      <w:r w:rsidRPr="009B5D1B">
        <w:rPr>
          <w:rFonts w:asciiTheme="minorHAnsi" w:hAnsiTheme="minorHAnsi"/>
          <w:sz w:val="22"/>
          <w:szCs w:val="22"/>
        </w:rPr>
        <w:t xml:space="preserve"> </w:t>
      </w:r>
      <w:r w:rsidR="00CE21D6">
        <w:rPr>
          <w:rFonts w:asciiTheme="minorHAnsi" w:hAnsiTheme="minorHAnsi"/>
          <w:sz w:val="22"/>
          <w:szCs w:val="22"/>
        </w:rPr>
        <w:t>found</w:t>
      </w:r>
      <w:r w:rsidRPr="009B5D1B">
        <w:rPr>
          <w:rFonts w:asciiTheme="minorHAnsi" w:hAnsiTheme="minorHAnsi"/>
          <w:sz w:val="22"/>
          <w:szCs w:val="22"/>
        </w:rPr>
        <w:t xml:space="preserve"> that the client-level variability in energy burden is mainly a function of client income, client energy usage, and fuel price. Fuel price variability is mainly a function of the fuel used (e.g., electricity, natural gas, fuel oil, or propane) rather that the company that supplied the fuel. (Delivered fuel markets, in particular, are very price sensitive.) For that reason, restricting the </w:t>
      </w:r>
      <w:r w:rsidRPr="00EF48C5" w:rsidR="00EE4CBA">
        <w:rPr>
          <w:rFonts w:asciiTheme="minorHAnsi" w:hAnsiTheme="minorHAnsi"/>
          <w:spacing w:val="-4"/>
          <w:sz w:val="22"/>
        </w:rPr>
        <w:t xml:space="preserve">data collection </w:t>
      </w:r>
      <w:r w:rsidRPr="009B5D1B">
        <w:rPr>
          <w:rFonts w:asciiTheme="minorHAnsi" w:hAnsiTheme="minorHAnsi"/>
          <w:sz w:val="22"/>
          <w:szCs w:val="22"/>
        </w:rPr>
        <w:t>to a subset of companies does not affect the data quality. (Note: Average expenditures for clients served by the largest companies were within 1% of the value of average expenditures for clients served by all companies.)</w:t>
      </w:r>
    </w:p>
    <w:p w:rsidR="00D7406D" w:rsidRDefault="00D7406D" w14:paraId="7FD3F4FC" w14:textId="77777777">
      <w:pPr>
        <w:tabs>
          <w:tab w:val="left" w:pos="918"/>
          <w:tab w:val="left" w:pos="1188"/>
        </w:tabs>
        <w:jc w:val="both"/>
        <w:rPr>
          <w:rFonts w:asciiTheme="minorHAnsi" w:hAnsiTheme="minorHAnsi"/>
          <w:sz w:val="22"/>
          <w:szCs w:val="22"/>
        </w:rPr>
      </w:pPr>
    </w:p>
    <w:p w:rsidR="00D7406D" w:rsidRDefault="009B5D1B" w14:paraId="016A5924" w14:textId="77777777">
      <w:pPr>
        <w:tabs>
          <w:tab w:val="left" w:pos="918"/>
          <w:tab w:val="left" w:pos="1188"/>
        </w:tabs>
        <w:jc w:val="both"/>
        <w:rPr>
          <w:rFonts w:asciiTheme="minorHAnsi" w:hAnsiTheme="minorHAnsi"/>
          <w:sz w:val="22"/>
          <w:szCs w:val="22"/>
        </w:rPr>
      </w:pPr>
      <w:r w:rsidRPr="009B5D1B">
        <w:rPr>
          <w:rFonts w:asciiTheme="minorHAnsi" w:hAnsiTheme="minorHAnsi"/>
          <w:sz w:val="22"/>
          <w:szCs w:val="22"/>
        </w:rPr>
        <w:t>One reason to restrict the data collection to large companies is that those companies tend to high quality information systems and are more likely to have existing data exchange procedures with the grantee’s LIHEAP office and thereby can minimize reporting burden. Those grantees that request data from larger companies (including larger delivered fuel vendors) have found that automated procedures make reporting burden independent of sample size. For that reason, the vendors are able to report on all clients served by the program and thereby can furnish statistically robust data on the energy burden outcomes for clients.</w:t>
      </w:r>
    </w:p>
    <w:p w:rsidR="00D7406D" w:rsidRDefault="00D7406D" w14:paraId="67EA7BA3" w14:textId="77777777">
      <w:pPr>
        <w:tabs>
          <w:tab w:val="left" w:pos="918"/>
          <w:tab w:val="left" w:pos="1188"/>
        </w:tabs>
        <w:jc w:val="both"/>
        <w:rPr>
          <w:rFonts w:asciiTheme="minorHAnsi" w:hAnsiTheme="minorHAnsi"/>
          <w:sz w:val="22"/>
          <w:szCs w:val="22"/>
        </w:rPr>
      </w:pPr>
    </w:p>
    <w:p w:rsidR="00D7406D" w:rsidRDefault="009B5D1B" w14:paraId="299619F3" w14:textId="77777777">
      <w:pPr>
        <w:tabs>
          <w:tab w:val="left" w:pos="918"/>
          <w:tab w:val="left" w:pos="1188"/>
        </w:tabs>
        <w:jc w:val="both"/>
        <w:rPr>
          <w:rFonts w:asciiTheme="minorHAnsi" w:hAnsiTheme="minorHAnsi"/>
          <w:sz w:val="22"/>
          <w:szCs w:val="22"/>
        </w:rPr>
      </w:pPr>
      <w:r w:rsidRPr="009B5D1B">
        <w:rPr>
          <w:rFonts w:asciiTheme="minorHAnsi" w:hAnsiTheme="minorHAnsi"/>
          <w:sz w:val="22"/>
          <w:szCs w:val="22"/>
        </w:rPr>
        <w:t xml:space="preserve">For most grantees, the top 5 electric and gas companies serve 75% or more of LIHEAP clients using those fuels. For the small number of grantees that were reviewed by OCS, the top 10 fuel oil and LPG companies serve at least one-third of LIHEAP grantees using those fuels. For most grantees, those sample sizes are sufficient to furnish statistically robust estimates. </w:t>
      </w:r>
    </w:p>
    <w:p w:rsidR="00D7406D" w:rsidRDefault="00D7406D" w14:paraId="7E6E3645" w14:textId="77777777">
      <w:pPr>
        <w:tabs>
          <w:tab w:val="left" w:pos="918"/>
          <w:tab w:val="left" w:pos="1188"/>
        </w:tabs>
        <w:jc w:val="both"/>
        <w:rPr>
          <w:rFonts w:asciiTheme="minorHAnsi" w:hAnsiTheme="minorHAnsi"/>
          <w:sz w:val="22"/>
          <w:szCs w:val="22"/>
        </w:rPr>
      </w:pPr>
    </w:p>
    <w:p w:rsidR="00A03E76" w:rsidP="0070451D" w:rsidRDefault="009B5D1B" w14:paraId="652501B4" w14:textId="77777777">
      <w:pPr>
        <w:tabs>
          <w:tab w:val="left" w:pos="918"/>
          <w:tab w:val="left" w:pos="1188"/>
        </w:tabs>
        <w:jc w:val="both"/>
        <w:rPr>
          <w:rFonts w:asciiTheme="minorHAnsi" w:hAnsiTheme="minorHAnsi"/>
          <w:sz w:val="22"/>
          <w:szCs w:val="22"/>
        </w:rPr>
      </w:pPr>
      <w:r w:rsidRPr="009B5D1B">
        <w:rPr>
          <w:rFonts w:asciiTheme="minorHAnsi" w:hAnsiTheme="minorHAnsi"/>
          <w:sz w:val="22"/>
          <w:szCs w:val="22"/>
        </w:rPr>
        <w:t xml:space="preserve">In a few jurisdictions (e.g., Tennessee and Nebraska), the electricity and/or natural gas markets are not so concentrated. In those jurisdictions, a large number of companies might need to be included in the reporting requirements to furnish robust estimates. However, those are balanced out by some small states that have only one </w:t>
      </w:r>
    </w:p>
    <w:p w:rsidR="00C10010" w:rsidP="00A03E76" w:rsidRDefault="009B5D1B" w14:paraId="57BF5458" w14:textId="77777777">
      <w:pPr>
        <w:tabs>
          <w:tab w:val="left" w:pos="918"/>
          <w:tab w:val="left" w:pos="1188"/>
        </w:tabs>
        <w:rPr>
          <w:rFonts w:asciiTheme="minorHAnsi" w:hAnsiTheme="minorHAnsi"/>
          <w:sz w:val="22"/>
          <w:szCs w:val="22"/>
        </w:rPr>
        <w:sectPr w:rsidR="00C10010" w:rsidSect="00317F6B">
          <w:headerReference w:type="default" r:id="rId17"/>
          <w:footerReference w:type="default" r:id="rId18"/>
          <w:footerReference w:type="first" r:id="rId19"/>
          <w:pgSz w:w="12240" w:h="15840"/>
          <w:pgMar w:top="840" w:right="940" w:bottom="820" w:left="860" w:header="601" w:footer="629" w:gutter="0"/>
          <w:pgNumType w:start="1"/>
          <w:cols w:space="720"/>
          <w:titlePg/>
          <w:docGrid w:linePitch="326"/>
        </w:sectPr>
      </w:pPr>
      <w:r w:rsidRPr="009B5D1B">
        <w:rPr>
          <w:rFonts w:asciiTheme="minorHAnsi" w:hAnsiTheme="minorHAnsi"/>
          <w:sz w:val="22"/>
          <w:szCs w:val="22"/>
        </w:rPr>
        <w:t>or two major electric and/or natural gas utilities</w:t>
      </w:r>
      <w:r w:rsidR="00C10010">
        <w:rPr>
          <w:rFonts w:asciiTheme="minorHAnsi" w:hAnsiTheme="minorHAnsi"/>
          <w:sz w:val="22"/>
          <w:szCs w:val="22"/>
        </w:rPr>
        <w:t>.</w:t>
      </w:r>
    </w:p>
    <w:p w:rsidRPr="0070451D" w:rsidR="006208CC" w:rsidP="00587825" w:rsidRDefault="00C10010" w14:paraId="62139AC5" w14:textId="77777777">
      <w:pPr>
        <w:pStyle w:val="Heading1"/>
        <w:jc w:val="center"/>
      </w:pPr>
      <w:bookmarkStart w:name="_Attachment_1" w:id="2"/>
      <w:bookmarkEnd w:id="2"/>
      <w:r w:rsidRPr="0070451D">
        <w:lastRenderedPageBreak/>
        <w:t>Attachment 1</w:t>
      </w:r>
    </w:p>
    <w:p w:rsidR="00C10010" w:rsidRDefault="00C10010" w14:paraId="25255980" w14:textId="77777777">
      <w:pPr>
        <w:rPr>
          <w:rFonts w:asciiTheme="minorHAnsi" w:hAnsiTheme="minorHAnsi"/>
          <w:sz w:val="22"/>
          <w:szCs w:val="22"/>
        </w:rPr>
      </w:pPr>
    </w:p>
    <w:p w:rsidR="0070451D" w:rsidP="006208CC" w:rsidRDefault="0070451D" w14:paraId="24E7467D" w14:textId="77777777">
      <w:pPr>
        <w:pStyle w:val="HTMLPreformatted"/>
        <w:rPr>
          <w:rFonts w:ascii="Times New Roman" w:hAnsi="Times New Roman" w:cs="Times New Roman"/>
          <w:b/>
          <w:bCs/>
          <w:sz w:val="24"/>
          <w:szCs w:val="24"/>
        </w:rPr>
      </w:pPr>
    </w:p>
    <w:p w:rsidRPr="00FF1E0A" w:rsidR="006208CC" w:rsidP="0025062C" w:rsidRDefault="006208CC" w14:paraId="5787EBB8" w14:textId="77777777">
      <w:pPr>
        <w:pStyle w:val="HTMLPreformatted"/>
        <w:ind w:left="360"/>
        <w:rPr>
          <w:rFonts w:ascii="Times New Roman" w:hAnsi="Times New Roman" w:cs="Times New Roman"/>
          <w:sz w:val="24"/>
          <w:szCs w:val="24"/>
        </w:rPr>
      </w:pPr>
      <w:r w:rsidRPr="00FF1E0A">
        <w:rPr>
          <w:rFonts w:ascii="Times New Roman" w:hAnsi="Times New Roman" w:cs="Times New Roman"/>
          <w:b/>
          <w:bCs/>
          <w:sz w:val="24"/>
          <w:szCs w:val="24"/>
        </w:rPr>
        <w:t>Section 2610</w:t>
      </w:r>
      <w:r>
        <w:rPr>
          <w:rFonts w:ascii="Times New Roman" w:hAnsi="Times New Roman" w:cs="Times New Roman"/>
          <w:b/>
          <w:bCs/>
          <w:sz w:val="24"/>
          <w:szCs w:val="24"/>
        </w:rPr>
        <w:t xml:space="preserve"> (42 USC 8629)</w:t>
      </w:r>
      <w:r w:rsidRPr="00FF1E0A">
        <w:rPr>
          <w:rFonts w:ascii="Times New Roman" w:hAnsi="Times New Roman" w:cs="Times New Roman"/>
          <w:sz w:val="24"/>
          <w:szCs w:val="24"/>
        </w:rPr>
        <w:t>.</w:t>
      </w:r>
      <w:r w:rsidRPr="00FF1E0A">
        <w:rPr>
          <w:rFonts w:ascii="Times New Roman" w:hAnsi="Times New Roman" w:cs="Times New Roman"/>
          <w:sz w:val="24"/>
          <w:szCs w:val="24"/>
        </w:rPr>
        <w:br/>
      </w:r>
    </w:p>
    <w:p w:rsidRPr="00FF1E0A" w:rsidR="006208CC" w:rsidP="0025062C" w:rsidRDefault="006208CC" w14:paraId="146AE888" w14:textId="77777777">
      <w:pPr>
        <w:pStyle w:val="HTMLPreformatted"/>
        <w:ind w:left="360"/>
        <w:rPr>
          <w:rFonts w:ascii="Times New Roman" w:hAnsi="Times New Roman" w:cs="Times New Roman"/>
          <w:sz w:val="24"/>
          <w:szCs w:val="24"/>
        </w:rPr>
      </w:pPr>
      <w:r w:rsidRPr="00FF1E0A">
        <w:rPr>
          <w:rFonts w:ascii="Times New Roman" w:hAnsi="Times New Roman" w:cs="Times New Roman"/>
          <w:sz w:val="24"/>
          <w:szCs w:val="24"/>
        </w:rPr>
        <w:t xml:space="preserve">      (a) The Secretary, after consultation with the Secretary of Energy, </w:t>
      </w:r>
    </w:p>
    <w:p w:rsidRPr="00FF1E0A" w:rsidR="006208CC" w:rsidP="0025062C" w:rsidRDefault="006208CC" w14:paraId="64677874" w14:textId="77777777">
      <w:pPr>
        <w:pStyle w:val="HTMLPreformatted"/>
        <w:ind w:left="360"/>
        <w:rPr>
          <w:rFonts w:ascii="Times New Roman" w:hAnsi="Times New Roman" w:cs="Times New Roman"/>
          <w:sz w:val="24"/>
          <w:szCs w:val="24"/>
        </w:rPr>
      </w:pPr>
      <w:r w:rsidRPr="00FF1E0A">
        <w:rPr>
          <w:rFonts w:ascii="Times New Roman" w:hAnsi="Times New Roman" w:cs="Times New Roman"/>
          <w:sz w:val="24"/>
          <w:szCs w:val="24"/>
        </w:rPr>
        <w:t xml:space="preserve">shall provide for the collection of data, including-- </w:t>
      </w:r>
    </w:p>
    <w:p w:rsidRPr="00FF1E0A" w:rsidR="006208CC" w:rsidP="0025062C" w:rsidRDefault="006208CC" w14:paraId="7084EC2E" w14:textId="77777777">
      <w:pPr>
        <w:pStyle w:val="HTMLPreformatted"/>
        <w:ind w:left="360"/>
        <w:rPr>
          <w:rFonts w:ascii="Times New Roman" w:hAnsi="Times New Roman" w:cs="Times New Roman"/>
          <w:sz w:val="24"/>
          <w:szCs w:val="24"/>
        </w:rPr>
      </w:pPr>
      <w:r w:rsidRPr="00FF1E0A">
        <w:rPr>
          <w:rFonts w:ascii="Times New Roman" w:hAnsi="Times New Roman" w:cs="Times New Roman"/>
          <w:sz w:val="24"/>
          <w:szCs w:val="24"/>
        </w:rPr>
        <w:t xml:space="preserve">         (1) information concerning home energy consumption;  </w:t>
      </w:r>
    </w:p>
    <w:p w:rsidRPr="00FF1E0A" w:rsidR="006208CC" w:rsidP="0025062C" w:rsidRDefault="006208CC" w14:paraId="36658C16" w14:textId="77777777">
      <w:pPr>
        <w:pStyle w:val="HTMLPreformatted"/>
        <w:ind w:left="360"/>
        <w:rPr>
          <w:rFonts w:ascii="Times New Roman" w:hAnsi="Times New Roman" w:cs="Times New Roman"/>
          <w:sz w:val="24"/>
          <w:szCs w:val="24"/>
        </w:rPr>
      </w:pPr>
      <w:r w:rsidRPr="00FF1E0A">
        <w:rPr>
          <w:rFonts w:ascii="Times New Roman" w:hAnsi="Times New Roman" w:cs="Times New Roman"/>
          <w:sz w:val="24"/>
          <w:szCs w:val="24"/>
        </w:rPr>
        <w:t xml:space="preserve">         (2) the amount, cost and type of fuels used for households eligible </w:t>
      </w:r>
    </w:p>
    <w:p w:rsidRPr="00FF1E0A" w:rsidR="006208CC" w:rsidP="0025062C" w:rsidRDefault="006208CC" w14:paraId="70BBE6B4" w14:textId="77777777">
      <w:pPr>
        <w:pStyle w:val="HTMLPreformatted"/>
        <w:ind w:left="360"/>
        <w:rPr>
          <w:rFonts w:ascii="Times New Roman" w:hAnsi="Times New Roman" w:cs="Times New Roman"/>
          <w:sz w:val="24"/>
          <w:szCs w:val="24"/>
        </w:rPr>
      </w:pPr>
      <w:r w:rsidRPr="00FF1E0A">
        <w:rPr>
          <w:rFonts w:ascii="Times New Roman" w:hAnsi="Times New Roman" w:cs="Times New Roman"/>
          <w:sz w:val="24"/>
          <w:szCs w:val="24"/>
        </w:rPr>
        <w:t xml:space="preserve">      for assistance under this title; </w:t>
      </w:r>
    </w:p>
    <w:p w:rsidRPr="00FF1E0A" w:rsidR="006208CC" w:rsidP="0025062C" w:rsidRDefault="006208CC" w14:paraId="738E88DD" w14:textId="77777777">
      <w:pPr>
        <w:pStyle w:val="HTMLPreformatted"/>
        <w:ind w:left="360"/>
        <w:rPr>
          <w:rFonts w:ascii="Times New Roman" w:hAnsi="Times New Roman" w:cs="Times New Roman"/>
          <w:sz w:val="24"/>
          <w:szCs w:val="24"/>
        </w:rPr>
      </w:pPr>
      <w:r w:rsidRPr="00FF1E0A">
        <w:rPr>
          <w:rFonts w:ascii="Times New Roman" w:hAnsi="Times New Roman" w:cs="Times New Roman"/>
          <w:sz w:val="24"/>
          <w:szCs w:val="24"/>
        </w:rPr>
        <w:t xml:space="preserve">         (3) the type of fuel used by various income groups; </w:t>
      </w:r>
    </w:p>
    <w:p w:rsidRPr="00FF1E0A" w:rsidR="006208CC" w:rsidP="0025062C" w:rsidRDefault="006208CC" w14:paraId="3E2581B1" w14:textId="77777777">
      <w:pPr>
        <w:pStyle w:val="HTMLPreformatted"/>
        <w:ind w:left="360"/>
        <w:rPr>
          <w:rFonts w:ascii="Times New Roman" w:hAnsi="Times New Roman" w:cs="Times New Roman"/>
          <w:sz w:val="24"/>
          <w:szCs w:val="24"/>
        </w:rPr>
      </w:pPr>
      <w:r w:rsidRPr="00FF1E0A">
        <w:rPr>
          <w:rFonts w:ascii="Times New Roman" w:hAnsi="Times New Roman" w:cs="Times New Roman"/>
          <w:sz w:val="24"/>
          <w:szCs w:val="24"/>
        </w:rPr>
        <w:t xml:space="preserve">         (4) the number and income levels of households assisted by this </w:t>
      </w:r>
    </w:p>
    <w:p w:rsidRPr="00FF1E0A" w:rsidR="006208CC" w:rsidP="0025062C" w:rsidRDefault="006208CC" w14:paraId="3FED436F" w14:textId="77777777">
      <w:pPr>
        <w:pStyle w:val="HTMLPreformatted"/>
        <w:ind w:left="360"/>
        <w:rPr>
          <w:rFonts w:ascii="Times New Roman" w:hAnsi="Times New Roman" w:cs="Times New Roman"/>
          <w:sz w:val="24"/>
          <w:szCs w:val="24"/>
        </w:rPr>
      </w:pPr>
      <w:r w:rsidRPr="00FF1E0A">
        <w:rPr>
          <w:rFonts w:ascii="Times New Roman" w:hAnsi="Times New Roman" w:cs="Times New Roman"/>
          <w:sz w:val="24"/>
          <w:szCs w:val="24"/>
        </w:rPr>
        <w:t xml:space="preserve">      title; </w:t>
      </w:r>
    </w:p>
    <w:p w:rsidRPr="00FF1E0A" w:rsidR="006208CC" w:rsidP="0025062C" w:rsidRDefault="006208CC" w14:paraId="0C40D4E4" w14:textId="77777777">
      <w:pPr>
        <w:pStyle w:val="HTMLPreformatted"/>
        <w:ind w:left="360"/>
        <w:rPr>
          <w:rFonts w:ascii="Times New Roman" w:hAnsi="Times New Roman" w:cs="Times New Roman"/>
          <w:sz w:val="24"/>
          <w:szCs w:val="24"/>
        </w:rPr>
      </w:pPr>
      <w:r w:rsidRPr="00FF1E0A">
        <w:rPr>
          <w:rFonts w:ascii="Times New Roman" w:hAnsi="Times New Roman" w:cs="Times New Roman"/>
          <w:sz w:val="24"/>
          <w:szCs w:val="24"/>
        </w:rPr>
        <w:t xml:space="preserve">         (5) the number of households which received such assistance and </w:t>
      </w:r>
    </w:p>
    <w:p w:rsidRPr="00FF1E0A" w:rsidR="006208CC" w:rsidP="0025062C" w:rsidRDefault="006208CC" w14:paraId="2E33E0F5" w14:textId="77777777">
      <w:pPr>
        <w:pStyle w:val="HTMLPreformatted"/>
        <w:ind w:left="360"/>
        <w:rPr>
          <w:rFonts w:ascii="Times New Roman" w:hAnsi="Times New Roman" w:cs="Times New Roman"/>
          <w:sz w:val="24"/>
          <w:szCs w:val="24"/>
        </w:rPr>
      </w:pPr>
      <w:r w:rsidRPr="00FF1E0A">
        <w:rPr>
          <w:rFonts w:ascii="Times New Roman" w:hAnsi="Times New Roman" w:cs="Times New Roman"/>
          <w:sz w:val="24"/>
          <w:szCs w:val="24"/>
        </w:rPr>
        <w:t xml:space="preserve">      include one or more individuals who are 60 years or older or disabled </w:t>
      </w:r>
    </w:p>
    <w:p w:rsidRPr="00FF1E0A" w:rsidR="006208CC" w:rsidP="0025062C" w:rsidRDefault="006208CC" w14:paraId="1749DE57" w14:textId="77777777">
      <w:pPr>
        <w:pStyle w:val="HTMLPreformatted"/>
        <w:ind w:left="360"/>
        <w:rPr>
          <w:rFonts w:ascii="Times New Roman" w:hAnsi="Times New Roman" w:cs="Times New Roman"/>
          <w:sz w:val="24"/>
          <w:szCs w:val="24"/>
        </w:rPr>
      </w:pPr>
      <w:r w:rsidRPr="00FF1E0A">
        <w:rPr>
          <w:rFonts w:ascii="Times New Roman" w:hAnsi="Times New Roman" w:cs="Times New Roman"/>
          <w:sz w:val="24"/>
          <w:szCs w:val="24"/>
        </w:rPr>
        <w:t xml:space="preserve">      or include young children; and  </w:t>
      </w:r>
    </w:p>
    <w:p w:rsidRPr="00FF1E0A" w:rsidR="006208CC" w:rsidP="0025062C" w:rsidRDefault="006208CC" w14:paraId="07E36016" w14:textId="77777777">
      <w:pPr>
        <w:pStyle w:val="HTMLPreformatted"/>
        <w:ind w:left="360"/>
        <w:rPr>
          <w:rFonts w:ascii="Times New Roman" w:hAnsi="Times New Roman" w:cs="Times New Roman"/>
          <w:sz w:val="24"/>
          <w:szCs w:val="24"/>
        </w:rPr>
      </w:pPr>
      <w:r w:rsidRPr="00FF1E0A">
        <w:rPr>
          <w:rFonts w:ascii="Times New Roman" w:hAnsi="Times New Roman" w:cs="Times New Roman"/>
          <w:sz w:val="24"/>
          <w:szCs w:val="24"/>
        </w:rPr>
        <w:t xml:space="preserve">         (6) any other information which the Secretary determines to be </w:t>
      </w:r>
    </w:p>
    <w:p w:rsidRPr="00FF1E0A" w:rsidR="006208CC" w:rsidP="0025062C" w:rsidRDefault="006208CC" w14:paraId="38E9F379" w14:textId="77777777">
      <w:pPr>
        <w:pStyle w:val="HTMLPreformatted"/>
        <w:ind w:left="360"/>
        <w:rPr>
          <w:rFonts w:ascii="Times New Roman" w:hAnsi="Times New Roman" w:cs="Times New Roman"/>
          <w:sz w:val="24"/>
          <w:szCs w:val="24"/>
        </w:rPr>
      </w:pPr>
      <w:r w:rsidRPr="00FF1E0A">
        <w:rPr>
          <w:rFonts w:ascii="Times New Roman" w:hAnsi="Times New Roman" w:cs="Times New Roman"/>
          <w:sz w:val="24"/>
          <w:szCs w:val="24"/>
        </w:rPr>
        <w:t xml:space="preserve">      reasonably necessary to carry out the provisions of this title.  </w:t>
      </w:r>
    </w:p>
    <w:p w:rsidRPr="00FF1E0A" w:rsidR="006208CC" w:rsidP="0025062C" w:rsidRDefault="006208CC" w14:paraId="022E4DBD" w14:textId="77777777">
      <w:pPr>
        <w:pStyle w:val="HTMLPreformatted"/>
        <w:ind w:left="360"/>
        <w:rPr>
          <w:rFonts w:ascii="Times New Roman" w:hAnsi="Times New Roman" w:cs="Times New Roman"/>
          <w:sz w:val="24"/>
          <w:szCs w:val="24"/>
        </w:rPr>
      </w:pPr>
      <w:r w:rsidRPr="00FF1E0A">
        <w:rPr>
          <w:rFonts w:ascii="Times New Roman" w:hAnsi="Times New Roman" w:cs="Times New Roman"/>
          <w:sz w:val="24"/>
          <w:szCs w:val="24"/>
        </w:rPr>
        <w:t xml:space="preserve">Nothing in this subsection may be construed to require the Secretary to </w:t>
      </w:r>
    </w:p>
    <w:p w:rsidRPr="00FF1E0A" w:rsidR="006208CC" w:rsidP="0025062C" w:rsidRDefault="006208CC" w14:paraId="45690AE6" w14:textId="77777777">
      <w:pPr>
        <w:pStyle w:val="HTMLPreformatted"/>
        <w:ind w:left="360"/>
        <w:rPr>
          <w:rFonts w:ascii="Times New Roman" w:hAnsi="Times New Roman" w:cs="Times New Roman"/>
          <w:sz w:val="24"/>
          <w:szCs w:val="24"/>
        </w:rPr>
      </w:pPr>
      <w:r w:rsidRPr="00FF1E0A">
        <w:rPr>
          <w:rFonts w:ascii="Times New Roman" w:hAnsi="Times New Roman" w:cs="Times New Roman"/>
          <w:sz w:val="24"/>
          <w:szCs w:val="24"/>
        </w:rPr>
        <w:t xml:space="preserve">collect data which has been collected and made available to the Secretary by </w:t>
      </w:r>
    </w:p>
    <w:p w:rsidRPr="00FF1E0A" w:rsidR="006208CC" w:rsidP="0025062C" w:rsidRDefault="006208CC" w14:paraId="69D3FF15" w14:textId="77777777">
      <w:pPr>
        <w:pStyle w:val="HTMLPreformatted"/>
        <w:ind w:left="360"/>
        <w:rPr>
          <w:rFonts w:ascii="Times New Roman" w:hAnsi="Times New Roman" w:cs="Times New Roman"/>
          <w:sz w:val="24"/>
          <w:szCs w:val="24"/>
        </w:rPr>
      </w:pPr>
      <w:r w:rsidRPr="00FF1E0A">
        <w:rPr>
          <w:rFonts w:ascii="Times New Roman" w:hAnsi="Times New Roman" w:cs="Times New Roman"/>
          <w:sz w:val="24"/>
          <w:szCs w:val="24"/>
        </w:rPr>
        <w:t xml:space="preserve">any other agency of the Federal Government. </w:t>
      </w:r>
    </w:p>
    <w:p w:rsidRPr="00FF1E0A" w:rsidR="006208CC" w:rsidP="0025062C" w:rsidRDefault="006208CC" w14:paraId="04EDBE32" w14:textId="77777777">
      <w:pPr>
        <w:pStyle w:val="HTMLPreformatted"/>
        <w:ind w:left="360"/>
        <w:rPr>
          <w:rFonts w:ascii="Times New Roman" w:hAnsi="Times New Roman" w:cs="Times New Roman"/>
          <w:sz w:val="24"/>
          <w:szCs w:val="24"/>
        </w:rPr>
      </w:pPr>
    </w:p>
    <w:p w:rsidRPr="00FF1E0A" w:rsidR="006208CC" w:rsidP="0025062C" w:rsidRDefault="006208CC" w14:paraId="2FA6376B" w14:textId="77777777">
      <w:pPr>
        <w:pStyle w:val="HTMLPreformatted"/>
        <w:ind w:left="360"/>
        <w:rPr>
          <w:rFonts w:ascii="Times New Roman" w:hAnsi="Times New Roman" w:cs="Times New Roman"/>
          <w:sz w:val="24"/>
          <w:szCs w:val="24"/>
        </w:rPr>
      </w:pPr>
      <w:r w:rsidRPr="00FF1E0A">
        <w:rPr>
          <w:rFonts w:ascii="Times New Roman" w:hAnsi="Times New Roman" w:cs="Times New Roman"/>
          <w:sz w:val="24"/>
          <w:szCs w:val="24"/>
        </w:rPr>
        <w:t xml:space="preserve">      (b) The Secretary shall, no later than June 30 of each fiscal year, </w:t>
      </w:r>
    </w:p>
    <w:p w:rsidRPr="00FF1E0A" w:rsidR="006208CC" w:rsidP="0025062C" w:rsidRDefault="006208CC" w14:paraId="16A8C0A4" w14:textId="77777777">
      <w:pPr>
        <w:pStyle w:val="HTMLPreformatted"/>
        <w:ind w:left="360"/>
        <w:rPr>
          <w:rFonts w:ascii="Times New Roman" w:hAnsi="Times New Roman" w:cs="Times New Roman"/>
          <w:sz w:val="24"/>
          <w:szCs w:val="24"/>
        </w:rPr>
      </w:pPr>
      <w:r w:rsidRPr="00FF1E0A">
        <w:rPr>
          <w:rFonts w:ascii="Times New Roman" w:hAnsi="Times New Roman" w:cs="Times New Roman"/>
          <w:sz w:val="24"/>
          <w:szCs w:val="24"/>
        </w:rPr>
        <w:t xml:space="preserve">submit a report to the Congress containing a detailed compilation of the </w:t>
      </w:r>
    </w:p>
    <w:p w:rsidRPr="00FF1E0A" w:rsidR="006208CC" w:rsidP="0025062C" w:rsidRDefault="006208CC" w14:paraId="62F312F7" w14:textId="77777777">
      <w:pPr>
        <w:pStyle w:val="HTMLPreformatted"/>
        <w:ind w:left="360"/>
        <w:rPr>
          <w:rFonts w:ascii="Times New Roman" w:hAnsi="Times New Roman" w:cs="Times New Roman"/>
          <w:sz w:val="24"/>
          <w:szCs w:val="24"/>
        </w:rPr>
      </w:pPr>
      <w:r w:rsidRPr="00FF1E0A">
        <w:rPr>
          <w:rFonts w:ascii="Times New Roman" w:hAnsi="Times New Roman" w:cs="Times New Roman"/>
          <w:sz w:val="24"/>
          <w:szCs w:val="24"/>
        </w:rPr>
        <w:t xml:space="preserve">data under subsection (a) with respect to the prior fiscal year, and a </w:t>
      </w:r>
    </w:p>
    <w:p w:rsidRPr="00FF1E0A" w:rsidR="006208CC" w:rsidP="0025062C" w:rsidRDefault="006208CC" w14:paraId="222B8132" w14:textId="77777777">
      <w:pPr>
        <w:pStyle w:val="HTMLPreformatted"/>
        <w:ind w:left="360"/>
        <w:rPr>
          <w:rFonts w:ascii="Times New Roman" w:hAnsi="Times New Roman" w:cs="Times New Roman"/>
          <w:sz w:val="24"/>
          <w:szCs w:val="24"/>
        </w:rPr>
      </w:pPr>
      <w:r w:rsidRPr="00FF1E0A">
        <w:rPr>
          <w:rFonts w:ascii="Times New Roman" w:hAnsi="Times New Roman" w:cs="Times New Roman"/>
          <w:sz w:val="24"/>
          <w:szCs w:val="24"/>
        </w:rPr>
        <w:t xml:space="preserve">report that describes for the prior fiscal year-- </w:t>
      </w:r>
    </w:p>
    <w:p w:rsidRPr="00FF1E0A" w:rsidR="006208CC" w:rsidP="0025062C" w:rsidRDefault="006208CC" w14:paraId="7A08317A" w14:textId="77777777">
      <w:pPr>
        <w:pStyle w:val="HTMLPreformatted"/>
        <w:ind w:left="360"/>
        <w:rPr>
          <w:rFonts w:ascii="Times New Roman" w:hAnsi="Times New Roman" w:cs="Times New Roman"/>
          <w:sz w:val="24"/>
          <w:szCs w:val="24"/>
        </w:rPr>
      </w:pPr>
      <w:r w:rsidRPr="00FF1E0A">
        <w:rPr>
          <w:rFonts w:ascii="Times New Roman" w:hAnsi="Times New Roman" w:cs="Times New Roman"/>
          <w:sz w:val="24"/>
          <w:szCs w:val="24"/>
        </w:rPr>
        <w:t xml:space="preserve">         (1) the manner in which States carry out the requirements of </w:t>
      </w:r>
    </w:p>
    <w:p w:rsidRPr="00FF1E0A" w:rsidR="006208CC" w:rsidP="0025062C" w:rsidRDefault="006208CC" w14:paraId="275F1F1E" w14:textId="77777777">
      <w:pPr>
        <w:pStyle w:val="HTMLPreformatted"/>
        <w:ind w:left="360"/>
        <w:rPr>
          <w:rFonts w:ascii="Times New Roman" w:hAnsi="Times New Roman" w:cs="Times New Roman"/>
          <w:sz w:val="24"/>
          <w:szCs w:val="24"/>
        </w:rPr>
      </w:pPr>
      <w:r w:rsidRPr="00FF1E0A">
        <w:rPr>
          <w:rFonts w:ascii="Times New Roman" w:hAnsi="Times New Roman" w:cs="Times New Roman"/>
          <w:sz w:val="24"/>
          <w:szCs w:val="24"/>
        </w:rPr>
        <w:t xml:space="preserve">      clauses (2), (5), (8), and (15) of section 2605(b); and  </w:t>
      </w:r>
    </w:p>
    <w:p w:rsidRPr="00FF1E0A" w:rsidR="006208CC" w:rsidP="0025062C" w:rsidRDefault="006208CC" w14:paraId="073976E0" w14:textId="77777777">
      <w:pPr>
        <w:pStyle w:val="HTMLPreformatted"/>
        <w:ind w:left="360"/>
        <w:rPr>
          <w:rFonts w:ascii="Times New Roman" w:hAnsi="Times New Roman" w:cs="Times New Roman"/>
          <w:sz w:val="24"/>
          <w:szCs w:val="24"/>
        </w:rPr>
      </w:pPr>
      <w:r w:rsidRPr="00FF1E0A">
        <w:rPr>
          <w:rFonts w:ascii="Times New Roman" w:hAnsi="Times New Roman" w:cs="Times New Roman"/>
          <w:sz w:val="24"/>
          <w:szCs w:val="24"/>
        </w:rPr>
        <w:t xml:space="preserve">         (2) the impact of each State's program on recipient and eligible </w:t>
      </w:r>
    </w:p>
    <w:p w:rsidRPr="00FF1E0A" w:rsidR="006208CC" w:rsidP="0025062C" w:rsidRDefault="006208CC" w14:paraId="429232F6" w14:textId="77777777">
      <w:pPr>
        <w:pStyle w:val="HTMLPreformatted"/>
        <w:ind w:left="360"/>
        <w:rPr>
          <w:rFonts w:ascii="Times New Roman" w:hAnsi="Times New Roman" w:cs="Times New Roman"/>
          <w:sz w:val="24"/>
          <w:szCs w:val="24"/>
        </w:rPr>
      </w:pPr>
      <w:r w:rsidRPr="00FF1E0A">
        <w:rPr>
          <w:rFonts w:ascii="Times New Roman" w:hAnsi="Times New Roman" w:cs="Times New Roman"/>
          <w:sz w:val="24"/>
          <w:szCs w:val="24"/>
        </w:rPr>
        <w:t xml:space="preserve">      households. </w:t>
      </w:r>
    </w:p>
    <w:p w:rsidRPr="00FF1E0A" w:rsidR="006208CC" w:rsidP="0025062C" w:rsidRDefault="006208CC" w14:paraId="7DB9DB0F" w14:textId="77777777">
      <w:pPr>
        <w:pStyle w:val="HTMLPreformatted"/>
        <w:ind w:left="360"/>
        <w:rPr>
          <w:rFonts w:ascii="Times New Roman" w:hAnsi="Times New Roman" w:cs="Times New Roman"/>
          <w:sz w:val="24"/>
          <w:szCs w:val="24"/>
        </w:rPr>
      </w:pPr>
    </w:p>
    <w:p w:rsidRPr="00FF1E0A" w:rsidR="006208CC" w:rsidP="0025062C" w:rsidRDefault="006208CC" w14:paraId="5E15CA87" w14:textId="77777777">
      <w:pPr>
        <w:pStyle w:val="HTMLPreformatted"/>
        <w:ind w:left="360"/>
        <w:rPr>
          <w:rFonts w:ascii="Times New Roman" w:hAnsi="Times New Roman" w:cs="Times New Roman"/>
          <w:sz w:val="24"/>
          <w:szCs w:val="24"/>
        </w:rPr>
      </w:pPr>
      <w:r w:rsidRPr="00FF1E0A">
        <w:rPr>
          <w:rFonts w:ascii="Times New Roman" w:hAnsi="Times New Roman" w:cs="Times New Roman"/>
          <w:sz w:val="24"/>
          <w:szCs w:val="24"/>
        </w:rPr>
        <w:t xml:space="preserve">(42 U.S.C. 8629) </w:t>
      </w:r>
    </w:p>
    <w:p w:rsidRPr="00FF1E0A" w:rsidR="006208CC" w:rsidP="006208CC" w:rsidRDefault="006208CC" w14:paraId="05079575" w14:textId="77777777"/>
    <w:p w:rsidR="00C10010" w:rsidRDefault="00C10010" w14:paraId="0EFD5903" w14:textId="77777777">
      <w:pPr>
        <w:rPr>
          <w:rFonts w:asciiTheme="minorHAnsi" w:hAnsiTheme="minorHAnsi"/>
          <w:sz w:val="22"/>
          <w:szCs w:val="22"/>
        </w:rPr>
      </w:pPr>
      <w:r>
        <w:rPr>
          <w:rFonts w:asciiTheme="minorHAnsi" w:hAnsiTheme="minorHAnsi"/>
          <w:sz w:val="22"/>
          <w:szCs w:val="22"/>
        </w:rPr>
        <w:br w:type="page"/>
      </w:r>
    </w:p>
    <w:p w:rsidRPr="00EC776E" w:rsidR="0070451D" w:rsidP="00587825" w:rsidRDefault="0070451D" w14:paraId="284C81B6" w14:textId="77777777">
      <w:pPr>
        <w:pStyle w:val="Heading1"/>
        <w:jc w:val="center"/>
      </w:pPr>
      <w:bookmarkStart w:name="_Attachment_2" w:id="3"/>
      <w:bookmarkEnd w:id="3"/>
      <w:r w:rsidRPr="00EC776E">
        <w:lastRenderedPageBreak/>
        <w:t>Attachment 2</w:t>
      </w:r>
    </w:p>
    <w:p w:rsidR="0070451D" w:rsidRDefault="0070451D" w14:paraId="1A18F0BF" w14:textId="77777777">
      <w:pPr>
        <w:rPr>
          <w:rFonts w:asciiTheme="minorHAnsi" w:hAnsiTheme="minorHAnsi"/>
          <w:sz w:val="22"/>
          <w:szCs w:val="22"/>
        </w:rPr>
      </w:pPr>
    </w:p>
    <w:p w:rsidR="0070451D" w:rsidRDefault="0070451D" w14:paraId="49D889C1" w14:textId="77777777">
      <w:pPr>
        <w:rPr>
          <w:rFonts w:asciiTheme="minorHAnsi" w:hAnsiTheme="minorHAnsi"/>
          <w:sz w:val="22"/>
          <w:szCs w:val="22"/>
        </w:rPr>
      </w:pPr>
    </w:p>
    <w:p w:rsidR="0025062C" w:rsidP="0025062C" w:rsidRDefault="0025062C" w14:paraId="13299E10" w14:textId="77777777">
      <w:pPr>
        <w:jc w:val="center"/>
        <w:rPr>
          <w:rFonts w:asciiTheme="minorHAnsi" w:hAnsiTheme="minorHAnsi"/>
          <w:sz w:val="22"/>
          <w:szCs w:val="22"/>
        </w:rPr>
      </w:pPr>
      <w:r>
        <w:rPr>
          <w:rFonts w:asciiTheme="minorHAnsi" w:hAnsiTheme="minorHAnsi"/>
          <w:noProof/>
          <w:sz w:val="22"/>
          <w:szCs w:val="22"/>
        </w:rPr>
        <w:drawing>
          <wp:inline distT="0" distB="0" distL="0" distR="0" wp14:anchorId="0DA1AAFF" wp14:editId="0E29AC1E">
            <wp:extent cx="6583680" cy="4937760"/>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583680" cy="4937760"/>
                    </a:xfrm>
                    <a:prstGeom prst="rect">
                      <a:avLst/>
                    </a:prstGeom>
                    <a:noFill/>
                    <a:ln>
                      <a:noFill/>
                    </a:ln>
                  </pic:spPr>
                </pic:pic>
              </a:graphicData>
            </a:graphic>
          </wp:inline>
        </w:drawing>
      </w:r>
    </w:p>
    <w:p w:rsidR="0025062C" w:rsidRDefault="0025062C" w14:paraId="3EA18356" w14:textId="77777777">
      <w:pPr>
        <w:rPr>
          <w:rFonts w:asciiTheme="minorHAnsi" w:hAnsiTheme="minorHAnsi"/>
          <w:sz w:val="22"/>
          <w:szCs w:val="22"/>
        </w:rPr>
      </w:pPr>
    </w:p>
    <w:p w:rsidR="00A762DE" w:rsidP="0025062C" w:rsidRDefault="006208CC" w14:paraId="55384492" w14:textId="77777777">
      <w:pPr>
        <w:jc w:val="center"/>
        <w:rPr>
          <w:rFonts w:asciiTheme="minorHAnsi" w:hAnsiTheme="minorHAnsi"/>
          <w:sz w:val="22"/>
          <w:szCs w:val="22"/>
        </w:rPr>
      </w:pPr>
      <w:r>
        <w:rPr>
          <w:rFonts w:asciiTheme="minorHAnsi" w:hAnsiTheme="minorHAnsi"/>
          <w:sz w:val="22"/>
          <w:szCs w:val="22"/>
        </w:rPr>
        <w:br w:type="page"/>
      </w:r>
      <w:r w:rsidR="0025062C">
        <w:rPr>
          <w:rFonts w:asciiTheme="minorHAnsi" w:hAnsiTheme="minorHAnsi"/>
          <w:noProof/>
          <w:sz w:val="22"/>
          <w:szCs w:val="22"/>
        </w:rPr>
        <w:lastRenderedPageBreak/>
        <w:drawing>
          <wp:inline distT="0" distB="0" distL="0" distR="0" wp14:anchorId="6FBCA634" wp14:editId="334118A5">
            <wp:extent cx="6626225" cy="5083810"/>
            <wp:effectExtent l="0" t="0" r="3175"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626225" cy="5083810"/>
                    </a:xfrm>
                    <a:prstGeom prst="rect">
                      <a:avLst/>
                    </a:prstGeom>
                    <a:noFill/>
                    <a:ln>
                      <a:noFill/>
                    </a:ln>
                  </pic:spPr>
                </pic:pic>
              </a:graphicData>
            </a:graphic>
          </wp:inline>
        </w:drawing>
      </w:r>
    </w:p>
    <w:p w:rsidR="0025062C" w:rsidRDefault="0025062C" w14:paraId="6AAB7612" w14:textId="77777777">
      <w:pPr>
        <w:rPr>
          <w:rFonts w:asciiTheme="minorHAnsi" w:hAnsiTheme="minorHAnsi"/>
          <w:sz w:val="22"/>
          <w:szCs w:val="22"/>
        </w:rPr>
      </w:pPr>
    </w:p>
    <w:p w:rsidR="0025062C" w:rsidRDefault="0025062C" w14:paraId="4EDD72FF" w14:textId="77777777">
      <w:pPr>
        <w:rPr>
          <w:rFonts w:asciiTheme="minorHAnsi" w:hAnsiTheme="minorHAnsi"/>
          <w:sz w:val="22"/>
          <w:szCs w:val="22"/>
        </w:rPr>
      </w:pPr>
    </w:p>
    <w:p w:rsidR="0025062C" w:rsidP="0025062C" w:rsidRDefault="0025062C" w14:paraId="20916E0A" w14:textId="77777777">
      <w:pPr>
        <w:jc w:val="center"/>
        <w:rPr>
          <w:rFonts w:asciiTheme="minorHAnsi" w:hAnsiTheme="minorHAnsi"/>
          <w:sz w:val="22"/>
          <w:szCs w:val="22"/>
        </w:rPr>
      </w:pPr>
      <w:r>
        <w:rPr>
          <w:rFonts w:asciiTheme="minorHAnsi" w:hAnsiTheme="minorHAnsi"/>
          <w:noProof/>
          <w:sz w:val="22"/>
          <w:szCs w:val="22"/>
        </w:rPr>
        <w:lastRenderedPageBreak/>
        <w:drawing>
          <wp:inline distT="0" distB="0" distL="0" distR="0" wp14:anchorId="635B403D" wp14:editId="3EBC5D3F">
            <wp:extent cx="6626225" cy="5397500"/>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626225" cy="5397500"/>
                    </a:xfrm>
                    <a:prstGeom prst="rect">
                      <a:avLst/>
                    </a:prstGeom>
                    <a:noFill/>
                    <a:ln>
                      <a:noFill/>
                    </a:ln>
                  </pic:spPr>
                </pic:pic>
              </a:graphicData>
            </a:graphic>
          </wp:inline>
        </w:drawing>
      </w:r>
    </w:p>
    <w:p w:rsidR="0025062C" w:rsidRDefault="0025062C" w14:paraId="06374177" w14:textId="77777777">
      <w:pPr>
        <w:rPr>
          <w:rFonts w:asciiTheme="minorHAnsi" w:hAnsiTheme="minorHAnsi"/>
          <w:sz w:val="22"/>
          <w:szCs w:val="22"/>
        </w:rPr>
      </w:pPr>
    </w:p>
    <w:p w:rsidRPr="0025062C" w:rsidR="0025062C" w:rsidP="0025062C" w:rsidRDefault="0025062C" w14:paraId="10D71ED1" w14:textId="77777777">
      <w:pPr>
        <w:jc w:val="center"/>
        <w:rPr>
          <w:rFonts w:asciiTheme="minorHAnsi" w:hAnsiTheme="minorHAnsi"/>
          <w:sz w:val="22"/>
          <w:szCs w:val="22"/>
        </w:rPr>
      </w:pPr>
      <w:r>
        <w:rPr>
          <w:rFonts w:asciiTheme="minorHAnsi" w:hAnsiTheme="minorHAnsi"/>
          <w:noProof/>
          <w:sz w:val="22"/>
          <w:szCs w:val="22"/>
        </w:rPr>
        <w:lastRenderedPageBreak/>
        <w:drawing>
          <wp:inline distT="0" distB="0" distL="0" distR="0" wp14:anchorId="5B5201BE" wp14:editId="7419B747">
            <wp:extent cx="6619240" cy="38557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619240" cy="3855720"/>
                    </a:xfrm>
                    <a:prstGeom prst="rect">
                      <a:avLst/>
                    </a:prstGeom>
                    <a:noFill/>
                    <a:ln>
                      <a:noFill/>
                    </a:ln>
                  </pic:spPr>
                </pic:pic>
              </a:graphicData>
            </a:graphic>
          </wp:inline>
        </w:drawing>
      </w:r>
    </w:p>
    <w:p w:rsidRPr="0025062C" w:rsidR="00C10010" w:rsidP="00587825" w:rsidRDefault="00C10010" w14:paraId="27C5EE53" w14:textId="77777777">
      <w:pPr>
        <w:pStyle w:val="Heading1"/>
        <w:jc w:val="center"/>
      </w:pPr>
      <w:bookmarkStart w:name="_Attachment_3" w:id="4"/>
      <w:bookmarkEnd w:id="4"/>
      <w:r w:rsidRPr="0025062C">
        <w:t>Attachment 3</w:t>
      </w:r>
    </w:p>
    <w:p w:rsidR="0025062C" w:rsidP="0070451D" w:rsidRDefault="0025062C" w14:paraId="6F54BB0B" w14:textId="77777777">
      <w:pPr>
        <w:spacing w:before="45"/>
        <w:ind w:left="977"/>
        <w:jc w:val="center"/>
        <w:rPr>
          <w:rFonts w:asciiTheme="minorHAnsi" w:hAnsiTheme="minorHAnsi"/>
          <w:sz w:val="32"/>
        </w:rPr>
      </w:pPr>
    </w:p>
    <w:p w:rsidRPr="00A906F7" w:rsidR="0025062C" w:rsidP="00A906F7" w:rsidRDefault="00A906F7" w14:paraId="20988D7C" w14:textId="77777777">
      <w:pPr>
        <w:spacing w:before="45"/>
        <w:ind w:left="977"/>
        <w:rPr>
          <w:rFonts w:asciiTheme="minorHAnsi" w:hAnsiTheme="minorHAnsi"/>
        </w:rPr>
      </w:pPr>
      <w:r w:rsidRPr="00A906F7">
        <w:rPr>
          <w:rFonts w:asciiTheme="minorHAnsi" w:hAnsiTheme="minorHAnsi"/>
        </w:rPr>
        <w:t xml:space="preserve">See Section I of the 2014 Report to Congress, found here: </w:t>
      </w:r>
      <w:hyperlink w:history="1" r:id="rId24">
        <w:r w:rsidRPr="00A906F7">
          <w:rPr>
            <w:rStyle w:val="Hyperlink"/>
            <w:rFonts w:asciiTheme="minorHAnsi" w:hAnsiTheme="minorHAnsi"/>
          </w:rPr>
          <w:t>https://www.acf.hhs.gov/sites/default/files/ocs/fy14_liheap_rtc_final.pdf</w:t>
        </w:r>
      </w:hyperlink>
    </w:p>
    <w:p w:rsidRPr="00A906F7" w:rsidR="00A906F7" w:rsidP="00A906F7" w:rsidRDefault="00A906F7" w14:paraId="17788486" w14:textId="77777777">
      <w:pPr>
        <w:spacing w:before="45"/>
        <w:ind w:left="977"/>
        <w:rPr>
          <w:rFonts w:asciiTheme="minorHAnsi" w:hAnsiTheme="minorHAnsi"/>
        </w:rPr>
      </w:pPr>
    </w:p>
    <w:p w:rsidR="00A906F7" w:rsidRDefault="00A906F7" w14:paraId="0580BE2F" w14:textId="77777777">
      <w:pPr>
        <w:rPr>
          <w:rFonts w:asciiTheme="minorHAnsi" w:hAnsiTheme="minorHAnsi"/>
          <w:sz w:val="32"/>
        </w:rPr>
      </w:pPr>
      <w:r>
        <w:rPr>
          <w:rFonts w:asciiTheme="minorHAnsi" w:hAnsiTheme="minorHAnsi"/>
          <w:sz w:val="32"/>
        </w:rPr>
        <w:br w:type="page"/>
      </w:r>
    </w:p>
    <w:p w:rsidRPr="00A906F7" w:rsidR="0025062C" w:rsidP="00587825" w:rsidRDefault="00A906F7" w14:paraId="370CB8B6" w14:textId="77777777">
      <w:pPr>
        <w:pStyle w:val="Heading1"/>
        <w:jc w:val="center"/>
      </w:pPr>
      <w:bookmarkStart w:name="_Attachment_4" w:id="5"/>
      <w:bookmarkEnd w:id="5"/>
      <w:r w:rsidRPr="00A906F7">
        <w:lastRenderedPageBreak/>
        <w:t>Attachment 4</w:t>
      </w:r>
    </w:p>
    <w:p w:rsidRPr="00A906F7" w:rsidR="00A906F7" w:rsidP="00A906F7" w:rsidRDefault="00A906F7" w14:paraId="7E16FB53" w14:textId="77777777">
      <w:pPr>
        <w:spacing w:before="45"/>
        <w:ind w:left="720" w:hanging="103"/>
        <w:jc w:val="center"/>
        <w:rPr>
          <w:rFonts w:asciiTheme="minorHAnsi" w:hAnsiTheme="minorHAnsi"/>
          <w:sz w:val="28"/>
        </w:rPr>
      </w:pPr>
    </w:p>
    <w:p w:rsidRPr="00A906F7" w:rsidR="00A906F7" w:rsidP="00A906F7" w:rsidRDefault="00A906F7" w14:paraId="52B49DDB" w14:textId="77777777">
      <w:pPr>
        <w:pStyle w:val="single-line"/>
        <w:spacing w:before="0" w:beforeAutospacing="0" w:after="0" w:afterAutospacing="0"/>
        <w:ind w:left="720"/>
        <w:contextualSpacing/>
        <w:textAlignment w:val="baseline"/>
        <w:rPr>
          <w:rFonts w:ascii="Georgia" w:hAnsi="Georgia"/>
          <w:color w:val="333333"/>
          <w:sz w:val="22"/>
        </w:rPr>
      </w:pPr>
      <w:r>
        <w:rPr>
          <w:rStyle w:val="Emphasis"/>
          <w:rFonts w:ascii="Georgia" w:hAnsi="Georgia"/>
          <w:color w:val="333333"/>
          <w:sz w:val="22"/>
          <w:bdr w:val="none" w:color="auto" w:sz="0" w:space="0" w:frame="1"/>
        </w:rPr>
        <w:t>T</w:t>
      </w:r>
      <w:r w:rsidRPr="00A906F7">
        <w:rPr>
          <w:rStyle w:val="Emphasis"/>
          <w:rFonts w:ascii="Georgia" w:hAnsi="Georgia"/>
          <w:color w:val="333333"/>
          <w:sz w:val="22"/>
          <w:bdr w:val="none" w:color="auto" w:sz="0" w:space="0" w:frame="1"/>
        </w:rPr>
        <w:t>itle:</w:t>
      </w:r>
      <w:r w:rsidRPr="00A906F7">
        <w:rPr>
          <w:rFonts w:ascii="Georgia" w:hAnsi="Georgia"/>
          <w:color w:val="333333"/>
          <w:sz w:val="22"/>
        </w:rPr>
        <w:t> LIHEAP Performance Data Form for Federal Fiscal Year (FFY) XXXX.</w:t>
      </w:r>
    </w:p>
    <w:p w:rsidR="00A906F7" w:rsidP="00A906F7" w:rsidRDefault="00A906F7" w14:paraId="7618BA64" w14:textId="77777777">
      <w:pPr>
        <w:pStyle w:val="single-line"/>
        <w:spacing w:before="0" w:beforeAutospacing="0" w:after="0" w:afterAutospacing="0"/>
        <w:ind w:left="720"/>
        <w:contextualSpacing/>
        <w:textAlignment w:val="baseline"/>
        <w:rPr>
          <w:rStyle w:val="Emphasis"/>
          <w:rFonts w:ascii="Georgia" w:hAnsi="Georgia"/>
          <w:color w:val="333333"/>
          <w:sz w:val="22"/>
          <w:bdr w:val="none" w:color="auto" w:sz="0" w:space="0" w:frame="1"/>
        </w:rPr>
      </w:pPr>
    </w:p>
    <w:p w:rsidRPr="00A906F7" w:rsidR="00A906F7" w:rsidP="00A906F7" w:rsidRDefault="00A906F7" w14:paraId="2DB37462" w14:textId="77777777">
      <w:pPr>
        <w:pStyle w:val="single-line"/>
        <w:spacing w:before="0" w:beforeAutospacing="0" w:after="0" w:afterAutospacing="0"/>
        <w:ind w:left="720"/>
        <w:contextualSpacing/>
        <w:textAlignment w:val="baseline"/>
        <w:rPr>
          <w:rFonts w:ascii="Georgia" w:hAnsi="Georgia"/>
          <w:color w:val="333333"/>
          <w:sz w:val="22"/>
        </w:rPr>
      </w:pPr>
      <w:r w:rsidRPr="00A906F7">
        <w:rPr>
          <w:rStyle w:val="Emphasis"/>
          <w:rFonts w:ascii="Georgia" w:hAnsi="Georgia"/>
          <w:color w:val="333333"/>
          <w:sz w:val="22"/>
          <w:bdr w:val="none" w:color="auto" w:sz="0" w:space="0" w:frame="1"/>
        </w:rPr>
        <w:t>OMB No.:</w:t>
      </w:r>
      <w:r w:rsidRPr="00A906F7">
        <w:rPr>
          <w:rFonts w:ascii="Georgia" w:hAnsi="Georgia"/>
          <w:color w:val="333333"/>
          <w:sz w:val="22"/>
        </w:rPr>
        <w:t> 0970-0449.</w:t>
      </w:r>
    </w:p>
    <w:p w:rsidR="00A906F7" w:rsidP="00A906F7" w:rsidRDefault="00A906F7" w14:paraId="5884965D" w14:textId="77777777">
      <w:pPr>
        <w:ind w:left="720"/>
        <w:contextualSpacing/>
        <w:textAlignment w:val="baseline"/>
        <w:rPr>
          <w:rStyle w:val="Emphasis"/>
          <w:rFonts w:ascii="Georgia" w:hAnsi="Georgia"/>
          <w:color w:val="333333"/>
          <w:sz w:val="22"/>
          <w:bdr w:val="none" w:color="auto" w:sz="0" w:space="0" w:frame="1"/>
        </w:rPr>
      </w:pPr>
    </w:p>
    <w:p w:rsidR="00A906F7" w:rsidP="00A906F7" w:rsidRDefault="00A906F7" w14:paraId="7189418D" w14:textId="77777777">
      <w:pPr>
        <w:ind w:left="720"/>
        <w:contextualSpacing/>
        <w:textAlignment w:val="baseline"/>
        <w:rPr>
          <w:rFonts w:ascii="Georgia" w:hAnsi="Georgia"/>
          <w:color w:val="333333"/>
          <w:sz w:val="22"/>
        </w:rPr>
      </w:pPr>
      <w:r w:rsidRPr="00A906F7">
        <w:rPr>
          <w:rStyle w:val="Emphasis"/>
          <w:rFonts w:ascii="Georgia" w:hAnsi="Georgia"/>
          <w:color w:val="333333"/>
          <w:sz w:val="22"/>
          <w:bdr w:val="none" w:color="auto" w:sz="0" w:space="0" w:frame="1"/>
        </w:rPr>
        <w:t>Description:</w:t>
      </w:r>
      <w:r w:rsidRPr="00A906F7">
        <w:rPr>
          <w:rFonts w:ascii="Georgia" w:hAnsi="Georgia"/>
          <w:color w:val="333333"/>
          <w:sz w:val="22"/>
        </w:rPr>
        <w:t> In response to the 2010 Government Accountability Office (GAO) report, </w:t>
      </w:r>
      <w:r w:rsidRPr="00A906F7">
        <w:rPr>
          <w:rStyle w:val="Emphasis"/>
          <w:rFonts w:ascii="Georgia" w:hAnsi="Georgia"/>
          <w:color w:val="333333"/>
          <w:sz w:val="22"/>
          <w:bdr w:val="none" w:color="auto" w:sz="0" w:space="0" w:frame="1"/>
        </w:rPr>
        <w:t>Low Income Home Energy Assistance Program—Greater Fraud Prevention Controls are Needed</w:t>
      </w:r>
      <w:r w:rsidRPr="00A906F7">
        <w:rPr>
          <w:rFonts w:ascii="Georgia" w:hAnsi="Georgia"/>
          <w:color w:val="333333"/>
          <w:sz w:val="22"/>
        </w:rPr>
        <w:t> (GAO-10-621), and in consideration of the recommendations issued by the Low Income Home Energy Assistance Program (LIHEAP) Performance Measures Implementation Work Group, the Office of Community Services (OCS) required the collection and reporting of the new performance measures by state LIHEAP grantees and the District of Columbia. Office of Management and Budget (OMB) approved </w:t>
      </w:r>
      <w:r w:rsidRPr="00A906F7">
        <w:rPr>
          <w:rStyle w:val="Emphasis"/>
          <w:rFonts w:ascii="Georgia" w:hAnsi="Georgia"/>
          <w:color w:val="333333"/>
          <w:sz w:val="22"/>
          <w:bdr w:val="none" w:color="auto" w:sz="0" w:space="0" w:frame="1"/>
        </w:rPr>
        <w:t>the LIHEAP Performance Data Form</w:t>
      </w:r>
      <w:r w:rsidRPr="00A906F7">
        <w:rPr>
          <w:rFonts w:ascii="Georgia" w:hAnsi="Georgia"/>
          <w:color w:val="333333"/>
          <w:sz w:val="22"/>
        </w:rPr>
        <w:t> </w:t>
      </w:r>
      <w:r w:rsidRPr="00A906F7">
        <w:rPr>
          <w:rStyle w:val="Emphasis"/>
          <w:rFonts w:ascii="Georgia" w:hAnsi="Georgia"/>
          <w:color w:val="333333"/>
          <w:sz w:val="22"/>
          <w:bdr w:val="none" w:color="auto" w:sz="0" w:space="0" w:frame="1"/>
        </w:rPr>
        <w:t>(LPDF)</w:t>
      </w:r>
      <w:r w:rsidRPr="00A906F7">
        <w:rPr>
          <w:rFonts w:ascii="Georgia" w:hAnsi="Georgia"/>
          <w:color w:val="333333"/>
          <w:sz w:val="22"/>
        </w:rPr>
        <w:t> in November 2014 (OMB Clearance No. 0970-0449) that expires on October 31, 2017. The LPDF provides for the collection of the following LIHEAP performance measures which are considered to be developmental as part of the LPDF:</w:t>
      </w:r>
    </w:p>
    <w:p w:rsidRPr="00A906F7" w:rsidR="00A906F7" w:rsidP="00A906F7" w:rsidRDefault="00A906F7" w14:paraId="39A4C146" w14:textId="77777777">
      <w:pPr>
        <w:ind w:left="720"/>
        <w:contextualSpacing/>
        <w:textAlignment w:val="baseline"/>
        <w:rPr>
          <w:rFonts w:ascii="Georgia" w:hAnsi="Georgia"/>
          <w:color w:val="333333"/>
          <w:sz w:val="22"/>
        </w:rPr>
      </w:pPr>
    </w:p>
    <w:p w:rsidRPr="00A906F7" w:rsidR="00A906F7" w:rsidP="00A906F7" w:rsidRDefault="00A906F7" w14:paraId="0097686F" w14:textId="77777777">
      <w:pPr>
        <w:pStyle w:val="ListParagraph"/>
        <w:widowControl/>
        <w:numPr>
          <w:ilvl w:val="0"/>
          <w:numId w:val="27"/>
        </w:numPr>
        <w:contextualSpacing/>
        <w:textAlignment w:val="baseline"/>
        <w:rPr>
          <w:rFonts w:ascii="Georgia" w:hAnsi="Georgia"/>
          <w:color w:val="333333"/>
          <w:sz w:val="22"/>
        </w:rPr>
      </w:pPr>
      <w:r w:rsidRPr="00A906F7">
        <w:rPr>
          <w:rFonts w:ascii="Georgia" w:hAnsi="Georgia"/>
          <w:color w:val="333333"/>
          <w:sz w:val="22"/>
        </w:rPr>
        <w:t>The benefit targeting index for high burden households receiving LIHEAP fuel assistance;</w:t>
      </w:r>
    </w:p>
    <w:p w:rsidRPr="00A906F7" w:rsidR="00A906F7" w:rsidP="00A906F7" w:rsidRDefault="00A906F7" w14:paraId="4B8E212C" w14:textId="77777777">
      <w:pPr>
        <w:pStyle w:val="NormalWeb"/>
        <w:numPr>
          <w:ilvl w:val="0"/>
          <w:numId w:val="27"/>
        </w:numPr>
        <w:spacing w:before="0" w:beforeAutospacing="0" w:after="0" w:afterAutospacing="0"/>
        <w:contextualSpacing/>
        <w:textAlignment w:val="baseline"/>
        <w:rPr>
          <w:rFonts w:ascii="Georgia" w:hAnsi="Georgia"/>
          <w:color w:val="333333"/>
          <w:sz w:val="22"/>
        </w:rPr>
      </w:pPr>
      <w:r w:rsidRPr="00A906F7">
        <w:rPr>
          <w:rFonts w:ascii="Georgia" w:hAnsi="Georgia"/>
          <w:color w:val="333333"/>
          <w:sz w:val="22"/>
        </w:rPr>
        <w:t>The burden reduction targeting index for high burden households receiving LIHEAP fuel assistance;</w:t>
      </w:r>
    </w:p>
    <w:p w:rsidRPr="00A906F7" w:rsidR="00A906F7" w:rsidP="00A906F7" w:rsidRDefault="00A906F7" w14:paraId="269B6D54" w14:textId="77777777">
      <w:pPr>
        <w:pStyle w:val="ListParagraph"/>
        <w:widowControl/>
        <w:numPr>
          <w:ilvl w:val="0"/>
          <w:numId w:val="27"/>
        </w:numPr>
        <w:contextualSpacing/>
        <w:textAlignment w:val="baseline"/>
        <w:rPr>
          <w:rFonts w:ascii="Georgia" w:hAnsi="Georgia"/>
          <w:color w:val="333333"/>
          <w:sz w:val="22"/>
        </w:rPr>
      </w:pPr>
      <w:r w:rsidRPr="00A906F7">
        <w:rPr>
          <w:rFonts w:ascii="Georgia" w:hAnsi="Georgia"/>
          <w:color w:val="333333"/>
          <w:sz w:val="22"/>
        </w:rPr>
        <w:t>The number of households where LIHEAP prevented a potential home energy crisis; and</w:t>
      </w:r>
    </w:p>
    <w:p w:rsidRPr="00A906F7" w:rsidR="00A906F7" w:rsidP="00A906F7" w:rsidRDefault="00A906F7" w14:paraId="33BDF460" w14:textId="77777777">
      <w:pPr>
        <w:pStyle w:val="NormalWeb"/>
        <w:numPr>
          <w:ilvl w:val="0"/>
          <w:numId w:val="27"/>
        </w:numPr>
        <w:spacing w:before="0" w:beforeAutospacing="0" w:after="0" w:afterAutospacing="0"/>
        <w:contextualSpacing/>
        <w:textAlignment w:val="baseline"/>
        <w:rPr>
          <w:rFonts w:ascii="Georgia" w:hAnsi="Georgia"/>
          <w:color w:val="333333"/>
          <w:sz w:val="22"/>
        </w:rPr>
      </w:pPr>
      <w:r w:rsidRPr="00A906F7">
        <w:rPr>
          <w:rFonts w:ascii="Georgia" w:hAnsi="Georgia"/>
          <w:color w:val="333333"/>
          <w:sz w:val="22"/>
        </w:rPr>
        <w:t>The number of households where LIHEAP benefits restored home energy.</w:t>
      </w:r>
    </w:p>
    <w:p w:rsidR="00A906F7" w:rsidP="00A906F7" w:rsidRDefault="00A906F7" w14:paraId="1954DDF2" w14:textId="77777777">
      <w:pPr>
        <w:pStyle w:val="NormalWeb"/>
        <w:spacing w:before="0" w:beforeAutospacing="0" w:after="0" w:afterAutospacing="0"/>
        <w:ind w:left="720"/>
        <w:contextualSpacing/>
        <w:textAlignment w:val="baseline"/>
        <w:rPr>
          <w:rFonts w:ascii="Georgia" w:hAnsi="Georgia"/>
          <w:color w:val="333333"/>
          <w:sz w:val="22"/>
        </w:rPr>
      </w:pPr>
    </w:p>
    <w:p w:rsidRPr="00A906F7" w:rsidR="00A906F7" w:rsidP="00A906F7" w:rsidRDefault="00A906F7" w14:paraId="67D342EF" w14:textId="77777777">
      <w:pPr>
        <w:pStyle w:val="NormalWeb"/>
        <w:spacing w:before="0" w:beforeAutospacing="0" w:after="0" w:afterAutospacing="0"/>
        <w:ind w:left="720"/>
        <w:contextualSpacing/>
        <w:textAlignment w:val="baseline"/>
        <w:rPr>
          <w:rFonts w:ascii="Georgia" w:hAnsi="Georgia"/>
          <w:color w:val="333333"/>
          <w:sz w:val="22"/>
        </w:rPr>
      </w:pPr>
      <w:r w:rsidRPr="00A906F7">
        <w:rPr>
          <w:rFonts w:ascii="Georgia" w:hAnsi="Georgia"/>
          <w:color w:val="333333"/>
          <w:sz w:val="22"/>
        </w:rPr>
        <w:t>All State LIHEAP grantees and the District of Columbia are required to complete the LPDF data through the Administration for Children and Families' (ACF) web-based data collection and reporting system, the Online Data Collection (OLDC), which is available at: </w:t>
      </w:r>
      <w:hyperlink w:history="1" r:id="rId25">
        <w:r w:rsidRPr="00A906F7">
          <w:rPr>
            <w:rStyle w:val="Hyperlink"/>
            <w:rFonts w:ascii="Georgia" w:hAnsi="Georgia"/>
            <w:i/>
            <w:iCs/>
            <w:color w:val="3071A9"/>
            <w:sz w:val="22"/>
            <w:bdr w:val="none" w:color="auto" w:sz="0" w:space="0" w:frame="1"/>
          </w:rPr>
          <w:t>https://home.grantsolutions.gov/</w:t>
        </w:r>
        <w:r w:rsidRPr="00A906F7">
          <w:rPr>
            <w:rStyle w:val="Hyperlink"/>
            <w:i/>
            <w:iCs/>
            <w:color w:val="3071A9"/>
            <w:sz w:val="22"/>
            <w:bdr w:val="none" w:color="auto" w:sz="0" w:space="0" w:frame="1"/>
          </w:rPr>
          <w:t>​</w:t>
        </w:r>
        <w:r w:rsidRPr="00A906F7">
          <w:rPr>
            <w:rStyle w:val="Hyperlink"/>
            <w:rFonts w:ascii="Georgia" w:hAnsi="Georgia"/>
            <w:i/>
            <w:iCs/>
            <w:color w:val="3071A9"/>
            <w:sz w:val="22"/>
            <w:bdr w:val="none" w:color="auto" w:sz="0" w:space="0" w:frame="1"/>
          </w:rPr>
          <w:t>home</w:t>
        </w:r>
      </w:hyperlink>
      <w:r w:rsidRPr="00A906F7">
        <w:rPr>
          <w:rStyle w:val="Emphasis"/>
          <w:rFonts w:ascii="Georgia" w:hAnsi="Georgia"/>
          <w:color w:val="333333"/>
          <w:sz w:val="22"/>
          <w:bdr w:val="none" w:color="auto" w:sz="0" w:space="0" w:frame="1"/>
        </w:rPr>
        <w:t>.</w:t>
      </w:r>
      <w:r w:rsidRPr="00A906F7">
        <w:rPr>
          <w:rFonts w:ascii="Georgia" w:hAnsi="Georgia"/>
          <w:color w:val="333333"/>
          <w:sz w:val="22"/>
        </w:rPr>
        <w:t> The reporting requirements will be described through OLDC.</w:t>
      </w:r>
    </w:p>
    <w:p w:rsidR="00A906F7" w:rsidP="00A906F7" w:rsidRDefault="00A906F7" w14:paraId="2EBBC99B" w14:textId="77777777">
      <w:pPr>
        <w:pStyle w:val="NormalWeb"/>
        <w:spacing w:before="0" w:beforeAutospacing="0" w:after="0" w:afterAutospacing="0"/>
        <w:ind w:left="720"/>
        <w:contextualSpacing/>
        <w:textAlignment w:val="baseline"/>
        <w:rPr>
          <w:rFonts w:ascii="Georgia" w:hAnsi="Georgia"/>
          <w:color w:val="333333"/>
          <w:sz w:val="22"/>
        </w:rPr>
      </w:pPr>
    </w:p>
    <w:p w:rsidRPr="00A906F7" w:rsidR="00A906F7" w:rsidP="00A906F7" w:rsidRDefault="00A906F7" w14:paraId="7531FFAB" w14:textId="77777777">
      <w:pPr>
        <w:pStyle w:val="NormalWeb"/>
        <w:spacing w:before="0" w:beforeAutospacing="0" w:after="0" w:afterAutospacing="0"/>
        <w:ind w:left="720"/>
        <w:contextualSpacing/>
        <w:textAlignment w:val="baseline"/>
        <w:rPr>
          <w:rFonts w:ascii="Georgia" w:hAnsi="Georgia"/>
          <w:color w:val="333333"/>
          <w:sz w:val="22"/>
        </w:rPr>
      </w:pPr>
      <w:r w:rsidRPr="00A906F7">
        <w:rPr>
          <w:rFonts w:ascii="Georgia" w:hAnsi="Georgia"/>
          <w:color w:val="333333"/>
          <w:sz w:val="22"/>
        </w:rPr>
        <w:t>The previous OMB-approved </w:t>
      </w:r>
      <w:r w:rsidRPr="00A906F7">
        <w:rPr>
          <w:rStyle w:val="Emphasis"/>
          <w:rFonts w:ascii="Georgia" w:hAnsi="Georgia"/>
          <w:color w:val="333333"/>
          <w:sz w:val="22"/>
          <w:bdr w:val="none" w:color="auto" w:sz="0" w:space="0" w:frame="1"/>
        </w:rPr>
        <w:t>LIHEAP Grantee Survey</w:t>
      </w:r>
      <w:r w:rsidRPr="00A906F7">
        <w:rPr>
          <w:rFonts w:ascii="Georgia" w:hAnsi="Georgia"/>
          <w:color w:val="333333"/>
          <w:sz w:val="22"/>
        </w:rPr>
        <w:t> on sources and uses of LIHEAP funds was added in 2014 to the LPDF as an addition to the LIHEAP performance data. No substantive changes are being proposed for this data collection activity. A sample of the draft form is available for viewing here: </w:t>
      </w:r>
      <w:hyperlink w:history="1" r:id="rId26">
        <w:r w:rsidRPr="00A906F7">
          <w:rPr>
            <w:rStyle w:val="Hyperlink"/>
            <w:rFonts w:ascii="Georgia" w:hAnsi="Georgia"/>
            <w:i/>
            <w:iCs/>
            <w:color w:val="3071A9"/>
            <w:sz w:val="22"/>
            <w:bdr w:val="none" w:color="auto" w:sz="0" w:space="0" w:frame="1"/>
          </w:rPr>
          <w:t>https://www.acf.hhs.gov/</w:t>
        </w:r>
        <w:r w:rsidRPr="00A906F7">
          <w:rPr>
            <w:rStyle w:val="Hyperlink"/>
            <w:i/>
            <w:iCs/>
            <w:color w:val="3071A9"/>
            <w:sz w:val="22"/>
            <w:bdr w:val="none" w:color="auto" w:sz="0" w:space="0" w:frame="1"/>
          </w:rPr>
          <w:t>​</w:t>
        </w:r>
        <w:r w:rsidRPr="00A906F7">
          <w:rPr>
            <w:rStyle w:val="Hyperlink"/>
            <w:rFonts w:ascii="Georgia" w:hAnsi="Georgia"/>
            <w:i/>
            <w:iCs/>
            <w:color w:val="3071A9"/>
            <w:sz w:val="22"/>
            <w:bdr w:val="none" w:color="auto" w:sz="0" w:space="0" w:frame="1"/>
          </w:rPr>
          <w:t>ocs/</w:t>
        </w:r>
        <w:r w:rsidRPr="00A906F7">
          <w:rPr>
            <w:rStyle w:val="Hyperlink"/>
            <w:i/>
            <w:iCs/>
            <w:color w:val="3071A9"/>
            <w:sz w:val="22"/>
            <w:bdr w:val="none" w:color="auto" w:sz="0" w:space="0" w:frame="1"/>
          </w:rPr>
          <w:t>​</w:t>
        </w:r>
        <w:r w:rsidRPr="00A906F7">
          <w:rPr>
            <w:rStyle w:val="Hyperlink"/>
            <w:rFonts w:ascii="Georgia" w:hAnsi="Georgia"/>
            <w:i/>
            <w:iCs/>
            <w:color w:val="3071A9"/>
            <w:sz w:val="22"/>
            <w:bdr w:val="none" w:color="auto" w:sz="0" w:space="0" w:frame="1"/>
          </w:rPr>
          <w:t>resource/</w:t>
        </w:r>
        <w:r w:rsidRPr="00A906F7">
          <w:rPr>
            <w:rStyle w:val="Hyperlink"/>
            <w:i/>
            <w:iCs/>
            <w:color w:val="3071A9"/>
            <w:sz w:val="22"/>
            <w:bdr w:val="none" w:color="auto" w:sz="0" w:space="0" w:frame="1"/>
          </w:rPr>
          <w:t>​</w:t>
        </w:r>
        <w:r w:rsidRPr="00A906F7">
          <w:rPr>
            <w:rStyle w:val="Hyperlink"/>
            <w:rFonts w:ascii="Georgia" w:hAnsi="Georgia"/>
            <w:i/>
            <w:iCs/>
            <w:color w:val="3071A9"/>
            <w:sz w:val="22"/>
            <w:bdr w:val="none" w:color="auto" w:sz="0" w:space="0" w:frame="1"/>
          </w:rPr>
          <w:t>funding-applications</w:t>
        </w:r>
      </w:hyperlink>
      <w:r w:rsidRPr="00A906F7">
        <w:rPr>
          <w:rStyle w:val="Emphasis"/>
          <w:rFonts w:ascii="Georgia" w:hAnsi="Georgia"/>
          <w:color w:val="333333"/>
          <w:sz w:val="22"/>
          <w:bdr w:val="none" w:color="auto" w:sz="0" w:space="0" w:frame="1"/>
        </w:rPr>
        <w:t>.</w:t>
      </w:r>
    </w:p>
    <w:p w:rsidR="00A906F7" w:rsidP="00A906F7" w:rsidRDefault="00A906F7" w14:paraId="1A2A4473" w14:textId="77777777">
      <w:pPr>
        <w:pStyle w:val="NormalWeb"/>
        <w:spacing w:before="0" w:beforeAutospacing="0" w:after="0" w:afterAutospacing="0"/>
        <w:ind w:left="720"/>
        <w:contextualSpacing/>
        <w:textAlignment w:val="baseline"/>
        <w:rPr>
          <w:rFonts w:ascii="Georgia" w:hAnsi="Georgia"/>
          <w:color w:val="333333"/>
          <w:sz w:val="22"/>
        </w:rPr>
      </w:pPr>
    </w:p>
    <w:p w:rsidR="00A906F7" w:rsidP="00A906F7" w:rsidRDefault="00A906F7" w14:paraId="6290B708" w14:textId="77777777">
      <w:pPr>
        <w:pStyle w:val="NormalWeb"/>
        <w:spacing w:before="0" w:beforeAutospacing="0" w:after="0" w:afterAutospacing="0"/>
        <w:ind w:left="720"/>
        <w:contextualSpacing/>
        <w:textAlignment w:val="baseline"/>
        <w:rPr>
          <w:rFonts w:ascii="Georgia" w:hAnsi="Georgia"/>
          <w:color w:val="333333"/>
          <w:sz w:val="22"/>
        </w:rPr>
      </w:pPr>
      <w:r w:rsidRPr="00A906F7">
        <w:rPr>
          <w:rFonts w:ascii="Georgia" w:hAnsi="Georgia"/>
          <w:color w:val="333333"/>
          <w:sz w:val="22"/>
        </w:rPr>
        <w:t>The form is divided into the following three modules to add clarity:</w:t>
      </w:r>
    </w:p>
    <w:p w:rsidRPr="00A906F7" w:rsidR="00A906F7" w:rsidP="00A906F7" w:rsidRDefault="00A906F7" w14:paraId="64CAA424" w14:textId="77777777">
      <w:pPr>
        <w:pStyle w:val="NormalWeb"/>
        <w:spacing w:before="0" w:beforeAutospacing="0" w:after="0" w:afterAutospacing="0"/>
        <w:ind w:left="720"/>
        <w:contextualSpacing/>
        <w:textAlignment w:val="baseline"/>
        <w:rPr>
          <w:rFonts w:ascii="Georgia" w:hAnsi="Georgia"/>
          <w:color w:val="333333"/>
          <w:sz w:val="22"/>
        </w:rPr>
      </w:pPr>
    </w:p>
    <w:p w:rsidRPr="00587825" w:rsidR="00A906F7" w:rsidP="00587825" w:rsidRDefault="00A906F7" w14:paraId="4D07EB0B" w14:textId="77777777">
      <w:pPr>
        <w:ind w:firstLine="720"/>
        <w:rPr>
          <w:b/>
        </w:rPr>
      </w:pPr>
      <w:r w:rsidRPr="00587825">
        <w:rPr>
          <w:b/>
        </w:rPr>
        <w:t>Module 1. LIHEAP Grantee Survey (Required Reporting)</w:t>
      </w:r>
    </w:p>
    <w:p w:rsidRPr="00A906F7" w:rsidR="00A906F7" w:rsidP="00A906F7" w:rsidRDefault="00A906F7" w14:paraId="43D0E966" w14:textId="77777777">
      <w:pPr>
        <w:pStyle w:val="NormalWeb"/>
        <w:spacing w:before="0" w:beforeAutospacing="0" w:after="0" w:afterAutospacing="0"/>
        <w:ind w:left="720"/>
        <w:contextualSpacing/>
        <w:textAlignment w:val="baseline"/>
        <w:rPr>
          <w:rFonts w:ascii="Georgia" w:hAnsi="Georgia"/>
          <w:color w:val="333333"/>
          <w:sz w:val="22"/>
        </w:rPr>
      </w:pPr>
      <w:r w:rsidRPr="00A906F7">
        <w:rPr>
          <w:rFonts w:ascii="Georgia" w:hAnsi="Georgia"/>
          <w:color w:val="333333"/>
          <w:sz w:val="22"/>
        </w:rPr>
        <w:lastRenderedPageBreak/>
        <w:t>Module 1 of the LPDF will continue to require the following data from each state for the federal fiscal year:</w:t>
      </w:r>
    </w:p>
    <w:p w:rsidRPr="00A906F7" w:rsidR="00A906F7" w:rsidP="00A906F7" w:rsidRDefault="00A906F7" w14:paraId="4096D72E" w14:textId="77777777">
      <w:pPr>
        <w:pStyle w:val="ListParagraph"/>
        <w:widowControl/>
        <w:numPr>
          <w:ilvl w:val="0"/>
          <w:numId w:val="23"/>
        </w:numPr>
        <w:ind w:left="1440" w:firstLine="0"/>
        <w:contextualSpacing/>
        <w:textAlignment w:val="baseline"/>
        <w:rPr>
          <w:rFonts w:ascii="Georgia" w:hAnsi="Georgia"/>
          <w:color w:val="333333"/>
          <w:sz w:val="22"/>
        </w:rPr>
      </w:pPr>
      <w:r w:rsidRPr="00A906F7">
        <w:rPr>
          <w:rFonts w:ascii="Georgia" w:hAnsi="Georgia"/>
          <w:color w:val="333333"/>
          <w:sz w:val="22"/>
        </w:rPr>
        <w:t>Grantee information,</w:t>
      </w:r>
    </w:p>
    <w:p w:rsidRPr="00A906F7" w:rsidR="00A906F7" w:rsidP="00A906F7" w:rsidRDefault="00A906F7" w14:paraId="75C9D37A" w14:textId="77777777">
      <w:pPr>
        <w:pStyle w:val="ListParagraph"/>
        <w:widowControl/>
        <w:numPr>
          <w:ilvl w:val="0"/>
          <w:numId w:val="23"/>
        </w:numPr>
        <w:ind w:left="1440" w:firstLine="0"/>
        <w:contextualSpacing/>
        <w:textAlignment w:val="baseline"/>
        <w:rPr>
          <w:rFonts w:ascii="Georgia" w:hAnsi="Georgia"/>
          <w:color w:val="333333"/>
          <w:sz w:val="22"/>
        </w:rPr>
      </w:pPr>
      <w:r w:rsidRPr="00A906F7">
        <w:rPr>
          <w:rFonts w:ascii="Georgia" w:hAnsi="Georgia"/>
          <w:color w:val="333333"/>
          <w:sz w:val="22"/>
        </w:rPr>
        <w:t>sources and uses of LIHEAP funds,</w:t>
      </w:r>
    </w:p>
    <w:p w:rsidRPr="00A906F7" w:rsidR="00A906F7" w:rsidP="00A906F7" w:rsidRDefault="00A906F7" w14:paraId="5AC2F25E" w14:textId="77777777">
      <w:pPr>
        <w:pStyle w:val="ListParagraph"/>
        <w:widowControl/>
        <w:numPr>
          <w:ilvl w:val="0"/>
          <w:numId w:val="23"/>
        </w:numPr>
        <w:ind w:left="1440" w:firstLine="0"/>
        <w:contextualSpacing/>
        <w:textAlignment w:val="baseline"/>
        <w:rPr>
          <w:rFonts w:ascii="Georgia" w:hAnsi="Georgia"/>
          <w:color w:val="333333"/>
          <w:sz w:val="22"/>
        </w:rPr>
      </w:pPr>
      <w:r w:rsidRPr="00A906F7">
        <w:rPr>
          <w:rFonts w:ascii="Georgia" w:hAnsi="Georgia"/>
          <w:color w:val="333333"/>
          <w:sz w:val="22"/>
        </w:rPr>
        <w:t>average LIHEAP household benefits, and</w:t>
      </w:r>
    </w:p>
    <w:p w:rsidR="00A906F7" w:rsidP="00A906F7" w:rsidRDefault="00A906F7" w14:paraId="03D8F484" w14:textId="77777777">
      <w:pPr>
        <w:pStyle w:val="ListParagraph"/>
        <w:widowControl/>
        <w:numPr>
          <w:ilvl w:val="0"/>
          <w:numId w:val="23"/>
        </w:numPr>
        <w:ind w:left="1440" w:firstLine="0"/>
        <w:contextualSpacing/>
        <w:textAlignment w:val="baseline"/>
        <w:rPr>
          <w:rFonts w:ascii="Georgia" w:hAnsi="Georgia"/>
          <w:color w:val="333333"/>
          <w:sz w:val="22"/>
        </w:rPr>
      </w:pPr>
      <w:r w:rsidRPr="00A906F7">
        <w:rPr>
          <w:rFonts w:ascii="Georgia" w:hAnsi="Georgia"/>
          <w:color w:val="333333"/>
          <w:sz w:val="22"/>
        </w:rPr>
        <w:t>maximum income cutoffs for 4-person households for each type of LIHEAP assistance provided by each grantee for the fiscal year.</w:t>
      </w:r>
    </w:p>
    <w:p w:rsidRPr="00A906F7" w:rsidR="00A906F7" w:rsidP="00A906F7" w:rsidRDefault="00A906F7" w14:paraId="352922CD" w14:textId="77777777">
      <w:pPr>
        <w:pStyle w:val="ListParagraph"/>
        <w:ind w:left="1440"/>
        <w:contextualSpacing/>
        <w:textAlignment w:val="baseline"/>
        <w:rPr>
          <w:rFonts w:ascii="Georgia" w:hAnsi="Georgia"/>
          <w:color w:val="333333"/>
          <w:sz w:val="22"/>
        </w:rPr>
      </w:pPr>
    </w:p>
    <w:p w:rsidRPr="00587825" w:rsidR="00A906F7" w:rsidP="00587825" w:rsidRDefault="00A906F7" w14:paraId="0628EAD1" w14:textId="77777777">
      <w:pPr>
        <w:ind w:firstLine="720"/>
        <w:rPr>
          <w:b/>
        </w:rPr>
      </w:pPr>
      <w:r w:rsidRPr="00587825">
        <w:rPr>
          <w:b/>
        </w:rPr>
        <w:t>Module 2. LIHEAP Performance Measures (Required Reporting)</w:t>
      </w:r>
    </w:p>
    <w:p w:rsidR="00A906F7" w:rsidP="00A906F7" w:rsidRDefault="00A906F7" w14:paraId="6AC50D52" w14:textId="77777777">
      <w:pPr>
        <w:pStyle w:val="NormalWeb"/>
        <w:spacing w:before="0" w:beforeAutospacing="0" w:after="0" w:afterAutospacing="0"/>
        <w:ind w:left="720"/>
        <w:contextualSpacing/>
        <w:textAlignment w:val="baseline"/>
        <w:rPr>
          <w:rFonts w:ascii="Georgia" w:hAnsi="Georgia"/>
          <w:color w:val="333333"/>
          <w:sz w:val="22"/>
        </w:rPr>
      </w:pPr>
      <w:r w:rsidRPr="00A906F7">
        <w:rPr>
          <w:rFonts w:ascii="Georgia" w:hAnsi="Georgia"/>
          <w:color w:val="333333"/>
          <w:sz w:val="22"/>
        </w:rPr>
        <w:t>Module 2 of the </w:t>
      </w:r>
      <w:r w:rsidRPr="00A906F7">
        <w:rPr>
          <w:rStyle w:val="Emphasis"/>
          <w:rFonts w:ascii="Georgia" w:hAnsi="Georgia"/>
          <w:color w:val="333333"/>
          <w:sz w:val="22"/>
          <w:bdr w:val="none" w:color="auto" w:sz="0" w:space="0" w:frame="1"/>
        </w:rPr>
        <w:t>LPDF</w:t>
      </w:r>
      <w:r w:rsidRPr="00A906F7">
        <w:rPr>
          <w:rFonts w:ascii="Georgia" w:hAnsi="Georgia"/>
          <w:color w:val="333333"/>
          <w:sz w:val="22"/>
        </w:rPr>
        <w:t> will continue to require the following data from each state for the federal fiscal year:</w:t>
      </w:r>
    </w:p>
    <w:p w:rsidRPr="00A906F7" w:rsidR="00A906F7" w:rsidP="00A906F7" w:rsidRDefault="00A906F7" w14:paraId="249CE1E0" w14:textId="77777777">
      <w:pPr>
        <w:pStyle w:val="NormalWeb"/>
        <w:spacing w:before="0" w:beforeAutospacing="0" w:after="0" w:afterAutospacing="0"/>
        <w:ind w:left="720"/>
        <w:contextualSpacing/>
        <w:textAlignment w:val="baseline"/>
        <w:rPr>
          <w:rFonts w:ascii="Georgia" w:hAnsi="Georgia"/>
          <w:color w:val="333333"/>
          <w:sz w:val="22"/>
        </w:rPr>
      </w:pPr>
    </w:p>
    <w:p w:rsidRPr="00A906F7" w:rsidR="00A906F7" w:rsidP="00A906F7" w:rsidRDefault="00A906F7" w14:paraId="3192152F" w14:textId="77777777">
      <w:pPr>
        <w:widowControl/>
        <w:numPr>
          <w:ilvl w:val="0"/>
          <w:numId w:val="24"/>
        </w:numPr>
        <w:tabs>
          <w:tab w:val="clear" w:pos="720"/>
        </w:tabs>
        <w:ind w:left="1440" w:firstLine="0"/>
        <w:contextualSpacing/>
        <w:textAlignment w:val="baseline"/>
        <w:rPr>
          <w:rFonts w:ascii="Georgia" w:hAnsi="Georgia"/>
          <w:color w:val="333333"/>
          <w:sz w:val="22"/>
        </w:rPr>
      </w:pPr>
      <w:r w:rsidRPr="00A906F7">
        <w:rPr>
          <w:rFonts w:ascii="Georgia" w:hAnsi="Georgia"/>
          <w:color w:val="333333"/>
          <w:sz w:val="22"/>
        </w:rPr>
        <w:t>Grantee information,</w:t>
      </w:r>
    </w:p>
    <w:p w:rsidRPr="00A906F7" w:rsidR="00A906F7" w:rsidP="00A906F7" w:rsidRDefault="00A906F7" w14:paraId="4C437880" w14:textId="77777777">
      <w:pPr>
        <w:widowControl/>
        <w:numPr>
          <w:ilvl w:val="0"/>
          <w:numId w:val="24"/>
        </w:numPr>
        <w:tabs>
          <w:tab w:val="clear" w:pos="720"/>
        </w:tabs>
        <w:ind w:left="1440" w:firstLine="0"/>
        <w:contextualSpacing/>
        <w:textAlignment w:val="baseline"/>
        <w:rPr>
          <w:rFonts w:ascii="Georgia" w:hAnsi="Georgia"/>
          <w:color w:val="333333"/>
          <w:sz w:val="22"/>
        </w:rPr>
      </w:pPr>
      <w:r w:rsidRPr="00A906F7">
        <w:rPr>
          <w:rFonts w:ascii="Georgia" w:hAnsi="Georgia"/>
          <w:color w:val="333333"/>
          <w:sz w:val="22"/>
        </w:rPr>
        <w:t>energy burden targeting,</w:t>
      </w:r>
    </w:p>
    <w:p w:rsidRPr="00A906F7" w:rsidR="00A906F7" w:rsidP="00A906F7" w:rsidRDefault="00A906F7" w14:paraId="5372AAD4" w14:textId="77777777">
      <w:pPr>
        <w:widowControl/>
        <w:numPr>
          <w:ilvl w:val="0"/>
          <w:numId w:val="24"/>
        </w:numPr>
        <w:tabs>
          <w:tab w:val="clear" w:pos="720"/>
        </w:tabs>
        <w:ind w:left="1440" w:firstLine="0"/>
        <w:contextualSpacing/>
        <w:textAlignment w:val="baseline"/>
        <w:rPr>
          <w:rFonts w:ascii="Georgia" w:hAnsi="Georgia"/>
          <w:color w:val="333333"/>
          <w:sz w:val="22"/>
        </w:rPr>
      </w:pPr>
      <w:r w:rsidRPr="00A906F7">
        <w:rPr>
          <w:rFonts w:ascii="Georgia" w:hAnsi="Georgia"/>
          <w:color w:val="333333"/>
          <w:sz w:val="22"/>
        </w:rPr>
        <w:t>restoration of home energy service, and</w:t>
      </w:r>
    </w:p>
    <w:p w:rsidR="00A906F7" w:rsidP="00A906F7" w:rsidRDefault="00A906F7" w14:paraId="7110692B" w14:textId="77777777">
      <w:pPr>
        <w:widowControl/>
        <w:numPr>
          <w:ilvl w:val="0"/>
          <w:numId w:val="24"/>
        </w:numPr>
        <w:tabs>
          <w:tab w:val="clear" w:pos="720"/>
        </w:tabs>
        <w:ind w:left="1440" w:firstLine="0"/>
        <w:contextualSpacing/>
        <w:textAlignment w:val="baseline"/>
        <w:rPr>
          <w:rFonts w:ascii="Georgia" w:hAnsi="Georgia"/>
          <w:color w:val="333333"/>
          <w:sz w:val="22"/>
        </w:rPr>
      </w:pPr>
      <w:r w:rsidRPr="00A906F7">
        <w:rPr>
          <w:rFonts w:ascii="Georgia" w:hAnsi="Georgia"/>
          <w:color w:val="333333"/>
          <w:sz w:val="22"/>
        </w:rPr>
        <w:t>prevention of loss of home energy.</w:t>
      </w:r>
    </w:p>
    <w:p w:rsidRPr="00A906F7" w:rsidR="00A906F7" w:rsidP="00A906F7" w:rsidRDefault="00A906F7" w14:paraId="1D9F94E1" w14:textId="77777777">
      <w:pPr>
        <w:ind w:left="1530"/>
        <w:contextualSpacing/>
        <w:textAlignment w:val="baseline"/>
        <w:rPr>
          <w:rFonts w:ascii="Georgia" w:hAnsi="Georgia"/>
          <w:color w:val="333333"/>
          <w:sz w:val="22"/>
        </w:rPr>
      </w:pPr>
    </w:p>
    <w:p w:rsidRPr="00587825" w:rsidR="00A906F7" w:rsidP="00587825" w:rsidRDefault="00A906F7" w14:paraId="0E1F31C4" w14:textId="77777777">
      <w:pPr>
        <w:ind w:firstLine="720"/>
        <w:rPr>
          <w:b/>
        </w:rPr>
      </w:pPr>
      <w:r w:rsidRPr="00587825">
        <w:rPr>
          <w:b/>
        </w:rPr>
        <w:t>Module 3. LIHEAP Performance Measures (Optional Reporting)</w:t>
      </w:r>
    </w:p>
    <w:p w:rsidR="00A906F7" w:rsidP="00A906F7" w:rsidRDefault="00A906F7" w14:paraId="5DC4DE41" w14:textId="77777777">
      <w:pPr>
        <w:pStyle w:val="NormalWeb"/>
        <w:spacing w:before="0" w:beforeAutospacing="0" w:after="0" w:afterAutospacing="0"/>
        <w:ind w:left="720"/>
        <w:contextualSpacing/>
        <w:textAlignment w:val="baseline"/>
        <w:rPr>
          <w:rFonts w:ascii="Georgia" w:hAnsi="Georgia"/>
          <w:color w:val="333333"/>
          <w:sz w:val="22"/>
        </w:rPr>
      </w:pPr>
      <w:r w:rsidRPr="00A906F7">
        <w:rPr>
          <w:rFonts w:ascii="Georgia" w:hAnsi="Georgia"/>
          <w:color w:val="333333"/>
          <w:sz w:val="22"/>
        </w:rPr>
        <w:t>Module 3 of the LIHEAP </w:t>
      </w:r>
      <w:r w:rsidRPr="00A906F7">
        <w:rPr>
          <w:rStyle w:val="Emphasis"/>
          <w:rFonts w:ascii="Georgia" w:hAnsi="Georgia"/>
          <w:color w:val="333333"/>
          <w:sz w:val="22"/>
          <w:bdr w:val="none" w:color="auto" w:sz="0" w:space="0" w:frame="1"/>
        </w:rPr>
        <w:t>LPDF</w:t>
      </w:r>
      <w:r w:rsidRPr="00A906F7">
        <w:rPr>
          <w:rFonts w:ascii="Georgia" w:hAnsi="Georgia"/>
          <w:color w:val="333333"/>
          <w:sz w:val="22"/>
        </w:rPr>
        <w:t> will continue to voluntarily collect the following additional information from each interested grantee for the federal fiscal year:</w:t>
      </w:r>
    </w:p>
    <w:p w:rsidRPr="00A906F7" w:rsidR="00A906F7" w:rsidP="00A906F7" w:rsidRDefault="00A906F7" w14:paraId="648F4A57" w14:textId="77777777">
      <w:pPr>
        <w:pStyle w:val="NormalWeb"/>
        <w:spacing w:before="0" w:beforeAutospacing="0" w:after="0" w:afterAutospacing="0"/>
        <w:ind w:left="1440"/>
        <w:contextualSpacing/>
        <w:textAlignment w:val="baseline"/>
        <w:rPr>
          <w:rFonts w:ascii="Georgia" w:hAnsi="Georgia"/>
          <w:color w:val="333333"/>
          <w:sz w:val="22"/>
        </w:rPr>
      </w:pPr>
    </w:p>
    <w:p w:rsidRPr="00A906F7" w:rsidR="00A906F7" w:rsidP="00A906F7" w:rsidRDefault="00A906F7" w14:paraId="6823C691" w14:textId="77777777">
      <w:pPr>
        <w:widowControl/>
        <w:numPr>
          <w:ilvl w:val="0"/>
          <w:numId w:val="25"/>
        </w:numPr>
        <w:tabs>
          <w:tab w:val="clear" w:pos="720"/>
        </w:tabs>
        <w:ind w:left="1440" w:firstLine="0"/>
        <w:contextualSpacing/>
        <w:textAlignment w:val="baseline"/>
        <w:rPr>
          <w:rFonts w:ascii="Georgia" w:hAnsi="Georgia"/>
          <w:color w:val="333333"/>
          <w:sz w:val="22"/>
        </w:rPr>
      </w:pPr>
      <w:r w:rsidRPr="00A906F7">
        <w:rPr>
          <w:rFonts w:ascii="Georgia" w:hAnsi="Georgia"/>
          <w:color w:val="333333"/>
          <w:sz w:val="22"/>
        </w:rPr>
        <w:t>Average annual energy usage,</w:t>
      </w:r>
    </w:p>
    <w:p w:rsidRPr="00A906F7" w:rsidR="00A906F7" w:rsidP="00A906F7" w:rsidRDefault="00A906F7" w14:paraId="3F859625" w14:textId="77777777">
      <w:pPr>
        <w:widowControl/>
        <w:numPr>
          <w:ilvl w:val="0"/>
          <w:numId w:val="25"/>
        </w:numPr>
        <w:tabs>
          <w:tab w:val="clear" w:pos="720"/>
        </w:tabs>
        <w:ind w:left="1440" w:firstLine="0"/>
        <w:contextualSpacing/>
        <w:textAlignment w:val="baseline"/>
        <w:rPr>
          <w:rStyle w:val="text"/>
          <w:rFonts w:ascii="Georgia" w:hAnsi="Georgia" w:eastAsiaTheme="majorEastAsia"/>
          <w:color w:val="333333"/>
          <w:sz w:val="22"/>
        </w:rPr>
      </w:pPr>
      <w:r w:rsidRPr="00A906F7">
        <w:rPr>
          <w:rFonts w:ascii="Georgia" w:hAnsi="Georgia"/>
          <w:color w:val="333333"/>
          <w:sz w:val="22"/>
        </w:rPr>
        <w:t>Unduplicated number of households using supplemental heating fuel and air conditioning,</w:t>
      </w:r>
    </w:p>
    <w:p w:rsidRPr="00A906F7" w:rsidR="00A906F7" w:rsidP="00A906F7" w:rsidRDefault="00A906F7" w14:paraId="02DDF1BF" w14:textId="77777777">
      <w:pPr>
        <w:widowControl/>
        <w:numPr>
          <w:ilvl w:val="0"/>
          <w:numId w:val="25"/>
        </w:numPr>
        <w:tabs>
          <w:tab w:val="clear" w:pos="720"/>
        </w:tabs>
        <w:ind w:left="1440" w:firstLine="0"/>
        <w:contextualSpacing/>
        <w:textAlignment w:val="baseline"/>
        <w:rPr>
          <w:rFonts w:ascii="Georgia" w:hAnsi="Georgia"/>
          <w:color w:val="333333"/>
          <w:sz w:val="22"/>
        </w:rPr>
      </w:pPr>
      <w:r w:rsidRPr="00A906F7">
        <w:rPr>
          <w:rFonts w:ascii="Georgia" w:hAnsi="Georgia"/>
          <w:color w:val="333333"/>
          <w:sz w:val="22"/>
        </w:rPr>
        <w:t>Unduplicated number of households that had restoration of home energy service, and</w:t>
      </w:r>
    </w:p>
    <w:p w:rsidRPr="00A906F7" w:rsidR="00A906F7" w:rsidP="00A906F7" w:rsidRDefault="00A906F7" w14:paraId="178FD9DF" w14:textId="77777777">
      <w:pPr>
        <w:widowControl/>
        <w:numPr>
          <w:ilvl w:val="0"/>
          <w:numId w:val="25"/>
        </w:numPr>
        <w:tabs>
          <w:tab w:val="clear" w:pos="720"/>
        </w:tabs>
        <w:ind w:left="1440" w:firstLine="0"/>
        <w:contextualSpacing/>
        <w:textAlignment w:val="baseline"/>
        <w:rPr>
          <w:rFonts w:ascii="Georgia" w:hAnsi="Georgia"/>
          <w:color w:val="333333"/>
          <w:sz w:val="22"/>
        </w:rPr>
      </w:pPr>
      <w:r w:rsidRPr="00A906F7">
        <w:rPr>
          <w:rFonts w:ascii="Georgia" w:hAnsi="Georgia"/>
          <w:color w:val="333333"/>
          <w:sz w:val="22"/>
        </w:rPr>
        <w:t>Unduplicated number of households that had prevention of loss of home energy.</w:t>
      </w:r>
    </w:p>
    <w:p w:rsidR="00A906F7" w:rsidP="00A906F7" w:rsidRDefault="00A906F7" w14:paraId="04A5FD4F" w14:textId="77777777">
      <w:pPr>
        <w:pStyle w:val="NormalWeb"/>
        <w:spacing w:before="0" w:beforeAutospacing="0" w:after="0" w:afterAutospacing="0"/>
        <w:ind w:left="720"/>
        <w:contextualSpacing/>
        <w:textAlignment w:val="baseline"/>
        <w:rPr>
          <w:rFonts w:ascii="Georgia" w:hAnsi="Georgia"/>
          <w:color w:val="333333"/>
          <w:sz w:val="22"/>
        </w:rPr>
      </w:pPr>
    </w:p>
    <w:p w:rsidR="00A906F7" w:rsidP="00A906F7" w:rsidRDefault="00A906F7" w14:paraId="6EF37A24" w14:textId="77777777">
      <w:pPr>
        <w:pStyle w:val="NormalWeb"/>
        <w:spacing w:before="0" w:beforeAutospacing="0" w:after="0" w:afterAutospacing="0"/>
        <w:ind w:left="720"/>
        <w:contextualSpacing/>
        <w:textAlignment w:val="baseline"/>
        <w:rPr>
          <w:rStyle w:val="Emphasis"/>
          <w:rFonts w:ascii="Georgia" w:hAnsi="Georgia"/>
          <w:color w:val="333333"/>
          <w:sz w:val="22"/>
          <w:bdr w:val="none" w:color="auto" w:sz="0" w:space="0" w:frame="1"/>
        </w:rPr>
      </w:pPr>
      <w:r w:rsidRPr="00A906F7">
        <w:rPr>
          <w:rFonts w:ascii="Georgia" w:hAnsi="Georgia"/>
          <w:color w:val="333333"/>
          <w:sz w:val="22"/>
        </w:rPr>
        <w:t>Based on the data collected in the </w:t>
      </w:r>
      <w:r w:rsidRPr="00A906F7">
        <w:rPr>
          <w:rStyle w:val="Emphasis"/>
          <w:rFonts w:ascii="Georgia" w:hAnsi="Georgia"/>
          <w:color w:val="333333"/>
          <w:sz w:val="22"/>
          <w:bdr w:val="none" w:color="auto" w:sz="0" w:space="0" w:frame="1"/>
        </w:rPr>
        <w:t>LPDF:</w:t>
      </w:r>
    </w:p>
    <w:p w:rsidRPr="008A7A39" w:rsidR="007935D5" w:rsidP="008A7A39" w:rsidRDefault="007935D5" w14:paraId="71632BA6" w14:textId="77777777">
      <w:pPr>
        <w:tabs>
          <w:tab w:val="left" w:pos="918"/>
          <w:tab w:val="left" w:pos="1188"/>
        </w:tabs>
        <w:ind w:left="360"/>
        <w:jc w:val="both"/>
        <w:rPr>
          <w:rFonts w:asciiTheme="minorHAnsi" w:hAnsiTheme="minorHAnsi"/>
          <w:spacing w:val="-4"/>
          <w:sz w:val="22"/>
        </w:rPr>
      </w:pPr>
    </w:p>
    <w:p w:rsidRPr="00A906F7" w:rsidR="00A906F7" w:rsidP="00A906F7" w:rsidRDefault="00D46DBA" w14:paraId="65BF1E03" w14:textId="77777777">
      <w:pPr>
        <w:widowControl/>
        <w:numPr>
          <w:ilvl w:val="0"/>
          <w:numId w:val="26"/>
        </w:numPr>
        <w:tabs>
          <w:tab w:val="clear" w:pos="720"/>
        </w:tabs>
        <w:ind w:left="1440" w:firstLine="0"/>
        <w:contextualSpacing/>
        <w:textAlignment w:val="baseline"/>
        <w:rPr>
          <w:rFonts w:ascii="Georgia" w:hAnsi="Georgia"/>
          <w:color w:val="333333"/>
          <w:sz w:val="22"/>
        </w:rPr>
      </w:pPr>
      <w:r w:rsidRPr="008A7A39">
        <w:rPr>
          <w:rFonts w:asciiTheme="minorHAnsi" w:hAnsiTheme="minorHAnsi"/>
          <w:spacing w:val="-4"/>
          <w:sz w:val="22"/>
        </w:rPr>
        <w:t xml:space="preserve">ACF will </w:t>
      </w:r>
      <w:r w:rsidRPr="00A906F7" w:rsidR="00A906F7">
        <w:rPr>
          <w:rFonts w:ascii="Georgia" w:hAnsi="Georgia"/>
          <w:color w:val="333333"/>
          <w:sz w:val="22"/>
        </w:rPr>
        <w:t>provide reliable and complete LIHEAP fiscal and household data to Congress in the Department's annual </w:t>
      </w:r>
      <w:r w:rsidRPr="00A906F7" w:rsidR="00A906F7">
        <w:rPr>
          <w:rStyle w:val="Emphasis"/>
          <w:rFonts w:ascii="Georgia" w:hAnsi="Georgia"/>
          <w:color w:val="333333"/>
          <w:sz w:val="22"/>
          <w:bdr w:val="none" w:color="auto" w:sz="0" w:space="0" w:frame="1"/>
        </w:rPr>
        <w:t>LIHEAP Report to Congress.</w:t>
      </w:r>
    </w:p>
    <w:p w:rsidR="00A906F7" w:rsidP="00A906F7" w:rsidRDefault="00A906F7" w14:paraId="6FEF42BC" w14:textId="77777777">
      <w:pPr>
        <w:ind w:left="1440"/>
        <w:contextualSpacing/>
        <w:textAlignment w:val="baseline"/>
        <w:rPr>
          <w:rFonts w:ascii="Georgia" w:hAnsi="Georgia"/>
          <w:color w:val="333333"/>
          <w:sz w:val="22"/>
        </w:rPr>
      </w:pPr>
    </w:p>
    <w:p w:rsidRPr="00A906F7" w:rsidR="00A906F7" w:rsidP="00A906F7" w:rsidRDefault="00A906F7" w14:paraId="48E02AD8" w14:textId="77777777">
      <w:pPr>
        <w:widowControl/>
        <w:numPr>
          <w:ilvl w:val="0"/>
          <w:numId w:val="26"/>
        </w:numPr>
        <w:tabs>
          <w:tab w:val="clear" w:pos="720"/>
        </w:tabs>
        <w:ind w:left="1440" w:firstLine="0"/>
        <w:contextualSpacing/>
        <w:textAlignment w:val="baseline"/>
        <w:rPr>
          <w:rFonts w:ascii="Georgia" w:hAnsi="Georgia"/>
          <w:color w:val="333333"/>
          <w:sz w:val="22"/>
        </w:rPr>
      </w:pPr>
      <w:r w:rsidRPr="00A906F7">
        <w:rPr>
          <w:rFonts w:ascii="Georgia" w:hAnsi="Georgia"/>
          <w:color w:val="333333"/>
          <w:sz w:val="22"/>
        </w:rPr>
        <w:t>ACF will calculate LHEAP performance measures and report the results through the annual budget development process and in LIHEAP's annual Congressional Justification (CJ) under the Government Performance and Results Act of 1993.</w:t>
      </w:r>
    </w:p>
    <w:p w:rsidR="00A906F7" w:rsidP="00A906F7" w:rsidRDefault="00A906F7" w14:paraId="5AD886BF" w14:textId="77777777">
      <w:pPr>
        <w:ind w:left="1440"/>
        <w:contextualSpacing/>
        <w:textAlignment w:val="baseline"/>
        <w:rPr>
          <w:rFonts w:ascii="Georgia" w:hAnsi="Georgia"/>
          <w:color w:val="333333"/>
          <w:sz w:val="22"/>
        </w:rPr>
      </w:pPr>
    </w:p>
    <w:p w:rsidRPr="00A906F7" w:rsidR="00A906F7" w:rsidP="00A906F7" w:rsidRDefault="00A906F7" w14:paraId="3FB624E7" w14:textId="77777777">
      <w:pPr>
        <w:widowControl/>
        <w:numPr>
          <w:ilvl w:val="0"/>
          <w:numId w:val="26"/>
        </w:numPr>
        <w:tabs>
          <w:tab w:val="clear" w:pos="720"/>
        </w:tabs>
        <w:ind w:left="1440" w:firstLine="0"/>
        <w:contextualSpacing/>
        <w:textAlignment w:val="baseline"/>
        <w:rPr>
          <w:rFonts w:ascii="Georgia" w:hAnsi="Georgia"/>
          <w:color w:val="333333"/>
          <w:sz w:val="22"/>
        </w:rPr>
      </w:pPr>
      <w:r w:rsidRPr="00A906F7">
        <w:rPr>
          <w:rFonts w:ascii="Georgia" w:hAnsi="Georgia"/>
          <w:color w:val="333333"/>
          <w:sz w:val="22"/>
        </w:rPr>
        <w:lastRenderedPageBreak/>
        <w:t>ACF and grantees will be informed about the impact LIHEAP has with respect to LIHEAP households' home energy burden (the proportion of their income spent towards their home heating and cooling bills), including information on the difference between the average recipient and high burden recipients, restoring home energy service, and preventing loss of home energy service.</w:t>
      </w:r>
    </w:p>
    <w:p w:rsidR="00A906F7" w:rsidP="00A906F7" w:rsidRDefault="00A906F7" w14:paraId="49B291C0" w14:textId="77777777">
      <w:pPr>
        <w:ind w:left="1440"/>
        <w:contextualSpacing/>
        <w:textAlignment w:val="baseline"/>
        <w:rPr>
          <w:rFonts w:ascii="Georgia" w:hAnsi="Georgia"/>
          <w:color w:val="333333"/>
          <w:sz w:val="22"/>
        </w:rPr>
      </w:pPr>
    </w:p>
    <w:p w:rsidRPr="00A906F7" w:rsidR="00A906F7" w:rsidP="00A906F7" w:rsidRDefault="00A906F7" w14:paraId="628E58CD" w14:textId="77777777">
      <w:pPr>
        <w:widowControl/>
        <w:numPr>
          <w:ilvl w:val="0"/>
          <w:numId w:val="26"/>
        </w:numPr>
        <w:tabs>
          <w:tab w:val="clear" w:pos="720"/>
        </w:tabs>
        <w:ind w:left="1440" w:firstLine="0"/>
        <w:contextualSpacing/>
        <w:textAlignment w:val="baseline"/>
        <w:rPr>
          <w:rFonts w:ascii="Georgia" w:hAnsi="Georgia"/>
          <w:color w:val="333333"/>
          <w:sz w:val="22"/>
        </w:rPr>
      </w:pPr>
      <w:r w:rsidRPr="00A906F7">
        <w:rPr>
          <w:rFonts w:ascii="Georgia" w:hAnsi="Georgia"/>
          <w:color w:val="333333"/>
          <w:sz w:val="22"/>
        </w:rPr>
        <w:t>ACF will be able to respond to questions on sources and uses of LIHEAP funds from the Congress, Department, OMB, White House, and other interested parties in a timely manner.</w:t>
      </w:r>
    </w:p>
    <w:p w:rsidR="00A906F7" w:rsidP="00A906F7" w:rsidRDefault="00A906F7" w14:paraId="09F19973" w14:textId="77777777">
      <w:pPr>
        <w:ind w:left="1440"/>
        <w:contextualSpacing/>
        <w:textAlignment w:val="baseline"/>
        <w:rPr>
          <w:rFonts w:ascii="Georgia" w:hAnsi="Georgia"/>
          <w:color w:val="333333"/>
          <w:sz w:val="22"/>
        </w:rPr>
      </w:pPr>
    </w:p>
    <w:p w:rsidRPr="00A906F7" w:rsidR="00A906F7" w:rsidP="00A906F7" w:rsidRDefault="00A906F7" w14:paraId="1498969D" w14:textId="77777777">
      <w:pPr>
        <w:widowControl/>
        <w:numPr>
          <w:ilvl w:val="0"/>
          <w:numId w:val="26"/>
        </w:numPr>
        <w:tabs>
          <w:tab w:val="clear" w:pos="720"/>
        </w:tabs>
        <w:ind w:left="1440" w:firstLine="0"/>
        <w:contextualSpacing/>
        <w:textAlignment w:val="baseline"/>
        <w:rPr>
          <w:rFonts w:ascii="Georgia" w:hAnsi="Georgia"/>
          <w:color w:val="333333"/>
          <w:sz w:val="22"/>
        </w:rPr>
      </w:pPr>
      <w:r w:rsidRPr="00A906F7">
        <w:rPr>
          <w:rFonts w:ascii="Georgia" w:hAnsi="Georgia"/>
          <w:color w:val="333333"/>
          <w:sz w:val="22"/>
        </w:rPr>
        <w:t>LIHEAP grantees will be able to compare their own results to the results for other states, as well as to regional and national results, through the Data Warehouse of the LIHEAP Performance Management Web site as they manage their programs.</w:t>
      </w:r>
    </w:p>
    <w:p w:rsidR="00A906F7" w:rsidP="00A906F7" w:rsidRDefault="00A906F7" w14:paraId="3CD6C39A" w14:textId="77777777">
      <w:pPr>
        <w:pStyle w:val="NormalWeb"/>
        <w:spacing w:before="0" w:beforeAutospacing="0" w:after="0" w:afterAutospacing="0"/>
        <w:ind w:left="720"/>
        <w:contextualSpacing/>
        <w:textAlignment w:val="baseline"/>
        <w:rPr>
          <w:rStyle w:val="Emphasis"/>
          <w:rFonts w:ascii="Georgia" w:hAnsi="Georgia"/>
          <w:color w:val="333333"/>
          <w:sz w:val="22"/>
          <w:bdr w:val="none" w:color="auto" w:sz="0" w:space="0" w:frame="1"/>
        </w:rPr>
      </w:pPr>
    </w:p>
    <w:p w:rsidRPr="00A906F7" w:rsidR="00A906F7" w:rsidP="00A906F7" w:rsidRDefault="00A906F7" w14:paraId="161AB820" w14:textId="77777777">
      <w:pPr>
        <w:pStyle w:val="NormalWeb"/>
        <w:spacing w:before="0" w:beforeAutospacing="0" w:after="0" w:afterAutospacing="0"/>
        <w:ind w:left="720"/>
        <w:contextualSpacing/>
        <w:textAlignment w:val="baseline"/>
        <w:rPr>
          <w:rFonts w:ascii="Georgia" w:hAnsi="Georgia"/>
          <w:color w:val="333333"/>
          <w:sz w:val="22"/>
        </w:rPr>
      </w:pPr>
      <w:r w:rsidRPr="00A906F7">
        <w:rPr>
          <w:rStyle w:val="Emphasis"/>
          <w:rFonts w:ascii="Georgia" w:hAnsi="Georgia"/>
          <w:color w:val="333333"/>
          <w:sz w:val="22"/>
          <w:bdr w:val="none" w:color="auto" w:sz="0" w:space="0" w:frame="1"/>
        </w:rPr>
        <w:t>Respondents:</w:t>
      </w:r>
      <w:r w:rsidRPr="00A906F7">
        <w:rPr>
          <w:rFonts w:ascii="Georgia" w:hAnsi="Georgia"/>
          <w:color w:val="333333"/>
          <w:sz w:val="22"/>
        </w:rPr>
        <w:t> State Governments and the District of Columbia.</w:t>
      </w:r>
    </w:p>
    <w:p w:rsidR="00587825" w:rsidP="00587825" w:rsidRDefault="00587825" w14:paraId="1A165A8D" w14:textId="77777777">
      <w:pPr>
        <w:rPr>
          <w:rFonts w:ascii="Helvetica" w:hAnsi="Helvetica" w:cs="Helvetica" w:eastAsiaTheme="majorEastAsia"/>
          <w:color w:val="333333"/>
          <w:sz w:val="28"/>
          <w:szCs w:val="30"/>
        </w:rPr>
      </w:pPr>
    </w:p>
    <w:p w:rsidRPr="00587825" w:rsidR="00A906F7" w:rsidP="00587825" w:rsidRDefault="00A906F7" w14:paraId="669C8C2B" w14:textId="77777777">
      <w:pPr>
        <w:ind w:firstLine="720"/>
        <w:rPr>
          <w:rFonts w:ascii="Georgia" w:hAnsi="Georgia"/>
          <w:sz w:val="22"/>
        </w:rPr>
      </w:pPr>
      <w:r w:rsidRPr="00587825">
        <w:rPr>
          <w:rFonts w:ascii="Georgia" w:hAnsi="Georgia"/>
        </w:rPr>
        <w:t>Annual Burden Estimates</w:t>
      </w:r>
    </w:p>
    <w:p w:rsidR="00A906F7" w:rsidP="00A906F7" w:rsidRDefault="00A906F7" w14:paraId="1EBA2943" w14:textId="77777777">
      <w:pPr>
        <w:pStyle w:val="NormalWeb"/>
        <w:spacing w:before="0" w:beforeAutospacing="0" w:after="0" w:afterAutospacing="0"/>
        <w:ind w:left="720"/>
        <w:contextualSpacing/>
        <w:textAlignment w:val="baseline"/>
        <w:rPr>
          <w:rFonts w:ascii="Georgia" w:hAnsi="Georgia"/>
          <w:color w:val="333333"/>
          <w:sz w:val="22"/>
        </w:rPr>
      </w:pPr>
    </w:p>
    <w:p w:rsidR="00A906F7" w:rsidP="00A906F7" w:rsidRDefault="00A906F7" w14:paraId="7AC393E5" w14:textId="79ED48F3">
      <w:pPr>
        <w:pStyle w:val="NormalWeb"/>
        <w:spacing w:before="0" w:beforeAutospacing="0" w:after="0" w:afterAutospacing="0"/>
        <w:ind w:left="720"/>
        <w:contextualSpacing/>
        <w:textAlignment w:val="baseline"/>
        <w:rPr>
          <w:rFonts w:ascii="Georgia" w:hAnsi="Georgia"/>
          <w:color w:val="333333"/>
          <w:sz w:val="22"/>
        </w:rPr>
      </w:pPr>
      <w:r w:rsidRPr="00A906F7">
        <w:rPr>
          <w:rFonts w:ascii="Georgia" w:hAnsi="Georgia"/>
          <w:color w:val="333333"/>
          <w:sz w:val="22"/>
        </w:rPr>
        <w:t xml:space="preserve">The table below shows the estimated data collection and reporting burden for the LPDF as reported in 2014. These estimates are based on a small number of interviews conducted in 2014 with grantees, sub-grantees, and energy vendors. In support of this submission requesting comments, ACF is currently re-assessing the level of </w:t>
      </w:r>
      <w:r w:rsidRPr="007630C6" w:rsidR="00EE4CBA">
        <w:rPr>
          <w:rFonts w:ascii="Georgia" w:hAnsi="Georgia"/>
          <w:color w:val="333333"/>
          <w:sz w:val="22"/>
        </w:rPr>
        <w:t>effort</w:t>
      </w:r>
      <w:r w:rsidRPr="007630C6" w:rsidR="007630C6">
        <w:rPr>
          <w:rFonts w:ascii="Georgia" w:hAnsi="Georgia"/>
          <w:color w:val="333333"/>
          <w:sz w:val="22"/>
        </w:rPr>
        <w:t xml:space="preserve"> </w:t>
      </w:r>
      <w:r w:rsidRPr="00A906F7">
        <w:rPr>
          <w:rFonts w:ascii="Georgia" w:hAnsi="Georgia"/>
          <w:color w:val="333333"/>
          <w:sz w:val="22"/>
        </w:rPr>
        <w:t>to collect and report the required data in order to develop updated burden estimates. The original 2014 estimates were based on grantee reporting capabilities at that time and included time and costs for initial system development. However, since most grantees have improved their reporting capabilities, many grantees have completed their system development, and ACF has furnished reporting resources and technical assistance to assist grantees, it is expected that the time and costs associated with reporting are lower than the original 2014 estimates show below.</w:t>
      </w:r>
    </w:p>
    <w:p w:rsidRPr="00A906F7" w:rsidR="00A906F7" w:rsidP="00A906F7" w:rsidRDefault="00A906F7" w14:paraId="3C0DB5C6" w14:textId="77777777">
      <w:pPr>
        <w:pStyle w:val="NormalWeb"/>
        <w:spacing w:before="0" w:beforeAutospacing="0" w:after="0" w:afterAutospacing="0"/>
        <w:ind w:left="720"/>
        <w:contextualSpacing/>
        <w:textAlignment w:val="baseline"/>
        <w:rPr>
          <w:rFonts w:ascii="Georgia" w:hAnsi="Georgia"/>
          <w:color w:val="333333"/>
          <w:sz w:val="22"/>
        </w:rPr>
      </w:pPr>
    </w:p>
    <w:tbl>
      <w:tblPr>
        <w:tblW w:w="0" w:type="auto"/>
        <w:tblInd w:w="270" w:type="dxa"/>
        <w:tblCellMar>
          <w:top w:w="150" w:type="dxa"/>
          <w:left w:w="150" w:type="dxa"/>
          <w:bottom w:w="150" w:type="dxa"/>
          <w:right w:w="150" w:type="dxa"/>
        </w:tblCellMar>
        <w:tblLook w:val="04A0" w:firstRow="1" w:lastRow="0" w:firstColumn="1" w:lastColumn="0" w:noHBand="0" w:noVBand="1"/>
      </w:tblPr>
      <w:tblGrid>
        <w:gridCol w:w="2806"/>
        <w:gridCol w:w="2353"/>
        <w:gridCol w:w="2221"/>
        <w:gridCol w:w="1957"/>
        <w:gridCol w:w="1693"/>
      </w:tblGrid>
      <w:tr w:rsidRPr="00A906F7" w:rsidR="00A906F7" w:rsidTr="00A906F7" w14:paraId="2A3D34ED" w14:textId="77777777">
        <w:trPr>
          <w:tblHeader/>
        </w:trPr>
        <w:tc>
          <w:tcPr>
            <w:tcW w:w="3089" w:type="dxa"/>
            <w:tcBorders>
              <w:top w:val="single" w:color="333333" w:sz="6" w:space="0"/>
              <w:left w:val="nil"/>
              <w:bottom w:val="single" w:color="333333" w:sz="6" w:space="0"/>
              <w:right w:val="single" w:color="333333" w:sz="6" w:space="0"/>
            </w:tcBorders>
            <w:shd w:val="clear" w:color="auto" w:fill="auto"/>
            <w:tcMar>
              <w:top w:w="90" w:type="dxa"/>
              <w:left w:w="90" w:type="dxa"/>
              <w:bottom w:w="90" w:type="dxa"/>
              <w:right w:w="90" w:type="dxa"/>
            </w:tcMar>
            <w:vAlign w:val="center"/>
            <w:hideMark/>
          </w:tcPr>
          <w:p w:rsidRPr="00A906F7" w:rsidR="00A906F7" w:rsidP="00A906F7" w:rsidRDefault="00A906F7" w14:paraId="750330E3" w14:textId="77777777">
            <w:pPr>
              <w:ind w:left="720"/>
              <w:contextualSpacing/>
              <w:jc w:val="center"/>
              <w:rPr>
                <w:b/>
                <w:bCs/>
                <w:sz w:val="22"/>
              </w:rPr>
            </w:pPr>
            <w:r w:rsidRPr="00A906F7">
              <w:rPr>
                <w:b/>
                <w:bCs/>
                <w:sz w:val="22"/>
              </w:rPr>
              <w:t>Instrument</w:t>
            </w:r>
          </w:p>
        </w:tc>
        <w:tc>
          <w:tcPr>
            <w:tcW w:w="0" w:type="auto"/>
            <w:tcBorders>
              <w:top w:val="single" w:color="333333" w:sz="6" w:space="0"/>
              <w:left w:val="nil"/>
              <w:bottom w:val="single" w:color="333333" w:sz="6" w:space="0"/>
              <w:right w:val="single" w:color="333333" w:sz="6" w:space="0"/>
            </w:tcBorders>
            <w:shd w:val="clear" w:color="auto" w:fill="auto"/>
            <w:tcMar>
              <w:top w:w="90" w:type="dxa"/>
              <w:left w:w="90" w:type="dxa"/>
              <w:bottom w:w="90" w:type="dxa"/>
              <w:right w:w="90" w:type="dxa"/>
            </w:tcMar>
            <w:vAlign w:val="center"/>
            <w:hideMark/>
          </w:tcPr>
          <w:p w:rsidRPr="00A906F7" w:rsidR="00A906F7" w:rsidP="00A906F7" w:rsidRDefault="00A906F7" w14:paraId="16776B01" w14:textId="77777777">
            <w:pPr>
              <w:ind w:left="720"/>
              <w:contextualSpacing/>
              <w:jc w:val="center"/>
              <w:rPr>
                <w:b/>
                <w:bCs/>
                <w:sz w:val="22"/>
              </w:rPr>
            </w:pPr>
            <w:r w:rsidRPr="00A906F7">
              <w:rPr>
                <w:b/>
                <w:bCs/>
                <w:sz w:val="22"/>
              </w:rPr>
              <w:t>Number of respondents</w:t>
            </w:r>
          </w:p>
        </w:tc>
        <w:tc>
          <w:tcPr>
            <w:tcW w:w="0" w:type="auto"/>
            <w:tcBorders>
              <w:top w:val="single" w:color="333333" w:sz="6" w:space="0"/>
              <w:left w:val="nil"/>
              <w:bottom w:val="single" w:color="333333" w:sz="6" w:space="0"/>
              <w:right w:val="single" w:color="333333" w:sz="6" w:space="0"/>
            </w:tcBorders>
            <w:shd w:val="clear" w:color="auto" w:fill="auto"/>
            <w:tcMar>
              <w:top w:w="90" w:type="dxa"/>
              <w:left w:w="90" w:type="dxa"/>
              <w:bottom w:w="90" w:type="dxa"/>
              <w:right w:w="90" w:type="dxa"/>
            </w:tcMar>
            <w:vAlign w:val="center"/>
            <w:hideMark/>
          </w:tcPr>
          <w:p w:rsidRPr="00A906F7" w:rsidR="00A906F7" w:rsidP="00A906F7" w:rsidRDefault="00A906F7" w14:paraId="7E50C69F" w14:textId="77777777">
            <w:pPr>
              <w:ind w:left="720"/>
              <w:contextualSpacing/>
              <w:jc w:val="center"/>
              <w:rPr>
                <w:b/>
                <w:bCs/>
                <w:sz w:val="22"/>
              </w:rPr>
            </w:pPr>
            <w:r w:rsidRPr="00A906F7">
              <w:rPr>
                <w:b/>
                <w:bCs/>
                <w:sz w:val="22"/>
              </w:rPr>
              <w:t>Number of responses per respondent</w:t>
            </w:r>
          </w:p>
        </w:tc>
        <w:tc>
          <w:tcPr>
            <w:tcW w:w="0" w:type="auto"/>
            <w:tcBorders>
              <w:top w:val="single" w:color="333333" w:sz="6" w:space="0"/>
              <w:left w:val="nil"/>
              <w:bottom w:val="single" w:color="333333" w:sz="6" w:space="0"/>
              <w:right w:val="single" w:color="333333" w:sz="6" w:space="0"/>
            </w:tcBorders>
            <w:shd w:val="clear" w:color="auto" w:fill="auto"/>
            <w:tcMar>
              <w:top w:w="90" w:type="dxa"/>
              <w:left w:w="90" w:type="dxa"/>
              <w:bottom w:w="90" w:type="dxa"/>
              <w:right w:w="90" w:type="dxa"/>
            </w:tcMar>
            <w:vAlign w:val="center"/>
            <w:hideMark/>
          </w:tcPr>
          <w:p w:rsidRPr="00A906F7" w:rsidR="00A906F7" w:rsidP="00A906F7" w:rsidRDefault="00A906F7" w14:paraId="7BE0C9FA" w14:textId="77777777">
            <w:pPr>
              <w:ind w:left="720"/>
              <w:contextualSpacing/>
              <w:jc w:val="center"/>
              <w:rPr>
                <w:b/>
                <w:bCs/>
                <w:sz w:val="22"/>
              </w:rPr>
            </w:pPr>
            <w:r w:rsidRPr="00A906F7">
              <w:rPr>
                <w:b/>
                <w:bCs/>
                <w:sz w:val="22"/>
              </w:rPr>
              <w:t>Average burden hours per response</w:t>
            </w:r>
          </w:p>
        </w:tc>
        <w:tc>
          <w:tcPr>
            <w:tcW w:w="0" w:type="auto"/>
            <w:tcBorders>
              <w:top w:val="single" w:color="333333" w:sz="6" w:space="0"/>
              <w:left w:val="nil"/>
              <w:bottom w:val="single" w:color="333333" w:sz="6" w:space="0"/>
              <w:right w:val="nil"/>
            </w:tcBorders>
            <w:shd w:val="clear" w:color="auto" w:fill="auto"/>
            <w:tcMar>
              <w:top w:w="90" w:type="dxa"/>
              <w:left w:w="90" w:type="dxa"/>
              <w:bottom w:w="90" w:type="dxa"/>
              <w:right w:w="90" w:type="dxa"/>
            </w:tcMar>
            <w:vAlign w:val="center"/>
            <w:hideMark/>
          </w:tcPr>
          <w:p w:rsidRPr="00A906F7" w:rsidR="00A906F7" w:rsidP="00A906F7" w:rsidRDefault="00A906F7" w14:paraId="79B184B6" w14:textId="77777777">
            <w:pPr>
              <w:ind w:left="720"/>
              <w:contextualSpacing/>
              <w:jc w:val="center"/>
              <w:rPr>
                <w:b/>
                <w:bCs/>
                <w:sz w:val="22"/>
              </w:rPr>
            </w:pPr>
            <w:r w:rsidRPr="00A906F7">
              <w:rPr>
                <w:b/>
                <w:bCs/>
                <w:sz w:val="22"/>
              </w:rPr>
              <w:t>Total burden hours</w:t>
            </w:r>
          </w:p>
        </w:tc>
      </w:tr>
      <w:tr w:rsidRPr="00A906F7" w:rsidR="00A906F7" w:rsidTr="00A906F7" w14:paraId="4D58F900" w14:textId="77777777">
        <w:tc>
          <w:tcPr>
            <w:tcW w:w="11030" w:type="dxa"/>
            <w:gridSpan w:val="5"/>
            <w:tcBorders>
              <w:top w:val="nil"/>
              <w:left w:val="nil"/>
              <w:bottom w:val="single" w:color="333333" w:sz="6" w:space="0"/>
              <w:right w:val="nil"/>
            </w:tcBorders>
            <w:shd w:val="clear" w:color="auto" w:fill="auto"/>
            <w:tcMar>
              <w:top w:w="90" w:type="dxa"/>
              <w:left w:w="90" w:type="dxa"/>
              <w:bottom w:w="90" w:type="dxa"/>
              <w:right w:w="90" w:type="dxa"/>
            </w:tcMar>
            <w:vAlign w:val="bottom"/>
            <w:hideMark/>
          </w:tcPr>
          <w:p w:rsidRPr="00A906F7" w:rsidR="00A906F7" w:rsidP="00A906F7" w:rsidRDefault="00A906F7" w14:paraId="092436DA" w14:textId="77777777">
            <w:pPr>
              <w:ind w:left="720"/>
              <w:contextualSpacing/>
              <w:jc w:val="center"/>
              <w:rPr>
                <w:sz w:val="22"/>
              </w:rPr>
            </w:pPr>
            <w:r w:rsidRPr="00A906F7">
              <w:rPr>
                <w:rStyle w:val="Emphasis"/>
                <w:sz w:val="22"/>
                <w:bdr w:val="none" w:color="auto" w:sz="0" w:space="0" w:frame="1"/>
              </w:rPr>
              <w:t>Module 1: Grantee Survey</w:t>
            </w:r>
          </w:p>
        </w:tc>
      </w:tr>
      <w:tr w:rsidRPr="00A906F7" w:rsidR="00A906F7" w:rsidTr="00A906F7" w14:paraId="4D32AD79" w14:textId="77777777">
        <w:tc>
          <w:tcPr>
            <w:tcW w:w="3089" w:type="dxa"/>
            <w:tcBorders>
              <w:top w:val="nil"/>
              <w:left w:val="nil"/>
              <w:bottom w:val="single" w:color="333333" w:sz="6" w:space="0"/>
              <w:right w:val="single" w:color="333333" w:sz="6" w:space="0"/>
            </w:tcBorders>
            <w:shd w:val="clear" w:color="auto" w:fill="auto"/>
            <w:tcMar>
              <w:top w:w="90" w:type="dxa"/>
              <w:left w:w="90" w:type="dxa"/>
              <w:bottom w:w="90" w:type="dxa"/>
              <w:right w:w="90" w:type="dxa"/>
            </w:tcMar>
            <w:vAlign w:val="bottom"/>
            <w:hideMark/>
          </w:tcPr>
          <w:p w:rsidRPr="00A906F7" w:rsidR="00A906F7" w:rsidP="00A906F7" w:rsidRDefault="00A906F7" w14:paraId="69554A7E" w14:textId="77777777">
            <w:pPr>
              <w:ind w:left="720"/>
              <w:contextualSpacing/>
              <w:rPr>
                <w:sz w:val="22"/>
              </w:rPr>
            </w:pPr>
            <w:r w:rsidRPr="00A906F7">
              <w:rPr>
                <w:sz w:val="22"/>
              </w:rPr>
              <w:t>Grantees</w:t>
            </w:r>
          </w:p>
        </w:tc>
        <w:tc>
          <w:tcPr>
            <w:tcW w:w="0" w:type="auto"/>
            <w:tcBorders>
              <w:top w:val="nil"/>
              <w:left w:val="nil"/>
              <w:bottom w:val="single" w:color="333333" w:sz="6" w:space="0"/>
              <w:right w:val="single" w:color="333333" w:sz="6" w:space="0"/>
            </w:tcBorders>
            <w:shd w:val="clear" w:color="auto" w:fill="auto"/>
            <w:tcMar>
              <w:top w:w="90" w:type="dxa"/>
              <w:left w:w="90" w:type="dxa"/>
              <w:bottom w:w="90" w:type="dxa"/>
              <w:right w:w="90" w:type="dxa"/>
            </w:tcMar>
            <w:vAlign w:val="bottom"/>
            <w:hideMark/>
          </w:tcPr>
          <w:p w:rsidRPr="00A906F7" w:rsidR="00A906F7" w:rsidP="00A906F7" w:rsidRDefault="00A906F7" w14:paraId="0817A748" w14:textId="77777777">
            <w:pPr>
              <w:ind w:left="720"/>
              <w:contextualSpacing/>
              <w:rPr>
                <w:sz w:val="22"/>
              </w:rPr>
            </w:pPr>
            <w:r w:rsidRPr="00A906F7">
              <w:rPr>
                <w:sz w:val="22"/>
              </w:rPr>
              <w:t>51</w:t>
            </w:r>
          </w:p>
        </w:tc>
        <w:tc>
          <w:tcPr>
            <w:tcW w:w="0" w:type="auto"/>
            <w:tcBorders>
              <w:top w:val="nil"/>
              <w:left w:val="nil"/>
              <w:bottom w:val="single" w:color="333333" w:sz="6" w:space="0"/>
              <w:right w:val="single" w:color="333333" w:sz="6" w:space="0"/>
            </w:tcBorders>
            <w:shd w:val="clear" w:color="auto" w:fill="auto"/>
            <w:tcMar>
              <w:top w:w="90" w:type="dxa"/>
              <w:left w:w="90" w:type="dxa"/>
              <w:bottom w:w="90" w:type="dxa"/>
              <w:right w:w="90" w:type="dxa"/>
            </w:tcMar>
            <w:vAlign w:val="bottom"/>
            <w:hideMark/>
          </w:tcPr>
          <w:p w:rsidRPr="00A906F7" w:rsidR="00A906F7" w:rsidP="00A906F7" w:rsidRDefault="00A906F7" w14:paraId="0E793107" w14:textId="77777777">
            <w:pPr>
              <w:ind w:left="720"/>
              <w:contextualSpacing/>
              <w:jc w:val="right"/>
              <w:rPr>
                <w:sz w:val="22"/>
              </w:rPr>
            </w:pPr>
            <w:r w:rsidRPr="00A906F7">
              <w:rPr>
                <w:sz w:val="22"/>
              </w:rPr>
              <w:t>1</w:t>
            </w:r>
          </w:p>
        </w:tc>
        <w:tc>
          <w:tcPr>
            <w:tcW w:w="0" w:type="auto"/>
            <w:tcBorders>
              <w:top w:val="nil"/>
              <w:left w:val="nil"/>
              <w:bottom w:val="single" w:color="333333" w:sz="6" w:space="0"/>
              <w:right w:val="single" w:color="333333" w:sz="6" w:space="0"/>
            </w:tcBorders>
            <w:shd w:val="clear" w:color="auto" w:fill="auto"/>
            <w:tcMar>
              <w:top w:w="90" w:type="dxa"/>
              <w:left w:w="90" w:type="dxa"/>
              <w:bottom w:w="90" w:type="dxa"/>
              <w:right w:w="90" w:type="dxa"/>
            </w:tcMar>
            <w:vAlign w:val="bottom"/>
            <w:hideMark/>
          </w:tcPr>
          <w:p w:rsidRPr="00A906F7" w:rsidR="00A906F7" w:rsidP="00A906F7" w:rsidRDefault="00A906F7" w14:paraId="5A5A920A" w14:textId="77777777">
            <w:pPr>
              <w:ind w:left="720"/>
              <w:contextualSpacing/>
              <w:rPr>
                <w:sz w:val="22"/>
              </w:rPr>
            </w:pPr>
            <w:r w:rsidRPr="00A906F7">
              <w:rPr>
                <w:sz w:val="22"/>
              </w:rPr>
              <w:t>3.5</w:t>
            </w:r>
          </w:p>
        </w:tc>
        <w:tc>
          <w:tcPr>
            <w:tcW w:w="0" w:type="auto"/>
            <w:tcBorders>
              <w:top w:val="nil"/>
              <w:left w:val="nil"/>
              <w:bottom w:val="single" w:color="333333" w:sz="6" w:space="0"/>
              <w:right w:val="nil"/>
            </w:tcBorders>
            <w:shd w:val="clear" w:color="auto" w:fill="auto"/>
            <w:tcMar>
              <w:top w:w="90" w:type="dxa"/>
              <w:left w:w="90" w:type="dxa"/>
              <w:bottom w:w="90" w:type="dxa"/>
              <w:right w:w="90" w:type="dxa"/>
            </w:tcMar>
            <w:vAlign w:val="bottom"/>
            <w:hideMark/>
          </w:tcPr>
          <w:p w:rsidRPr="00A906F7" w:rsidR="00A906F7" w:rsidP="00A906F7" w:rsidRDefault="00A906F7" w14:paraId="5FA161D2" w14:textId="77777777">
            <w:pPr>
              <w:ind w:left="720"/>
              <w:contextualSpacing/>
              <w:jc w:val="right"/>
              <w:rPr>
                <w:sz w:val="22"/>
              </w:rPr>
            </w:pPr>
            <w:r w:rsidRPr="00A906F7">
              <w:rPr>
                <w:sz w:val="22"/>
              </w:rPr>
              <w:t>178.50</w:t>
            </w:r>
          </w:p>
        </w:tc>
      </w:tr>
      <w:tr w:rsidRPr="00A906F7" w:rsidR="00A906F7" w:rsidTr="00A906F7" w14:paraId="2A36D081" w14:textId="77777777">
        <w:tc>
          <w:tcPr>
            <w:tcW w:w="11030" w:type="dxa"/>
            <w:gridSpan w:val="5"/>
            <w:tcBorders>
              <w:top w:val="nil"/>
              <w:left w:val="nil"/>
              <w:bottom w:val="single" w:color="333333" w:sz="6" w:space="0"/>
              <w:right w:val="nil"/>
            </w:tcBorders>
            <w:shd w:val="clear" w:color="auto" w:fill="auto"/>
            <w:tcMar>
              <w:top w:w="90" w:type="dxa"/>
              <w:left w:w="90" w:type="dxa"/>
              <w:bottom w:w="90" w:type="dxa"/>
              <w:right w:w="90" w:type="dxa"/>
            </w:tcMar>
            <w:vAlign w:val="bottom"/>
            <w:hideMark/>
          </w:tcPr>
          <w:p w:rsidRPr="00A906F7" w:rsidR="00A906F7" w:rsidP="00A906F7" w:rsidRDefault="00A906F7" w14:paraId="2C35E249" w14:textId="77777777">
            <w:pPr>
              <w:ind w:left="720"/>
              <w:contextualSpacing/>
              <w:jc w:val="center"/>
              <w:rPr>
                <w:sz w:val="22"/>
              </w:rPr>
            </w:pPr>
            <w:r w:rsidRPr="00A906F7">
              <w:rPr>
                <w:rStyle w:val="Emphasis"/>
                <w:sz w:val="22"/>
                <w:bdr w:val="none" w:color="auto" w:sz="0" w:space="0" w:frame="1"/>
              </w:rPr>
              <w:t>Module 2: Performance Measures</w:t>
            </w:r>
          </w:p>
        </w:tc>
      </w:tr>
      <w:tr w:rsidRPr="00A906F7" w:rsidR="00A906F7" w:rsidTr="00A906F7" w14:paraId="700B2C4C" w14:textId="77777777">
        <w:tc>
          <w:tcPr>
            <w:tcW w:w="3089" w:type="dxa"/>
            <w:tcBorders>
              <w:top w:val="nil"/>
              <w:left w:val="nil"/>
              <w:bottom w:val="nil"/>
              <w:right w:val="single" w:color="333333" w:sz="6" w:space="0"/>
            </w:tcBorders>
            <w:shd w:val="clear" w:color="auto" w:fill="auto"/>
            <w:tcMar>
              <w:top w:w="90" w:type="dxa"/>
              <w:left w:w="90" w:type="dxa"/>
              <w:bottom w:w="90" w:type="dxa"/>
              <w:right w:w="90" w:type="dxa"/>
            </w:tcMar>
            <w:vAlign w:val="bottom"/>
            <w:hideMark/>
          </w:tcPr>
          <w:p w:rsidRPr="00A906F7" w:rsidR="00A906F7" w:rsidP="00A906F7" w:rsidRDefault="00A906F7" w14:paraId="13E9B15E" w14:textId="77777777">
            <w:pPr>
              <w:ind w:left="720"/>
              <w:contextualSpacing/>
              <w:rPr>
                <w:sz w:val="22"/>
              </w:rPr>
            </w:pPr>
            <w:r w:rsidRPr="00A906F7">
              <w:rPr>
                <w:sz w:val="22"/>
              </w:rPr>
              <w:t>Grantees</w:t>
            </w:r>
          </w:p>
        </w:tc>
        <w:tc>
          <w:tcPr>
            <w:tcW w:w="0" w:type="auto"/>
            <w:tcBorders>
              <w:top w:val="nil"/>
              <w:left w:val="nil"/>
              <w:bottom w:val="nil"/>
              <w:right w:val="single" w:color="333333" w:sz="6" w:space="0"/>
            </w:tcBorders>
            <w:shd w:val="clear" w:color="auto" w:fill="auto"/>
            <w:tcMar>
              <w:top w:w="90" w:type="dxa"/>
              <w:left w:w="90" w:type="dxa"/>
              <w:bottom w:w="90" w:type="dxa"/>
              <w:right w:w="90" w:type="dxa"/>
            </w:tcMar>
            <w:vAlign w:val="bottom"/>
            <w:hideMark/>
          </w:tcPr>
          <w:p w:rsidRPr="00A906F7" w:rsidR="00A906F7" w:rsidP="00A906F7" w:rsidRDefault="00A906F7" w14:paraId="07462816" w14:textId="77777777">
            <w:pPr>
              <w:ind w:left="720"/>
              <w:contextualSpacing/>
              <w:rPr>
                <w:sz w:val="22"/>
              </w:rPr>
            </w:pPr>
            <w:r w:rsidRPr="00A906F7">
              <w:rPr>
                <w:sz w:val="22"/>
              </w:rPr>
              <w:t>51</w:t>
            </w:r>
          </w:p>
        </w:tc>
        <w:tc>
          <w:tcPr>
            <w:tcW w:w="0" w:type="auto"/>
            <w:tcBorders>
              <w:top w:val="nil"/>
              <w:left w:val="nil"/>
              <w:bottom w:val="nil"/>
              <w:right w:val="single" w:color="333333" w:sz="6" w:space="0"/>
            </w:tcBorders>
            <w:shd w:val="clear" w:color="auto" w:fill="auto"/>
            <w:tcMar>
              <w:top w:w="90" w:type="dxa"/>
              <w:left w:w="90" w:type="dxa"/>
              <w:bottom w:w="90" w:type="dxa"/>
              <w:right w:w="90" w:type="dxa"/>
            </w:tcMar>
            <w:vAlign w:val="bottom"/>
            <w:hideMark/>
          </w:tcPr>
          <w:p w:rsidRPr="00A906F7" w:rsidR="00A906F7" w:rsidP="00A906F7" w:rsidRDefault="00A906F7" w14:paraId="297C8BAA" w14:textId="77777777">
            <w:pPr>
              <w:ind w:left="720"/>
              <w:contextualSpacing/>
              <w:jc w:val="right"/>
              <w:rPr>
                <w:sz w:val="22"/>
              </w:rPr>
            </w:pPr>
            <w:r w:rsidRPr="00A906F7">
              <w:rPr>
                <w:sz w:val="22"/>
              </w:rPr>
              <w:t>1</w:t>
            </w:r>
          </w:p>
        </w:tc>
        <w:tc>
          <w:tcPr>
            <w:tcW w:w="0" w:type="auto"/>
            <w:tcBorders>
              <w:top w:val="nil"/>
              <w:left w:val="nil"/>
              <w:bottom w:val="nil"/>
              <w:right w:val="single" w:color="333333" w:sz="6" w:space="0"/>
            </w:tcBorders>
            <w:shd w:val="clear" w:color="auto" w:fill="auto"/>
            <w:tcMar>
              <w:top w:w="90" w:type="dxa"/>
              <w:left w:w="90" w:type="dxa"/>
              <w:bottom w:w="90" w:type="dxa"/>
              <w:right w:w="90" w:type="dxa"/>
            </w:tcMar>
            <w:vAlign w:val="bottom"/>
            <w:hideMark/>
          </w:tcPr>
          <w:p w:rsidRPr="00A906F7" w:rsidR="00A906F7" w:rsidP="00A906F7" w:rsidRDefault="00A906F7" w14:paraId="2A06D106" w14:textId="77777777">
            <w:pPr>
              <w:ind w:left="720"/>
              <w:contextualSpacing/>
              <w:rPr>
                <w:sz w:val="22"/>
              </w:rPr>
            </w:pPr>
            <w:r w:rsidRPr="00A906F7">
              <w:rPr>
                <w:sz w:val="22"/>
              </w:rPr>
              <w:t>100</w:t>
            </w:r>
          </w:p>
        </w:tc>
        <w:tc>
          <w:tcPr>
            <w:tcW w:w="0" w:type="auto"/>
            <w:tcBorders>
              <w:top w:val="nil"/>
              <w:left w:val="nil"/>
              <w:bottom w:val="nil"/>
              <w:right w:val="nil"/>
            </w:tcBorders>
            <w:shd w:val="clear" w:color="auto" w:fill="auto"/>
            <w:tcMar>
              <w:top w:w="90" w:type="dxa"/>
              <w:left w:w="90" w:type="dxa"/>
              <w:bottom w:w="90" w:type="dxa"/>
              <w:right w:w="90" w:type="dxa"/>
            </w:tcMar>
            <w:vAlign w:val="bottom"/>
            <w:hideMark/>
          </w:tcPr>
          <w:p w:rsidRPr="00A906F7" w:rsidR="00A906F7" w:rsidP="00A906F7" w:rsidRDefault="00A906F7" w14:paraId="628DABF8" w14:textId="77777777">
            <w:pPr>
              <w:ind w:left="720"/>
              <w:contextualSpacing/>
              <w:jc w:val="right"/>
              <w:rPr>
                <w:sz w:val="22"/>
              </w:rPr>
            </w:pPr>
            <w:r w:rsidRPr="00A906F7">
              <w:rPr>
                <w:sz w:val="22"/>
              </w:rPr>
              <w:t>5,100</w:t>
            </w:r>
          </w:p>
        </w:tc>
      </w:tr>
      <w:tr w:rsidRPr="00A906F7" w:rsidR="00A906F7" w:rsidTr="00A906F7" w14:paraId="66859C8A" w14:textId="77777777">
        <w:tc>
          <w:tcPr>
            <w:tcW w:w="3089" w:type="dxa"/>
            <w:tcBorders>
              <w:top w:val="nil"/>
              <w:left w:val="nil"/>
              <w:bottom w:val="nil"/>
              <w:right w:val="single" w:color="333333" w:sz="6" w:space="0"/>
            </w:tcBorders>
            <w:shd w:val="clear" w:color="auto" w:fill="auto"/>
            <w:tcMar>
              <w:top w:w="90" w:type="dxa"/>
              <w:left w:w="90" w:type="dxa"/>
              <w:bottom w:w="90" w:type="dxa"/>
              <w:right w:w="90" w:type="dxa"/>
            </w:tcMar>
            <w:vAlign w:val="bottom"/>
            <w:hideMark/>
          </w:tcPr>
          <w:p w:rsidRPr="00A906F7" w:rsidR="00A906F7" w:rsidP="00A906F7" w:rsidRDefault="00A906F7" w14:paraId="77AF4C54" w14:textId="77777777">
            <w:pPr>
              <w:ind w:left="720"/>
              <w:contextualSpacing/>
              <w:rPr>
                <w:sz w:val="22"/>
              </w:rPr>
            </w:pPr>
            <w:r w:rsidRPr="00A906F7">
              <w:rPr>
                <w:sz w:val="22"/>
              </w:rPr>
              <w:lastRenderedPageBreak/>
              <w:t>Sub-Grantees (in states with sub-grantee managed systems)</w:t>
            </w:r>
          </w:p>
        </w:tc>
        <w:tc>
          <w:tcPr>
            <w:tcW w:w="0" w:type="auto"/>
            <w:tcBorders>
              <w:top w:val="nil"/>
              <w:left w:val="nil"/>
              <w:bottom w:val="nil"/>
              <w:right w:val="single" w:color="333333" w:sz="6" w:space="0"/>
            </w:tcBorders>
            <w:shd w:val="clear" w:color="auto" w:fill="auto"/>
            <w:tcMar>
              <w:top w:w="90" w:type="dxa"/>
              <w:left w:w="90" w:type="dxa"/>
              <w:bottom w:w="90" w:type="dxa"/>
              <w:right w:w="90" w:type="dxa"/>
            </w:tcMar>
            <w:vAlign w:val="bottom"/>
            <w:hideMark/>
          </w:tcPr>
          <w:p w:rsidRPr="00A906F7" w:rsidR="00A906F7" w:rsidP="00A906F7" w:rsidRDefault="00A906F7" w14:paraId="1B1021F0" w14:textId="77777777">
            <w:pPr>
              <w:ind w:left="720"/>
              <w:contextualSpacing/>
              <w:rPr>
                <w:sz w:val="22"/>
              </w:rPr>
            </w:pPr>
            <w:r w:rsidRPr="00A906F7">
              <w:rPr>
                <w:sz w:val="22"/>
              </w:rPr>
              <w:t>200 (estimate)</w:t>
            </w:r>
          </w:p>
        </w:tc>
        <w:tc>
          <w:tcPr>
            <w:tcW w:w="0" w:type="auto"/>
            <w:tcBorders>
              <w:top w:val="nil"/>
              <w:left w:val="nil"/>
              <w:bottom w:val="nil"/>
              <w:right w:val="single" w:color="333333" w:sz="6" w:space="0"/>
            </w:tcBorders>
            <w:shd w:val="clear" w:color="auto" w:fill="auto"/>
            <w:tcMar>
              <w:top w:w="90" w:type="dxa"/>
              <w:left w:w="90" w:type="dxa"/>
              <w:bottom w:w="90" w:type="dxa"/>
              <w:right w:w="90" w:type="dxa"/>
            </w:tcMar>
            <w:vAlign w:val="bottom"/>
            <w:hideMark/>
          </w:tcPr>
          <w:p w:rsidRPr="00A906F7" w:rsidR="00A906F7" w:rsidP="00A906F7" w:rsidRDefault="00A906F7" w14:paraId="54F2AB8F" w14:textId="77777777">
            <w:pPr>
              <w:ind w:left="720"/>
              <w:contextualSpacing/>
              <w:jc w:val="right"/>
              <w:rPr>
                <w:sz w:val="22"/>
              </w:rPr>
            </w:pPr>
            <w:r w:rsidRPr="00A906F7">
              <w:rPr>
                <w:sz w:val="22"/>
              </w:rPr>
              <w:t>1</w:t>
            </w:r>
          </w:p>
        </w:tc>
        <w:tc>
          <w:tcPr>
            <w:tcW w:w="0" w:type="auto"/>
            <w:tcBorders>
              <w:top w:val="nil"/>
              <w:left w:val="nil"/>
              <w:bottom w:val="nil"/>
              <w:right w:val="single" w:color="333333" w:sz="6" w:space="0"/>
            </w:tcBorders>
            <w:shd w:val="clear" w:color="auto" w:fill="auto"/>
            <w:tcMar>
              <w:top w:w="90" w:type="dxa"/>
              <w:left w:w="90" w:type="dxa"/>
              <w:bottom w:w="90" w:type="dxa"/>
              <w:right w:w="90" w:type="dxa"/>
            </w:tcMar>
            <w:vAlign w:val="bottom"/>
            <w:hideMark/>
          </w:tcPr>
          <w:p w:rsidRPr="00A906F7" w:rsidR="00A906F7" w:rsidP="00A906F7" w:rsidRDefault="00A906F7" w14:paraId="7CAC6FB4" w14:textId="77777777">
            <w:pPr>
              <w:ind w:left="720"/>
              <w:contextualSpacing/>
              <w:rPr>
                <w:sz w:val="22"/>
              </w:rPr>
            </w:pPr>
            <w:r w:rsidRPr="00A906F7">
              <w:rPr>
                <w:sz w:val="22"/>
              </w:rPr>
              <w:t>80 hours</w:t>
            </w:r>
          </w:p>
        </w:tc>
        <w:tc>
          <w:tcPr>
            <w:tcW w:w="0" w:type="auto"/>
            <w:tcBorders>
              <w:top w:val="nil"/>
              <w:left w:val="nil"/>
              <w:bottom w:val="nil"/>
              <w:right w:val="nil"/>
            </w:tcBorders>
            <w:shd w:val="clear" w:color="auto" w:fill="auto"/>
            <w:tcMar>
              <w:top w:w="90" w:type="dxa"/>
              <w:left w:w="90" w:type="dxa"/>
              <w:bottom w:w="90" w:type="dxa"/>
              <w:right w:w="90" w:type="dxa"/>
            </w:tcMar>
            <w:vAlign w:val="bottom"/>
            <w:hideMark/>
          </w:tcPr>
          <w:p w:rsidRPr="00A906F7" w:rsidR="00A906F7" w:rsidP="00A906F7" w:rsidRDefault="00A906F7" w14:paraId="7E4635A9" w14:textId="77777777">
            <w:pPr>
              <w:ind w:left="720"/>
              <w:contextualSpacing/>
              <w:jc w:val="right"/>
              <w:rPr>
                <w:sz w:val="22"/>
              </w:rPr>
            </w:pPr>
            <w:r w:rsidRPr="00A906F7">
              <w:rPr>
                <w:sz w:val="22"/>
              </w:rPr>
              <w:t>16,000</w:t>
            </w:r>
          </w:p>
        </w:tc>
      </w:tr>
      <w:tr w:rsidRPr="00A906F7" w:rsidR="00A906F7" w:rsidTr="00A906F7" w14:paraId="045C185C" w14:textId="77777777">
        <w:tc>
          <w:tcPr>
            <w:tcW w:w="3089" w:type="dxa"/>
            <w:tcBorders>
              <w:top w:val="nil"/>
              <w:left w:val="nil"/>
              <w:bottom w:val="nil"/>
              <w:right w:val="single" w:color="333333" w:sz="6" w:space="0"/>
            </w:tcBorders>
            <w:shd w:val="clear" w:color="auto" w:fill="auto"/>
            <w:tcMar>
              <w:top w:w="90" w:type="dxa"/>
              <w:left w:w="90" w:type="dxa"/>
              <w:bottom w:w="90" w:type="dxa"/>
              <w:right w:w="90" w:type="dxa"/>
            </w:tcMar>
            <w:vAlign w:val="bottom"/>
            <w:hideMark/>
          </w:tcPr>
          <w:p w:rsidRPr="00A906F7" w:rsidR="00A906F7" w:rsidP="00A906F7" w:rsidRDefault="00A906F7" w14:paraId="2ED3359F" w14:textId="77777777">
            <w:pPr>
              <w:ind w:left="720"/>
              <w:contextualSpacing/>
              <w:rPr>
                <w:sz w:val="22"/>
              </w:rPr>
            </w:pPr>
            <w:r w:rsidRPr="00A906F7">
              <w:rPr>
                <w:sz w:val="22"/>
              </w:rPr>
              <w:t>Large Energy Vendors (largest 5 electric, 5 gas, 10 fuel oil, and 10 propane vendors per state—average)</w:t>
            </w:r>
          </w:p>
        </w:tc>
        <w:tc>
          <w:tcPr>
            <w:tcW w:w="0" w:type="auto"/>
            <w:tcBorders>
              <w:top w:val="nil"/>
              <w:left w:val="nil"/>
              <w:bottom w:val="nil"/>
              <w:right w:val="single" w:color="333333" w:sz="6" w:space="0"/>
            </w:tcBorders>
            <w:shd w:val="clear" w:color="auto" w:fill="auto"/>
            <w:tcMar>
              <w:top w:w="90" w:type="dxa"/>
              <w:left w:w="90" w:type="dxa"/>
              <w:bottom w:w="90" w:type="dxa"/>
              <w:right w:w="90" w:type="dxa"/>
            </w:tcMar>
            <w:vAlign w:val="bottom"/>
            <w:hideMark/>
          </w:tcPr>
          <w:p w:rsidRPr="00A906F7" w:rsidR="00A906F7" w:rsidP="00A906F7" w:rsidRDefault="00A906F7" w14:paraId="77BCE648" w14:textId="77777777">
            <w:pPr>
              <w:ind w:left="720"/>
              <w:contextualSpacing/>
              <w:rPr>
                <w:sz w:val="22"/>
              </w:rPr>
            </w:pPr>
            <w:r w:rsidRPr="00A906F7">
              <w:rPr>
                <w:sz w:val="22"/>
              </w:rPr>
              <w:t>1,530 (estimate)</w:t>
            </w:r>
          </w:p>
        </w:tc>
        <w:tc>
          <w:tcPr>
            <w:tcW w:w="0" w:type="auto"/>
            <w:tcBorders>
              <w:top w:val="nil"/>
              <w:left w:val="nil"/>
              <w:bottom w:val="nil"/>
              <w:right w:val="single" w:color="333333" w:sz="6" w:space="0"/>
            </w:tcBorders>
            <w:shd w:val="clear" w:color="auto" w:fill="auto"/>
            <w:tcMar>
              <w:top w:w="90" w:type="dxa"/>
              <w:left w:w="90" w:type="dxa"/>
              <w:bottom w:w="90" w:type="dxa"/>
              <w:right w:w="90" w:type="dxa"/>
            </w:tcMar>
            <w:vAlign w:val="bottom"/>
            <w:hideMark/>
          </w:tcPr>
          <w:p w:rsidRPr="00A906F7" w:rsidR="00A906F7" w:rsidP="00A906F7" w:rsidRDefault="00A906F7" w14:paraId="24DB49F9" w14:textId="77777777">
            <w:pPr>
              <w:ind w:left="720"/>
              <w:contextualSpacing/>
              <w:jc w:val="right"/>
              <w:rPr>
                <w:sz w:val="22"/>
              </w:rPr>
            </w:pPr>
            <w:r w:rsidRPr="00A906F7">
              <w:rPr>
                <w:sz w:val="22"/>
              </w:rPr>
              <w:t>1</w:t>
            </w:r>
          </w:p>
        </w:tc>
        <w:tc>
          <w:tcPr>
            <w:tcW w:w="0" w:type="auto"/>
            <w:tcBorders>
              <w:top w:val="nil"/>
              <w:left w:val="nil"/>
              <w:bottom w:val="nil"/>
              <w:right w:val="single" w:color="333333" w:sz="6" w:space="0"/>
            </w:tcBorders>
            <w:shd w:val="clear" w:color="auto" w:fill="auto"/>
            <w:tcMar>
              <w:top w:w="90" w:type="dxa"/>
              <w:left w:w="90" w:type="dxa"/>
              <w:bottom w:w="90" w:type="dxa"/>
              <w:right w:w="90" w:type="dxa"/>
            </w:tcMar>
            <w:vAlign w:val="bottom"/>
            <w:hideMark/>
          </w:tcPr>
          <w:p w:rsidRPr="00A906F7" w:rsidR="00A906F7" w:rsidP="00A906F7" w:rsidRDefault="00A906F7" w14:paraId="0BB1AC01" w14:textId="77777777">
            <w:pPr>
              <w:ind w:left="720"/>
              <w:contextualSpacing/>
              <w:rPr>
                <w:sz w:val="22"/>
              </w:rPr>
            </w:pPr>
            <w:r w:rsidRPr="00A906F7">
              <w:rPr>
                <w:sz w:val="22"/>
              </w:rPr>
              <w:t>40 hours</w:t>
            </w:r>
          </w:p>
        </w:tc>
        <w:tc>
          <w:tcPr>
            <w:tcW w:w="0" w:type="auto"/>
            <w:tcBorders>
              <w:top w:val="nil"/>
              <w:left w:val="nil"/>
              <w:bottom w:val="nil"/>
              <w:right w:val="nil"/>
            </w:tcBorders>
            <w:shd w:val="clear" w:color="auto" w:fill="auto"/>
            <w:tcMar>
              <w:top w:w="90" w:type="dxa"/>
              <w:left w:w="90" w:type="dxa"/>
              <w:bottom w:w="90" w:type="dxa"/>
              <w:right w:w="90" w:type="dxa"/>
            </w:tcMar>
            <w:vAlign w:val="bottom"/>
            <w:hideMark/>
          </w:tcPr>
          <w:p w:rsidRPr="00A906F7" w:rsidR="00A906F7" w:rsidP="00A906F7" w:rsidRDefault="00A906F7" w14:paraId="3A204DF9" w14:textId="77777777">
            <w:pPr>
              <w:ind w:left="720"/>
              <w:contextualSpacing/>
              <w:jc w:val="right"/>
              <w:rPr>
                <w:sz w:val="22"/>
              </w:rPr>
            </w:pPr>
            <w:r w:rsidRPr="00A906F7">
              <w:rPr>
                <w:sz w:val="22"/>
              </w:rPr>
              <w:t>61,200</w:t>
            </w:r>
          </w:p>
        </w:tc>
      </w:tr>
      <w:tr w:rsidRPr="00A906F7" w:rsidR="00A906F7" w:rsidTr="00A906F7" w14:paraId="2A26A41E" w14:textId="77777777">
        <w:tc>
          <w:tcPr>
            <w:tcW w:w="3089" w:type="dxa"/>
            <w:tcBorders>
              <w:top w:val="nil"/>
              <w:left w:val="nil"/>
              <w:bottom w:val="nil"/>
              <w:right w:val="single" w:color="333333" w:sz="6" w:space="0"/>
            </w:tcBorders>
            <w:shd w:val="clear" w:color="auto" w:fill="auto"/>
            <w:tcMar>
              <w:top w:w="90" w:type="dxa"/>
              <w:left w:w="90" w:type="dxa"/>
              <w:bottom w:w="90" w:type="dxa"/>
              <w:right w:w="90" w:type="dxa"/>
            </w:tcMar>
            <w:vAlign w:val="bottom"/>
            <w:hideMark/>
          </w:tcPr>
          <w:p w:rsidRPr="00A906F7" w:rsidR="00A906F7" w:rsidP="00A906F7" w:rsidRDefault="00A906F7" w14:paraId="5C1F3F29" w14:textId="77777777">
            <w:pPr>
              <w:ind w:left="720"/>
              <w:contextualSpacing/>
              <w:rPr>
                <w:sz w:val="22"/>
              </w:rPr>
            </w:pPr>
            <w:r w:rsidRPr="00A906F7">
              <w:rPr>
                <w:sz w:val="22"/>
              </w:rPr>
              <w:t>Small Energy Vendors (excluded except in special circumstances)</w:t>
            </w:r>
          </w:p>
        </w:tc>
        <w:tc>
          <w:tcPr>
            <w:tcW w:w="0" w:type="auto"/>
            <w:tcBorders>
              <w:top w:val="nil"/>
              <w:left w:val="nil"/>
              <w:bottom w:val="single" w:color="333333" w:sz="6" w:space="0"/>
              <w:right w:val="single" w:color="333333" w:sz="6" w:space="0"/>
            </w:tcBorders>
            <w:shd w:val="clear" w:color="auto" w:fill="auto"/>
            <w:tcMar>
              <w:top w:w="90" w:type="dxa"/>
              <w:left w:w="90" w:type="dxa"/>
              <w:bottom w:w="90" w:type="dxa"/>
              <w:right w:w="90" w:type="dxa"/>
            </w:tcMar>
            <w:vAlign w:val="bottom"/>
            <w:hideMark/>
          </w:tcPr>
          <w:p w:rsidRPr="00A906F7" w:rsidR="00A906F7" w:rsidP="00A906F7" w:rsidRDefault="00A906F7" w14:paraId="35C6FB83" w14:textId="77777777">
            <w:pPr>
              <w:ind w:left="720"/>
              <w:contextualSpacing/>
              <w:rPr>
                <w:sz w:val="22"/>
              </w:rPr>
            </w:pPr>
            <w:r w:rsidRPr="00A906F7">
              <w:rPr>
                <w:sz w:val="22"/>
              </w:rPr>
              <w:t>200</w:t>
            </w:r>
          </w:p>
        </w:tc>
        <w:tc>
          <w:tcPr>
            <w:tcW w:w="0" w:type="auto"/>
            <w:tcBorders>
              <w:top w:val="nil"/>
              <w:left w:val="nil"/>
              <w:bottom w:val="single" w:color="333333" w:sz="6" w:space="0"/>
              <w:right w:val="single" w:color="333333" w:sz="6" w:space="0"/>
            </w:tcBorders>
            <w:shd w:val="clear" w:color="auto" w:fill="auto"/>
            <w:tcMar>
              <w:top w:w="90" w:type="dxa"/>
              <w:left w:w="90" w:type="dxa"/>
              <w:bottom w:w="90" w:type="dxa"/>
              <w:right w:w="90" w:type="dxa"/>
            </w:tcMar>
            <w:vAlign w:val="bottom"/>
            <w:hideMark/>
          </w:tcPr>
          <w:p w:rsidRPr="00A906F7" w:rsidR="00A906F7" w:rsidP="00A906F7" w:rsidRDefault="00A906F7" w14:paraId="2DAB8E7B" w14:textId="77777777">
            <w:pPr>
              <w:ind w:left="720"/>
              <w:contextualSpacing/>
              <w:jc w:val="right"/>
              <w:rPr>
                <w:sz w:val="22"/>
              </w:rPr>
            </w:pPr>
            <w:r w:rsidRPr="00A906F7">
              <w:rPr>
                <w:sz w:val="22"/>
              </w:rPr>
              <w:t>1</w:t>
            </w:r>
          </w:p>
        </w:tc>
        <w:tc>
          <w:tcPr>
            <w:tcW w:w="0" w:type="auto"/>
            <w:tcBorders>
              <w:top w:val="nil"/>
              <w:left w:val="nil"/>
              <w:bottom w:val="single" w:color="333333" w:sz="6" w:space="0"/>
              <w:right w:val="single" w:color="333333" w:sz="6" w:space="0"/>
            </w:tcBorders>
            <w:shd w:val="clear" w:color="auto" w:fill="auto"/>
            <w:tcMar>
              <w:top w:w="90" w:type="dxa"/>
              <w:left w:w="90" w:type="dxa"/>
              <w:bottom w:w="90" w:type="dxa"/>
              <w:right w:w="90" w:type="dxa"/>
            </w:tcMar>
            <w:vAlign w:val="bottom"/>
            <w:hideMark/>
          </w:tcPr>
          <w:p w:rsidRPr="00A906F7" w:rsidR="00A906F7" w:rsidP="00A906F7" w:rsidRDefault="00A906F7" w14:paraId="2985DFDF" w14:textId="77777777">
            <w:pPr>
              <w:ind w:left="720"/>
              <w:contextualSpacing/>
              <w:rPr>
                <w:sz w:val="22"/>
              </w:rPr>
            </w:pPr>
            <w:r w:rsidRPr="00A906F7">
              <w:rPr>
                <w:sz w:val="22"/>
              </w:rPr>
              <w:t>10</w:t>
            </w:r>
          </w:p>
        </w:tc>
        <w:tc>
          <w:tcPr>
            <w:tcW w:w="0" w:type="auto"/>
            <w:tcBorders>
              <w:top w:val="nil"/>
              <w:left w:val="nil"/>
              <w:bottom w:val="single" w:color="333333" w:sz="6" w:space="0"/>
              <w:right w:val="nil"/>
            </w:tcBorders>
            <w:shd w:val="clear" w:color="auto" w:fill="auto"/>
            <w:tcMar>
              <w:top w:w="90" w:type="dxa"/>
              <w:left w:w="90" w:type="dxa"/>
              <w:bottom w:w="90" w:type="dxa"/>
              <w:right w:w="90" w:type="dxa"/>
            </w:tcMar>
            <w:vAlign w:val="bottom"/>
            <w:hideMark/>
          </w:tcPr>
          <w:p w:rsidRPr="00A906F7" w:rsidR="00A906F7" w:rsidP="00A906F7" w:rsidRDefault="00A906F7" w14:paraId="0FEA4A07" w14:textId="77777777">
            <w:pPr>
              <w:ind w:left="720"/>
              <w:contextualSpacing/>
              <w:jc w:val="right"/>
              <w:rPr>
                <w:sz w:val="22"/>
              </w:rPr>
            </w:pPr>
            <w:r w:rsidRPr="00A906F7">
              <w:rPr>
                <w:sz w:val="22"/>
              </w:rPr>
              <w:t>2,000</w:t>
            </w:r>
          </w:p>
        </w:tc>
      </w:tr>
      <w:tr w:rsidRPr="00A906F7" w:rsidR="00A906F7" w:rsidTr="00A906F7" w14:paraId="4C1DCEEE" w14:textId="77777777">
        <w:tc>
          <w:tcPr>
            <w:tcW w:w="3089" w:type="dxa"/>
            <w:tcBorders>
              <w:top w:val="nil"/>
              <w:left w:val="nil"/>
              <w:bottom w:val="single" w:color="333333" w:sz="6" w:space="0"/>
              <w:right w:val="single" w:color="333333" w:sz="6" w:space="0"/>
            </w:tcBorders>
            <w:shd w:val="clear" w:color="auto" w:fill="auto"/>
            <w:tcMar>
              <w:top w:w="90" w:type="dxa"/>
              <w:left w:w="1200" w:type="dxa"/>
              <w:bottom w:w="90" w:type="dxa"/>
              <w:right w:w="90" w:type="dxa"/>
            </w:tcMar>
            <w:vAlign w:val="bottom"/>
            <w:hideMark/>
          </w:tcPr>
          <w:p w:rsidRPr="00A906F7" w:rsidR="00A906F7" w:rsidP="00A906F7" w:rsidRDefault="00A906F7" w14:paraId="2772E7DE" w14:textId="77777777">
            <w:pPr>
              <w:ind w:left="720"/>
              <w:contextualSpacing/>
              <w:rPr>
                <w:sz w:val="22"/>
              </w:rPr>
            </w:pPr>
            <w:r w:rsidRPr="00A906F7">
              <w:rPr>
                <w:sz w:val="22"/>
              </w:rPr>
              <w:t>Total Annual Burden Hours</w:t>
            </w:r>
          </w:p>
        </w:tc>
        <w:tc>
          <w:tcPr>
            <w:tcW w:w="0" w:type="auto"/>
            <w:tcBorders>
              <w:top w:val="nil"/>
              <w:left w:val="nil"/>
              <w:bottom w:val="single" w:color="333333" w:sz="6" w:space="0"/>
              <w:right w:val="single" w:color="333333" w:sz="6" w:space="0"/>
            </w:tcBorders>
            <w:shd w:val="clear" w:color="auto" w:fill="auto"/>
            <w:tcMar>
              <w:top w:w="90" w:type="dxa"/>
              <w:left w:w="90" w:type="dxa"/>
              <w:bottom w:w="90" w:type="dxa"/>
              <w:right w:w="90" w:type="dxa"/>
            </w:tcMar>
            <w:vAlign w:val="bottom"/>
            <w:hideMark/>
          </w:tcPr>
          <w:p w:rsidRPr="00A906F7" w:rsidR="00A906F7" w:rsidP="00A906F7" w:rsidRDefault="00A906F7" w14:paraId="7E3608BC" w14:textId="77777777">
            <w:pPr>
              <w:ind w:left="720"/>
              <w:contextualSpacing/>
              <w:rPr>
                <w:sz w:val="22"/>
              </w:rPr>
            </w:pPr>
            <w:r w:rsidRPr="00A906F7">
              <w:rPr>
                <w:sz w:val="22"/>
              </w:rPr>
              <w:t>2,032</w:t>
            </w:r>
          </w:p>
        </w:tc>
        <w:tc>
          <w:tcPr>
            <w:tcW w:w="0" w:type="auto"/>
            <w:tcBorders>
              <w:top w:val="nil"/>
              <w:left w:val="nil"/>
              <w:bottom w:val="single" w:color="333333" w:sz="6" w:space="0"/>
              <w:right w:val="single" w:color="333333" w:sz="6" w:space="0"/>
            </w:tcBorders>
            <w:shd w:val="clear" w:color="auto" w:fill="auto"/>
            <w:tcMar>
              <w:top w:w="90" w:type="dxa"/>
              <w:left w:w="90" w:type="dxa"/>
              <w:bottom w:w="90" w:type="dxa"/>
              <w:right w:w="90" w:type="dxa"/>
            </w:tcMar>
            <w:vAlign w:val="bottom"/>
            <w:hideMark/>
          </w:tcPr>
          <w:p w:rsidRPr="00A906F7" w:rsidR="00A906F7" w:rsidP="00A906F7" w:rsidRDefault="00A906F7" w14:paraId="79FA135F" w14:textId="77777777">
            <w:pPr>
              <w:ind w:left="720"/>
              <w:contextualSpacing/>
              <w:jc w:val="right"/>
              <w:rPr>
                <w:sz w:val="22"/>
              </w:rPr>
            </w:pPr>
            <w:r w:rsidRPr="00A906F7">
              <w:rPr>
                <w:sz w:val="22"/>
              </w:rPr>
              <w:t>1</w:t>
            </w:r>
          </w:p>
        </w:tc>
        <w:tc>
          <w:tcPr>
            <w:tcW w:w="0" w:type="auto"/>
            <w:tcBorders>
              <w:top w:val="nil"/>
              <w:left w:val="nil"/>
              <w:bottom w:val="single" w:color="333333" w:sz="6" w:space="0"/>
              <w:right w:val="single" w:color="333333" w:sz="6" w:space="0"/>
            </w:tcBorders>
            <w:shd w:val="clear" w:color="auto" w:fill="auto"/>
            <w:tcMar>
              <w:top w:w="90" w:type="dxa"/>
              <w:left w:w="90" w:type="dxa"/>
              <w:bottom w:w="90" w:type="dxa"/>
              <w:right w:w="90" w:type="dxa"/>
            </w:tcMar>
            <w:vAlign w:val="bottom"/>
            <w:hideMark/>
          </w:tcPr>
          <w:p w:rsidRPr="00A906F7" w:rsidR="00A906F7" w:rsidP="00A906F7" w:rsidRDefault="00A906F7" w14:paraId="09C6261E" w14:textId="77777777">
            <w:pPr>
              <w:ind w:left="720"/>
              <w:contextualSpacing/>
              <w:rPr>
                <w:sz w:val="22"/>
              </w:rPr>
            </w:pPr>
            <w:r w:rsidRPr="00A906F7">
              <w:rPr>
                <w:sz w:val="22"/>
              </w:rPr>
              <w:t>Varies</w:t>
            </w:r>
          </w:p>
        </w:tc>
        <w:tc>
          <w:tcPr>
            <w:tcW w:w="0" w:type="auto"/>
            <w:tcBorders>
              <w:top w:val="nil"/>
              <w:left w:val="nil"/>
              <w:bottom w:val="single" w:color="333333" w:sz="6" w:space="0"/>
              <w:right w:val="nil"/>
            </w:tcBorders>
            <w:shd w:val="clear" w:color="auto" w:fill="auto"/>
            <w:tcMar>
              <w:top w:w="90" w:type="dxa"/>
              <w:left w:w="90" w:type="dxa"/>
              <w:bottom w:w="90" w:type="dxa"/>
              <w:right w:w="90" w:type="dxa"/>
            </w:tcMar>
            <w:vAlign w:val="bottom"/>
            <w:hideMark/>
          </w:tcPr>
          <w:p w:rsidRPr="00A906F7" w:rsidR="00A906F7" w:rsidP="00A906F7" w:rsidRDefault="00A906F7" w14:paraId="11B0F118" w14:textId="77777777">
            <w:pPr>
              <w:ind w:left="720"/>
              <w:contextualSpacing/>
              <w:jc w:val="right"/>
              <w:rPr>
                <w:sz w:val="22"/>
              </w:rPr>
            </w:pPr>
            <w:r w:rsidRPr="00A906F7">
              <w:rPr>
                <w:sz w:val="22"/>
              </w:rPr>
              <w:t>84,478</w:t>
            </w:r>
          </w:p>
        </w:tc>
      </w:tr>
    </w:tbl>
    <w:p w:rsidR="00A906F7" w:rsidP="00A906F7" w:rsidRDefault="00A906F7" w14:paraId="2E98568E" w14:textId="77777777">
      <w:pPr>
        <w:pStyle w:val="NormalWeb"/>
        <w:spacing w:before="0" w:beforeAutospacing="0" w:after="0" w:afterAutospacing="0"/>
        <w:ind w:left="720"/>
        <w:contextualSpacing/>
        <w:textAlignment w:val="baseline"/>
        <w:rPr>
          <w:rStyle w:val="Emphasis"/>
          <w:rFonts w:ascii="Georgia" w:hAnsi="Georgia"/>
          <w:color w:val="333333"/>
          <w:sz w:val="22"/>
          <w:bdr w:val="none" w:color="auto" w:sz="0" w:space="0" w:frame="1"/>
        </w:rPr>
      </w:pPr>
    </w:p>
    <w:p w:rsidRPr="00A906F7" w:rsidR="00A906F7" w:rsidP="00A906F7" w:rsidRDefault="00A906F7" w14:paraId="253D541D" w14:textId="77777777">
      <w:pPr>
        <w:pStyle w:val="NormalWeb"/>
        <w:spacing w:before="0" w:beforeAutospacing="0" w:after="0" w:afterAutospacing="0"/>
        <w:ind w:left="720"/>
        <w:contextualSpacing/>
        <w:textAlignment w:val="baseline"/>
        <w:rPr>
          <w:rFonts w:ascii="Georgia" w:hAnsi="Georgia"/>
          <w:color w:val="333333"/>
          <w:sz w:val="22"/>
        </w:rPr>
      </w:pPr>
      <w:r w:rsidRPr="00A906F7">
        <w:rPr>
          <w:rStyle w:val="Emphasis"/>
          <w:rFonts w:ascii="Georgia" w:hAnsi="Georgia"/>
          <w:color w:val="333333"/>
          <w:sz w:val="22"/>
          <w:bdr w:val="none" w:color="auto" w:sz="0" w:space="0" w:frame="1"/>
        </w:rPr>
        <w:t>Estimated Total Annual Burden Hours:</w:t>
      </w:r>
      <w:r w:rsidRPr="00A906F7">
        <w:rPr>
          <w:rFonts w:ascii="Georgia" w:hAnsi="Georgia"/>
          <w:color w:val="333333"/>
          <w:sz w:val="22"/>
        </w:rPr>
        <w:t> 168,956.50.</w:t>
      </w:r>
    </w:p>
    <w:p w:rsidR="00A906F7" w:rsidP="00A906F7" w:rsidRDefault="00A906F7" w14:paraId="3CD09DCC" w14:textId="77777777">
      <w:pPr>
        <w:pStyle w:val="NormalWeb"/>
        <w:spacing w:before="0" w:beforeAutospacing="0" w:after="0" w:afterAutospacing="0"/>
        <w:ind w:left="720"/>
        <w:contextualSpacing/>
        <w:textAlignment w:val="baseline"/>
        <w:rPr>
          <w:rFonts w:ascii="Georgia" w:hAnsi="Georgia"/>
          <w:color w:val="333333"/>
          <w:sz w:val="22"/>
        </w:rPr>
      </w:pPr>
    </w:p>
    <w:p w:rsidRPr="00A906F7" w:rsidR="00A906F7" w:rsidP="00A906F7" w:rsidRDefault="00A906F7" w14:paraId="2C1508F8" w14:textId="70FCD3AA">
      <w:pPr>
        <w:pStyle w:val="NormalWeb"/>
        <w:spacing w:before="0" w:beforeAutospacing="0" w:after="0" w:afterAutospacing="0"/>
        <w:ind w:left="720"/>
        <w:contextualSpacing/>
        <w:textAlignment w:val="baseline"/>
        <w:rPr>
          <w:rFonts w:ascii="Georgia" w:hAnsi="Georgia"/>
          <w:color w:val="333333"/>
          <w:sz w:val="22"/>
        </w:rPr>
      </w:pPr>
      <w:r w:rsidRPr="00A906F7">
        <w:rPr>
          <w:rFonts w:ascii="Georgia" w:hAnsi="Georgia"/>
          <w:color w:val="333333"/>
          <w:sz w:val="22"/>
        </w:rPr>
        <w:t>In compliance with the requirements of the Paperwork Reduction Act of 1995 (</w:t>
      </w:r>
      <w:hyperlink w:tgtFrame="_blank" w:history="1" r:id="rId27">
        <w:r w:rsidRPr="00A906F7">
          <w:rPr>
            <w:rStyle w:val="Hyperlink"/>
            <w:rFonts w:ascii="Georgia" w:hAnsi="Georgia"/>
            <w:color w:val="3071A9"/>
            <w:sz w:val="22"/>
            <w:bdr w:val="none" w:color="auto" w:sz="0" w:space="0" w:frame="1"/>
          </w:rPr>
          <w:t>Pub. L. 104-13</w:t>
        </w:r>
      </w:hyperlink>
      <w:r w:rsidRPr="00A906F7">
        <w:rPr>
          <w:rFonts w:ascii="Georgia" w:hAnsi="Georgia"/>
          <w:color w:val="333333"/>
          <w:sz w:val="22"/>
        </w:rPr>
        <w:t>, 44 U.S.C. Chap 35), the is soliciting public comment on the specific aspects of the information collection described above. Copies of the proposed collection of information can be obtained and comments may be forwarded by writing to the Administration for Children and Families, Office of Planning, Research and Evaluation, 330 C Street SW., Washington, DC 20201. Attn: ACF Reports Clearance Officer. Email address: </w:t>
      </w:r>
      <w:hyperlink w:history="1" r:id="rId28">
        <w:r w:rsidRPr="00A906F7">
          <w:rPr>
            <w:rStyle w:val="Hyperlink"/>
            <w:rFonts w:ascii="Georgia" w:hAnsi="Georgia"/>
            <w:i/>
            <w:iCs/>
            <w:color w:val="3071A9"/>
            <w:sz w:val="22"/>
            <w:bdr w:val="none" w:color="auto" w:sz="0" w:space="0" w:frame="1"/>
          </w:rPr>
          <w:t>infocollection@acf.hhs.gov</w:t>
        </w:r>
      </w:hyperlink>
      <w:r w:rsidRPr="00A906F7">
        <w:rPr>
          <w:rStyle w:val="Emphasis"/>
          <w:rFonts w:ascii="Georgia" w:hAnsi="Georgia"/>
          <w:color w:val="333333"/>
          <w:sz w:val="22"/>
          <w:bdr w:val="none" w:color="auto" w:sz="0" w:space="0" w:frame="1"/>
        </w:rPr>
        <w:t>.</w:t>
      </w:r>
      <w:r w:rsidRPr="00A906F7">
        <w:rPr>
          <w:rFonts w:ascii="Georgia" w:hAnsi="Georgia"/>
          <w:color w:val="333333"/>
          <w:sz w:val="22"/>
        </w:rPr>
        <w:t> All requests should be identified by the title of the information collection.</w:t>
      </w:r>
    </w:p>
    <w:p w:rsidR="00A906F7" w:rsidP="00A906F7" w:rsidRDefault="00A906F7" w14:paraId="3E05E20B" w14:textId="77777777">
      <w:pPr>
        <w:pStyle w:val="NormalWeb"/>
        <w:spacing w:before="0" w:beforeAutospacing="0" w:after="0" w:afterAutospacing="0"/>
        <w:ind w:left="720"/>
        <w:contextualSpacing/>
        <w:textAlignment w:val="baseline"/>
        <w:rPr>
          <w:rFonts w:ascii="Georgia" w:hAnsi="Georgia"/>
          <w:color w:val="333333"/>
          <w:sz w:val="22"/>
        </w:rPr>
      </w:pPr>
    </w:p>
    <w:p w:rsidRPr="00A906F7" w:rsidR="00A906F7" w:rsidP="00A906F7" w:rsidRDefault="00A906F7" w14:paraId="02BD9292" w14:textId="77777777">
      <w:pPr>
        <w:pStyle w:val="NormalWeb"/>
        <w:spacing w:before="0" w:beforeAutospacing="0" w:after="0" w:afterAutospacing="0"/>
        <w:ind w:left="720"/>
        <w:contextualSpacing/>
        <w:textAlignment w:val="baseline"/>
        <w:rPr>
          <w:rFonts w:ascii="Georgia" w:hAnsi="Georgia"/>
          <w:color w:val="333333"/>
          <w:sz w:val="22"/>
        </w:rPr>
      </w:pPr>
      <w:r w:rsidRPr="00A906F7">
        <w:rPr>
          <w:rFonts w:ascii="Georgia" w:hAnsi="Georgia"/>
          <w:color w:val="333333"/>
          <w:sz w:val="22"/>
        </w:rPr>
        <w:t xml:space="preserve">The Department specifically requests comments on: (a) Whether the proposed collection of information is necessary for the proper performance of the functions of the agency, including whether the information shall have practical utility; (b) the accuracy of the agency's estimate of the burden of the proposed collection of information; (c) the quality, utility, and clarity of the information to be collected; and (d) ways to minimize the burden of the collection of information on respondents, including through the use of automated collection techniques or other </w:t>
      </w:r>
      <w:r w:rsidRPr="00A906F7">
        <w:rPr>
          <w:rFonts w:ascii="Georgia" w:hAnsi="Georgia"/>
          <w:color w:val="333333"/>
          <w:sz w:val="22"/>
        </w:rPr>
        <w:lastRenderedPageBreak/>
        <w:t>forms of information technology. Consideration will be given to comments and suggestions submitted within 60 days of this publication.</w:t>
      </w:r>
    </w:p>
    <w:p w:rsidR="00A906F7" w:rsidP="00A906F7" w:rsidRDefault="00A906F7" w14:paraId="3DACA4F6" w14:textId="77777777">
      <w:pPr>
        <w:pStyle w:val="signature-name"/>
        <w:spacing w:before="0" w:beforeAutospacing="0" w:after="0" w:afterAutospacing="0"/>
        <w:ind w:left="720"/>
        <w:contextualSpacing/>
        <w:textAlignment w:val="baseline"/>
        <w:rPr>
          <w:rFonts w:ascii="inherit" w:hAnsi="inherit"/>
          <w:color w:val="333333"/>
          <w:sz w:val="22"/>
        </w:rPr>
      </w:pPr>
    </w:p>
    <w:p w:rsidRPr="00A906F7" w:rsidR="00A906F7" w:rsidP="00A906F7" w:rsidRDefault="00A906F7" w14:paraId="23413482" w14:textId="77777777">
      <w:pPr>
        <w:pStyle w:val="signature-name"/>
        <w:spacing w:before="0" w:beforeAutospacing="0" w:after="0" w:afterAutospacing="0"/>
        <w:ind w:left="720"/>
        <w:contextualSpacing/>
        <w:textAlignment w:val="baseline"/>
        <w:rPr>
          <w:rFonts w:ascii="inherit" w:hAnsi="inherit"/>
          <w:color w:val="333333"/>
          <w:sz w:val="22"/>
        </w:rPr>
      </w:pPr>
      <w:r w:rsidRPr="00A906F7">
        <w:rPr>
          <w:rFonts w:ascii="inherit" w:hAnsi="inherit"/>
          <w:color w:val="333333"/>
          <w:sz w:val="22"/>
        </w:rPr>
        <w:t>Mary Jones,</w:t>
      </w:r>
    </w:p>
    <w:p w:rsidRPr="00A906F7" w:rsidR="00A906F7" w:rsidP="00A906F7" w:rsidRDefault="00A906F7" w14:paraId="1788201E" w14:textId="77777777">
      <w:pPr>
        <w:pStyle w:val="signature-title"/>
        <w:spacing w:before="0" w:beforeAutospacing="0" w:after="0" w:afterAutospacing="0"/>
        <w:ind w:left="720"/>
        <w:contextualSpacing/>
        <w:textAlignment w:val="baseline"/>
        <w:rPr>
          <w:rFonts w:ascii="inherit" w:hAnsi="inherit"/>
          <w:color w:val="333333"/>
          <w:sz w:val="22"/>
        </w:rPr>
      </w:pPr>
      <w:r w:rsidRPr="00A906F7">
        <w:rPr>
          <w:rFonts w:ascii="inherit" w:hAnsi="inherit"/>
          <w:color w:val="333333"/>
          <w:sz w:val="22"/>
        </w:rPr>
        <w:t>Reports Clearance Officer.</w:t>
      </w:r>
    </w:p>
    <w:p w:rsidR="00A906F7" w:rsidP="00A906F7" w:rsidRDefault="00A906F7" w14:paraId="5C44DDE9" w14:textId="77777777">
      <w:pPr>
        <w:spacing w:before="45"/>
        <w:ind w:left="720"/>
        <w:rPr>
          <w:rFonts w:asciiTheme="minorHAnsi" w:hAnsiTheme="minorHAnsi"/>
        </w:rPr>
      </w:pPr>
    </w:p>
    <w:p w:rsidRPr="00A906F7" w:rsidR="00A906F7" w:rsidP="00A906F7" w:rsidRDefault="00A906F7" w14:paraId="59022AA1" w14:textId="77777777">
      <w:pPr>
        <w:spacing w:before="45"/>
        <w:ind w:left="720"/>
        <w:rPr>
          <w:rFonts w:ascii="inherit" w:hAnsi="inherit"/>
          <w:color w:val="333333"/>
          <w:sz w:val="22"/>
          <w:szCs w:val="24"/>
        </w:rPr>
      </w:pPr>
      <w:r w:rsidRPr="00A906F7">
        <w:rPr>
          <w:rFonts w:ascii="inherit" w:hAnsi="inherit"/>
          <w:color w:val="333333"/>
          <w:sz w:val="22"/>
          <w:szCs w:val="24"/>
        </w:rPr>
        <w:t>[FR Doc. 2017-21774 Filed 10-10-17; 8:45 am]</w:t>
      </w:r>
    </w:p>
    <w:p w:rsidRPr="00A906F7" w:rsidR="00A906F7" w:rsidP="00A906F7" w:rsidRDefault="00A906F7" w14:paraId="432A4D69" w14:textId="77777777">
      <w:pPr>
        <w:spacing w:before="45"/>
        <w:ind w:left="720"/>
        <w:rPr>
          <w:rFonts w:ascii="inherit" w:hAnsi="inherit"/>
          <w:color w:val="333333"/>
          <w:sz w:val="22"/>
          <w:szCs w:val="24"/>
        </w:rPr>
      </w:pPr>
    </w:p>
    <w:p w:rsidRPr="00A906F7" w:rsidR="0025062C" w:rsidP="00A906F7" w:rsidRDefault="00A906F7" w14:paraId="48E896B3" w14:textId="77777777">
      <w:pPr>
        <w:spacing w:before="45"/>
        <w:ind w:left="720"/>
        <w:rPr>
          <w:rFonts w:ascii="inherit" w:hAnsi="inherit"/>
          <w:color w:val="333333"/>
          <w:sz w:val="22"/>
          <w:szCs w:val="24"/>
        </w:rPr>
      </w:pPr>
      <w:r w:rsidRPr="00A906F7">
        <w:rPr>
          <w:rFonts w:ascii="inherit" w:hAnsi="inherit"/>
          <w:color w:val="333333"/>
          <w:sz w:val="22"/>
          <w:szCs w:val="24"/>
        </w:rPr>
        <w:t>BILLING CODE 4184-80-P</w:t>
      </w:r>
    </w:p>
    <w:p w:rsidR="0025062C" w:rsidP="0070451D" w:rsidRDefault="0025062C" w14:paraId="1DEA3DE7" w14:textId="77777777">
      <w:pPr>
        <w:spacing w:before="45"/>
        <w:ind w:left="977"/>
        <w:jc w:val="center"/>
        <w:rPr>
          <w:rFonts w:asciiTheme="minorHAnsi" w:hAnsiTheme="minorHAnsi"/>
          <w:sz w:val="32"/>
        </w:rPr>
      </w:pPr>
    </w:p>
    <w:p w:rsidR="00A906F7" w:rsidRDefault="00A906F7" w14:paraId="3E557779" w14:textId="77777777">
      <w:pPr>
        <w:rPr>
          <w:rFonts w:asciiTheme="minorHAnsi" w:hAnsiTheme="minorHAnsi"/>
          <w:sz w:val="32"/>
        </w:rPr>
      </w:pPr>
      <w:r>
        <w:rPr>
          <w:rFonts w:asciiTheme="minorHAnsi" w:hAnsiTheme="minorHAnsi"/>
          <w:sz w:val="32"/>
        </w:rPr>
        <w:br w:type="page"/>
      </w:r>
    </w:p>
    <w:p w:rsidRPr="00A906F7" w:rsidR="00C10010" w:rsidP="00587825" w:rsidRDefault="00C10010" w14:paraId="6FD52B68" w14:textId="77777777">
      <w:pPr>
        <w:pStyle w:val="Heading1"/>
        <w:jc w:val="center"/>
      </w:pPr>
      <w:bookmarkStart w:name="_Attachment_5" w:id="6"/>
      <w:bookmarkEnd w:id="6"/>
      <w:r w:rsidRPr="00A906F7">
        <w:lastRenderedPageBreak/>
        <w:t>Attachment 5</w:t>
      </w:r>
    </w:p>
    <w:p w:rsidR="00C10010" w:rsidP="006E63F2" w:rsidRDefault="00C10010" w14:paraId="5FEF1570" w14:textId="77777777">
      <w:pPr>
        <w:spacing w:before="45"/>
        <w:ind w:left="977"/>
        <w:rPr>
          <w:rFonts w:ascii="Arial"/>
          <w:sz w:val="32"/>
        </w:rPr>
      </w:pPr>
    </w:p>
    <w:p w:rsidR="006E63F2" w:rsidP="006E63F2" w:rsidRDefault="006E63F2" w14:paraId="72164FD0" w14:textId="77777777">
      <w:pPr>
        <w:spacing w:before="45"/>
        <w:ind w:left="977"/>
        <w:rPr>
          <w:rFonts w:ascii="Arial" w:hAnsi="Arial" w:eastAsia="Arial" w:cs="Arial"/>
          <w:sz w:val="32"/>
          <w:szCs w:val="32"/>
        </w:rPr>
      </w:pPr>
      <w:r>
        <w:rPr>
          <w:rFonts w:ascii="Arial"/>
          <w:sz w:val="32"/>
        </w:rPr>
        <w:t>NOTICE OF OFFICE OF MANAGEMENT AND BUDGET ACTION</w:t>
      </w:r>
    </w:p>
    <w:p w:rsidR="006E63F2" w:rsidP="006E63F2" w:rsidRDefault="006E63F2" w14:paraId="5D00CE81" w14:textId="77777777">
      <w:pPr>
        <w:rPr>
          <w:rFonts w:ascii="Arial" w:hAnsi="Arial" w:eastAsia="Arial" w:cs="Arial"/>
          <w:sz w:val="32"/>
          <w:szCs w:val="32"/>
        </w:rPr>
        <w:sectPr w:rsidR="006E63F2">
          <w:headerReference w:type="default" r:id="rId29"/>
          <w:footerReference w:type="default" r:id="rId30"/>
          <w:type w:val="continuous"/>
          <w:pgSz w:w="12400" w:h="16840"/>
          <w:pgMar w:top="360" w:right="700" w:bottom="280" w:left="400" w:header="720" w:footer="720" w:gutter="0"/>
          <w:cols w:space="720"/>
        </w:sectPr>
      </w:pPr>
    </w:p>
    <w:p w:rsidR="006E63F2" w:rsidP="006E63F2" w:rsidRDefault="006E63F2" w14:paraId="02FF1318" w14:textId="77777777">
      <w:pPr>
        <w:rPr>
          <w:rFonts w:ascii="Arial" w:hAnsi="Arial" w:eastAsia="Arial" w:cs="Arial"/>
        </w:rPr>
      </w:pPr>
    </w:p>
    <w:p w:rsidR="006E63F2" w:rsidP="006E63F2" w:rsidRDefault="006E63F2" w14:paraId="0E8C263C" w14:textId="77777777">
      <w:pPr>
        <w:spacing w:before="4"/>
        <w:rPr>
          <w:rFonts w:ascii="Arial" w:hAnsi="Arial" w:eastAsia="Arial" w:cs="Arial"/>
          <w:szCs w:val="24"/>
        </w:rPr>
      </w:pPr>
    </w:p>
    <w:p w:rsidRPr="0070451D" w:rsidR="006E63F2" w:rsidP="006E63F2" w:rsidRDefault="006E63F2" w14:paraId="31A38D36" w14:textId="77777777">
      <w:pPr>
        <w:pStyle w:val="BodyText"/>
        <w:spacing w:line="333" w:lineRule="auto"/>
        <w:ind w:right="-481"/>
        <w:rPr>
          <w:rFonts w:ascii="Arial" w:hAnsi="Arial" w:cs="Arial"/>
          <w:sz w:val="20"/>
          <w:szCs w:val="20"/>
        </w:rPr>
      </w:pPr>
      <w:r w:rsidRPr="0070451D">
        <w:rPr>
          <w:rFonts w:ascii="Arial" w:hAnsi="Arial" w:cs="Arial"/>
          <w:spacing w:val="-1"/>
          <w:sz w:val="20"/>
          <w:szCs w:val="20"/>
        </w:rPr>
        <w:t>Department</w:t>
      </w:r>
      <w:r w:rsidRPr="0070451D">
        <w:rPr>
          <w:rFonts w:ascii="Arial" w:hAnsi="Arial" w:cs="Arial"/>
          <w:spacing w:val="-2"/>
          <w:sz w:val="20"/>
          <w:szCs w:val="20"/>
        </w:rPr>
        <w:t xml:space="preserve"> </w:t>
      </w:r>
      <w:r w:rsidRPr="0070451D">
        <w:rPr>
          <w:rFonts w:ascii="Arial" w:hAnsi="Arial" w:cs="Arial"/>
          <w:spacing w:val="-1"/>
          <w:sz w:val="20"/>
          <w:szCs w:val="20"/>
        </w:rPr>
        <w:t>of Health and</w:t>
      </w:r>
      <w:r w:rsidRPr="0070451D">
        <w:rPr>
          <w:rFonts w:ascii="Arial" w:hAnsi="Arial" w:cs="Arial"/>
          <w:spacing w:val="-2"/>
          <w:sz w:val="20"/>
          <w:szCs w:val="20"/>
        </w:rPr>
        <w:t xml:space="preserve"> </w:t>
      </w:r>
      <w:r w:rsidRPr="0070451D">
        <w:rPr>
          <w:rFonts w:ascii="Arial" w:hAnsi="Arial" w:cs="Arial"/>
          <w:spacing w:val="-1"/>
          <w:sz w:val="20"/>
          <w:szCs w:val="20"/>
        </w:rPr>
        <w:t>Human Services</w:t>
      </w:r>
      <w:r w:rsidRPr="0070451D">
        <w:rPr>
          <w:rFonts w:ascii="Arial" w:hAnsi="Arial" w:cs="Arial"/>
          <w:spacing w:val="25"/>
          <w:sz w:val="20"/>
          <w:szCs w:val="20"/>
        </w:rPr>
        <w:t xml:space="preserve"> </w:t>
      </w:r>
      <w:r w:rsidRPr="0070451D">
        <w:rPr>
          <w:rFonts w:ascii="Arial" w:hAnsi="Arial" w:cs="Arial"/>
          <w:spacing w:val="-1"/>
          <w:sz w:val="20"/>
          <w:szCs w:val="20"/>
        </w:rPr>
        <w:t>Administration</w:t>
      </w:r>
      <w:r w:rsidRPr="0070451D">
        <w:rPr>
          <w:rFonts w:ascii="Arial" w:hAnsi="Arial" w:cs="Arial"/>
          <w:spacing w:val="3"/>
          <w:sz w:val="20"/>
          <w:szCs w:val="20"/>
        </w:rPr>
        <w:t xml:space="preserve"> </w:t>
      </w:r>
      <w:r w:rsidRPr="0070451D">
        <w:rPr>
          <w:rFonts w:ascii="Arial" w:hAnsi="Arial" w:cs="Arial"/>
          <w:spacing w:val="-1"/>
          <w:sz w:val="20"/>
          <w:szCs w:val="20"/>
        </w:rPr>
        <w:t>for Children</w:t>
      </w:r>
      <w:r w:rsidRPr="0070451D">
        <w:rPr>
          <w:rFonts w:ascii="Arial" w:hAnsi="Arial" w:cs="Arial"/>
          <w:sz w:val="20"/>
          <w:szCs w:val="20"/>
        </w:rPr>
        <w:t xml:space="preserve"> </w:t>
      </w:r>
      <w:r w:rsidRPr="0070451D">
        <w:rPr>
          <w:rFonts w:ascii="Arial" w:hAnsi="Arial" w:cs="Arial"/>
          <w:spacing w:val="-1"/>
          <w:sz w:val="20"/>
          <w:szCs w:val="20"/>
        </w:rPr>
        <w:t>and</w:t>
      </w:r>
      <w:r w:rsidRPr="0070451D">
        <w:rPr>
          <w:rFonts w:ascii="Arial" w:hAnsi="Arial" w:cs="Arial"/>
          <w:spacing w:val="-2"/>
          <w:sz w:val="20"/>
          <w:szCs w:val="20"/>
        </w:rPr>
        <w:t xml:space="preserve"> </w:t>
      </w:r>
      <w:r w:rsidRPr="0070451D">
        <w:rPr>
          <w:rFonts w:ascii="Arial" w:hAnsi="Arial" w:cs="Arial"/>
          <w:spacing w:val="-1"/>
          <w:sz w:val="20"/>
          <w:szCs w:val="20"/>
        </w:rPr>
        <w:t>Families</w:t>
      </w:r>
    </w:p>
    <w:p w:rsidR="006E63F2" w:rsidP="006E63F2" w:rsidRDefault="006E63F2" w14:paraId="6A6D310C" w14:textId="77777777">
      <w:pPr>
        <w:spacing w:before="7"/>
        <w:rPr>
          <w:rFonts w:ascii="Arial" w:hAnsi="Arial" w:eastAsia="Arial" w:cs="Arial"/>
          <w:sz w:val="17"/>
          <w:szCs w:val="17"/>
        </w:rPr>
      </w:pPr>
    </w:p>
    <w:p w:rsidRPr="0070451D" w:rsidR="006E63F2" w:rsidP="006E63F2" w:rsidRDefault="006E63F2" w14:paraId="79FF90CB" w14:textId="77777777">
      <w:pPr>
        <w:pStyle w:val="BodyText"/>
        <w:tabs>
          <w:tab w:val="left" w:pos="3330"/>
        </w:tabs>
        <w:spacing w:line="333" w:lineRule="auto"/>
        <w:ind w:right="-211"/>
        <w:rPr>
          <w:rFonts w:ascii="Arial" w:hAnsi="Arial" w:cs="Arial"/>
          <w:sz w:val="20"/>
          <w:szCs w:val="20"/>
        </w:rPr>
      </w:pPr>
      <w:r w:rsidRPr="0070451D">
        <w:rPr>
          <w:rFonts w:ascii="Arial" w:hAnsi="Arial" w:cs="Arial"/>
          <w:spacing w:val="-1"/>
          <w:sz w:val="20"/>
          <w:szCs w:val="20"/>
        </w:rPr>
        <w:t>FOR</w:t>
      </w:r>
      <w:r w:rsidRPr="0070451D">
        <w:rPr>
          <w:rFonts w:ascii="Arial" w:hAnsi="Arial" w:cs="Arial"/>
          <w:spacing w:val="-14"/>
          <w:sz w:val="20"/>
          <w:szCs w:val="20"/>
        </w:rPr>
        <w:t xml:space="preserve"> </w:t>
      </w:r>
      <w:r w:rsidRPr="0070451D">
        <w:rPr>
          <w:rFonts w:ascii="Arial" w:hAnsi="Arial" w:cs="Arial"/>
          <w:spacing w:val="-1"/>
          <w:sz w:val="20"/>
          <w:szCs w:val="20"/>
        </w:rPr>
        <w:t>CERTIFYING</w:t>
      </w:r>
      <w:r w:rsidRPr="0070451D">
        <w:rPr>
          <w:rFonts w:ascii="Arial" w:hAnsi="Arial" w:cs="Arial"/>
          <w:spacing w:val="-13"/>
          <w:sz w:val="20"/>
          <w:szCs w:val="20"/>
        </w:rPr>
        <w:t xml:space="preserve"> </w:t>
      </w:r>
      <w:r w:rsidRPr="0070451D">
        <w:rPr>
          <w:rFonts w:ascii="Arial" w:hAnsi="Arial" w:cs="Arial"/>
          <w:spacing w:val="-1"/>
          <w:sz w:val="20"/>
          <w:szCs w:val="20"/>
        </w:rPr>
        <w:t>OFFICIAL:</w:t>
      </w:r>
      <w:r w:rsidRPr="0070451D">
        <w:rPr>
          <w:rFonts w:ascii="Arial" w:hAnsi="Arial" w:cs="Arial"/>
          <w:spacing w:val="-1"/>
          <w:sz w:val="20"/>
          <w:szCs w:val="20"/>
        </w:rPr>
        <w:tab/>
        <w:t>Franklin</w:t>
      </w:r>
      <w:r>
        <w:rPr>
          <w:rFonts w:ascii="Arial" w:hAnsi="Arial" w:cs="Arial"/>
          <w:spacing w:val="-1"/>
          <w:sz w:val="20"/>
          <w:szCs w:val="20"/>
        </w:rPr>
        <w:t xml:space="preserve"> </w:t>
      </w:r>
      <w:r w:rsidRPr="0070451D">
        <w:rPr>
          <w:rFonts w:ascii="Arial" w:hAnsi="Arial" w:cs="Arial"/>
          <w:spacing w:val="-1"/>
          <w:sz w:val="20"/>
          <w:szCs w:val="20"/>
        </w:rPr>
        <w:t>Baitman</w:t>
      </w:r>
      <w:r w:rsidRPr="0070451D">
        <w:rPr>
          <w:rFonts w:ascii="Arial" w:hAnsi="Arial" w:cs="Arial"/>
          <w:spacing w:val="24"/>
          <w:sz w:val="20"/>
          <w:szCs w:val="20"/>
        </w:rPr>
        <w:t xml:space="preserve"> </w:t>
      </w:r>
      <w:r w:rsidRPr="0070451D">
        <w:rPr>
          <w:rFonts w:ascii="Arial" w:hAnsi="Arial" w:cs="Arial"/>
          <w:spacing w:val="-1"/>
          <w:sz w:val="20"/>
          <w:szCs w:val="20"/>
        </w:rPr>
        <w:t>FOR</w:t>
      </w:r>
      <w:r w:rsidRPr="0070451D">
        <w:rPr>
          <w:rFonts w:ascii="Arial" w:hAnsi="Arial" w:cs="Arial"/>
          <w:spacing w:val="-7"/>
          <w:sz w:val="20"/>
          <w:szCs w:val="20"/>
        </w:rPr>
        <w:t xml:space="preserve"> </w:t>
      </w:r>
      <w:r w:rsidRPr="0070451D">
        <w:rPr>
          <w:rFonts w:ascii="Arial" w:hAnsi="Arial" w:cs="Arial"/>
          <w:spacing w:val="-1"/>
          <w:sz w:val="20"/>
          <w:szCs w:val="20"/>
        </w:rPr>
        <w:t>CLEARANCE</w:t>
      </w:r>
      <w:r w:rsidRPr="0070451D">
        <w:rPr>
          <w:rFonts w:ascii="Arial" w:hAnsi="Arial" w:cs="Arial"/>
          <w:spacing w:val="-8"/>
          <w:sz w:val="20"/>
          <w:szCs w:val="20"/>
        </w:rPr>
        <w:t xml:space="preserve"> </w:t>
      </w:r>
      <w:r w:rsidRPr="0070451D">
        <w:rPr>
          <w:rFonts w:ascii="Arial" w:hAnsi="Arial" w:cs="Arial"/>
          <w:spacing w:val="-1"/>
          <w:sz w:val="20"/>
          <w:szCs w:val="20"/>
        </w:rPr>
        <w:t>OFFICER:</w:t>
      </w:r>
      <w:r w:rsidRPr="0070451D">
        <w:rPr>
          <w:rFonts w:ascii="Arial" w:hAnsi="Arial" w:cs="Arial"/>
          <w:spacing w:val="-1"/>
          <w:sz w:val="20"/>
          <w:szCs w:val="20"/>
        </w:rPr>
        <w:tab/>
        <w:t>Darius</w:t>
      </w:r>
      <w:r w:rsidRPr="0070451D">
        <w:rPr>
          <w:rFonts w:ascii="Arial" w:hAnsi="Arial" w:cs="Arial"/>
          <w:sz w:val="20"/>
          <w:szCs w:val="20"/>
        </w:rPr>
        <w:t xml:space="preserve"> </w:t>
      </w:r>
      <w:r w:rsidRPr="0070451D">
        <w:rPr>
          <w:rFonts w:ascii="Arial" w:hAnsi="Arial" w:cs="Arial"/>
          <w:spacing w:val="-1"/>
          <w:sz w:val="20"/>
          <w:szCs w:val="20"/>
        </w:rPr>
        <w:t>Taylor</w:t>
      </w:r>
    </w:p>
    <w:p w:rsidRPr="0070451D" w:rsidR="006E63F2" w:rsidP="006E63F2" w:rsidRDefault="006E63F2" w14:paraId="5C62AA1D" w14:textId="77777777">
      <w:pPr>
        <w:pStyle w:val="BodyText"/>
        <w:spacing w:before="109"/>
        <w:ind w:left="0" w:firstLine="90"/>
        <w:rPr>
          <w:rFonts w:ascii="Arial" w:hAnsi="Arial" w:cs="Arial"/>
          <w:sz w:val="20"/>
          <w:szCs w:val="20"/>
        </w:rPr>
      </w:pPr>
      <w:r>
        <w:br w:type="column"/>
      </w:r>
      <w:r w:rsidRPr="0070451D">
        <w:rPr>
          <w:rFonts w:ascii="Arial" w:hAnsi="Arial" w:cs="Arial"/>
          <w:spacing w:val="-1"/>
          <w:sz w:val="20"/>
          <w:szCs w:val="20"/>
        </w:rPr>
        <w:lastRenderedPageBreak/>
        <w:t>Date</w:t>
      </w:r>
    </w:p>
    <w:p w:rsidRPr="0070451D" w:rsidR="006E63F2" w:rsidP="006E63F2" w:rsidRDefault="006E63F2" w14:paraId="502509CE" w14:textId="77777777">
      <w:pPr>
        <w:pStyle w:val="BodyText"/>
        <w:spacing w:before="109"/>
        <w:rPr>
          <w:rFonts w:ascii="Arial" w:hAnsi="Arial" w:cs="Arial"/>
          <w:sz w:val="20"/>
          <w:szCs w:val="20"/>
        </w:rPr>
      </w:pPr>
      <w:r w:rsidRPr="0070451D">
        <w:rPr>
          <w:rFonts w:ascii="Arial" w:hAnsi="Arial" w:cs="Arial"/>
          <w:sz w:val="20"/>
          <w:szCs w:val="20"/>
        </w:rPr>
        <w:br w:type="column"/>
      </w:r>
      <w:r w:rsidRPr="0070451D">
        <w:rPr>
          <w:rFonts w:ascii="Arial" w:hAnsi="Arial" w:cs="Arial"/>
          <w:spacing w:val="-1"/>
          <w:sz w:val="20"/>
          <w:szCs w:val="20"/>
        </w:rPr>
        <w:lastRenderedPageBreak/>
        <w:t>10/24/2014</w:t>
      </w:r>
    </w:p>
    <w:p w:rsidR="006E63F2" w:rsidP="006E63F2" w:rsidRDefault="006E63F2" w14:paraId="37F5F38F" w14:textId="77777777">
      <w:pPr>
        <w:sectPr w:rsidR="006E63F2">
          <w:type w:val="continuous"/>
          <w:pgSz w:w="12400" w:h="16840"/>
          <w:pgMar w:top="360" w:right="700" w:bottom="280" w:left="400" w:header="720" w:footer="720" w:gutter="0"/>
          <w:cols w:equalWidth="0" w:space="720" w:num="3">
            <w:col w:w="4739" w:space="3581"/>
            <w:col w:w="583" w:space="197"/>
            <w:col w:w="2200"/>
          </w:cols>
        </w:sectPr>
      </w:pPr>
    </w:p>
    <w:p w:rsidR="006E63F2" w:rsidP="006E63F2" w:rsidRDefault="006E63F2" w14:paraId="718D98FA" w14:textId="77777777">
      <w:pPr>
        <w:spacing w:before="5"/>
        <w:rPr>
          <w:rFonts w:ascii="Arial" w:hAnsi="Arial" w:eastAsia="Arial" w:cs="Arial"/>
          <w:sz w:val="9"/>
          <w:szCs w:val="9"/>
        </w:rPr>
      </w:pPr>
    </w:p>
    <w:p w:rsidRPr="0070451D" w:rsidR="006E63F2" w:rsidP="006E63F2" w:rsidRDefault="006E63F2" w14:paraId="60329B77" w14:textId="77777777">
      <w:pPr>
        <w:pStyle w:val="BodyText"/>
        <w:spacing w:before="74" w:line="354" w:lineRule="auto"/>
        <w:ind w:right="1594"/>
        <w:rPr>
          <w:rFonts w:ascii="Arial" w:hAnsi="Arial" w:cs="Arial"/>
          <w:sz w:val="20"/>
          <w:szCs w:val="20"/>
        </w:rPr>
      </w:pPr>
      <w:r>
        <w:rPr>
          <w:spacing w:val="-1"/>
        </w:rPr>
        <w:t>In</w:t>
      </w:r>
      <w:r>
        <w:rPr>
          <w:spacing w:val="-2"/>
        </w:rPr>
        <w:t xml:space="preserve"> </w:t>
      </w:r>
      <w:r>
        <w:rPr>
          <w:spacing w:val="-1"/>
        </w:rPr>
        <w:t>accordance with</w:t>
      </w:r>
      <w:r>
        <w:rPr>
          <w:spacing w:val="-2"/>
        </w:rPr>
        <w:t xml:space="preserve"> </w:t>
      </w:r>
      <w:r>
        <w:rPr>
          <w:spacing w:val="-1"/>
        </w:rPr>
        <w:t>the</w:t>
      </w:r>
      <w:r>
        <w:t xml:space="preserve"> </w:t>
      </w:r>
      <w:r>
        <w:rPr>
          <w:spacing w:val="-1"/>
        </w:rPr>
        <w:t>Paperwork</w:t>
      </w:r>
      <w:r>
        <w:rPr>
          <w:spacing w:val="1"/>
        </w:rPr>
        <w:t xml:space="preserve"> </w:t>
      </w:r>
      <w:r>
        <w:rPr>
          <w:spacing w:val="-1"/>
        </w:rPr>
        <w:t>Reduction</w:t>
      </w:r>
      <w:r>
        <w:rPr>
          <w:spacing w:val="-2"/>
        </w:rPr>
        <w:t xml:space="preserve"> </w:t>
      </w:r>
      <w:r>
        <w:rPr>
          <w:spacing w:val="-1"/>
        </w:rPr>
        <w:t>Act,</w:t>
      </w:r>
      <w:r>
        <w:t xml:space="preserve"> </w:t>
      </w:r>
      <w:r>
        <w:rPr>
          <w:spacing w:val="-1"/>
        </w:rPr>
        <w:t>OMB has</w:t>
      </w:r>
      <w:r>
        <w:rPr>
          <w:spacing w:val="-2"/>
        </w:rPr>
        <w:t xml:space="preserve"> </w:t>
      </w:r>
      <w:r>
        <w:rPr>
          <w:spacing w:val="-1"/>
        </w:rPr>
        <w:t>taken</w:t>
      </w:r>
      <w:r>
        <w:t xml:space="preserve"> </w:t>
      </w:r>
      <w:r>
        <w:rPr>
          <w:spacing w:val="-1"/>
        </w:rPr>
        <w:t>action</w:t>
      </w:r>
      <w:r>
        <w:rPr>
          <w:spacing w:val="-2"/>
        </w:rPr>
        <w:t xml:space="preserve"> </w:t>
      </w:r>
      <w:r>
        <w:rPr>
          <w:spacing w:val="-1"/>
        </w:rPr>
        <w:t>on</w:t>
      </w:r>
      <w:r>
        <w:rPr>
          <w:spacing w:val="-2"/>
        </w:rPr>
        <w:t xml:space="preserve"> </w:t>
      </w:r>
      <w:r>
        <w:t>your</w:t>
      </w:r>
      <w:r>
        <w:rPr>
          <w:spacing w:val="-1"/>
        </w:rPr>
        <w:t xml:space="preserve"> </w:t>
      </w:r>
      <w:r>
        <w:t>request</w:t>
      </w:r>
      <w:r>
        <w:rPr>
          <w:spacing w:val="-2"/>
        </w:rPr>
        <w:t xml:space="preserve"> </w:t>
      </w:r>
      <w:r>
        <w:t>received</w:t>
      </w:r>
      <w:r>
        <w:rPr>
          <w:spacing w:val="25"/>
        </w:rPr>
        <w:t xml:space="preserve"> </w:t>
      </w:r>
      <w:r w:rsidRPr="0070451D">
        <w:rPr>
          <w:rFonts w:ascii="Arial" w:hAnsi="Arial" w:cs="Arial"/>
          <w:spacing w:val="-1"/>
          <w:sz w:val="20"/>
          <w:szCs w:val="20"/>
          <w:u w:val="single" w:color="000000"/>
        </w:rPr>
        <w:t>06/05/2014</w:t>
      </w:r>
    </w:p>
    <w:p w:rsidRPr="0070451D" w:rsidR="006E63F2" w:rsidP="006E63F2" w:rsidRDefault="006E63F2" w14:paraId="10830CC2" w14:textId="77777777">
      <w:pPr>
        <w:spacing w:before="11"/>
        <w:rPr>
          <w:rFonts w:ascii="Arial" w:hAnsi="Arial" w:eastAsia="Arial" w:cs="Arial"/>
        </w:rPr>
      </w:pPr>
    </w:p>
    <w:p w:rsidRPr="0070451D" w:rsidR="006E63F2" w:rsidP="006E63F2" w:rsidRDefault="006E63F2" w14:paraId="0E8D30DE" w14:textId="77777777">
      <w:pPr>
        <w:pStyle w:val="BodyText"/>
        <w:tabs>
          <w:tab w:val="left" w:pos="2519"/>
        </w:tabs>
        <w:rPr>
          <w:rFonts w:ascii="Arial" w:hAnsi="Arial" w:cs="Arial"/>
          <w:sz w:val="20"/>
          <w:szCs w:val="20"/>
        </w:rPr>
      </w:pPr>
      <w:r w:rsidRPr="0070451D">
        <w:rPr>
          <w:rFonts w:ascii="Arial" w:hAnsi="Arial" w:cs="Arial"/>
          <w:spacing w:val="-1"/>
          <w:sz w:val="20"/>
          <w:szCs w:val="20"/>
        </w:rPr>
        <w:t>ACTION</w:t>
      </w:r>
      <w:r w:rsidRPr="0070451D">
        <w:rPr>
          <w:rFonts w:ascii="Arial" w:hAnsi="Arial" w:cs="Arial"/>
          <w:spacing w:val="-20"/>
          <w:sz w:val="20"/>
          <w:szCs w:val="20"/>
        </w:rPr>
        <w:t xml:space="preserve"> </w:t>
      </w:r>
      <w:r w:rsidRPr="0070451D">
        <w:rPr>
          <w:rFonts w:ascii="Arial" w:hAnsi="Arial" w:cs="Arial"/>
          <w:spacing w:val="-1"/>
          <w:sz w:val="20"/>
          <w:szCs w:val="20"/>
        </w:rPr>
        <w:t>REQUESTED:</w:t>
      </w:r>
      <w:r w:rsidRPr="0070451D">
        <w:rPr>
          <w:rFonts w:ascii="Arial" w:hAnsi="Arial" w:cs="Arial"/>
          <w:spacing w:val="-1"/>
          <w:sz w:val="20"/>
          <w:szCs w:val="20"/>
        </w:rPr>
        <w:tab/>
      </w:r>
      <w:r w:rsidRPr="0070451D">
        <w:rPr>
          <w:rFonts w:ascii="Arial" w:hAnsi="Arial" w:cs="Arial"/>
          <w:spacing w:val="-1"/>
          <w:sz w:val="20"/>
          <w:szCs w:val="20"/>
          <w:u w:val="single" w:color="000000"/>
        </w:rPr>
        <w:t>New</w:t>
      </w:r>
      <w:r w:rsidRPr="0070451D">
        <w:rPr>
          <w:rFonts w:ascii="Arial" w:hAnsi="Arial" w:cs="Arial"/>
          <w:spacing w:val="-2"/>
          <w:sz w:val="20"/>
          <w:szCs w:val="20"/>
          <w:u w:val="single" w:color="000000"/>
        </w:rPr>
        <w:t xml:space="preserve"> </w:t>
      </w:r>
      <w:r w:rsidRPr="0070451D">
        <w:rPr>
          <w:rFonts w:ascii="Arial" w:hAnsi="Arial" w:cs="Arial"/>
          <w:sz w:val="20"/>
          <w:szCs w:val="20"/>
          <w:u w:val="single" w:color="000000"/>
        </w:rPr>
        <w:t>collection</w:t>
      </w:r>
      <w:r w:rsidRPr="0070451D">
        <w:rPr>
          <w:rFonts w:ascii="Arial" w:hAnsi="Arial" w:cs="Arial"/>
          <w:spacing w:val="-3"/>
          <w:sz w:val="20"/>
          <w:szCs w:val="20"/>
          <w:u w:val="single" w:color="000000"/>
        </w:rPr>
        <w:t xml:space="preserve"> </w:t>
      </w:r>
      <w:r w:rsidRPr="0070451D">
        <w:rPr>
          <w:rFonts w:ascii="Arial" w:hAnsi="Arial" w:cs="Arial"/>
          <w:sz w:val="20"/>
          <w:szCs w:val="20"/>
          <w:u w:val="single" w:color="000000"/>
        </w:rPr>
        <w:t>(Request</w:t>
      </w:r>
      <w:r w:rsidRPr="0070451D">
        <w:rPr>
          <w:rFonts w:ascii="Arial" w:hAnsi="Arial" w:cs="Arial"/>
          <w:spacing w:val="-2"/>
          <w:sz w:val="20"/>
          <w:szCs w:val="20"/>
          <w:u w:val="single" w:color="000000"/>
        </w:rPr>
        <w:t xml:space="preserve"> </w:t>
      </w:r>
      <w:r w:rsidRPr="0070451D">
        <w:rPr>
          <w:rFonts w:ascii="Arial" w:hAnsi="Arial" w:cs="Arial"/>
          <w:spacing w:val="-1"/>
          <w:sz w:val="20"/>
          <w:szCs w:val="20"/>
          <w:u w:val="single" w:color="000000"/>
        </w:rPr>
        <w:t>for</w:t>
      </w:r>
      <w:r w:rsidRPr="0070451D">
        <w:rPr>
          <w:rFonts w:ascii="Arial" w:hAnsi="Arial" w:cs="Arial"/>
          <w:spacing w:val="-2"/>
          <w:sz w:val="20"/>
          <w:szCs w:val="20"/>
          <w:u w:val="single" w:color="000000"/>
        </w:rPr>
        <w:t xml:space="preserve"> </w:t>
      </w:r>
      <w:r w:rsidRPr="0070451D">
        <w:rPr>
          <w:rFonts w:ascii="Arial" w:hAnsi="Arial" w:cs="Arial"/>
          <w:sz w:val="20"/>
          <w:szCs w:val="20"/>
          <w:u w:val="single" w:color="000000"/>
        </w:rPr>
        <w:t>a</w:t>
      </w:r>
      <w:r w:rsidRPr="0070451D">
        <w:rPr>
          <w:rFonts w:ascii="Arial" w:hAnsi="Arial" w:cs="Arial"/>
          <w:spacing w:val="-2"/>
          <w:sz w:val="20"/>
          <w:szCs w:val="20"/>
          <w:u w:val="single" w:color="000000"/>
        </w:rPr>
        <w:t xml:space="preserve"> </w:t>
      </w:r>
      <w:r w:rsidRPr="0070451D">
        <w:rPr>
          <w:rFonts w:ascii="Arial" w:hAnsi="Arial" w:cs="Arial"/>
          <w:spacing w:val="-1"/>
          <w:sz w:val="20"/>
          <w:szCs w:val="20"/>
          <w:u w:val="single" w:color="000000"/>
        </w:rPr>
        <w:t>new</w:t>
      </w:r>
      <w:r w:rsidRPr="0070451D">
        <w:rPr>
          <w:rFonts w:ascii="Arial" w:hAnsi="Arial" w:cs="Arial"/>
          <w:spacing w:val="-3"/>
          <w:sz w:val="20"/>
          <w:szCs w:val="20"/>
          <w:u w:val="single" w:color="000000"/>
        </w:rPr>
        <w:t xml:space="preserve"> </w:t>
      </w:r>
      <w:r w:rsidRPr="0070451D">
        <w:rPr>
          <w:rFonts w:ascii="Arial" w:hAnsi="Arial" w:cs="Arial"/>
          <w:spacing w:val="-1"/>
          <w:sz w:val="20"/>
          <w:szCs w:val="20"/>
          <w:u w:val="single" w:color="000000"/>
        </w:rPr>
        <w:t>OMB Control</w:t>
      </w:r>
      <w:r w:rsidRPr="0070451D">
        <w:rPr>
          <w:rFonts w:ascii="Arial" w:hAnsi="Arial" w:cs="Arial"/>
          <w:spacing w:val="-2"/>
          <w:sz w:val="20"/>
          <w:szCs w:val="20"/>
          <w:u w:val="single" w:color="000000"/>
        </w:rPr>
        <w:t xml:space="preserve"> </w:t>
      </w:r>
      <w:r w:rsidRPr="0070451D">
        <w:rPr>
          <w:rFonts w:ascii="Arial" w:hAnsi="Arial" w:cs="Arial"/>
          <w:spacing w:val="-1"/>
          <w:sz w:val="20"/>
          <w:szCs w:val="20"/>
          <w:u w:val="single" w:color="000000"/>
        </w:rPr>
        <w:t>Number)</w:t>
      </w:r>
    </w:p>
    <w:p w:rsidRPr="0070451D" w:rsidR="006E63F2" w:rsidP="006E63F2" w:rsidRDefault="006E63F2" w14:paraId="59986593" w14:textId="77777777">
      <w:pPr>
        <w:rPr>
          <w:rFonts w:ascii="Arial" w:hAnsi="Arial" w:cs="Arial"/>
        </w:rPr>
        <w:sectPr w:rsidRPr="0070451D" w:rsidR="006E63F2">
          <w:type w:val="continuous"/>
          <w:pgSz w:w="12400" w:h="16840"/>
          <w:pgMar w:top="360" w:right="700" w:bottom="280" w:left="400" w:header="720" w:footer="720" w:gutter="0"/>
          <w:cols w:space="720"/>
        </w:sectPr>
      </w:pPr>
    </w:p>
    <w:p w:rsidRPr="0070451D" w:rsidR="006E63F2" w:rsidP="006E63F2" w:rsidRDefault="006E63F2" w14:paraId="467DA9B2" w14:textId="77777777">
      <w:pPr>
        <w:pStyle w:val="BodyText"/>
        <w:spacing w:line="333" w:lineRule="auto"/>
        <w:rPr>
          <w:rFonts w:ascii="Arial" w:hAnsi="Arial" w:cs="Arial"/>
          <w:sz w:val="20"/>
          <w:szCs w:val="20"/>
        </w:rPr>
      </w:pPr>
      <w:r w:rsidRPr="0070451D">
        <w:rPr>
          <w:rFonts w:ascii="Arial" w:hAnsi="Arial" w:cs="Arial"/>
          <w:spacing w:val="-1"/>
          <w:sz w:val="20"/>
          <w:szCs w:val="20"/>
        </w:rPr>
        <w:t>TYPE</w:t>
      </w:r>
      <w:r w:rsidRPr="0070451D">
        <w:rPr>
          <w:rFonts w:ascii="Arial" w:hAnsi="Arial" w:cs="Arial"/>
          <w:spacing w:val="-10"/>
          <w:sz w:val="20"/>
          <w:szCs w:val="20"/>
        </w:rPr>
        <w:t xml:space="preserve"> </w:t>
      </w:r>
      <w:r w:rsidRPr="0070451D">
        <w:rPr>
          <w:rFonts w:ascii="Arial" w:hAnsi="Arial" w:cs="Arial"/>
          <w:spacing w:val="-1"/>
          <w:sz w:val="20"/>
          <w:szCs w:val="20"/>
        </w:rPr>
        <w:t>OF</w:t>
      </w:r>
      <w:r w:rsidRPr="0070451D">
        <w:rPr>
          <w:rFonts w:ascii="Arial" w:hAnsi="Arial" w:cs="Arial"/>
          <w:spacing w:val="-11"/>
          <w:sz w:val="20"/>
          <w:szCs w:val="20"/>
        </w:rPr>
        <w:t xml:space="preserve"> </w:t>
      </w:r>
      <w:r w:rsidRPr="0070451D">
        <w:rPr>
          <w:rFonts w:ascii="Arial" w:hAnsi="Arial" w:cs="Arial"/>
          <w:spacing w:val="-1"/>
          <w:sz w:val="20"/>
          <w:szCs w:val="20"/>
        </w:rPr>
        <w:t>REVIEW</w:t>
      </w:r>
      <w:r w:rsidRPr="0070451D">
        <w:rPr>
          <w:rFonts w:ascii="Arial" w:hAnsi="Arial" w:cs="Arial"/>
          <w:spacing w:val="-10"/>
          <w:sz w:val="20"/>
          <w:szCs w:val="20"/>
        </w:rPr>
        <w:t xml:space="preserve"> </w:t>
      </w:r>
      <w:r w:rsidRPr="0070451D">
        <w:rPr>
          <w:rFonts w:ascii="Arial" w:hAnsi="Arial" w:cs="Arial"/>
          <w:spacing w:val="-1"/>
          <w:sz w:val="20"/>
          <w:szCs w:val="20"/>
        </w:rPr>
        <w:t>REQUESTED:</w:t>
      </w:r>
      <w:r w:rsidRPr="0070451D">
        <w:rPr>
          <w:rFonts w:ascii="Arial" w:hAnsi="Arial" w:cs="Arial"/>
          <w:spacing w:val="23"/>
          <w:w w:val="99"/>
          <w:sz w:val="20"/>
          <w:szCs w:val="20"/>
        </w:rPr>
        <w:t xml:space="preserve"> </w:t>
      </w:r>
      <w:r w:rsidRPr="0070451D">
        <w:rPr>
          <w:rFonts w:ascii="Arial" w:hAnsi="Arial" w:cs="Arial"/>
          <w:spacing w:val="-1"/>
          <w:sz w:val="20"/>
          <w:szCs w:val="20"/>
        </w:rPr>
        <w:t>ICR</w:t>
      </w:r>
      <w:r w:rsidRPr="0070451D">
        <w:rPr>
          <w:rFonts w:ascii="Arial" w:hAnsi="Arial" w:cs="Arial"/>
          <w:sz w:val="20"/>
          <w:szCs w:val="20"/>
        </w:rPr>
        <w:t xml:space="preserve"> </w:t>
      </w:r>
      <w:r w:rsidRPr="0070451D">
        <w:rPr>
          <w:rFonts w:ascii="Arial" w:hAnsi="Arial" w:cs="Arial"/>
          <w:spacing w:val="-1"/>
          <w:sz w:val="20"/>
          <w:szCs w:val="20"/>
        </w:rPr>
        <w:t>REFERENCE NUMBER:</w:t>
      </w:r>
      <w:r w:rsidRPr="0070451D">
        <w:rPr>
          <w:rFonts w:ascii="Arial" w:hAnsi="Arial" w:cs="Arial"/>
          <w:spacing w:val="22"/>
          <w:sz w:val="20"/>
          <w:szCs w:val="20"/>
        </w:rPr>
        <w:t xml:space="preserve"> </w:t>
      </w:r>
      <w:r w:rsidRPr="0070451D">
        <w:rPr>
          <w:rFonts w:ascii="Arial" w:hAnsi="Arial" w:cs="Arial"/>
          <w:spacing w:val="-1"/>
          <w:sz w:val="20"/>
          <w:szCs w:val="20"/>
        </w:rPr>
        <w:t>AGENCY</w:t>
      </w:r>
      <w:r w:rsidRPr="0070451D">
        <w:rPr>
          <w:rFonts w:ascii="Arial" w:hAnsi="Arial" w:cs="Arial"/>
          <w:spacing w:val="-4"/>
          <w:sz w:val="20"/>
          <w:szCs w:val="20"/>
        </w:rPr>
        <w:t xml:space="preserve"> </w:t>
      </w:r>
      <w:r w:rsidRPr="0070451D">
        <w:rPr>
          <w:rFonts w:ascii="Arial" w:hAnsi="Arial" w:cs="Arial"/>
          <w:spacing w:val="-1"/>
          <w:sz w:val="20"/>
          <w:szCs w:val="20"/>
        </w:rPr>
        <w:t>ICR</w:t>
      </w:r>
      <w:r w:rsidRPr="0070451D">
        <w:rPr>
          <w:rFonts w:ascii="Arial" w:hAnsi="Arial" w:cs="Arial"/>
          <w:spacing w:val="-3"/>
          <w:sz w:val="20"/>
          <w:szCs w:val="20"/>
        </w:rPr>
        <w:t xml:space="preserve"> </w:t>
      </w:r>
      <w:r w:rsidRPr="0070451D">
        <w:rPr>
          <w:rFonts w:ascii="Arial" w:hAnsi="Arial" w:cs="Arial"/>
          <w:spacing w:val="-1"/>
          <w:sz w:val="20"/>
          <w:szCs w:val="20"/>
        </w:rPr>
        <w:t>TRACKING</w:t>
      </w:r>
      <w:r w:rsidRPr="0070451D">
        <w:rPr>
          <w:rFonts w:ascii="Arial" w:hAnsi="Arial" w:cs="Arial"/>
          <w:spacing w:val="-3"/>
          <w:sz w:val="20"/>
          <w:szCs w:val="20"/>
        </w:rPr>
        <w:t xml:space="preserve"> </w:t>
      </w:r>
      <w:r w:rsidRPr="0070451D">
        <w:rPr>
          <w:rFonts w:ascii="Arial" w:hAnsi="Arial" w:cs="Arial"/>
          <w:spacing w:val="-1"/>
          <w:sz w:val="20"/>
          <w:szCs w:val="20"/>
        </w:rPr>
        <w:t>NUMBER:</w:t>
      </w:r>
    </w:p>
    <w:p w:rsidRPr="0070451D" w:rsidR="006E63F2" w:rsidP="006E63F2" w:rsidRDefault="006E63F2" w14:paraId="5DE3DDB7" w14:textId="77777777">
      <w:pPr>
        <w:pStyle w:val="BodyText"/>
        <w:ind w:left="111"/>
        <w:rPr>
          <w:rFonts w:ascii="Arial" w:hAnsi="Arial" w:cs="Arial"/>
          <w:sz w:val="20"/>
          <w:szCs w:val="20"/>
        </w:rPr>
      </w:pPr>
      <w:r>
        <w:br w:type="column"/>
      </w:r>
      <w:r w:rsidRPr="0070451D">
        <w:rPr>
          <w:rFonts w:ascii="Arial" w:hAnsi="Arial" w:cs="Arial"/>
          <w:spacing w:val="-1"/>
          <w:sz w:val="20"/>
          <w:szCs w:val="20"/>
          <w:u w:val="single" w:color="000000"/>
        </w:rPr>
        <w:lastRenderedPageBreak/>
        <w:t>Regular</w:t>
      </w:r>
    </w:p>
    <w:p w:rsidRPr="0070451D" w:rsidR="006E63F2" w:rsidP="006E63F2" w:rsidRDefault="006E63F2" w14:paraId="09BD9D56" w14:textId="77777777">
      <w:pPr>
        <w:pStyle w:val="BodyText"/>
        <w:ind w:left="111"/>
        <w:rPr>
          <w:rFonts w:ascii="Arial" w:hAnsi="Arial" w:cs="Arial"/>
          <w:sz w:val="20"/>
          <w:szCs w:val="20"/>
        </w:rPr>
      </w:pPr>
      <w:r w:rsidRPr="0070451D">
        <w:rPr>
          <w:rFonts w:ascii="Arial" w:hAnsi="Arial" w:cs="Arial"/>
          <w:spacing w:val="-1"/>
          <w:sz w:val="20"/>
          <w:szCs w:val="20"/>
          <w:u w:val="single" w:color="000000"/>
        </w:rPr>
        <w:t>201406-0970-003</w:t>
      </w:r>
    </w:p>
    <w:p w:rsidRPr="0070451D" w:rsidR="006E63F2" w:rsidP="006E63F2" w:rsidRDefault="006E63F2" w14:paraId="4A499647" w14:textId="77777777">
      <w:pPr>
        <w:pStyle w:val="BodyText"/>
        <w:ind w:left="351"/>
        <w:rPr>
          <w:rFonts w:ascii="Arial" w:hAnsi="Arial" w:cs="Arial"/>
          <w:sz w:val="20"/>
          <w:szCs w:val="20"/>
        </w:rPr>
      </w:pPr>
      <w:r w:rsidRPr="0070451D">
        <w:rPr>
          <w:rFonts w:ascii="Arial" w:hAnsi="Arial" w:cs="Arial"/>
          <w:spacing w:val="-1"/>
          <w:sz w:val="20"/>
          <w:szCs w:val="20"/>
          <w:u w:val="single" w:color="000000"/>
        </w:rPr>
        <w:t>OCS</w:t>
      </w:r>
    </w:p>
    <w:p w:rsidR="006E63F2" w:rsidP="006E63F2" w:rsidRDefault="006E63F2" w14:paraId="0416F7D1" w14:textId="77777777">
      <w:pPr>
        <w:sectPr w:rsidR="006E63F2">
          <w:type w:val="continuous"/>
          <w:pgSz w:w="12400" w:h="16840"/>
          <w:pgMar w:top="360" w:right="700" w:bottom="280" w:left="400" w:header="720" w:footer="720" w:gutter="0"/>
          <w:cols w:equalWidth="0" w:space="720" w:num="2">
            <w:col w:w="3469" w:space="40"/>
            <w:col w:w="7791"/>
          </w:cols>
        </w:sectPr>
      </w:pPr>
    </w:p>
    <w:p w:rsidRPr="0070451D" w:rsidR="006E63F2" w:rsidP="006E63F2" w:rsidRDefault="006E63F2" w14:paraId="002DAE20" w14:textId="77777777">
      <w:pPr>
        <w:pStyle w:val="BodyText"/>
        <w:tabs>
          <w:tab w:val="left" w:pos="1579"/>
        </w:tabs>
        <w:spacing w:before="42"/>
        <w:rPr>
          <w:rFonts w:ascii="Arial" w:hAnsi="Arial" w:cs="Arial"/>
          <w:sz w:val="20"/>
          <w:szCs w:val="20"/>
        </w:rPr>
      </w:pPr>
      <w:r w:rsidRPr="0070451D">
        <w:rPr>
          <w:rFonts w:ascii="Arial" w:hAnsi="Arial" w:cs="Arial"/>
          <w:spacing w:val="-1"/>
          <w:w w:val="95"/>
          <w:sz w:val="20"/>
          <w:szCs w:val="20"/>
        </w:rPr>
        <w:t>TITLE:</w:t>
      </w:r>
      <w:r w:rsidRPr="0070451D">
        <w:rPr>
          <w:rFonts w:ascii="Arial" w:hAnsi="Arial" w:cs="Arial"/>
          <w:spacing w:val="-1"/>
          <w:w w:val="95"/>
          <w:sz w:val="20"/>
          <w:szCs w:val="20"/>
        </w:rPr>
        <w:tab/>
      </w:r>
      <w:r w:rsidRPr="0070451D">
        <w:rPr>
          <w:rFonts w:ascii="Arial" w:hAnsi="Arial" w:cs="Arial"/>
          <w:spacing w:val="-1"/>
          <w:sz w:val="20"/>
          <w:szCs w:val="20"/>
          <w:u w:val="single" w:color="000000"/>
        </w:rPr>
        <w:t>LIHEAP</w:t>
      </w:r>
      <w:r w:rsidRPr="0070451D">
        <w:rPr>
          <w:rFonts w:ascii="Arial" w:hAnsi="Arial" w:cs="Arial"/>
          <w:spacing w:val="-2"/>
          <w:sz w:val="20"/>
          <w:szCs w:val="20"/>
          <w:u w:val="single" w:color="000000"/>
        </w:rPr>
        <w:t xml:space="preserve"> </w:t>
      </w:r>
      <w:r w:rsidRPr="0070451D">
        <w:rPr>
          <w:rFonts w:ascii="Arial" w:hAnsi="Arial" w:cs="Arial"/>
          <w:spacing w:val="-1"/>
          <w:sz w:val="20"/>
          <w:szCs w:val="20"/>
          <w:u w:val="single" w:color="000000"/>
        </w:rPr>
        <w:t>Performance</w:t>
      </w:r>
      <w:r w:rsidRPr="0070451D">
        <w:rPr>
          <w:rFonts w:ascii="Arial" w:hAnsi="Arial" w:cs="Arial"/>
          <w:spacing w:val="2"/>
          <w:sz w:val="20"/>
          <w:szCs w:val="20"/>
          <w:u w:val="single" w:color="000000"/>
        </w:rPr>
        <w:t xml:space="preserve"> </w:t>
      </w:r>
      <w:r w:rsidRPr="0070451D">
        <w:rPr>
          <w:rFonts w:ascii="Arial" w:hAnsi="Arial" w:cs="Arial"/>
          <w:sz w:val="20"/>
          <w:szCs w:val="20"/>
          <w:u w:val="single" w:color="000000"/>
        </w:rPr>
        <w:t>Measures</w:t>
      </w:r>
    </w:p>
    <w:p w:rsidRPr="0070451D" w:rsidR="006E63F2" w:rsidP="006E63F2" w:rsidRDefault="006E63F2" w14:paraId="737DA0A4" w14:textId="77777777">
      <w:pPr>
        <w:pStyle w:val="BodyText"/>
        <w:rPr>
          <w:rFonts w:ascii="Arial" w:hAnsi="Arial" w:cs="Arial"/>
          <w:sz w:val="20"/>
          <w:szCs w:val="20"/>
        </w:rPr>
      </w:pPr>
      <w:r w:rsidRPr="0070451D">
        <w:rPr>
          <w:rFonts w:ascii="Arial" w:hAnsi="Arial" w:cs="Arial"/>
          <w:sz w:val="20"/>
          <w:szCs w:val="20"/>
        </w:rPr>
        <w:t>LIST OF INFORMATION COLLECTIONS:</w:t>
      </w:r>
      <w:r w:rsidRPr="0070451D">
        <w:rPr>
          <w:rFonts w:ascii="Arial" w:hAnsi="Arial" w:cs="Arial"/>
          <w:spacing w:val="55"/>
          <w:sz w:val="20"/>
          <w:szCs w:val="20"/>
        </w:rPr>
        <w:t xml:space="preserve"> </w:t>
      </w:r>
      <w:r w:rsidRPr="0070451D">
        <w:rPr>
          <w:rFonts w:ascii="Arial" w:hAnsi="Arial" w:cs="Arial"/>
          <w:sz w:val="20"/>
          <w:szCs w:val="20"/>
        </w:rPr>
        <w:t>See next page</w:t>
      </w:r>
    </w:p>
    <w:p w:rsidRPr="0070451D" w:rsidR="006E63F2" w:rsidP="006E63F2" w:rsidRDefault="006E63F2" w14:paraId="3588BB6D" w14:textId="77777777">
      <w:pPr>
        <w:spacing w:before="8"/>
        <w:rPr>
          <w:rFonts w:ascii="Arial" w:hAnsi="Arial" w:eastAsia="Arial" w:cs="Arial"/>
        </w:rPr>
      </w:pPr>
    </w:p>
    <w:p w:rsidRPr="0070451D" w:rsidR="006E63F2" w:rsidP="006E63F2" w:rsidRDefault="006E63F2" w14:paraId="598B1299" w14:textId="77777777">
      <w:pPr>
        <w:pStyle w:val="BodyText"/>
        <w:spacing w:before="74"/>
        <w:rPr>
          <w:rFonts w:ascii="Arial" w:hAnsi="Arial" w:cs="Arial"/>
          <w:sz w:val="20"/>
          <w:szCs w:val="20"/>
        </w:rPr>
      </w:pPr>
      <w:r w:rsidRPr="0070451D">
        <w:rPr>
          <w:rFonts w:ascii="Arial" w:hAnsi="Arial" w:cs="Arial"/>
          <w:spacing w:val="-1"/>
          <w:sz w:val="20"/>
          <w:szCs w:val="20"/>
        </w:rPr>
        <w:t>OMB</w:t>
      </w:r>
      <w:r w:rsidRPr="0070451D">
        <w:rPr>
          <w:rFonts w:ascii="Arial" w:hAnsi="Arial" w:cs="Arial"/>
          <w:spacing w:val="-3"/>
          <w:sz w:val="20"/>
          <w:szCs w:val="20"/>
        </w:rPr>
        <w:t xml:space="preserve"> </w:t>
      </w:r>
      <w:r w:rsidRPr="0070451D">
        <w:rPr>
          <w:rFonts w:ascii="Arial" w:hAnsi="Arial" w:cs="Arial"/>
          <w:spacing w:val="-1"/>
          <w:sz w:val="20"/>
          <w:szCs w:val="20"/>
        </w:rPr>
        <w:t>ACTION:</w:t>
      </w:r>
      <w:r w:rsidRPr="0070451D">
        <w:rPr>
          <w:rFonts w:ascii="Arial" w:hAnsi="Arial" w:cs="Arial"/>
          <w:sz w:val="20"/>
          <w:szCs w:val="20"/>
        </w:rPr>
        <w:t xml:space="preserve"> </w:t>
      </w:r>
      <w:r w:rsidRPr="0070451D">
        <w:rPr>
          <w:rFonts w:ascii="Arial" w:hAnsi="Arial" w:cs="Arial"/>
          <w:spacing w:val="3"/>
          <w:sz w:val="20"/>
          <w:szCs w:val="20"/>
        </w:rPr>
        <w:t xml:space="preserve"> </w:t>
      </w:r>
      <w:r w:rsidRPr="0070451D">
        <w:rPr>
          <w:rFonts w:ascii="Arial" w:hAnsi="Arial" w:cs="Arial"/>
          <w:spacing w:val="-1"/>
          <w:sz w:val="20"/>
          <w:szCs w:val="20"/>
          <w:u w:val="single" w:color="000000"/>
        </w:rPr>
        <w:t>Approved without</w:t>
      </w:r>
      <w:r w:rsidRPr="0070451D">
        <w:rPr>
          <w:rFonts w:ascii="Arial" w:hAnsi="Arial" w:cs="Arial"/>
          <w:spacing w:val="-4"/>
          <w:sz w:val="20"/>
          <w:szCs w:val="20"/>
          <w:u w:val="single" w:color="000000"/>
        </w:rPr>
        <w:t xml:space="preserve"> </w:t>
      </w:r>
      <w:r w:rsidRPr="0070451D">
        <w:rPr>
          <w:rFonts w:ascii="Arial" w:hAnsi="Arial" w:cs="Arial"/>
          <w:sz w:val="20"/>
          <w:szCs w:val="20"/>
          <w:u w:val="single" w:color="000000"/>
        </w:rPr>
        <w:t>change</w:t>
      </w:r>
    </w:p>
    <w:p w:rsidRPr="0070451D" w:rsidR="006E63F2" w:rsidP="006E63F2" w:rsidRDefault="006E63F2" w14:paraId="475554CB" w14:textId="77777777">
      <w:pPr>
        <w:pStyle w:val="BodyText"/>
        <w:tabs>
          <w:tab w:val="right" w:pos="4776"/>
        </w:tabs>
        <w:rPr>
          <w:rFonts w:ascii="Arial" w:hAnsi="Arial" w:cs="Arial"/>
          <w:sz w:val="20"/>
          <w:szCs w:val="20"/>
        </w:rPr>
      </w:pPr>
      <w:r w:rsidRPr="0070451D">
        <w:rPr>
          <w:rFonts w:ascii="Arial" w:hAnsi="Arial" w:cs="Arial"/>
          <w:spacing w:val="-1"/>
          <w:sz w:val="20"/>
          <w:szCs w:val="20"/>
        </w:rPr>
        <w:t>OMB CONTROL NUMBER:</w:t>
      </w:r>
      <w:r w:rsidRPr="0070451D">
        <w:rPr>
          <w:rFonts w:ascii="Arial" w:hAnsi="Arial" w:cs="Arial"/>
          <w:spacing w:val="-1"/>
          <w:sz w:val="20"/>
          <w:szCs w:val="20"/>
        </w:rPr>
        <w:tab/>
      </w:r>
      <w:r w:rsidRPr="0070451D">
        <w:rPr>
          <w:rFonts w:ascii="Arial" w:hAnsi="Arial" w:cs="Arial"/>
          <w:spacing w:val="-1"/>
          <w:sz w:val="20"/>
          <w:szCs w:val="20"/>
          <w:u w:val="single" w:color="000000"/>
        </w:rPr>
        <w:t>0970-0449</w:t>
      </w:r>
    </w:p>
    <w:p w:rsidRPr="0070451D" w:rsidR="006E63F2" w:rsidP="006E63F2" w:rsidRDefault="006E63F2" w14:paraId="2FA2C816" w14:textId="77777777">
      <w:pPr>
        <w:pStyle w:val="BodyText"/>
        <w:ind w:right="542"/>
        <w:rPr>
          <w:rFonts w:ascii="Arial" w:hAnsi="Arial" w:cs="Arial"/>
          <w:sz w:val="20"/>
          <w:szCs w:val="20"/>
        </w:rPr>
      </w:pPr>
      <w:r w:rsidRPr="0070451D">
        <w:rPr>
          <w:rFonts w:ascii="Arial" w:hAnsi="Arial" w:cs="Arial"/>
          <w:spacing w:val="-1"/>
          <w:sz w:val="20"/>
          <w:szCs w:val="20"/>
        </w:rPr>
        <w:t>The agency</w:t>
      </w:r>
      <w:r w:rsidRPr="0070451D">
        <w:rPr>
          <w:rFonts w:ascii="Arial" w:hAnsi="Arial" w:cs="Arial"/>
          <w:sz w:val="20"/>
          <w:szCs w:val="20"/>
        </w:rPr>
        <w:t xml:space="preserve"> </w:t>
      </w:r>
      <w:r w:rsidRPr="0070451D">
        <w:rPr>
          <w:rFonts w:ascii="Arial" w:hAnsi="Arial" w:cs="Arial"/>
          <w:spacing w:val="-1"/>
          <w:sz w:val="20"/>
          <w:szCs w:val="20"/>
        </w:rPr>
        <w:t>is</w:t>
      </w:r>
      <w:r w:rsidRPr="0070451D">
        <w:rPr>
          <w:rFonts w:ascii="Arial" w:hAnsi="Arial" w:cs="Arial"/>
          <w:spacing w:val="-2"/>
          <w:sz w:val="20"/>
          <w:szCs w:val="20"/>
        </w:rPr>
        <w:t xml:space="preserve"> </w:t>
      </w:r>
      <w:r w:rsidRPr="0070451D">
        <w:rPr>
          <w:rFonts w:ascii="Arial" w:hAnsi="Arial" w:cs="Arial"/>
          <w:sz w:val="20"/>
          <w:szCs w:val="20"/>
        </w:rPr>
        <w:t>required</w:t>
      </w:r>
      <w:r w:rsidRPr="0070451D">
        <w:rPr>
          <w:rFonts w:ascii="Arial" w:hAnsi="Arial" w:cs="Arial"/>
          <w:spacing w:val="-1"/>
          <w:sz w:val="20"/>
          <w:szCs w:val="20"/>
        </w:rPr>
        <w:t xml:space="preserve"> to</w:t>
      </w:r>
      <w:r w:rsidRPr="0070451D">
        <w:rPr>
          <w:rFonts w:ascii="Arial" w:hAnsi="Arial" w:cs="Arial"/>
          <w:spacing w:val="-2"/>
          <w:sz w:val="20"/>
          <w:szCs w:val="20"/>
        </w:rPr>
        <w:t xml:space="preserve"> </w:t>
      </w:r>
      <w:r w:rsidRPr="0070451D">
        <w:rPr>
          <w:rFonts w:ascii="Arial" w:hAnsi="Arial" w:cs="Arial"/>
          <w:spacing w:val="-1"/>
          <w:sz w:val="20"/>
          <w:szCs w:val="20"/>
        </w:rPr>
        <w:t>display</w:t>
      </w:r>
      <w:r w:rsidRPr="0070451D">
        <w:rPr>
          <w:rFonts w:ascii="Arial" w:hAnsi="Arial" w:cs="Arial"/>
          <w:sz w:val="20"/>
          <w:szCs w:val="20"/>
        </w:rPr>
        <w:t xml:space="preserve"> </w:t>
      </w:r>
      <w:r w:rsidRPr="0070451D">
        <w:rPr>
          <w:rFonts w:ascii="Arial" w:hAnsi="Arial" w:cs="Arial"/>
          <w:spacing w:val="-1"/>
          <w:sz w:val="20"/>
          <w:szCs w:val="20"/>
        </w:rPr>
        <w:t>the OMB</w:t>
      </w:r>
      <w:r w:rsidRPr="0070451D">
        <w:rPr>
          <w:rFonts w:ascii="Arial" w:hAnsi="Arial" w:cs="Arial"/>
          <w:sz w:val="20"/>
          <w:szCs w:val="20"/>
        </w:rPr>
        <w:t xml:space="preserve"> </w:t>
      </w:r>
      <w:r w:rsidRPr="0070451D">
        <w:rPr>
          <w:rFonts w:ascii="Arial" w:hAnsi="Arial" w:cs="Arial"/>
          <w:spacing w:val="-1"/>
          <w:sz w:val="20"/>
          <w:szCs w:val="20"/>
        </w:rPr>
        <w:t>Control</w:t>
      </w:r>
      <w:r w:rsidRPr="0070451D">
        <w:rPr>
          <w:rFonts w:ascii="Arial" w:hAnsi="Arial" w:cs="Arial"/>
          <w:spacing w:val="-2"/>
          <w:sz w:val="20"/>
          <w:szCs w:val="20"/>
        </w:rPr>
        <w:t xml:space="preserve"> </w:t>
      </w:r>
      <w:r w:rsidRPr="0070451D">
        <w:rPr>
          <w:rFonts w:ascii="Arial" w:hAnsi="Arial" w:cs="Arial"/>
          <w:spacing w:val="-1"/>
          <w:sz w:val="20"/>
          <w:szCs w:val="20"/>
        </w:rPr>
        <w:t>Number</w:t>
      </w:r>
      <w:r w:rsidRPr="0070451D">
        <w:rPr>
          <w:rFonts w:ascii="Arial" w:hAnsi="Arial" w:cs="Arial"/>
          <w:sz w:val="20"/>
          <w:szCs w:val="20"/>
        </w:rPr>
        <w:t xml:space="preserve"> </w:t>
      </w:r>
      <w:r w:rsidRPr="0070451D">
        <w:rPr>
          <w:rFonts w:ascii="Arial" w:hAnsi="Arial" w:cs="Arial"/>
          <w:spacing w:val="-1"/>
          <w:sz w:val="20"/>
          <w:szCs w:val="20"/>
        </w:rPr>
        <w:t>and</w:t>
      </w:r>
      <w:r w:rsidRPr="0070451D">
        <w:rPr>
          <w:rFonts w:ascii="Arial" w:hAnsi="Arial" w:cs="Arial"/>
          <w:spacing w:val="-2"/>
          <w:sz w:val="20"/>
          <w:szCs w:val="20"/>
        </w:rPr>
        <w:t xml:space="preserve"> </w:t>
      </w:r>
      <w:r w:rsidRPr="0070451D">
        <w:rPr>
          <w:rFonts w:ascii="Arial" w:hAnsi="Arial" w:cs="Arial"/>
          <w:spacing w:val="-1"/>
          <w:sz w:val="20"/>
          <w:szCs w:val="20"/>
        </w:rPr>
        <w:t xml:space="preserve">inform </w:t>
      </w:r>
      <w:r w:rsidRPr="0070451D">
        <w:rPr>
          <w:rFonts w:ascii="Arial" w:hAnsi="Arial" w:cs="Arial"/>
          <w:sz w:val="20"/>
          <w:szCs w:val="20"/>
        </w:rPr>
        <w:t>respondents</w:t>
      </w:r>
      <w:r w:rsidRPr="0070451D">
        <w:rPr>
          <w:rFonts w:ascii="Arial" w:hAnsi="Arial" w:cs="Arial"/>
          <w:spacing w:val="-2"/>
          <w:sz w:val="20"/>
          <w:szCs w:val="20"/>
        </w:rPr>
        <w:t xml:space="preserve"> </w:t>
      </w:r>
      <w:r w:rsidRPr="0070451D">
        <w:rPr>
          <w:rFonts w:ascii="Arial" w:hAnsi="Arial" w:cs="Arial"/>
          <w:spacing w:val="-1"/>
          <w:sz w:val="20"/>
          <w:szCs w:val="20"/>
        </w:rPr>
        <w:t>of its legal</w:t>
      </w:r>
      <w:r w:rsidRPr="0070451D">
        <w:rPr>
          <w:rFonts w:ascii="Arial" w:hAnsi="Arial" w:cs="Arial"/>
          <w:spacing w:val="-2"/>
          <w:sz w:val="20"/>
          <w:szCs w:val="20"/>
        </w:rPr>
        <w:t xml:space="preserve"> </w:t>
      </w:r>
      <w:r w:rsidRPr="0070451D">
        <w:rPr>
          <w:rFonts w:ascii="Arial" w:hAnsi="Arial" w:cs="Arial"/>
          <w:sz w:val="20"/>
          <w:szCs w:val="20"/>
        </w:rPr>
        <w:t>significance</w:t>
      </w:r>
      <w:r w:rsidRPr="0070451D">
        <w:rPr>
          <w:rFonts w:ascii="Arial" w:hAnsi="Arial" w:cs="Arial"/>
          <w:spacing w:val="-1"/>
          <w:sz w:val="20"/>
          <w:szCs w:val="20"/>
        </w:rPr>
        <w:t xml:space="preserve"> in</w:t>
      </w:r>
      <w:r w:rsidRPr="0070451D">
        <w:rPr>
          <w:rFonts w:ascii="Arial" w:hAnsi="Arial" w:cs="Arial"/>
          <w:spacing w:val="28"/>
          <w:sz w:val="20"/>
          <w:szCs w:val="20"/>
        </w:rPr>
        <w:t xml:space="preserve"> </w:t>
      </w:r>
      <w:r w:rsidRPr="0070451D">
        <w:rPr>
          <w:rFonts w:ascii="Arial" w:hAnsi="Arial" w:cs="Arial"/>
          <w:spacing w:val="-1"/>
          <w:sz w:val="20"/>
          <w:szCs w:val="20"/>
        </w:rPr>
        <w:t>accordance</w:t>
      </w:r>
      <w:r w:rsidRPr="0070451D">
        <w:rPr>
          <w:rFonts w:ascii="Arial" w:hAnsi="Arial" w:cs="Arial"/>
          <w:sz w:val="20"/>
          <w:szCs w:val="20"/>
        </w:rPr>
        <w:t xml:space="preserve"> </w:t>
      </w:r>
      <w:r w:rsidRPr="0070451D">
        <w:rPr>
          <w:rFonts w:ascii="Arial" w:hAnsi="Arial" w:cs="Arial"/>
          <w:spacing w:val="-1"/>
          <w:sz w:val="20"/>
          <w:szCs w:val="20"/>
        </w:rPr>
        <w:t xml:space="preserve">with </w:t>
      </w:r>
      <w:r w:rsidRPr="0070451D">
        <w:rPr>
          <w:rFonts w:ascii="Arial" w:hAnsi="Arial" w:cs="Arial"/>
          <w:sz w:val="20"/>
          <w:szCs w:val="20"/>
        </w:rPr>
        <w:t>5</w:t>
      </w:r>
      <w:r w:rsidRPr="0070451D">
        <w:rPr>
          <w:rFonts w:ascii="Arial" w:hAnsi="Arial" w:cs="Arial"/>
          <w:spacing w:val="-1"/>
          <w:sz w:val="20"/>
          <w:szCs w:val="20"/>
        </w:rPr>
        <w:t xml:space="preserve"> CFR 1320.5(b).</w:t>
      </w:r>
    </w:p>
    <w:p w:rsidRPr="0070451D" w:rsidR="006E63F2" w:rsidP="006E63F2" w:rsidRDefault="006E63F2" w14:paraId="12E2D3C1" w14:textId="77777777">
      <w:pPr>
        <w:rPr>
          <w:rFonts w:ascii="Arial" w:hAnsi="Arial" w:cs="Arial"/>
        </w:rPr>
        <w:sectPr w:rsidRPr="0070451D" w:rsidR="006E63F2">
          <w:type w:val="continuous"/>
          <w:pgSz w:w="12400" w:h="16840"/>
          <w:pgMar w:top="360" w:right="700" w:bottom="280" w:left="400" w:header="720" w:footer="720" w:gutter="0"/>
          <w:cols w:space="720"/>
        </w:sectPr>
      </w:pPr>
    </w:p>
    <w:p w:rsidRPr="0070451D" w:rsidR="006E63F2" w:rsidP="006E63F2" w:rsidRDefault="006E63F2" w14:paraId="22E24BD6" w14:textId="77777777">
      <w:pPr>
        <w:pStyle w:val="BodyText"/>
        <w:spacing w:before="320"/>
        <w:rPr>
          <w:rFonts w:ascii="Arial" w:hAnsi="Arial" w:cs="Arial"/>
          <w:sz w:val="20"/>
          <w:szCs w:val="20"/>
        </w:rPr>
      </w:pPr>
      <w:r w:rsidRPr="0070451D">
        <w:rPr>
          <w:rFonts w:ascii="Arial" w:hAnsi="Arial" w:cs="Arial"/>
          <w:spacing w:val="-1"/>
          <w:sz w:val="20"/>
          <w:szCs w:val="20"/>
        </w:rPr>
        <w:t>EXPIRATION</w:t>
      </w:r>
      <w:r w:rsidRPr="0070451D">
        <w:rPr>
          <w:rFonts w:ascii="Arial" w:hAnsi="Arial" w:cs="Arial"/>
          <w:spacing w:val="-5"/>
          <w:sz w:val="20"/>
          <w:szCs w:val="20"/>
        </w:rPr>
        <w:t xml:space="preserve"> </w:t>
      </w:r>
      <w:r w:rsidRPr="0070451D">
        <w:rPr>
          <w:rFonts w:ascii="Arial" w:hAnsi="Arial" w:cs="Arial"/>
          <w:spacing w:val="-1"/>
          <w:sz w:val="20"/>
          <w:szCs w:val="20"/>
        </w:rPr>
        <w:t>DATE:</w:t>
      </w:r>
      <w:r w:rsidRPr="0070451D">
        <w:rPr>
          <w:rFonts w:ascii="Arial" w:hAnsi="Arial" w:cs="Arial"/>
          <w:sz w:val="20"/>
          <w:szCs w:val="20"/>
        </w:rPr>
        <w:t xml:space="preserve"> </w:t>
      </w:r>
      <w:r w:rsidRPr="0070451D">
        <w:rPr>
          <w:rFonts w:ascii="Arial" w:hAnsi="Arial" w:cs="Arial"/>
          <w:spacing w:val="22"/>
          <w:sz w:val="20"/>
          <w:szCs w:val="20"/>
        </w:rPr>
        <w:t xml:space="preserve"> </w:t>
      </w:r>
      <w:r w:rsidRPr="0070451D">
        <w:rPr>
          <w:rFonts w:ascii="Arial" w:hAnsi="Arial" w:cs="Arial"/>
          <w:spacing w:val="-1"/>
          <w:sz w:val="20"/>
          <w:szCs w:val="20"/>
          <w:u w:val="single" w:color="000000"/>
        </w:rPr>
        <w:t>10/31/2017</w:t>
      </w:r>
    </w:p>
    <w:p w:rsidR="006E63F2" w:rsidP="006E63F2" w:rsidRDefault="006E63F2" w14:paraId="5E841779" w14:textId="77777777">
      <w:pPr>
        <w:pStyle w:val="BodyText"/>
        <w:spacing w:before="320"/>
      </w:pPr>
      <w:r>
        <w:br w:type="column"/>
      </w:r>
      <w:r>
        <w:rPr>
          <w:spacing w:val="-1"/>
        </w:rPr>
        <w:lastRenderedPageBreak/>
        <w:t>DISCONTINUE</w:t>
      </w:r>
      <w:r>
        <w:rPr>
          <w:spacing w:val="-7"/>
        </w:rPr>
        <w:t xml:space="preserve"> </w:t>
      </w:r>
      <w:r>
        <w:rPr>
          <w:spacing w:val="-1"/>
        </w:rPr>
        <w:t>DATE:</w:t>
      </w:r>
    </w:p>
    <w:p w:rsidR="006E63F2" w:rsidP="006E63F2" w:rsidRDefault="006E63F2" w14:paraId="0C8568C8" w14:textId="77777777">
      <w:pPr>
        <w:sectPr w:rsidR="006E63F2">
          <w:type w:val="continuous"/>
          <w:pgSz w:w="12400" w:h="16840"/>
          <w:pgMar w:top="360" w:right="700" w:bottom="280" w:left="400" w:header="720" w:footer="720" w:gutter="0"/>
          <w:cols w:equalWidth="0" w:space="720" w:num="2">
            <w:col w:w="3161" w:space="2359"/>
            <w:col w:w="5780"/>
          </w:cols>
        </w:sectPr>
      </w:pPr>
    </w:p>
    <w:p w:rsidR="006E63F2" w:rsidP="006E63F2" w:rsidRDefault="006E63F2" w14:paraId="751182BD" w14:textId="77777777">
      <w:pPr>
        <w:rPr>
          <w:rFonts w:ascii="Arial" w:hAnsi="Arial" w:eastAsia="Arial" w:cs="Arial"/>
        </w:rPr>
      </w:pPr>
    </w:p>
    <w:p w:rsidR="006E63F2" w:rsidP="006E63F2" w:rsidRDefault="006E63F2" w14:paraId="3BD194CE" w14:textId="77777777">
      <w:pPr>
        <w:spacing w:before="2"/>
        <w:rPr>
          <w:rFonts w:ascii="Arial" w:hAnsi="Arial" w:eastAsia="Arial" w:cs="Arial"/>
          <w:sz w:val="11"/>
          <w:szCs w:val="11"/>
        </w:rPr>
      </w:pPr>
    </w:p>
    <w:tbl>
      <w:tblPr>
        <w:tblW w:w="0" w:type="auto"/>
        <w:tblInd w:w="105" w:type="dxa"/>
        <w:tblLayout w:type="fixed"/>
        <w:tblCellMar>
          <w:left w:w="0" w:type="dxa"/>
          <w:right w:w="0" w:type="dxa"/>
        </w:tblCellMar>
        <w:tblLook w:val="01E0" w:firstRow="1" w:lastRow="1" w:firstColumn="1" w:lastColumn="1" w:noHBand="0" w:noVBand="0"/>
      </w:tblPr>
      <w:tblGrid>
        <w:gridCol w:w="4298"/>
        <w:gridCol w:w="3011"/>
        <w:gridCol w:w="2172"/>
        <w:gridCol w:w="1610"/>
      </w:tblGrid>
      <w:tr w:rsidR="006E63F2" w:rsidTr="0070451D" w14:paraId="7DFC3533" w14:textId="77777777">
        <w:trPr>
          <w:trHeight w:val="389" w:hRule="exact"/>
        </w:trPr>
        <w:tc>
          <w:tcPr>
            <w:tcW w:w="4298" w:type="dxa"/>
            <w:tcBorders>
              <w:top w:val="nil"/>
              <w:left w:val="nil"/>
              <w:bottom w:val="nil"/>
              <w:right w:val="nil"/>
            </w:tcBorders>
          </w:tcPr>
          <w:p w:rsidR="006E63F2" w:rsidP="0070451D" w:rsidRDefault="006E63F2" w14:paraId="72467E52" w14:textId="77777777">
            <w:pPr>
              <w:pStyle w:val="TableParagraph"/>
              <w:spacing w:before="72"/>
              <w:ind w:left="75"/>
              <w:rPr>
                <w:rFonts w:ascii="Arial" w:hAnsi="Arial" w:eastAsia="Arial" w:cs="Arial"/>
              </w:rPr>
            </w:pPr>
            <w:r>
              <w:rPr>
                <w:rFonts w:ascii="Arial"/>
                <w:spacing w:val="-1"/>
              </w:rPr>
              <w:t>BURDEN:</w:t>
            </w:r>
          </w:p>
        </w:tc>
        <w:tc>
          <w:tcPr>
            <w:tcW w:w="3011" w:type="dxa"/>
            <w:tcBorders>
              <w:top w:val="nil"/>
              <w:left w:val="nil"/>
              <w:bottom w:val="nil"/>
              <w:right w:val="nil"/>
            </w:tcBorders>
          </w:tcPr>
          <w:p w:rsidR="006E63F2" w:rsidP="0070451D" w:rsidRDefault="006E63F2" w14:paraId="156907AD" w14:textId="77777777">
            <w:pPr>
              <w:pStyle w:val="TableParagraph"/>
              <w:spacing w:before="72"/>
              <w:ind w:left="929"/>
              <w:rPr>
                <w:rFonts w:ascii="Arial" w:hAnsi="Arial" w:eastAsia="Arial" w:cs="Arial"/>
              </w:rPr>
            </w:pPr>
            <w:r>
              <w:rPr>
                <w:rFonts w:ascii="Arial"/>
                <w:spacing w:val="-1"/>
              </w:rPr>
              <w:t>RESPONSES</w:t>
            </w:r>
          </w:p>
        </w:tc>
        <w:tc>
          <w:tcPr>
            <w:tcW w:w="2172" w:type="dxa"/>
            <w:tcBorders>
              <w:top w:val="nil"/>
              <w:left w:val="nil"/>
              <w:bottom w:val="nil"/>
              <w:right w:val="nil"/>
            </w:tcBorders>
          </w:tcPr>
          <w:p w:rsidR="006E63F2" w:rsidP="0070451D" w:rsidRDefault="006E63F2" w14:paraId="7958434C" w14:textId="77777777">
            <w:pPr>
              <w:pStyle w:val="TableParagraph"/>
              <w:spacing w:before="72"/>
              <w:ind w:left="712"/>
              <w:rPr>
                <w:rFonts w:ascii="Arial" w:hAnsi="Arial" w:eastAsia="Arial" w:cs="Arial"/>
              </w:rPr>
            </w:pPr>
            <w:r>
              <w:rPr>
                <w:rFonts w:ascii="Arial"/>
                <w:spacing w:val="-1"/>
              </w:rPr>
              <w:t>HOURS</w:t>
            </w:r>
          </w:p>
        </w:tc>
        <w:tc>
          <w:tcPr>
            <w:tcW w:w="1610" w:type="dxa"/>
            <w:tcBorders>
              <w:top w:val="nil"/>
              <w:left w:val="nil"/>
              <w:bottom w:val="nil"/>
              <w:right w:val="nil"/>
            </w:tcBorders>
          </w:tcPr>
          <w:p w:rsidR="006E63F2" w:rsidP="0070451D" w:rsidRDefault="006E63F2" w14:paraId="4A1AB771" w14:textId="77777777">
            <w:pPr>
              <w:pStyle w:val="TableParagraph"/>
              <w:spacing w:before="72"/>
              <w:ind w:left="797"/>
              <w:rPr>
                <w:rFonts w:ascii="Arial" w:hAnsi="Arial" w:eastAsia="Arial" w:cs="Arial"/>
              </w:rPr>
            </w:pPr>
            <w:r>
              <w:rPr>
                <w:rFonts w:ascii="Arial"/>
                <w:spacing w:val="-1"/>
              </w:rPr>
              <w:t>COSTS</w:t>
            </w:r>
          </w:p>
        </w:tc>
      </w:tr>
      <w:tr w:rsidR="006E63F2" w:rsidTr="0070451D" w14:paraId="6307A5E6" w14:textId="77777777">
        <w:trPr>
          <w:trHeight w:val="339" w:hRule="exact"/>
        </w:trPr>
        <w:tc>
          <w:tcPr>
            <w:tcW w:w="4298" w:type="dxa"/>
            <w:tcBorders>
              <w:top w:val="nil"/>
              <w:left w:val="nil"/>
              <w:bottom w:val="nil"/>
              <w:right w:val="nil"/>
            </w:tcBorders>
          </w:tcPr>
          <w:p w:rsidR="006E63F2" w:rsidP="0070451D" w:rsidRDefault="006E63F2" w14:paraId="4F91ECD9" w14:textId="77777777">
            <w:pPr>
              <w:pStyle w:val="TableParagraph"/>
              <w:spacing w:before="43"/>
              <w:ind w:left="55"/>
              <w:rPr>
                <w:rFonts w:ascii="Arial" w:hAnsi="Arial" w:eastAsia="Arial" w:cs="Arial"/>
                <w:sz w:val="20"/>
                <w:szCs w:val="20"/>
              </w:rPr>
            </w:pPr>
            <w:r>
              <w:rPr>
                <w:rFonts w:ascii="Arial"/>
                <w:sz w:val="20"/>
              </w:rPr>
              <w:t>Previous</w:t>
            </w:r>
          </w:p>
        </w:tc>
        <w:tc>
          <w:tcPr>
            <w:tcW w:w="3011" w:type="dxa"/>
            <w:tcBorders>
              <w:top w:val="nil"/>
              <w:left w:val="nil"/>
              <w:bottom w:val="nil"/>
              <w:right w:val="nil"/>
            </w:tcBorders>
          </w:tcPr>
          <w:p w:rsidR="006E63F2" w:rsidP="0070451D" w:rsidRDefault="006E63F2" w14:paraId="2C381C79" w14:textId="77777777">
            <w:pPr>
              <w:pStyle w:val="TableParagraph"/>
              <w:spacing w:before="43"/>
              <w:ind w:right="711"/>
              <w:jc w:val="right"/>
              <w:rPr>
                <w:rFonts w:ascii="Arial" w:hAnsi="Arial" w:eastAsia="Arial" w:cs="Arial"/>
                <w:sz w:val="20"/>
                <w:szCs w:val="20"/>
              </w:rPr>
            </w:pPr>
            <w:r>
              <w:rPr>
                <w:rFonts w:ascii="Arial"/>
                <w:sz w:val="20"/>
              </w:rPr>
              <w:t>0</w:t>
            </w:r>
          </w:p>
        </w:tc>
        <w:tc>
          <w:tcPr>
            <w:tcW w:w="2172" w:type="dxa"/>
            <w:tcBorders>
              <w:top w:val="nil"/>
              <w:left w:val="nil"/>
              <w:bottom w:val="nil"/>
              <w:right w:val="nil"/>
            </w:tcBorders>
          </w:tcPr>
          <w:p w:rsidR="006E63F2" w:rsidP="0070451D" w:rsidRDefault="006E63F2" w14:paraId="7FA9070D" w14:textId="77777777">
            <w:pPr>
              <w:pStyle w:val="TableParagraph"/>
              <w:spacing w:before="43"/>
              <w:ind w:left="1395"/>
              <w:rPr>
                <w:rFonts w:ascii="Arial" w:hAnsi="Arial" w:eastAsia="Arial" w:cs="Arial"/>
                <w:sz w:val="20"/>
                <w:szCs w:val="20"/>
              </w:rPr>
            </w:pPr>
            <w:r>
              <w:rPr>
                <w:rFonts w:ascii="Arial"/>
                <w:sz w:val="20"/>
              </w:rPr>
              <w:t>0</w:t>
            </w:r>
          </w:p>
        </w:tc>
        <w:tc>
          <w:tcPr>
            <w:tcW w:w="1610" w:type="dxa"/>
            <w:tcBorders>
              <w:top w:val="nil"/>
              <w:left w:val="nil"/>
              <w:bottom w:val="nil"/>
              <w:right w:val="nil"/>
            </w:tcBorders>
          </w:tcPr>
          <w:p w:rsidR="006E63F2" w:rsidP="0070451D" w:rsidRDefault="006E63F2" w14:paraId="1280674D" w14:textId="77777777">
            <w:pPr>
              <w:pStyle w:val="TableParagraph"/>
              <w:spacing w:before="43"/>
              <w:ind w:right="53"/>
              <w:jc w:val="right"/>
              <w:rPr>
                <w:rFonts w:ascii="Arial" w:hAnsi="Arial" w:eastAsia="Arial" w:cs="Arial"/>
                <w:sz w:val="20"/>
                <w:szCs w:val="20"/>
              </w:rPr>
            </w:pPr>
            <w:r>
              <w:rPr>
                <w:rFonts w:ascii="Arial"/>
                <w:sz w:val="20"/>
              </w:rPr>
              <w:t>0</w:t>
            </w:r>
          </w:p>
        </w:tc>
      </w:tr>
      <w:tr w:rsidR="006E63F2" w:rsidTr="0070451D" w14:paraId="3EBC78A7" w14:textId="77777777">
        <w:trPr>
          <w:trHeight w:val="340" w:hRule="exact"/>
        </w:trPr>
        <w:tc>
          <w:tcPr>
            <w:tcW w:w="4298" w:type="dxa"/>
            <w:tcBorders>
              <w:top w:val="nil"/>
              <w:left w:val="nil"/>
              <w:bottom w:val="nil"/>
              <w:right w:val="nil"/>
            </w:tcBorders>
          </w:tcPr>
          <w:p w:rsidR="006E63F2" w:rsidP="0070451D" w:rsidRDefault="006E63F2" w14:paraId="377459D9" w14:textId="77777777">
            <w:pPr>
              <w:pStyle w:val="TableParagraph"/>
              <w:spacing w:before="44"/>
              <w:ind w:left="55"/>
              <w:rPr>
                <w:rFonts w:ascii="Arial" w:hAnsi="Arial" w:eastAsia="Arial" w:cs="Arial"/>
                <w:sz w:val="20"/>
                <w:szCs w:val="20"/>
              </w:rPr>
            </w:pPr>
            <w:r>
              <w:rPr>
                <w:rFonts w:ascii="Arial"/>
                <w:sz w:val="20"/>
              </w:rPr>
              <w:t>New</w:t>
            </w:r>
          </w:p>
        </w:tc>
        <w:tc>
          <w:tcPr>
            <w:tcW w:w="3011" w:type="dxa"/>
            <w:tcBorders>
              <w:top w:val="nil"/>
              <w:left w:val="nil"/>
              <w:bottom w:val="nil"/>
              <w:right w:val="nil"/>
            </w:tcBorders>
          </w:tcPr>
          <w:p w:rsidR="006E63F2" w:rsidP="0070451D" w:rsidRDefault="006E63F2" w14:paraId="05A7A5E3" w14:textId="77777777">
            <w:pPr>
              <w:pStyle w:val="TableParagraph"/>
              <w:spacing w:before="44"/>
              <w:ind w:left="1796"/>
              <w:rPr>
                <w:rFonts w:ascii="Arial" w:hAnsi="Arial" w:eastAsia="Arial" w:cs="Arial"/>
                <w:sz w:val="20"/>
                <w:szCs w:val="20"/>
              </w:rPr>
            </w:pPr>
            <w:r>
              <w:rPr>
                <w:rFonts w:ascii="Arial"/>
                <w:sz w:val="20"/>
              </w:rPr>
              <w:t>2,032</w:t>
            </w:r>
          </w:p>
        </w:tc>
        <w:tc>
          <w:tcPr>
            <w:tcW w:w="2172" w:type="dxa"/>
            <w:tcBorders>
              <w:top w:val="nil"/>
              <w:left w:val="nil"/>
              <w:bottom w:val="nil"/>
              <w:right w:val="nil"/>
            </w:tcBorders>
          </w:tcPr>
          <w:p w:rsidR="006E63F2" w:rsidP="0070451D" w:rsidRDefault="006E63F2" w14:paraId="0B93B6F5" w14:textId="77777777">
            <w:pPr>
              <w:pStyle w:val="TableParagraph"/>
              <w:spacing w:before="44"/>
              <w:ind w:left="894"/>
              <w:rPr>
                <w:rFonts w:ascii="Arial" w:hAnsi="Arial" w:eastAsia="Arial" w:cs="Arial"/>
                <w:sz w:val="20"/>
                <w:szCs w:val="20"/>
              </w:rPr>
            </w:pPr>
            <w:r>
              <w:rPr>
                <w:rFonts w:ascii="Arial"/>
                <w:sz w:val="20"/>
              </w:rPr>
              <w:t>84,479</w:t>
            </w:r>
          </w:p>
        </w:tc>
        <w:tc>
          <w:tcPr>
            <w:tcW w:w="1610" w:type="dxa"/>
            <w:tcBorders>
              <w:top w:val="nil"/>
              <w:left w:val="nil"/>
              <w:bottom w:val="nil"/>
              <w:right w:val="nil"/>
            </w:tcBorders>
          </w:tcPr>
          <w:p w:rsidR="006E63F2" w:rsidP="0070451D" w:rsidRDefault="006E63F2" w14:paraId="3CDE7F0A" w14:textId="77777777">
            <w:pPr>
              <w:pStyle w:val="TableParagraph"/>
              <w:spacing w:before="44"/>
              <w:ind w:left="665"/>
              <w:rPr>
                <w:rFonts w:ascii="Arial" w:hAnsi="Arial" w:eastAsia="Arial" w:cs="Arial"/>
                <w:sz w:val="20"/>
                <w:szCs w:val="20"/>
              </w:rPr>
            </w:pPr>
            <w:r>
              <w:rPr>
                <w:rFonts w:ascii="Arial"/>
                <w:sz w:val="20"/>
              </w:rPr>
              <w:t>5,000,000</w:t>
            </w:r>
          </w:p>
        </w:tc>
      </w:tr>
      <w:tr w:rsidR="006E63F2" w:rsidTr="0070451D" w14:paraId="4422CFE0" w14:textId="77777777">
        <w:trPr>
          <w:trHeight w:val="340" w:hRule="exact"/>
        </w:trPr>
        <w:tc>
          <w:tcPr>
            <w:tcW w:w="4298" w:type="dxa"/>
            <w:tcBorders>
              <w:top w:val="nil"/>
              <w:left w:val="nil"/>
              <w:bottom w:val="nil"/>
              <w:right w:val="nil"/>
            </w:tcBorders>
          </w:tcPr>
          <w:p w:rsidR="006E63F2" w:rsidP="0070451D" w:rsidRDefault="006E63F2" w14:paraId="5F6D6639" w14:textId="77777777">
            <w:pPr>
              <w:pStyle w:val="TableParagraph"/>
              <w:spacing w:before="44"/>
              <w:ind w:left="55"/>
              <w:rPr>
                <w:rFonts w:ascii="Arial" w:hAnsi="Arial" w:eastAsia="Arial" w:cs="Arial"/>
                <w:sz w:val="20"/>
                <w:szCs w:val="20"/>
              </w:rPr>
            </w:pPr>
            <w:r>
              <w:rPr>
                <w:rFonts w:ascii="Arial"/>
                <w:sz w:val="20"/>
              </w:rPr>
              <w:t>Difference</w:t>
            </w:r>
          </w:p>
        </w:tc>
        <w:tc>
          <w:tcPr>
            <w:tcW w:w="3011" w:type="dxa"/>
            <w:tcBorders>
              <w:top w:val="nil"/>
              <w:left w:val="nil"/>
              <w:bottom w:val="nil"/>
              <w:right w:val="nil"/>
            </w:tcBorders>
          </w:tcPr>
          <w:p w:rsidR="006E63F2" w:rsidP="0070451D" w:rsidRDefault="006E63F2" w14:paraId="02F78475" w14:textId="77777777"/>
        </w:tc>
        <w:tc>
          <w:tcPr>
            <w:tcW w:w="2172" w:type="dxa"/>
            <w:tcBorders>
              <w:top w:val="nil"/>
              <w:left w:val="nil"/>
              <w:bottom w:val="nil"/>
              <w:right w:val="nil"/>
            </w:tcBorders>
          </w:tcPr>
          <w:p w:rsidR="006E63F2" w:rsidP="0070451D" w:rsidRDefault="006E63F2" w14:paraId="6CA1379F" w14:textId="77777777"/>
        </w:tc>
        <w:tc>
          <w:tcPr>
            <w:tcW w:w="1610" w:type="dxa"/>
            <w:tcBorders>
              <w:top w:val="nil"/>
              <w:left w:val="nil"/>
              <w:bottom w:val="nil"/>
              <w:right w:val="nil"/>
            </w:tcBorders>
          </w:tcPr>
          <w:p w:rsidR="006E63F2" w:rsidP="0070451D" w:rsidRDefault="006E63F2" w14:paraId="7FDFB4AA" w14:textId="77777777"/>
        </w:tc>
      </w:tr>
      <w:tr w:rsidR="006E63F2" w:rsidTr="0070451D" w14:paraId="3B62AE94" w14:textId="77777777">
        <w:trPr>
          <w:trHeight w:val="340" w:hRule="exact"/>
        </w:trPr>
        <w:tc>
          <w:tcPr>
            <w:tcW w:w="4298" w:type="dxa"/>
            <w:tcBorders>
              <w:top w:val="nil"/>
              <w:left w:val="nil"/>
              <w:bottom w:val="nil"/>
              <w:right w:val="nil"/>
            </w:tcBorders>
          </w:tcPr>
          <w:p w:rsidR="006E63F2" w:rsidP="0070451D" w:rsidRDefault="006E63F2" w14:paraId="068D906E" w14:textId="77777777">
            <w:pPr>
              <w:pStyle w:val="TableParagraph"/>
              <w:spacing w:before="44"/>
              <w:ind w:left="277"/>
              <w:rPr>
                <w:rFonts w:ascii="Arial" w:hAnsi="Arial" w:eastAsia="Arial" w:cs="Arial"/>
                <w:sz w:val="20"/>
                <w:szCs w:val="20"/>
              </w:rPr>
            </w:pPr>
            <w:r>
              <w:rPr>
                <w:rFonts w:ascii="Arial"/>
                <w:sz w:val="20"/>
              </w:rPr>
              <w:t>Change due to New Statute</w:t>
            </w:r>
          </w:p>
        </w:tc>
        <w:tc>
          <w:tcPr>
            <w:tcW w:w="3011" w:type="dxa"/>
            <w:tcBorders>
              <w:top w:val="nil"/>
              <w:left w:val="nil"/>
              <w:bottom w:val="nil"/>
              <w:right w:val="nil"/>
            </w:tcBorders>
          </w:tcPr>
          <w:p w:rsidR="006E63F2" w:rsidP="0070451D" w:rsidRDefault="006E63F2" w14:paraId="7FEA8D72" w14:textId="77777777">
            <w:pPr>
              <w:pStyle w:val="TableParagraph"/>
              <w:spacing w:before="44"/>
              <w:ind w:right="711"/>
              <w:jc w:val="right"/>
              <w:rPr>
                <w:rFonts w:ascii="Arial" w:hAnsi="Arial" w:eastAsia="Arial" w:cs="Arial"/>
                <w:sz w:val="20"/>
                <w:szCs w:val="20"/>
              </w:rPr>
            </w:pPr>
            <w:r>
              <w:rPr>
                <w:rFonts w:ascii="Arial"/>
                <w:sz w:val="20"/>
              </w:rPr>
              <w:t>0</w:t>
            </w:r>
          </w:p>
        </w:tc>
        <w:tc>
          <w:tcPr>
            <w:tcW w:w="2172" w:type="dxa"/>
            <w:tcBorders>
              <w:top w:val="nil"/>
              <w:left w:val="nil"/>
              <w:bottom w:val="nil"/>
              <w:right w:val="nil"/>
            </w:tcBorders>
          </w:tcPr>
          <w:p w:rsidR="006E63F2" w:rsidP="0070451D" w:rsidRDefault="006E63F2" w14:paraId="6441452C" w14:textId="77777777">
            <w:pPr>
              <w:pStyle w:val="TableParagraph"/>
              <w:spacing w:before="44"/>
              <w:ind w:left="1395"/>
              <w:rPr>
                <w:rFonts w:ascii="Arial" w:hAnsi="Arial" w:eastAsia="Arial" w:cs="Arial"/>
                <w:sz w:val="20"/>
                <w:szCs w:val="20"/>
              </w:rPr>
            </w:pPr>
            <w:r>
              <w:rPr>
                <w:rFonts w:ascii="Arial"/>
                <w:sz w:val="20"/>
              </w:rPr>
              <w:t>0</w:t>
            </w:r>
          </w:p>
        </w:tc>
        <w:tc>
          <w:tcPr>
            <w:tcW w:w="1610" w:type="dxa"/>
            <w:tcBorders>
              <w:top w:val="nil"/>
              <w:left w:val="nil"/>
              <w:bottom w:val="nil"/>
              <w:right w:val="nil"/>
            </w:tcBorders>
          </w:tcPr>
          <w:p w:rsidR="006E63F2" w:rsidP="0070451D" w:rsidRDefault="006E63F2" w14:paraId="3707A571" w14:textId="77777777">
            <w:pPr>
              <w:pStyle w:val="TableParagraph"/>
              <w:spacing w:before="44"/>
              <w:ind w:right="53"/>
              <w:jc w:val="right"/>
              <w:rPr>
                <w:rFonts w:ascii="Arial" w:hAnsi="Arial" w:eastAsia="Arial" w:cs="Arial"/>
                <w:sz w:val="20"/>
                <w:szCs w:val="20"/>
              </w:rPr>
            </w:pPr>
            <w:r>
              <w:rPr>
                <w:rFonts w:ascii="Arial"/>
                <w:sz w:val="20"/>
              </w:rPr>
              <w:t>0</w:t>
            </w:r>
          </w:p>
        </w:tc>
      </w:tr>
      <w:tr w:rsidR="006E63F2" w:rsidTr="0070451D" w14:paraId="60EEE614" w14:textId="77777777">
        <w:trPr>
          <w:trHeight w:val="340" w:hRule="exact"/>
        </w:trPr>
        <w:tc>
          <w:tcPr>
            <w:tcW w:w="4298" w:type="dxa"/>
            <w:tcBorders>
              <w:top w:val="nil"/>
              <w:left w:val="nil"/>
              <w:bottom w:val="nil"/>
              <w:right w:val="nil"/>
            </w:tcBorders>
          </w:tcPr>
          <w:p w:rsidR="006E63F2" w:rsidP="0070451D" w:rsidRDefault="006E63F2" w14:paraId="53D02507" w14:textId="77777777">
            <w:pPr>
              <w:pStyle w:val="TableParagraph"/>
              <w:spacing w:before="44"/>
              <w:ind w:left="277"/>
              <w:rPr>
                <w:rFonts w:ascii="Arial" w:hAnsi="Arial" w:eastAsia="Arial" w:cs="Arial"/>
                <w:sz w:val="20"/>
                <w:szCs w:val="20"/>
              </w:rPr>
            </w:pPr>
            <w:r>
              <w:rPr>
                <w:rFonts w:ascii="Arial"/>
                <w:sz w:val="20"/>
              </w:rPr>
              <w:t>Change due to Agency Discretion</w:t>
            </w:r>
          </w:p>
        </w:tc>
        <w:tc>
          <w:tcPr>
            <w:tcW w:w="3011" w:type="dxa"/>
            <w:tcBorders>
              <w:top w:val="nil"/>
              <w:left w:val="nil"/>
              <w:bottom w:val="nil"/>
              <w:right w:val="nil"/>
            </w:tcBorders>
          </w:tcPr>
          <w:p w:rsidR="006E63F2" w:rsidP="0070451D" w:rsidRDefault="006E63F2" w14:paraId="73295F66" w14:textId="77777777">
            <w:pPr>
              <w:pStyle w:val="TableParagraph"/>
              <w:spacing w:before="44"/>
              <w:ind w:left="1796"/>
              <w:rPr>
                <w:rFonts w:ascii="Arial" w:hAnsi="Arial" w:eastAsia="Arial" w:cs="Arial"/>
                <w:sz w:val="20"/>
                <w:szCs w:val="20"/>
              </w:rPr>
            </w:pPr>
            <w:r>
              <w:rPr>
                <w:rFonts w:ascii="Arial"/>
                <w:sz w:val="20"/>
              </w:rPr>
              <w:t>2,032</w:t>
            </w:r>
          </w:p>
        </w:tc>
        <w:tc>
          <w:tcPr>
            <w:tcW w:w="2172" w:type="dxa"/>
            <w:tcBorders>
              <w:top w:val="nil"/>
              <w:left w:val="nil"/>
              <w:bottom w:val="nil"/>
              <w:right w:val="nil"/>
            </w:tcBorders>
          </w:tcPr>
          <w:p w:rsidR="006E63F2" w:rsidP="0070451D" w:rsidRDefault="006E63F2" w14:paraId="153DAE70" w14:textId="77777777">
            <w:pPr>
              <w:pStyle w:val="TableParagraph"/>
              <w:spacing w:before="44"/>
              <w:ind w:left="894"/>
              <w:rPr>
                <w:rFonts w:ascii="Arial" w:hAnsi="Arial" w:eastAsia="Arial" w:cs="Arial"/>
                <w:sz w:val="20"/>
                <w:szCs w:val="20"/>
              </w:rPr>
            </w:pPr>
            <w:r>
              <w:rPr>
                <w:rFonts w:ascii="Arial"/>
                <w:sz w:val="20"/>
              </w:rPr>
              <w:t>84,479</w:t>
            </w:r>
          </w:p>
        </w:tc>
        <w:tc>
          <w:tcPr>
            <w:tcW w:w="1610" w:type="dxa"/>
            <w:tcBorders>
              <w:top w:val="nil"/>
              <w:left w:val="nil"/>
              <w:bottom w:val="nil"/>
              <w:right w:val="nil"/>
            </w:tcBorders>
          </w:tcPr>
          <w:p w:rsidR="006E63F2" w:rsidP="0070451D" w:rsidRDefault="006E63F2" w14:paraId="7A59C531" w14:textId="77777777">
            <w:pPr>
              <w:pStyle w:val="TableParagraph"/>
              <w:spacing w:before="44"/>
              <w:ind w:left="665"/>
              <w:rPr>
                <w:rFonts w:ascii="Arial" w:hAnsi="Arial" w:eastAsia="Arial" w:cs="Arial"/>
                <w:sz w:val="20"/>
                <w:szCs w:val="20"/>
              </w:rPr>
            </w:pPr>
            <w:r>
              <w:rPr>
                <w:rFonts w:ascii="Arial"/>
                <w:sz w:val="20"/>
              </w:rPr>
              <w:t>5,000,000</w:t>
            </w:r>
          </w:p>
        </w:tc>
      </w:tr>
      <w:tr w:rsidR="006E63F2" w:rsidTr="0070451D" w14:paraId="25C03595" w14:textId="77777777">
        <w:trPr>
          <w:trHeight w:val="340" w:hRule="exact"/>
        </w:trPr>
        <w:tc>
          <w:tcPr>
            <w:tcW w:w="4298" w:type="dxa"/>
            <w:tcBorders>
              <w:top w:val="nil"/>
              <w:left w:val="nil"/>
              <w:bottom w:val="nil"/>
              <w:right w:val="nil"/>
            </w:tcBorders>
          </w:tcPr>
          <w:p w:rsidR="006E63F2" w:rsidP="0070451D" w:rsidRDefault="006E63F2" w14:paraId="47FD8214" w14:textId="77777777">
            <w:pPr>
              <w:pStyle w:val="TableParagraph"/>
              <w:spacing w:before="44"/>
              <w:ind w:left="277"/>
              <w:rPr>
                <w:rFonts w:ascii="Arial" w:hAnsi="Arial" w:eastAsia="Arial" w:cs="Arial"/>
                <w:sz w:val="20"/>
                <w:szCs w:val="20"/>
              </w:rPr>
            </w:pPr>
            <w:r>
              <w:rPr>
                <w:rFonts w:ascii="Arial"/>
                <w:sz w:val="20"/>
              </w:rPr>
              <w:t>Change due to Agency Adjustment</w:t>
            </w:r>
          </w:p>
        </w:tc>
        <w:tc>
          <w:tcPr>
            <w:tcW w:w="3011" w:type="dxa"/>
            <w:tcBorders>
              <w:top w:val="nil"/>
              <w:left w:val="nil"/>
              <w:bottom w:val="nil"/>
              <w:right w:val="nil"/>
            </w:tcBorders>
          </w:tcPr>
          <w:p w:rsidR="006E63F2" w:rsidP="0070451D" w:rsidRDefault="006E63F2" w14:paraId="637419EC" w14:textId="77777777">
            <w:pPr>
              <w:pStyle w:val="TableParagraph"/>
              <w:spacing w:before="44"/>
              <w:ind w:right="711"/>
              <w:jc w:val="right"/>
              <w:rPr>
                <w:rFonts w:ascii="Arial" w:hAnsi="Arial" w:eastAsia="Arial" w:cs="Arial"/>
                <w:sz w:val="20"/>
                <w:szCs w:val="20"/>
              </w:rPr>
            </w:pPr>
            <w:r>
              <w:rPr>
                <w:rFonts w:ascii="Arial"/>
                <w:sz w:val="20"/>
              </w:rPr>
              <w:t>0</w:t>
            </w:r>
          </w:p>
        </w:tc>
        <w:tc>
          <w:tcPr>
            <w:tcW w:w="2172" w:type="dxa"/>
            <w:tcBorders>
              <w:top w:val="nil"/>
              <w:left w:val="nil"/>
              <w:bottom w:val="nil"/>
              <w:right w:val="nil"/>
            </w:tcBorders>
          </w:tcPr>
          <w:p w:rsidR="006E63F2" w:rsidP="0070451D" w:rsidRDefault="006E63F2" w14:paraId="781358B5" w14:textId="77777777">
            <w:pPr>
              <w:pStyle w:val="TableParagraph"/>
              <w:spacing w:before="44"/>
              <w:ind w:left="1395"/>
              <w:rPr>
                <w:rFonts w:ascii="Arial" w:hAnsi="Arial" w:eastAsia="Arial" w:cs="Arial"/>
                <w:sz w:val="20"/>
                <w:szCs w:val="20"/>
              </w:rPr>
            </w:pPr>
            <w:r>
              <w:rPr>
                <w:rFonts w:ascii="Arial"/>
                <w:sz w:val="20"/>
              </w:rPr>
              <w:t>0</w:t>
            </w:r>
          </w:p>
        </w:tc>
        <w:tc>
          <w:tcPr>
            <w:tcW w:w="1610" w:type="dxa"/>
            <w:tcBorders>
              <w:top w:val="nil"/>
              <w:left w:val="nil"/>
              <w:bottom w:val="nil"/>
              <w:right w:val="nil"/>
            </w:tcBorders>
          </w:tcPr>
          <w:p w:rsidR="006E63F2" w:rsidP="0070451D" w:rsidRDefault="006E63F2" w14:paraId="193F2020" w14:textId="77777777">
            <w:pPr>
              <w:pStyle w:val="TableParagraph"/>
              <w:spacing w:before="44"/>
              <w:ind w:right="53"/>
              <w:jc w:val="right"/>
              <w:rPr>
                <w:rFonts w:ascii="Arial" w:hAnsi="Arial" w:eastAsia="Arial" w:cs="Arial"/>
                <w:sz w:val="20"/>
                <w:szCs w:val="20"/>
              </w:rPr>
            </w:pPr>
            <w:r>
              <w:rPr>
                <w:rFonts w:ascii="Arial"/>
                <w:sz w:val="20"/>
              </w:rPr>
              <w:t>0</w:t>
            </w:r>
          </w:p>
        </w:tc>
      </w:tr>
      <w:tr w:rsidR="006E63F2" w:rsidTr="0070451D" w14:paraId="7C924001" w14:textId="77777777">
        <w:trPr>
          <w:trHeight w:val="370" w:hRule="exact"/>
        </w:trPr>
        <w:tc>
          <w:tcPr>
            <w:tcW w:w="4298" w:type="dxa"/>
            <w:tcBorders>
              <w:top w:val="nil"/>
              <w:left w:val="nil"/>
              <w:bottom w:val="nil"/>
              <w:right w:val="nil"/>
            </w:tcBorders>
          </w:tcPr>
          <w:p w:rsidR="006E63F2" w:rsidP="0070451D" w:rsidRDefault="006E63F2" w14:paraId="59D45351" w14:textId="77777777">
            <w:pPr>
              <w:pStyle w:val="TableParagraph"/>
              <w:spacing w:before="44"/>
              <w:ind w:left="277"/>
              <w:rPr>
                <w:rFonts w:ascii="Arial" w:hAnsi="Arial" w:eastAsia="Arial" w:cs="Arial"/>
                <w:sz w:val="20"/>
                <w:szCs w:val="20"/>
              </w:rPr>
            </w:pPr>
            <w:r>
              <w:rPr>
                <w:rFonts w:ascii="Arial"/>
                <w:sz w:val="20"/>
              </w:rPr>
              <w:t>Change due to PRA Violation</w:t>
            </w:r>
          </w:p>
        </w:tc>
        <w:tc>
          <w:tcPr>
            <w:tcW w:w="3011" w:type="dxa"/>
            <w:tcBorders>
              <w:top w:val="nil"/>
              <w:left w:val="nil"/>
              <w:bottom w:val="nil"/>
              <w:right w:val="nil"/>
            </w:tcBorders>
          </w:tcPr>
          <w:p w:rsidR="006E63F2" w:rsidP="0070451D" w:rsidRDefault="006E63F2" w14:paraId="418D417D" w14:textId="77777777">
            <w:pPr>
              <w:pStyle w:val="TableParagraph"/>
              <w:spacing w:before="44"/>
              <w:ind w:right="711"/>
              <w:jc w:val="right"/>
              <w:rPr>
                <w:rFonts w:ascii="Arial" w:hAnsi="Arial" w:eastAsia="Arial" w:cs="Arial"/>
                <w:sz w:val="20"/>
                <w:szCs w:val="20"/>
              </w:rPr>
            </w:pPr>
            <w:r>
              <w:rPr>
                <w:rFonts w:ascii="Arial"/>
                <w:sz w:val="20"/>
              </w:rPr>
              <w:t>0</w:t>
            </w:r>
          </w:p>
        </w:tc>
        <w:tc>
          <w:tcPr>
            <w:tcW w:w="2172" w:type="dxa"/>
            <w:tcBorders>
              <w:top w:val="nil"/>
              <w:left w:val="nil"/>
              <w:bottom w:val="nil"/>
              <w:right w:val="nil"/>
            </w:tcBorders>
          </w:tcPr>
          <w:p w:rsidR="006E63F2" w:rsidP="0070451D" w:rsidRDefault="006E63F2" w14:paraId="631623F0" w14:textId="77777777">
            <w:pPr>
              <w:pStyle w:val="TableParagraph"/>
              <w:spacing w:before="44"/>
              <w:ind w:left="1395"/>
              <w:rPr>
                <w:rFonts w:ascii="Arial" w:hAnsi="Arial" w:eastAsia="Arial" w:cs="Arial"/>
                <w:sz w:val="20"/>
                <w:szCs w:val="20"/>
              </w:rPr>
            </w:pPr>
            <w:r>
              <w:rPr>
                <w:rFonts w:ascii="Arial"/>
                <w:sz w:val="20"/>
              </w:rPr>
              <w:t>0</w:t>
            </w:r>
          </w:p>
        </w:tc>
        <w:tc>
          <w:tcPr>
            <w:tcW w:w="1610" w:type="dxa"/>
            <w:tcBorders>
              <w:top w:val="nil"/>
              <w:left w:val="nil"/>
              <w:bottom w:val="nil"/>
              <w:right w:val="nil"/>
            </w:tcBorders>
          </w:tcPr>
          <w:p w:rsidR="006E63F2" w:rsidP="0070451D" w:rsidRDefault="006E63F2" w14:paraId="636D8B9F" w14:textId="77777777">
            <w:pPr>
              <w:pStyle w:val="TableParagraph"/>
              <w:spacing w:before="44"/>
              <w:ind w:right="53"/>
              <w:jc w:val="right"/>
              <w:rPr>
                <w:rFonts w:ascii="Arial" w:hAnsi="Arial" w:eastAsia="Arial" w:cs="Arial"/>
                <w:sz w:val="20"/>
                <w:szCs w:val="20"/>
              </w:rPr>
            </w:pPr>
            <w:r>
              <w:rPr>
                <w:rFonts w:ascii="Arial"/>
                <w:sz w:val="20"/>
              </w:rPr>
              <w:t>0</w:t>
            </w:r>
          </w:p>
        </w:tc>
      </w:tr>
    </w:tbl>
    <w:p w:rsidR="006E63F2" w:rsidP="006E63F2" w:rsidRDefault="006E63F2" w14:paraId="11AE6020" w14:textId="77777777">
      <w:pPr>
        <w:pStyle w:val="BodyText"/>
        <w:spacing w:before="134"/>
        <w:ind w:left="220"/>
      </w:pPr>
      <w:r>
        <w:rPr>
          <w:spacing w:val="-1"/>
        </w:rPr>
        <w:t>TERMS</w:t>
      </w:r>
      <w:r>
        <w:rPr>
          <w:spacing w:val="-2"/>
        </w:rPr>
        <w:t xml:space="preserve"> </w:t>
      </w:r>
      <w:r>
        <w:rPr>
          <w:spacing w:val="-1"/>
        </w:rPr>
        <w:t>OF</w:t>
      </w:r>
      <w:r>
        <w:rPr>
          <w:spacing w:val="-2"/>
        </w:rPr>
        <w:t xml:space="preserve"> </w:t>
      </w:r>
      <w:r>
        <w:rPr>
          <w:spacing w:val="-1"/>
        </w:rPr>
        <w:t>CLEARANCE:</w:t>
      </w:r>
    </w:p>
    <w:p w:rsidR="006E63F2" w:rsidP="006E63F2" w:rsidRDefault="006E63F2" w14:paraId="69AA658B" w14:textId="77777777">
      <w:pPr>
        <w:rPr>
          <w:rFonts w:ascii="Arial" w:hAnsi="Arial" w:eastAsia="Arial" w:cs="Arial"/>
        </w:rPr>
      </w:pPr>
    </w:p>
    <w:p w:rsidR="006E63F2" w:rsidP="006E63F2" w:rsidRDefault="006E63F2" w14:paraId="49066EFF" w14:textId="77777777">
      <w:pPr>
        <w:spacing w:before="8"/>
        <w:rPr>
          <w:rFonts w:ascii="Arial" w:hAnsi="Arial" w:eastAsia="Arial" w:cs="Arial"/>
          <w:sz w:val="15"/>
          <w:szCs w:val="15"/>
        </w:rPr>
      </w:pPr>
    </w:p>
    <w:p w:rsidR="006E63F2" w:rsidP="006E63F2" w:rsidRDefault="006E63F2" w14:paraId="16DCFCE3" w14:textId="77777777">
      <w:pPr>
        <w:pStyle w:val="BodyText"/>
        <w:tabs>
          <w:tab w:val="left" w:pos="2879"/>
        </w:tabs>
        <w:ind w:left="220"/>
      </w:pPr>
      <w:r>
        <w:rPr>
          <w:spacing w:val="-1"/>
        </w:rPr>
        <w:t>OMB</w:t>
      </w:r>
      <w:r>
        <w:rPr>
          <w:spacing w:val="-6"/>
        </w:rPr>
        <w:t xml:space="preserve"> </w:t>
      </w:r>
      <w:r>
        <w:rPr>
          <w:spacing w:val="-1"/>
        </w:rPr>
        <w:t>Authorizing</w:t>
      </w:r>
      <w:r>
        <w:rPr>
          <w:spacing w:val="-3"/>
        </w:rPr>
        <w:t xml:space="preserve"> </w:t>
      </w:r>
      <w:r>
        <w:rPr>
          <w:spacing w:val="-1"/>
        </w:rPr>
        <w:t>Official:</w:t>
      </w:r>
      <w:r>
        <w:rPr>
          <w:spacing w:val="-1"/>
        </w:rPr>
        <w:tab/>
      </w:r>
      <w:r>
        <w:rPr>
          <w:spacing w:val="-1"/>
          <w:position w:val="-3"/>
        </w:rPr>
        <w:t>Dominic</w:t>
      </w:r>
      <w:r>
        <w:rPr>
          <w:position w:val="-3"/>
        </w:rPr>
        <w:t xml:space="preserve"> J.</w:t>
      </w:r>
      <w:r>
        <w:rPr>
          <w:spacing w:val="-2"/>
          <w:position w:val="-3"/>
        </w:rPr>
        <w:t xml:space="preserve"> </w:t>
      </w:r>
      <w:r>
        <w:rPr>
          <w:position w:val="-3"/>
        </w:rPr>
        <w:t>Mancini</w:t>
      </w:r>
    </w:p>
    <w:p w:rsidR="006E63F2" w:rsidP="006E63F2" w:rsidRDefault="006E63F2" w14:paraId="36DE588C" w14:textId="77777777">
      <w:pPr>
        <w:pStyle w:val="BodyText"/>
        <w:ind w:left="2880"/>
        <w:rPr>
          <w:spacing w:val="-1"/>
        </w:rPr>
      </w:pPr>
      <w:r>
        <w:rPr>
          <w:spacing w:val="-1"/>
        </w:rPr>
        <w:t>Acting</w:t>
      </w:r>
      <w:r>
        <w:rPr>
          <w:spacing w:val="1"/>
        </w:rPr>
        <w:t xml:space="preserve"> </w:t>
      </w:r>
      <w:r>
        <w:rPr>
          <w:spacing w:val="-1"/>
        </w:rPr>
        <w:t>Deputy Administrator,</w:t>
      </w:r>
    </w:p>
    <w:p w:rsidRPr="008A7A39" w:rsidR="004F457B" w:rsidP="008A7A39" w:rsidRDefault="00A906F7" w14:paraId="197D5E04" w14:textId="0AF7C2A9">
      <w:pPr>
        <w:pStyle w:val="BodyText"/>
        <w:ind w:left="2880"/>
      </w:pPr>
      <w:r>
        <w:rPr>
          <w:spacing w:val="-1"/>
        </w:rPr>
        <w:t>Office of Information and Regulatory Affairs</w:t>
      </w:r>
    </w:p>
    <w:sectPr w:rsidRPr="008A7A39" w:rsidR="004F457B" w:rsidSect="008A7A39">
      <w:headerReference w:type="even" r:id="rId31"/>
      <w:headerReference w:type="default" r:id="rId32"/>
      <w:footerReference w:type="even" r:id="rId33"/>
      <w:footerReference w:type="default" r:id="rId34"/>
      <w:headerReference w:type="first" r:id="rId35"/>
      <w:footerReference w:type="first" r:id="rId36"/>
      <w:type w:val="continuous"/>
      <w:pgSz w:w="12400" w:h="16840"/>
      <w:pgMar w:top="360" w:right="700" w:bottom="280" w:left="4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E55698" w14:textId="59B3A1DA" w:rsidR="00114174" w:rsidRPr="00497522" w:rsidRDefault="00114174" w:rsidP="00497522">
      <w:pPr>
        <w:spacing w:line="20" w:lineRule="exact"/>
        <w:rPr>
          <w:sz w:val="24"/>
        </w:rPr>
      </w:pPr>
    </w:p>
  </w:endnote>
  <w:endnote w:type="continuationSeparator" w:id="0">
    <w:p w14:paraId="7A1CA62B" w14:textId="288C1CD9" w:rsidR="00114174" w:rsidRDefault="00114174">
      <w:r>
        <w:rPr>
          <w:sz w:val="24"/>
        </w:rPr>
        <w:t xml:space="preserve"> </w:t>
      </w:r>
    </w:p>
  </w:endnote>
  <w:endnote w:type="continuationNotice" w:id="1">
    <w:p w14:paraId="32881093" w14:textId="77777777" w:rsidR="00114174" w:rsidRDefault="00114174">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8808B" w14:textId="77777777" w:rsidR="00114174" w:rsidRPr="00A46181" w:rsidRDefault="00114174">
    <w:pPr>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0EB7C" w14:textId="77777777" w:rsidR="00114174" w:rsidRPr="00587825" w:rsidRDefault="00114174" w:rsidP="00587825">
    <w:pPr>
      <w:pStyle w:val="Footer"/>
      <w:jc w:val="center"/>
      <w:rPr>
        <w:rFonts w:asciiTheme="minorHAnsi" w:hAnsiTheme="minorHAnsi"/>
        <w:sz w:val="18"/>
        <w:szCs w:val="18"/>
      </w:rPr>
    </w:pPr>
  </w:p>
  <w:p w14:paraId="7046EFD3" w14:textId="77777777" w:rsidR="00114174" w:rsidRDefault="001141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DB665" w14:textId="77777777" w:rsidR="00114174" w:rsidRPr="00A46181" w:rsidRDefault="00114174">
    <w:pPr>
      <w:spacing w:line="14" w:lineRule="auto"/>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20E96" w14:textId="77777777" w:rsidR="00114174" w:rsidRPr="00D36655" w:rsidRDefault="0011417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AEE5A" w14:textId="77777777" w:rsidR="00114174" w:rsidRPr="00772692" w:rsidRDefault="00114174">
    <w:pPr>
      <w:spacing w:before="140" w:line="100" w:lineRule="exact"/>
      <w:rPr>
        <w:sz w:val="10"/>
        <w:highlight w:val="yellow"/>
      </w:rPr>
    </w:pPr>
  </w:p>
  <w:p w14:paraId="04F6D2D5" w14:textId="77777777" w:rsidR="00114174" w:rsidRPr="00772692" w:rsidRDefault="00114174">
    <w:pPr>
      <w:tabs>
        <w:tab w:val="left" w:pos="-720"/>
      </w:tabs>
      <w:suppressAutoHyphens/>
      <w:rPr>
        <w:sz w:val="24"/>
        <w:highlight w:val="yellow"/>
      </w:rPr>
    </w:pPr>
  </w:p>
  <w:p w14:paraId="0C02EA95" w14:textId="4904B914" w:rsidR="00114174" w:rsidRPr="00D36655" w:rsidRDefault="00114174" w:rsidP="00D36655">
    <w:pPr>
      <w:tabs>
        <w:tab w:val="left" w:pos="-720"/>
      </w:tabs>
      <w:suppressAutoHyphens/>
    </w:pPr>
    <w:r w:rsidRPr="00772692">
      <w:rPr>
        <w:noProof/>
        <w:snapToGrid/>
        <w:highlight w:val="yellow"/>
      </w:rPr>
      <mc:AlternateContent>
        <mc:Choice Requires="wps">
          <w:drawing>
            <wp:anchor distT="0" distB="0" distL="114300" distR="114300" simplePos="0" relativeHeight="251657728" behindDoc="1" locked="0" layoutInCell="0" allowOverlap="1" wp14:anchorId="7AF1659A" wp14:editId="15E9E50C">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9D3B125" w14:textId="65F48770" w:rsidR="00114174" w:rsidRPr="004F255E" w:rsidRDefault="00114174">
                          <w:pPr>
                            <w:tabs>
                              <w:tab w:val="center" w:pos="4650"/>
                            </w:tabs>
                            <w:suppressAutoHyphens/>
                            <w:jc w:val="both"/>
                            <w:rPr>
                              <w:sz w:val="24"/>
                            </w:rPr>
                          </w:pPr>
                          <w:r w:rsidRPr="004F255E">
                            <w:rPr>
                              <w:sz w:val="24"/>
                            </w:rPr>
                            <w:tab/>
                          </w:r>
                          <w:r w:rsidRPr="004F255E">
                            <w:rPr>
                              <w:sz w:val="24"/>
                            </w:rPr>
                            <w:fldChar w:fldCharType="begin"/>
                          </w:r>
                          <w:r w:rsidRPr="004F255E">
                            <w:rPr>
                              <w:sz w:val="24"/>
                            </w:rPr>
                            <w:instrText>page \* arabic</w:instrText>
                          </w:r>
                          <w:r w:rsidRPr="004F255E">
                            <w:rPr>
                              <w:sz w:val="24"/>
                            </w:rPr>
                            <w:fldChar w:fldCharType="separate"/>
                          </w:r>
                          <w:r>
                            <w:rPr>
                              <w:noProof/>
                              <w:sz w:val="24"/>
                            </w:rPr>
                            <w:t>23</w:t>
                          </w:r>
                          <w:r w:rsidRPr="004F255E">
                            <w:rPr>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AF1659A"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" o:allowincell="f" filled="f" stroked="f" strokeweight="0">
              <v:textbox inset="0,0,0,0">
                <w:txbxContent>
                  <w:p w14:paraId="19D3B125" w14:textId="65F48770" w:rsidR="00114174" w:rsidRPr="004F255E" w:rsidRDefault="00114174">
                    <w:pPr>
                      <w:tabs>
                        <w:tab w:val="center" w:pos="4650"/>
                      </w:tabs>
                      <w:suppressAutoHyphens/>
                      <w:jc w:val="both"/>
                      <w:rPr>
                        <w:sz w:val="24"/>
                      </w:rPr>
                    </w:pPr>
                    <w:r w:rsidRPr="004F255E">
                      <w:rPr>
                        <w:sz w:val="24"/>
                      </w:rPr>
                      <w:tab/>
                    </w:r>
                    <w:r w:rsidRPr="004F255E">
                      <w:rPr>
                        <w:sz w:val="24"/>
                      </w:rPr>
                      <w:fldChar w:fldCharType="begin"/>
                    </w:r>
                    <w:r w:rsidRPr="004F255E">
                      <w:rPr>
                        <w:sz w:val="24"/>
                      </w:rPr>
                      <w:instrText>page \* arabic</w:instrText>
                    </w:r>
                    <w:r w:rsidRPr="004F255E">
                      <w:rPr>
                        <w:sz w:val="24"/>
                      </w:rPr>
                      <w:fldChar w:fldCharType="separate"/>
                    </w:r>
                    <w:r>
                      <w:rPr>
                        <w:noProof/>
                        <w:sz w:val="24"/>
                      </w:rPr>
                      <w:t>23</w:t>
                    </w:r>
                    <w:r w:rsidRPr="004F255E">
                      <w:rPr>
                        <w:sz w:val="24"/>
                      </w:rPr>
                      <w:fldChar w:fldCharType="end"/>
                    </w:r>
                  </w:p>
                </w:txbxContent>
              </v:textbox>
              <w10:wrap anchorx="margin"/>
            </v:rect>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7DFFA" w14:textId="77777777" w:rsidR="00114174" w:rsidRPr="00D36655" w:rsidRDefault="001141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20FF3F" w14:textId="77777777" w:rsidR="00114174" w:rsidRDefault="00114174">
      <w:r w:rsidRPr="00497522">
        <w:rPr>
          <w:sz w:val="24"/>
        </w:rPr>
        <w:separator/>
      </w:r>
    </w:p>
  </w:footnote>
  <w:footnote w:type="continuationSeparator" w:id="0">
    <w:p w14:paraId="279C87EB" w14:textId="77777777" w:rsidR="00114174" w:rsidRDefault="00114174">
      <w:r>
        <w:continuationSeparator/>
      </w:r>
    </w:p>
  </w:footnote>
  <w:footnote w:type="continuationNotice" w:id="1">
    <w:p w14:paraId="7B32D3E1" w14:textId="77777777" w:rsidR="00114174" w:rsidRDefault="00114174"/>
  </w:footnote>
  <w:footnote w:id="2">
    <w:p w14:paraId="38475DD8" w14:textId="77777777" w:rsidR="00114174" w:rsidRDefault="00114174">
      <w:pPr>
        <w:pStyle w:val="FootnoteText"/>
      </w:pPr>
      <w:r>
        <w:rPr>
          <w:rStyle w:val="FootnoteReference"/>
        </w:rPr>
        <w:footnoteRef/>
      </w:r>
      <w:r>
        <w:t xml:space="preserve"> The FY 2016 Report to Congress is the first to contain performance measures data.  This report is currently in the Department’s clearance process and is not yet published.</w:t>
      </w:r>
    </w:p>
  </w:footnote>
  <w:footnote w:id="3">
    <w:p w14:paraId="5DF9F549" w14:textId="77777777" w:rsidR="00114174" w:rsidRDefault="00114174" w:rsidP="00E30D2A">
      <w:pPr>
        <w:pStyle w:val="FootnoteText"/>
        <w:ind w:left="180" w:hanging="180"/>
        <w:jc w:val="both"/>
        <w:rPr>
          <w:sz w:val="18"/>
        </w:rPr>
      </w:pPr>
      <w:r w:rsidRPr="009B5D1B">
        <w:rPr>
          <w:rStyle w:val="FootnoteReference"/>
          <w:rFonts w:asciiTheme="minorHAnsi" w:hAnsiTheme="minorHAnsi"/>
        </w:rPr>
        <w:footnoteRef/>
      </w:r>
      <w:r>
        <w:t xml:space="preserve"> </w:t>
      </w:r>
      <w:r>
        <w:tab/>
      </w:r>
      <w:r w:rsidRPr="00687BD9">
        <w:rPr>
          <w:rFonts w:asciiTheme="minorHAnsi" w:hAnsiTheme="minorHAnsi"/>
          <w:sz w:val="16"/>
          <w:szCs w:val="18"/>
        </w:rPr>
        <w:t>The LIHEAP program is intended to assist low-income households with their “home energy” costs. Home energy is energy used for home heating or cooling. This performance measure asks grantees to report on total residential energy bills because grantees and energy vendors do not have the statistical tools needed to estimate home energy usage. However, analysis of the 2009 RECS data shows that the correlation between households with high home energy costs and high residential energy costs averages 85%.</w:t>
      </w:r>
      <w:r w:rsidRPr="00687BD9">
        <w:rPr>
          <w:sz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91628" w14:textId="77777777" w:rsidR="00114174" w:rsidRDefault="00114174">
    <w:pPr>
      <w:pStyle w:val="Header"/>
      <w:jc w:val="right"/>
    </w:pPr>
  </w:p>
  <w:p w14:paraId="20F3BDA5" w14:textId="77777777" w:rsidR="00114174" w:rsidRPr="00A46181" w:rsidRDefault="00114174">
    <w:pPr>
      <w:spacing w:line="14" w:lineRule="aut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39207" w14:textId="77777777" w:rsidR="00114174" w:rsidRDefault="00114174" w:rsidP="0070451D">
    <w:pPr>
      <w:pStyle w:val="Header"/>
      <w:jc w:val="center"/>
    </w:pPr>
  </w:p>
  <w:p w14:paraId="6435FF11" w14:textId="77777777" w:rsidR="00114174" w:rsidRPr="00A46181" w:rsidRDefault="00114174">
    <w:pPr>
      <w:spacing w:line="14" w:lineRule="aut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7DC7C" w14:textId="77777777" w:rsidR="00114174" w:rsidRPr="00D36655" w:rsidRDefault="0011417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52276" w14:textId="77777777" w:rsidR="00114174" w:rsidRPr="00D36655" w:rsidRDefault="0011417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F934F" w14:textId="77777777" w:rsidR="00114174" w:rsidRPr="00D36655" w:rsidRDefault="001141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CA688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F1765"/>
    <w:multiLevelType w:val="hybridMultilevel"/>
    <w:tmpl w:val="7D7439C8"/>
    <w:lvl w:ilvl="0" w:tplc="04090001">
      <w:start w:val="1"/>
      <w:numFmt w:val="bullet"/>
      <w:lvlText w:val=""/>
      <w:lvlJc w:val="left"/>
      <w:pPr>
        <w:tabs>
          <w:tab w:val="num" w:pos="908"/>
        </w:tabs>
        <w:ind w:left="908" w:hanging="360"/>
      </w:pPr>
      <w:rPr>
        <w:rFonts w:ascii="Symbol" w:hAnsi="Symbol" w:hint="default"/>
      </w:rPr>
    </w:lvl>
    <w:lvl w:ilvl="1" w:tplc="04090003" w:tentative="1">
      <w:start w:val="1"/>
      <w:numFmt w:val="bullet"/>
      <w:lvlText w:val="o"/>
      <w:lvlJc w:val="left"/>
      <w:pPr>
        <w:tabs>
          <w:tab w:val="num" w:pos="1628"/>
        </w:tabs>
        <w:ind w:left="1628" w:hanging="360"/>
      </w:pPr>
      <w:rPr>
        <w:rFonts w:ascii="Courier New" w:hAnsi="Courier New" w:cs="Courier New" w:hint="default"/>
      </w:rPr>
    </w:lvl>
    <w:lvl w:ilvl="2" w:tplc="04090005" w:tentative="1">
      <w:start w:val="1"/>
      <w:numFmt w:val="bullet"/>
      <w:lvlText w:val=""/>
      <w:lvlJc w:val="left"/>
      <w:pPr>
        <w:tabs>
          <w:tab w:val="num" w:pos="2348"/>
        </w:tabs>
        <w:ind w:left="2348" w:hanging="360"/>
      </w:pPr>
      <w:rPr>
        <w:rFonts w:ascii="Wingdings" w:hAnsi="Wingdings" w:hint="default"/>
      </w:rPr>
    </w:lvl>
    <w:lvl w:ilvl="3" w:tplc="04090001" w:tentative="1">
      <w:start w:val="1"/>
      <w:numFmt w:val="bullet"/>
      <w:lvlText w:val=""/>
      <w:lvlJc w:val="left"/>
      <w:pPr>
        <w:tabs>
          <w:tab w:val="num" w:pos="3068"/>
        </w:tabs>
        <w:ind w:left="3068" w:hanging="360"/>
      </w:pPr>
      <w:rPr>
        <w:rFonts w:ascii="Symbol" w:hAnsi="Symbol" w:hint="default"/>
      </w:rPr>
    </w:lvl>
    <w:lvl w:ilvl="4" w:tplc="04090003" w:tentative="1">
      <w:start w:val="1"/>
      <w:numFmt w:val="bullet"/>
      <w:lvlText w:val="o"/>
      <w:lvlJc w:val="left"/>
      <w:pPr>
        <w:tabs>
          <w:tab w:val="num" w:pos="3788"/>
        </w:tabs>
        <w:ind w:left="3788" w:hanging="360"/>
      </w:pPr>
      <w:rPr>
        <w:rFonts w:ascii="Courier New" w:hAnsi="Courier New" w:cs="Courier New" w:hint="default"/>
      </w:rPr>
    </w:lvl>
    <w:lvl w:ilvl="5" w:tplc="04090005" w:tentative="1">
      <w:start w:val="1"/>
      <w:numFmt w:val="bullet"/>
      <w:lvlText w:val=""/>
      <w:lvlJc w:val="left"/>
      <w:pPr>
        <w:tabs>
          <w:tab w:val="num" w:pos="4508"/>
        </w:tabs>
        <w:ind w:left="4508" w:hanging="360"/>
      </w:pPr>
      <w:rPr>
        <w:rFonts w:ascii="Wingdings" w:hAnsi="Wingdings" w:hint="default"/>
      </w:rPr>
    </w:lvl>
    <w:lvl w:ilvl="6" w:tplc="04090001" w:tentative="1">
      <w:start w:val="1"/>
      <w:numFmt w:val="bullet"/>
      <w:lvlText w:val=""/>
      <w:lvlJc w:val="left"/>
      <w:pPr>
        <w:tabs>
          <w:tab w:val="num" w:pos="5228"/>
        </w:tabs>
        <w:ind w:left="5228" w:hanging="360"/>
      </w:pPr>
      <w:rPr>
        <w:rFonts w:ascii="Symbol" w:hAnsi="Symbol" w:hint="default"/>
      </w:rPr>
    </w:lvl>
    <w:lvl w:ilvl="7" w:tplc="04090003" w:tentative="1">
      <w:start w:val="1"/>
      <w:numFmt w:val="bullet"/>
      <w:lvlText w:val="o"/>
      <w:lvlJc w:val="left"/>
      <w:pPr>
        <w:tabs>
          <w:tab w:val="num" w:pos="5948"/>
        </w:tabs>
        <w:ind w:left="5948" w:hanging="360"/>
      </w:pPr>
      <w:rPr>
        <w:rFonts w:ascii="Courier New" w:hAnsi="Courier New" w:cs="Courier New" w:hint="default"/>
      </w:rPr>
    </w:lvl>
    <w:lvl w:ilvl="8" w:tplc="04090005" w:tentative="1">
      <w:start w:val="1"/>
      <w:numFmt w:val="bullet"/>
      <w:lvlText w:val=""/>
      <w:lvlJc w:val="left"/>
      <w:pPr>
        <w:tabs>
          <w:tab w:val="num" w:pos="6668"/>
        </w:tabs>
        <w:ind w:left="6668" w:hanging="360"/>
      </w:pPr>
      <w:rPr>
        <w:rFonts w:ascii="Wingdings" w:hAnsi="Wingdings" w:hint="default"/>
      </w:rPr>
    </w:lvl>
  </w:abstractNum>
  <w:abstractNum w:abstractNumId="2" w15:restartNumberingAfterBreak="0">
    <w:nsid w:val="00630692"/>
    <w:multiLevelType w:val="hybridMultilevel"/>
    <w:tmpl w:val="D6BA49D0"/>
    <w:lvl w:ilvl="0" w:tplc="A2AAEFA2">
      <w:start w:val="1"/>
      <w:numFmt w:val="upperLetter"/>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1302CC7"/>
    <w:multiLevelType w:val="hybridMultilevel"/>
    <w:tmpl w:val="5E706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FA4E3C"/>
    <w:multiLevelType w:val="hybridMultilevel"/>
    <w:tmpl w:val="58F297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3045E37"/>
    <w:multiLevelType w:val="hybridMultilevel"/>
    <w:tmpl w:val="91864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1D1065"/>
    <w:multiLevelType w:val="multilevel"/>
    <w:tmpl w:val="2D88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3243632"/>
    <w:multiLevelType w:val="hybridMultilevel"/>
    <w:tmpl w:val="D0D4EF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52B6AF7"/>
    <w:multiLevelType w:val="hybridMultilevel"/>
    <w:tmpl w:val="93A002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5CF0370"/>
    <w:multiLevelType w:val="hybridMultilevel"/>
    <w:tmpl w:val="C67CFFC8"/>
    <w:lvl w:ilvl="0" w:tplc="04090001">
      <w:start w:val="1"/>
      <w:numFmt w:val="bullet"/>
      <w:lvlText w:val=""/>
      <w:lvlJc w:val="left"/>
      <w:pPr>
        <w:tabs>
          <w:tab w:val="num" w:pos="904"/>
        </w:tabs>
        <w:ind w:left="904" w:hanging="360"/>
      </w:pPr>
      <w:rPr>
        <w:rFonts w:ascii="Symbol" w:hAnsi="Symbol" w:hint="default"/>
      </w:rPr>
    </w:lvl>
    <w:lvl w:ilvl="1" w:tplc="04090003" w:tentative="1">
      <w:start w:val="1"/>
      <w:numFmt w:val="bullet"/>
      <w:lvlText w:val="o"/>
      <w:lvlJc w:val="left"/>
      <w:pPr>
        <w:tabs>
          <w:tab w:val="num" w:pos="1624"/>
        </w:tabs>
        <w:ind w:left="1624" w:hanging="360"/>
      </w:pPr>
      <w:rPr>
        <w:rFonts w:ascii="Courier New" w:hAnsi="Courier New" w:cs="Courier New" w:hint="default"/>
      </w:rPr>
    </w:lvl>
    <w:lvl w:ilvl="2" w:tplc="04090005" w:tentative="1">
      <w:start w:val="1"/>
      <w:numFmt w:val="bullet"/>
      <w:lvlText w:val=""/>
      <w:lvlJc w:val="left"/>
      <w:pPr>
        <w:tabs>
          <w:tab w:val="num" w:pos="2344"/>
        </w:tabs>
        <w:ind w:left="2344" w:hanging="360"/>
      </w:pPr>
      <w:rPr>
        <w:rFonts w:ascii="Wingdings" w:hAnsi="Wingdings" w:hint="default"/>
      </w:rPr>
    </w:lvl>
    <w:lvl w:ilvl="3" w:tplc="04090001" w:tentative="1">
      <w:start w:val="1"/>
      <w:numFmt w:val="bullet"/>
      <w:lvlText w:val=""/>
      <w:lvlJc w:val="left"/>
      <w:pPr>
        <w:tabs>
          <w:tab w:val="num" w:pos="3064"/>
        </w:tabs>
        <w:ind w:left="3064" w:hanging="360"/>
      </w:pPr>
      <w:rPr>
        <w:rFonts w:ascii="Symbol" w:hAnsi="Symbol" w:hint="default"/>
      </w:rPr>
    </w:lvl>
    <w:lvl w:ilvl="4" w:tplc="04090003" w:tentative="1">
      <w:start w:val="1"/>
      <w:numFmt w:val="bullet"/>
      <w:lvlText w:val="o"/>
      <w:lvlJc w:val="left"/>
      <w:pPr>
        <w:tabs>
          <w:tab w:val="num" w:pos="3784"/>
        </w:tabs>
        <w:ind w:left="3784" w:hanging="360"/>
      </w:pPr>
      <w:rPr>
        <w:rFonts w:ascii="Courier New" w:hAnsi="Courier New" w:cs="Courier New" w:hint="default"/>
      </w:rPr>
    </w:lvl>
    <w:lvl w:ilvl="5" w:tplc="04090005" w:tentative="1">
      <w:start w:val="1"/>
      <w:numFmt w:val="bullet"/>
      <w:lvlText w:val=""/>
      <w:lvlJc w:val="left"/>
      <w:pPr>
        <w:tabs>
          <w:tab w:val="num" w:pos="4504"/>
        </w:tabs>
        <w:ind w:left="4504" w:hanging="360"/>
      </w:pPr>
      <w:rPr>
        <w:rFonts w:ascii="Wingdings" w:hAnsi="Wingdings" w:hint="default"/>
      </w:rPr>
    </w:lvl>
    <w:lvl w:ilvl="6" w:tplc="04090001" w:tentative="1">
      <w:start w:val="1"/>
      <w:numFmt w:val="bullet"/>
      <w:lvlText w:val=""/>
      <w:lvlJc w:val="left"/>
      <w:pPr>
        <w:tabs>
          <w:tab w:val="num" w:pos="5224"/>
        </w:tabs>
        <w:ind w:left="5224" w:hanging="360"/>
      </w:pPr>
      <w:rPr>
        <w:rFonts w:ascii="Symbol" w:hAnsi="Symbol" w:hint="default"/>
      </w:rPr>
    </w:lvl>
    <w:lvl w:ilvl="7" w:tplc="04090003" w:tentative="1">
      <w:start w:val="1"/>
      <w:numFmt w:val="bullet"/>
      <w:lvlText w:val="o"/>
      <w:lvlJc w:val="left"/>
      <w:pPr>
        <w:tabs>
          <w:tab w:val="num" w:pos="5944"/>
        </w:tabs>
        <w:ind w:left="5944" w:hanging="360"/>
      </w:pPr>
      <w:rPr>
        <w:rFonts w:ascii="Courier New" w:hAnsi="Courier New" w:cs="Courier New" w:hint="default"/>
      </w:rPr>
    </w:lvl>
    <w:lvl w:ilvl="8" w:tplc="04090005" w:tentative="1">
      <w:start w:val="1"/>
      <w:numFmt w:val="bullet"/>
      <w:lvlText w:val=""/>
      <w:lvlJc w:val="left"/>
      <w:pPr>
        <w:tabs>
          <w:tab w:val="num" w:pos="6664"/>
        </w:tabs>
        <w:ind w:left="6664" w:hanging="360"/>
      </w:pPr>
      <w:rPr>
        <w:rFonts w:ascii="Wingdings" w:hAnsi="Wingdings" w:hint="default"/>
      </w:rPr>
    </w:lvl>
  </w:abstractNum>
  <w:abstractNum w:abstractNumId="10" w15:restartNumberingAfterBreak="0">
    <w:nsid w:val="07E342E8"/>
    <w:multiLevelType w:val="hybridMultilevel"/>
    <w:tmpl w:val="E042CED8"/>
    <w:lvl w:ilvl="0" w:tplc="0A7CB7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8456982"/>
    <w:multiLevelType w:val="hybridMultilevel"/>
    <w:tmpl w:val="55700A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6A026D"/>
    <w:multiLevelType w:val="hybridMultilevel"/>
    <w:tmpl w:val="B17EAFA4"/>
    <w:lvl w:ilvl="0" w:tplc="DA86F9F4">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6D7968"/>
    <w:multiLevelType w:val="hybridMultilevel"/>
    <w:tmpl w:val="D180BD6A"/>
    <w:lvl w:ilvl="0" w:tplc="FDF65DE2">
      <w:start w:val="1"/>
      <w:numFmt w:val="bullet"/>
      <w:lvlText w:val="•"/>
      <w:lvlJc w:val="left"/>
      <w:pPr>
        <w:tabs>
          <w:tab w:val="num" w:pos="720"/>
        </w:tabs>
        <w:ind w:left="720" w:hanging="360"/>
      </w:pPr>
      <w:rPr>
        <w:rFonts w:ascii="Arial" w:hAnsi="Arial" w:hint="default"/>
      </w:rPr>
    </w:lvl>
    <w:lvl w:ilvl="1" w:tplc="023AE1F6">
      <w:start w:val="1"/>
      <w:numFmt w:val="bullet"/>
      <w:lvlText w:val="•"/>
      <w:lvlJc w:val="left"/>
      <w:pPr>
        <w:tabs>
          <w:tab w:val="num" w:pos="1440"/>
        </w:tabs>
        <w:ind w:left="1440" w:hanging="360"/>
      </w:pPr>
      <w:rPr>
        <w:rFonts w:ascii="Arial" w:hAnsi="Arial" w:hint="default"/>
      </w:rPr>
    </w:lvl>
    <w:lvl w:ilvl="2" w:tplc="5016C6DC" w:tentative="1">
      <w:start w:val="1"/>
      <w:numFmt w:val="bullet"/>
      <w:lvlText w:val="•"/>
      <w:lvlJc w:val="left"/>
      <w:pPr>
        <w:tabs>
          <w:tab w:val="num" w:pos="2160"/>
        </w:tabs>
        <w:ind w:left="2160" w:hanging="360"/>
      </w:pPr>
      <w:rPr>
        <w:rFonts w:ascii="Arial" w:hAnsi="Arial" w:hint="default"/>
      </w:rPr>
    </w:lvl>
    <w:lvl w:ilvl="3" w:tplc="6F6CE776" w:tentative="1">
      <w:start w:val="1"/>
      <w:numFmt w:val="bullet"/>
      <w:lvlText w:val="•"/>
      <w:lvlJc w:val="left"/>
      <w:pPr>
        <w:tabs>
          <w:tab w:val="num" w:pos="2880"/>
        </w:tabs>
        <w:ind w:left="2880" w:hanging="360"/>
      </w:pPr>
      <w:rPr>
        <w:rFonts w:ascii="Arial" w:hAnsi="Arial" w:hint="default"/>
      </w:rPr>
    </w:lvl>
    <w:lvl w:ilvl="4" w:tplc="3D7E8964" w:tentative="1">
      <w:start w:val="1"/>
      <w:numFmt w:val="bullet"/>
      <w:lvlText w:val="•"/>
      <w:lvlJc w:val="left"/>
      <w:pPr>
        <w:tabs>
          <w:tab w:val="num" w:pos="3600"/>
        </w:tabs>
        <w:ind w:left="3600" w:hanging="360"/>
      </w:pPr>
      <w:rPr>
        <w:rFonts w:ascii="Arial" w:hAnsi="Arial" w:hint="default"/>
      </w:rPr>
    </w:lvl>
    <w:lvl w:ilvl="5" w:tplc="3ACC331C" w:tentative="1">
      <w:start w:val="1"/>
      <w:numFmt w:val="bullet"/>
      <w:lvlText w:val="•"/>
      <w:lvlJc w:val="left"/>
      <w:pPr>
        <w:tabs>
          <w:tab w:val="num" w:pos="4320"/>
        </w:tabs>
        <w:ind w:left="4320" w:hanging="360"/>
      </w:pPr>
      <w:rPr>
        <w:rFonts w:ascii="Arial" w:hAnsi="Arial" w:hint="default"/>
      </w:rPr>
    </w:lvl>
    <w:lvl w:ilvl="6" w:tplc="274E4B1A" w:tentative="1">
      <w:start w:val="1"/>
      <w:numFmt w:val="bullet"/>
      <w:lvlText w:val="•"/>
      <w:lvlJc w:val="left"/>
      <w:pPr>
        <w:tabs>
          <w:tab w:val="num" w:pos="5040"/>
        </w:tabs>
        <w:ind w:left="5040" w:hanging="360"/>
      </w:pPr>
      <w:rPr>
        <w:rFonts w:ascii="Arial" w:hAnsi="Arial" w:hint="default"/>
      </w:rPr>
    </w:lvl>
    <w:lvl w:ilvl="7" w:tplc="88BE7730" w:tentative="1">
      <w:start w:val="1"/>
      <w:numFmt w:val="bullet"/>
      <w:lvlText w:val="•"/>
      <w:lvlJc w:val="left"/>
      <w:pPr>
        <w:tabs>
          <w:tab w:val="num" w:pos="5760"/>
        </w:tabs>
        <w:ind w:left="5760" w:hanging="360"/>
      </w:pPr>
      <w:rPr>
        <w:rFonts w:ascii="Arial" w:hAnsi="Arial" w:hint="default"/>
      </w:rPr>
    </w:lvl>
    <w:lvl w:ilvl="8" w:tplc="CA2A271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0DD255C3"/>
    <w:multiLevelType w:val="hybridMultilevel"/>
    <w:tmpl w:val="CB7E5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F6A13D4"/>
    <w:multiLevelType w:val="hybridMultilevel"/>
    <w:tmpl w:val="28F2290A"/>
    <w:lvl w:ilvl="0" w:tplc="B9884536">
      <w:start w:val="1"/>
      <w:numFmt w:val="bullet"/>
      <w:lvlText w:val=""/>
      <w:lvlJc w:val="left"/>
      <w:pPr>
        <w:ind w:left="720" w:hanging="360"/>
      </w:pPr>
      <w:rPr>
        <w:rFonts w:ascii="Symbol" w:hAnsi="Symbol"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1911871"/>
    <w:multiLevelType w:val="hybridMultilevel"/>
    <w:tmpl w:val="AC944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0A146D"/>
    <w:multiLevelType w:val="multilevel"/>
    <w:tmpl w:val="BE901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1A7C10"/>
    <w:multiLevelType w:val="hybridMultilevel"/>
    <w:tmpl w:val="9814CF92"/>
    <w:lvl w:ilvl="0" w:tplc="04090019">
      <w:start w:val="1"/>
      <w:numFmt w:val="lowerLetter"/>
      <w:lvlText w:val="%1."/>
      <w:lvlJc w:val="left"/>
      <w:pPr>
        <w:tabs>
          <w:tab w:val="num" w:pos="720"/>
        </w:tabs>
        <w:ind w:left="720" w:hanging="360"/>
      </w:pPr>
      <w:rPr>
        <w:rFonts w:hint="default"/>
      </w:rPr>
    </w:lvl>
    <w:lvl w:ilvl="1" w:tplc="C79E99A4" w:tentative="1">
      <w:start w:val="1"/>
      <w:numFmt w:val="bullet"/>
      <w:lvlText w:val="•"/>
      <w:lvlJc w:val="left"/>
      <w:pPr>
        <w:tabs>
          <w:tab w:val="num" w:pos="1440"/>
        </w:tabs>
        <w:ind w:left="1440" w:hanging="360"/>
      </w:pPr>
      <w:rPr>
        <w:rFonts w:ascii="Arial" w:hAnsi="Arial" w:hint="default"/>
      </w:rPr>
    </w:lvl>
    <w:lvl w:ilvl="2" w:tplc="AF26B4A8" w:tentative="1">
      <w:start w:val="1"/>
      <w:numFmt w:val="bullet"/>
      <w:lvlText w:val="•"/>
      <w:lvlJc w:val="left"/>
      <w:pPr>
        <w:tabs>
          <w:tab w:val="num" w:pos="2160"/>
        </w:tabs>
        <w:ind w:left="2160" w:hanging="360"/>
      </w:pPr>
      <w:rPr>
        <w:rFonts w:ascii="Arial" w:hAnsi="Arial" w:hint="default"/>
      </w:rPr>
    </w:lvl>
    <w:lvl w:ilvl="3" w:tplc="355EB968" w:tentative="1">
      <w:start w:val="1"/>
      <w:numFmt w:val="bullet"/>
      <w:lvlText w:val="•"/>
      <w:lvlJc w:val="left"/>
      <w:pPr>
        <w:tabs>
          <w:tab w:val="num" w:pos="2880"/>
        </w:tabs>
        <w:ind w:left="2880" w:hanging="360"/>
      </w:pPr>
      <w:rPr>
        <w:rFonts w:ascii="Arial" w:hAnsi="Arial" w:hint="default"/>
      </w:rPr>
    </w:lvl>
    <w:lvl w:ilvl="4" w:tplc="702A5A52" w:tentative="1">
      <w:start w:val="1"/>
      <w:numFmt w:val="bullet"/>
      <w:lvlText w:val="•"/>
      <w:lvlJc w:val="left"/>
      <w:pPr>
        <w:tabs>
          <w:tab w:val="num" w:pos="3600"/>
        </w:tabs>
        <w:ind w:left="3600" w:hanging="360"/>
      </w:pPr>
      <w:rPr>
        <w:rFonts w:ascii="Arial" w:hAnsi="Arial" w:hint="default"/>
      </w:rPr>
    </w:lvl>
    <w:lvl w:ilvl="5" w:tplc="7DC44BFA" w:tentative="1">
      <w:start w:val="1"/>
      <w:numFmt w:val="bullet"/>
      <w:lvlText w:val="•"/>
      <w:lvlJc w:val="left"/>
      <w:pPr>
        <w:tabs>
          <w:tab w:val="num" w:pos="4320"/>
        </w:tabs>
        <w:ind w:left="4320" w:hanging="360"/>
      </w:pPr>
      <w:rPr>
        <w:rFonts w:ascii="Arial" w:hAnsi="Arial" w:hint="default"/>
      </w:rPr>
    </w:lvl>
    <w:lvl w:ilvl="6" w:tplc="42263494" w:tentative="1">
      <w:start w:val="1"/>
      <w:numFmt w:val="bullet"/>
      <w:lvlText w:val="•"/>
      <w:lvlJc w:val="left"/>
      <w:pPr>
        <w:tabs>
          <w:tab w:val="num" w:pos="5040"/>
        </w:tabs>
        <w:ind w:left="5040" w:hanging="360"/>
      </w:pPr>
      <w:rPr>
        <w:rFonts w:ascii="Arial" w:hAnsi="Arial" w:hint="default"/>
      </w:rPr>
    </w:lvl>
    <w:lvl w:ilvl="7" w:tplc="869A2F38" w:tentative="1">
      <w:start w:val="1"/>
      <w:numFmt w:val="bullet"/>
      <w:lvlText w:val="•"/>
      <w:lvlJc w:val="left"/>
      <w:pPr>
        <w:tabs>
          <w:tab w:val="num" w:pos="5760"/>
        </w:tabs>
        <w:ind w:left="5760" w:hanging="360"/>
      </w:pPr>
      <w:rPr>
        <w:rFonts w:ascii="Arial" w:hAnsi="Arial" w:hint="default"/>
      </w:rPr>
    </w:lvl>
    <w:lvl w:ilvl="8" w:tplc="C0F4CF3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13915302"/>
    <w:multiLevelType w:val="hybridMultilevel"/>
    <w:tmpl w:val="60ECD544"/>
    <w:lvl w:ilvl="0" w:tplc="1778D446">
      <w:start w:val="1"/>
      <w:numFmt w:val="decimal"/>
      <w:lvlText w:val="%1)"/>
      <w:lvlJc w:val="left"/>
      <w:pPr>
        <w:ind w:left="868" w:hanging="360"/>
      </w:pPr>
      <w:rPr>
        <w:rFonts w:ascii="Times New Roman" w:eastAsia="Times New Roman" w:hAnsi="Times New Roman" w:hint="default"/>
        <w:sz w:val="24"/>
        <w:szCs w:val="24"/>
      </w:rPr>
    </w:lvl>
    <w:lvl w:ilvl="1" w:tplc="365E3266">
      <w:start w:val="1"/>
      <w:numFmt w:val="bullet"/>
      <w:lvlText w:val="•"/>
      <w:lvlJc w:val="left"/>
      <w:pPr>
        <w:ind w:left="1825" w:hanging="360"/>
      </w:pPr>
      <w:rPr>
        <w:rFonts w:hint="default"/>
      </w:rPr>
    </w:lvl>
    <w:lvl w:ilvl="2" w:tplc="E8E4FE42">
      <w:start w:val="1"/>
      <w:numFmt w:val="bullet"/>
      <w:lvlText w:val="•"/>
      <w:lvlJc w:val="left"/>
      <w:pPr>
        <w:ind w:left="2782" w:hanging="360"/>
      </w:pPr>
      <w:rPr>
        <w:rFonts w:hint="default"/>
      </w:rPr>
    </w:lvl>
    <w:lvl w:ilvl="3" w:tplc="B82E6A84">
      <w:start w:val="1"/>
      <w:numFmt w:val="bullet"/>
      <w:lvlText w:val="•"/>
      <w:lvlJc w:val="left"/>
      <w:pPr>
        <w:ind w:left="3739" w:hanging="360"/>
      </w:pPr>
      <w:rPr>
        <w:rFonts w:hint="default"/>
      </w:rPr>
    </w:lvl>
    <w:lvl w:ilvl="4" w:tplc="AFB4162A">
      <w:start w:val="1"/>
      <w:numFmt w:val="bullet"/>
      <w:lvlText w:val="•"/>
      <w:lvlJc w:val="left"/>
      <w:pPr>
        <w:ind w:left="4696" w:hanging="360"/>
      </w:pPr>
      <w:rPr>
        <w:rFonts w:hint="default"/>
      </w:rPr>
    </w:lvl>
    <w:lvl w:ilvl="5" w:tplc="B9AC75F4">
      <w:start w:val="1"/>
      <w:numFmt w:val="bullet"/>
      <w:lvlText w:val="•"/>
      <w:lvlJc w:val="left"/>
      <w:pPr>
        <w:ind w:left="5654" w:hanging="360"/>
      </w:pPr>
      <w:rPr>
        <w:rFonts w:hint="default"/>
      </w:rPr>
    </w:lvl>
    <w:lvl w:ilvl="6" w:tplc="8A8C86BE">
      <w:start w:val="1"/>
      <w:numFmt w:val="bullet"/>
      <w:lvlText w:val="•"/>
      <w:lvlJc w:val="left"/>
      <w:pPr>
        <w:ind w:left="6611" w:hanging="360"/>
      </w:pPr>
      <w:rPr>
        <w:rFonts w:hint="default"/>
      </w:rPr>
    </w:lvl>
    <w:lvl w:ilvl="7" w:tplc="9D565D86">
      <w:start w:val="1"/>
      <w:numFmt w:val="bullet"/>
      <w:lvlText w:val="•"/>
      <w:lvlJc w:val="left"/>
      <w:pPr>
        <w:ind w:left="7568" w:hanging="360"/>
      </w:pPr>
      <w:rPr>
        <w:rFonts w:hint="default"/>
      </w:rPr>
    </w:lvl>
    <w:lvl w:ilvl="8" w:tplc="3662B718">
      <w:start w:val="1"/>
      <w:numFmt w:val="bullet"/>
      <w:lvlText w:val="•"/>
      <w:lvlJc w:val="left"/>
      <w:pPr>
        <w:ind w:left="8525" w:hanging="360"/>
      </w:pPr>
      <w:rPr>
        <w:rFonts w:hint="default"/>
      </w:rPr>
    </w:lvl>
  </w:abstractNum>
  <w:abstractNum w:abstractNumId="20" w15:restartNumberingAfterBreak="0">
    <w:nsid w:val="13A66851"/>
    <w:multiLevelType w:val="hybridMultilevel"/>
    <w:tmpl w:val="8D14CE3C"/>
    <w:lvl w:ilvl="0" w:tplc="04090001">
      <w:start w:val="1"/>
      <w:numFmt w:val="bullet"/>
      <w:lvlText w:val=""/>
      <w:lvlJc w:val="left"/>
      <w:pPr>
        <w:tabs>
          <w:tab w:val="num" w:pos="904"/>
        </w:tabs>
        <w:ind w:left="904" w:hanging="360"/>
      </w:pPr>
      <w:rPr>
        <w:rFonts w:ascii="Symbol" w:hAnsi="Symbol" w:hint="default"/>
      </w:rPr>
    </w:lvl>
    <w:lvl w:ilvl="1" w:tplc="04090003" w:tentative="1">
      <w:start w:val="1"/>
      <w:numFmt w:val="bullet"/>
      <w:lvlText w:val="o"/>
      <w:lvlJc w:val="left"/>
      <w:pPr>
        <w:tabs>
          <w:tab w:val="num" w:pos="1624"/>
        </w:tabs>
        <w:ind w:left="1624" w:hanging="360"/>
      </w:pPr>
      <w:rPr>
        <w:rFonts w:ascii="Courier New" w:hAnsi="Courier New" w:cs="Courier New" w:hint="default"/>
      </w:rPr>
    </w:lvl>
    <w:lvl w:ilvl="2" w:tplc="04090005" w:tentative="1">
      <w:start w:val="1"/>
      <w:numFmt w:val="bullet"/>
      <w:lvlText w:val=""/>
      <w:lvlJc w:val="left"/>
      <w:pPr>
        <w:tabs>
          <w:tab w:val="num" w:pos="2344"/>
        </w:tabs>
        <w:ind w:left="2344" w:hanging="360"/>
      </w:pPr>
      <w:rPr>
        <w:rFonts w:ascii="Wingdings" w:hAnsi="Wingdings" w:hint="default"/>
      </w:rPr>
    </w:lvl>
    <w:lvl w:ilvl="3" w:tplc="04090001" w:tentative="1">
      <w:start w:val="1"/>
      <w:numFmt w:val="bullet"/>
      <w:lvlText w:val=""/>
      <w:lvlJc w:val="left"/>
      <w:pPr>
        <w:tabs>
          <w:tab w:val="num" w:pos="3064"/>
        </w:tabs>
        <w:ind w:left="3064" w:hanging="360"/>
      </w:pPr>
      <w:rPr>
        <w:rFonts w:ascii="Symbol" w:hAnsi="Symbol" w:hint="default"/>
      </w:rPr>
    </w:lvl>
    <w:lvl w:ilvl="4" w:tplc="04090003" w:tentative="1">
      <w:start w:val="1"/>
      <w:numFmt w:val="bullet"/>
      <w:lvlText w:val="o"/>
      <w:lvlJc w:val="left"/>
      <w:pPr>
        <w:tabs>
          <w:tab w:val="num" w:pos="3784"/>
        </w:tabs>
        <w:ind w:left="3784" w:hanging="360"/>
      </w:pPr>
      <w:rPr>
        <w:rFonts w:ascii="Courier New" w:hAnsi="Courier New" w:cs="Courier New" w:hint="default"/>
      </w:rPr>
    </w:lvl>
    <w:lvl w:ilvl="5" w:tplc="04090005" w:tentative="1">
      <w:start w:val="1"/>
      <w:numFmt w:val="bullet"/>
      <w:lvlText w:val=""/>
      <w:lvlJc w:val="left"/>
      <w:pPr>
        <w:tabs>
          <w:tab w:val="num" w:pos="4504"/>
        </w:tabs>
        <w:ind w:left="4504" w:hanging="360"/>
      </w:pPr>
      <w:rPr>
        <w:rFonts w:ascii="Wingdings" w:hAnsi="Wingdings" w:hint="default"/>
      </w:rPr>
    </w:lvl>
    <w:lvl w:ilvl="6" w:tplc="04090001" w:tentative="1">
      <w:start w:val="1"/>
      <w:numFmt w:val="bullet"/>
      <w:lvlText w:val=""/>
      <w:lvlJc w:val="left"/>
      <w:pPr>
        <w:tabs>
          <w:tab w:val="num" w:pos="5224"/>
        </w:tabs>
        <w:ind w:left="5224" w:hanging="360"/>
      </w:pPr>
      <w:rPr>
        <w:rFonts w:ascii="Symbol" w:hAnsi="Symbol" w:hint="default"/>
      </w:rPr>
    </w:lvl>
    <w:lvl w:ilvl="7" w:tplc="04090003" w:tentative="1">
      <w:start w:val="1"/>
      <w:numFmt w:val="bullet"/>
      <w:lvlText w:val="o"/>
      <w:lvlJc w:val="left"/>
      <w:pPr>
        <w:tabs>
          <w:tab w:val="num" w:pos="5944"/>
        </w:tabs>
        <w:ind w:left="5944" w:hanging="360"/>
      </w:pPr>
      <w:rPr>
        <w:rFonts w:ascii="Courier New" w:hAnsi="Courier New" w:cs="Courier New" w:hint="default"/>
      </w:rPr>
    </w:lvl>
    <w:lvl w:ilvl="8" w:tplc="04090005" w:tentative="1">
      <w:start w:val="1"/>
      <w:numFmt w:val="bullet"/>
      <w:lvlText w:val=""/>
      <w:lvlJc w:val="left"/>
      <w:pPr>
        <w:tabs>
          <w:tab w:val="num" w:pos="6664"/>
        </w:tabs>
        <w:ind w:left="6664" w:hanging="360"/>
      </w:pPr>
      <w:rPr>
        <w:rFonts w:ascii="Wingdings" w:hAnsi="Wingdings" w:hint="default"/>
      </w:rPr>
    </w:lvl>
  </w:abstractNum>
  <w:abstractNum w:abstractNumId="21" w15:restartNumberingAfterBreak="0">
    <w:nsid w:val="165C6AFC"/>
    <w:multiLevelType w:val="hybridMultilevel"/>
    <w:tmpl w:val="23108E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8CF618D"/>
    <w:multiLevelType w:val="hybridMultilevel"/>
    <w:tmpl w:val="4410A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B703C68"/>
    <w:multiLevelType w:val="hybridMultilevel"/>
    <w:tmpl w:val="41E67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E6B14FD"/>
    <w:multiLevelType w:val="hybridMultilevel"/>
    <w:tmpl w:val="B30C414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1FCE502A"/>
    <w:multiLevelType w:val="hybridMultilevel"/>
    <w:tmpl w:val="20EA0F58"/>
    <w:lvl w:ilvl="0" w:tplc="1DBC2A1A">
      <w:start w:val="15"/>
      <w:numFmt w:val="decimal"/>
      <w:lvlText w:val="(%1)"/>
      <w:lvlJc w:val="left"/>
      <w:pPr>
        <w:ind w:left="148" w:hanging="459"/>
      </w:pPr>
      <w:rPr>
        <w:rFonts w:ascii="Times New Roman" w:eastAsia="Times New Roman" w:hAnsi="Times New Roman" w:hint="default"/>
        <w:spacing w:val="-1"/>
        <w:sz w:val="24"/>
        <w:szCs w:val="24"/>
      </w:rPr>
    </w:lvl>
    <w:lvl w:ilvl="1" w:tplc="6B505296">
      <w:start w:val="1"/>
      <w:numFmt w:val="bullet"/>
      <w:lvlText w:val=""/>
      <w:lvlJc w:val="left"/>
      <w:pPr>
        <w:ind w:left="868" w:hanging="360"/>
      </w:pPr>
      <w:rPr>
        <w:rFonts w:ascii="Symbol" w:eastAsia="Symbol" w:hAnsi="Symbol" w:hint="default"/>
        <w:sz w:val="24"/>
        <w:szCs w:val="24"/>
      </w:rPr>
    </w:lvl>
    <w:lvl w:ilvl="2" w:tplc="9DDEEE24">
      <w:start w:val="1"/>
      <w:numFmt w:val="bullet"/>
      <w:lvlText w:val="o"/>
      <w:lvlJc w:val="left"/>
      <w:pPr>
        <w:ind w:left="1588" w:hanging="360"/>
      </w:pPr>
      <w:rPr>
        <w:rFonts w:ascii="Courier New" w:eastAsia="Courier New" w:hAnsi="Courier New" w:hint="default"/>
        <w:sz w:val="24"/>
        <w:szCs w:val="24"/>
      </w:rPr>
    </w:lvl>
    <w:lvl w:ilvl="3" w:tplc="8BF8353A">
      <w:start w:val="1"/>
      <w:numFmt w:val="bullet"/>
      <w:lvlText w:val="•"/>
      <w:lvlJc w:val="left"/>
      <w:pPr>
        <w:ind w:left="2694" w:hanging="360"/>
      </w:pPr>
      <w:rPr>
        <w:rFonts w:hint="default"/>
      </w:rPr>
    </w:lvl>
    <w:lvl w:ilvl="4" w:tplc="383CDF98">
      <w:start w:val="1"/>
      <w:numFmt w:val="bullet"/>
      <w:lvlText w:val="•"/>
      <w:lvlJc w:val="left"/>
      <w:pPr>
        <w:ind w:left="3801" w:hanging="360"/>
      </w:pPr>
      <w:rPr>
        <w:rFonts w:hint="default"/>
      </w:rPr>
    </w:lvl>
    <w:lvl w:ilvl="5" w:tplc="5D0AD9F6">
      <w:start w:val="1"/>
      <w:numFmt w:val="bullet"/>
      <w:lvlText w:val="•"/>
      <w:lvlJc w:val="left"/>
      <w:pPr>
        <w:ind w:left="4907" w:hanging="360"/>
      </w:pPr>
      <w:rPr>
        <w:rFonts w:hint="default"/>
      </w:rPr>
    </w:lvl>
    <w:lvl w:ilvl="6" w:tplc="4DFAE994">
      <w:start w:val="1"/>
      <w:numFmt w:val="bullet"/>
      <w:lvlText w:val="•"/>
      <w:lvlJc w:val="left"/>
      <w:pPr>
        <w:ind w:left="6014" w:hanging="360"/>
      </w:pPr>
      <w:rPr>
        <w:rFonts w:hint="default"/>
      </w:rPr>
    </w:lvl>
    <w:lvl w:ilvl="7" w:tplc="97807BCE">
      <w:start w:val="1"/>
      <w:numFmt w:val="bullet"/>
      <w:lvlText w:val="•"/>
      <w:lvlJc w:val="left"/>
      <w:pPr>
        <w:ind w:left="7120" w:hanging="360"/>
      </w:pPr>
      <w:rPr>
        <w:rFonts w:hint="default"/>
      </w:rPr>
    </w:lvl>
    <w:lvl w:ilvl="8" w:tplc="08087C0E">
      <w:start w:val="1"/>
      <w:numFmt w:val="bullet"/>
      <w:lvlText w:val="•"/>
      <w:lvlJc w:val="left"/>
      <w:pPr>
        <w:ind w:left="8227" w:hanging="360"/>
      </w:pPr>
      <w:rPr>
        <w:rFonts w:hint="default"/>
      </w:rPr>
    </w:lvl>
  </w:abstractNum>
  <w:abstractNum w:abstractNumId="26" w15:restartNumberingAfterBreak="0">
    <w:nsid w:val="1FE71EE7"/>
    <w:multiLevelType w:val="hybridMultilevel"/>
    <w:tmpl w:val="652E1128"/>
    <w:lvl w:ilvl="0" w:tplc="03923D58">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5A26B90"/>
    <w:multiLevelType w:val="hybridMultilevel"/>
    <w:tmpl w:val="6D2CCE3E"/>
    <w:lvl w:ilvl="0" w:tplc="AA82CE20">
      <w:start w:val="1"/>
      <w:numFmt w:val="upperLetter"/>
      <w:lvlText w:val="%1."/>
      <w:lvlJc w:val="left"/>
      <w:pPr>
        <w:ind w:left="868" w:hanging="721"/>
      </w:pPr>
      <w:rPr>
        <w:rFonts w:ascii="Times New Roman" w:eastAsia="Times New Roman" w:hAnsi="Times New Roman" w:hint="default"/>
        <w:b/>
        <w:bCs/>
        <w:spacing w:val="-1"/>
        <w:w w:val="99"/>
        <w:sz w:val="44"/>
        <w:szCs w:val="44"/>
      </w:rPr>
    </w:lvl>
    <w:lvl w:ilvl="1" w:tplc="58E22DF2">
      <w:start w:val="1"/>
      <w:numFmt w:val="bullet"/>
      <w:lvlText w:val="•"/>
      <w:lvlJc w:val="left"/>
      <w:pPr>
        <w:ind w:left="1825" w:hanging="721"/>
      </w:pPr>
      <w:rPr>
        <w:rFonts w:hint="default"/>
      </w:rPr>
    </w:lvl>
    <w:lvl w:ilvl="2" w:tplc="FF108F52">
      <w:start w:val="1"/>
      <w:numFmt w:val="bullet"/>
      <w:lvlText w:val="•"/>
      <w:lvlJc w:val="left"/>
      <w:pPr>
        <w:ind w:left="2782" w:hanging="721"/>
      </w:pPr>
      <w:rPr>
        <w:rFonts w:hint="default"/>
      </w:rPr>
    </w:lvl>
    <w:lvl w:ilvl="3" w:tplc="D41E1786">
      <w:start w:val="1"/>
      <w:numFmt w:val="bullet"/>
      <w:lvlText w:val="•"/>
      <w:lvlJc w:val="left"/>
      <w:pPr>
        <w:ind w:left="3739" w:hanging="721"/>
      </w:pPr>
      <w:rPr>
        <w:rFonts w:hint="default"/>
      </w:rPr>
    </w:lvl>
    <w:lvl w:ilvl="4" w:tplc="DD604EE6">
      <w:start w:val="1"/>
      <w:numFmt w:val="bullet"/>
      <w:lvlText w:val="•"/>
      <w:lvlJc w:val="left"/>
      <w:pPr>
        <w:ind w:left="4696" w:hanging="721"/>
      </w:pPr>
      <w:rPr>
        <w:rFonts w:hint="default"/>
      </w:rPr>
    </w:lvl>
    <w:lvl w:ilvl="5" w:tplc="4ED48866">
      <w:start w:val="1"/>
      <w:numFmt w:val="bullet"/>
      <w:lvlText w:val="•"/>
      <w:lvlJc w:val="left"/>
      <w:pPr>
        <w:ind w:left="5654" w:hanging="721"/>
      </w:pPr>
      <w:rPr>
        <w:rFonts w:hint="default"/>
      </w:rPr>
    </w:lvl>
    <w:lvl w:ilvl="6" w:tplc="4E20B9D0">
      <w:start w:val="1"/>
      <w:numFmt w:val="bullet"/>
      <w:lvlText w:val="•"/>
      <w:lvlJc w:val="left"/>
      <w:pPr>
        <w:ind w:left="6611" w:hanging="721"/>
      </w:pPr>
      <w:rPr>
        <w:rFonts w:hint="default"/>
      </w:rPr>
    </w:lvl>
    <w:lvl w:ilvl="7" w:tplc="E64A6704">
      <w:start w:val="1"/>
      <w:numFmt w:val="bullet"/>
      <w:lvlText w:val="•"/>
      <w:lvlJc w:val="left"/>
      <w:pPr>
        <w:ind w:left="7568" w:hanging="721"/>
      </w:pPr>
      <w:rPr>
        <w:rFonts w:hint="default"/>
      </w:rPr>
    </w:lvl>
    <w:lvl w:ilvl="8" w:tplc="905C7B1C">
      <w:start w:val="1"/>
      <w:numFmt w:val="bullet"/>
      <w:lvlText w:val="•"/>
      <w:lvlJc w:val="left"/>
      <w:pPr>
        <w:ind w:left="8525" w:hanging="721"/>
      </w:pPr>
      <w:rPr>
        <w:rFonts w:hint="default"/>
      </w:rPr>
    </w:lvl>
  </w:abstractNum>
  <w:abstractNum w:abstractNumId="28" w15:restartNumberingAfterBreak="0">
    <w:nsid w:val="274F37CC"/>
    <w:multiLevelType w:val="multilevel"/>
    <w:tmpl w:val="1B18EF8A"/>
    <w:lvl w:ilvl="0">
      <w:start w:val="37"/>
      <w:numFmt w:val="decimal"/>
      <w:lvlText w:val="%1"/>
      <w:lvlJc w:val="left"/>
      <w:pPr>
        <w:ind w:left="148" w:hanging="480"/>
      </w:pPr>
      <w:rPr>
        <w:rFonts w:hint="default"/>
      </w:rPr>
    </w:lvl>
    <w:lvl w:ilvl="1">
      <w:start w:val="1"/>
      <w:numFmt w:val="decimal"/>
      <w:lvlText w:val="%1.%2"/>
      <w:lvlJc w:val="left"/>
      <w:pPr>
        <w:ind w:left="148" w:hanging="480"/>
      </w:pPr>
      <w:rPr>
        <w:rFonts w:ascii="Times New Roman" w:eastAsia="Times New Roman" w:hAnsi="Times New Roman" w:hint="default"/>
        <w:sz w:val="24"/>
        <w:szCs w:val="24"/>
      </w:rPr>
    </w:lvl>
    <w:lvl w:ilvl="2">
      <w:start w:val="1"/>
      <w:numFmt w:val="bullet"/>
      <w:lvlText w:val=""/>
      <w:lvlJc w:val="left"/>
      <w:pPr>
        <w:ind w:left="888" w:hanging="360"/>
      </w:pPr>
      <w:rPr>
        <w:rFonts w:ascii="Symbol" w:eastAsia="Symbol" w:hAnsi="Symbol" w:hint="default"/>
        <w:sz w:val="24"/>
        <w:szCs w:val="24"/>
      </w:rPr>
    </w:lvl>
    <w:lvl w:ilvl="3">
      <w:start w:val="1"/>
      <w:numFmt w:val="bullet"/>
      <w:lvlText w:val="•"/>
      <w:lvlJc w:val="left"/>
      <w:pPr>
        <w:ind w:left="3010" w:hanging="360"/>
      </w:pPr>
      <w:rPr>
        <w:rFonts w:hint="default"/>
      </w:rPr>
    </w:lvl>
    <w:lvl w:ilvl="4">
      <w:start w:val="1"/>
      <w:numFmt w:val="bullet"/>
      <w:lvlText w:val="•"/>
      <w:lvlJc w:val="left"/>
      <w:pPr>
        <w:ind w:left="4072" w:hanging="360"/>
      </w:pPr>
      <w:rPr>
        <w:rFonts w:hint="default"/>
      </w:rPr>
    </w:lvl>
    <w:lvl w:ilvl="5">
      <w:start w:val="1"/>
      <w:numFmt w:val="bullet"/>
      <w:lvlText w:val="•"/>
      <w:lvlJc w:val="left"/>
      <w:pPr>
        <w:ind w:left="5133" w:hanging="360"/>
      </w:pPr>
      <w:rPr>
        <w:rFonts w:hint="default"/>
      </w:rPr>
    </w:lvl>
    <w:lvl w:ilvl="6">
      <w:start w:val="1"/>
      <w:numFmt w:val="bullet"/>
      <w:lvlText w:val="•"/>
      <w:lvlJc w:val="left"/>
      <w:pPr>
        <w:ind w:left="6194" w:hanging="360"/>
      </w:pPr>
      <w:rPr>
        <w:rFonts w:hint="default"/>
      </w:rPr>
    </w:lvl>
    <w:lvl w:ilvl="7">
      <w:start w:val="1"/>
      <w:numFmt w:val="bullet"/>
      <w:lvlText w:val="•"/>
      <w:lvlJc w:val="left"/>
      <w:pPr>
        <w:ind w:left="7256" w:hanging="360"/>
      </w:pPr>
      <w:rPr>
        <w:rFonts w:hint="default"/>
      </w:rPr>
    </w:lvl>
    <w:lvl w:ilvl="8">
      <w:start w:val="1"/>
      <w:numFmt w:val="bullet"/>
      <w:lvlText w:val="•"/>
      <w:lvlJc w:val="left"/>
      <w:pPr>
        <w:ind w:left="8317" w:hanging="360"/>
      </w:pPr>
      <w:rPr>
        <w:rFonts w:hint="default"/>
      </w:rPr>
    </w:lvl>
  </w:abstractNum>
  <w:abstractNum w:abstractNumId="29"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8074CDB"/>
    <w:multiLevelType w:val="hybridMultilevel"/>
    <w:tmpl w:val="901E5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A9E1E23"/>
    <w:multiLevelType w:val="hybridMultilevel"/>
    <w:tmpl w:val="BA34CE90"/>
    <w:lvl w:ilvl="0" w:tplc="FA645AB0">
      <w:start w:val="1"/>
      <w:numFmt w:val="upperLetter"/>
      <w:lvlText w:val="%1."/>
      <w:lvlJc w:val="left"/>
      <w:pPr>
        <w:ind w:left="796" w:hanging="648"/>
      </w:pPr>
      <w:rPr>
        <w:rFonts w:ascii="Times New Roman" w:eastAsia="Times New Roman" w:hAnsi="Times New Roman" w:hint="default"/>
        <w:b/>
        <w:bCs/>
        <w:spacing w:val="1"/>
        <w:sz w:val="34"/>
        <w:szCs w:val="34"/>
      </w:rPr>
    </w:lvl>
    <w:lvl w:ilvl="1" w:tplc="A8A65610">
      <w:start w:val="1"/>
      <w:numFmt w:val="bullet"/>
      <w:lvlText w:val=""/>
      <w:lvlJc w:val="left"/>
      <w:pPr>
        <w:ind w:left="868" w:hanging="360"/>
      </w:pPr>
      <w:rPr>
        <w:rFonts w:ascii="Symbol" w:eastAsia="Symbol" w:hAnsi="Symbol" w:hint="default"/>
        <w:sz w:val="24"/>
        <w:szCs w:val="24"/>
      </w:rPr>
    </w:lvl>
    <w:lvl w:ilvl="2" w:tplc="362EEC54">
      <w:start w:val="1"/>
      <w:numFmt w:val="bullet"/>
      <w:lvlText w:val="•"/>
      <w:lvlJc w:val="left"/>
      <w:pPr>
        <w:ind w:left="1931" w:hanging="360"/>
      </w:pPr>
      <w:rPr>
        <w:rFonts w:hint="default"/>
      </w:rPr>
    </w:lvl>
    <w:lvl w:ilvl="3" w:tplc="0AFA692C">
      <w:start w:val="1"/>
      <w:numFmt w:val="bullet"/>
      <w:lvlText w:val="•"/>
      <w:lvlJc w:val="left"/>
      <w:pPr>
        <w:ind w:left="2995" w:hanging="360"/>
      </w:pPr>
      <w:rPr>
        <w:rFonts w:hint="default"/>
      </w:rPr>
    </w:lvl>
    <w:lvl w:ilvl="4" w:tplc="44C490BC">
      <w:start w:val="1"/>
      <w:numFmt w:val="bullet"/>
      <w:lvlText w:val="•"/>
      <w:lvlJc w:val="left"/>
      <w:pPr>
        <w:ind w:left="4058" w:hanging="360"/>
      </w:pPr>
      <w:rPr>
        <w:rFonts w:hint="default"/>
      </w:rPr>
    </w:lvl>
    <w:lvl w:ilvl="5" w:tplc="F398C0AC">
      <w:start w:val="1"/>
      <w:numFmt w:val="bullet"/>
      <w:lvlText w:val="•"/>
      <w:lvlJc w:val="left"/>
      <w:pPr>
        <w:ind w:left="5122" w:hanging="360"/>
      </w:pPr>
      <w:rPr>
        <w:rFonts w:hint="default"/>
      </w:rPr>
    </w:lvl>
    <w:lvl w:ilvl="6" w:tplc="1D3611F2">
      <w:start w:val="1"/>
      <w:numFmt w:val="bullet"/>
      <w:lvlText w:val="•"/>
      <w:lvlJc w:val="left"/>
      <w:pPr>
        <w:ind w:left="6185" w:hanging="360"/>
      </w:pPr>
      <w:rPr>
        <w:rFonts w:hint="default"/>
      </w:rPr>
    </w:lvl>
    <w:lvl w:ilvl="7" w:tplc="DA70BBAE">
      <w:start w:val="1"/>
      <w:numFmt w:val="bullet"/>
      <w:lvlText w:val="•"/>
      <w:lvlJc w:val="left"/>
      <w:pPr>
        <w:ind w:left="7249" w:hanging="360"/>
      </w:pPr>
      <w:rPr>
        <w:rFonts w:hint="default"/>
      </w:rPr>
    </w:lvl>
    <w:lvl w:ilvl="8" w:tplc="973AF0CE">
      <w:start w:val="1"/>
      <w:numFmt w:val="bullet"/>
      <w:lvlText w:val="•"/>
      <w:lvlJc w:val="left"/>
      <w:pPr>
        <w:ind w:left="8312" w:hanging="360"/>
      </w:pPr>
      <w:rPr>
        <w:rFonts w:hint="default"/>
      </w:rPr>
    </w:lvl>
  </w:abstractNum>
  <w:abstractNum w:abstractNumId="32" w15:restartNumberingAfterBreak="0">
    <w:nsid w:val="2B5C3616"/>
    <w:multiLevelType w:val="hybridMultilevel"/>
    <w:tmpl w:val="4B4293C4"/>
    <w:lvl w:ilvl="0" w:tplc="04090001">
      <w:start w:val="1"/>
      <w:numFmt w:val="bullet"/>
      <w:lvlText w:val=""/>
      <w:lvlJc w:val="left"/>
      <w:pPr>
        <w:tabs>
          <w:tab w:val="num" w:pos="904"/>
        </w:tabs>
        <w:ind w:left="904" w:hanging="360"/>
      </w:pPr>
      <w:rPr>
        <w:rFonts w:ascii="Symbol" w:hAnsi="Symbol" w:hint="default"/>
      </w:rPr>
    </w:lvl>
    <w:lvl w:ilvl="1" w:tplc="E6E6934C">
      <w:start w:val="13"/>
      <w:numFmt w:val="decimal"/>
      <w:lvlText w:val="%2."/>
      <w:lvlJc w:val="left"/>
      <w:pPr>
        <w:tabs>
          <w:tab w:val="num" w:pos="1980"/>
        </w:tabs>
        <w:ind w:left="1980" w:hanging="54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2B952807"/>
    <w:multiLevelType w:val="hybridMultilevel"/>
    <w:tmpl w:val="BFBABE1A"/>
    <w:lvl w:ilvl="0" w:tplc="0409000F">
      <w:start w:val="1"/>
      <w:numFmt w:val="decimal"/>
      <w:lvlText w:val="%1."/>
      <w:lvlJc w:val="left"/>
      <w:pPr>
        <w:ind w:left="765" w:hanging="360"/>
      </w:pPr>
      <w:rPr>
        <w:rFont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4" w15:restartNumberingAfterBreak="0">
    <w:nsid w:val="2C451A7F"/>
    <w:multiLevelType w:val="hybridMultilevel"/>
    <w:tmpl w:val="BD8E5F9C"/>
    <w:lvl w:ilvl="0" w:tplc="3EBE7C6A">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D58510B"/>
    <w:multiLevelType w:val="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3D2142"/>
    <w:multiLevelType w:val="hybridMultilevel"/>
    <w:tmpl w:val="5158F91C"/>
    <w:lvl w:ilvl="0" w:tplc="3BC2E6D8">
      <w:start w:val="1"/>
      <w:numFmt w:val="bullet"/>
      <w:lvlText w:val="•"/>
      <w:lvlJc w:val="left"/>
      <w:pPr>
        <w:tabs>
          <w:tab w:val="num" w:pos="720"/>
        </w:tabs>
        <w:ind w:left="720" w:hanging="360"/>
      </w:pPr>
      <w:rPr>
        <w:rFonts w:ascii="Arial" w:hAnsi="Arial" w:hint="default"/>
      </w:rPr>
    </w:lvl>
    <w:lvl w:ilvl="1" w:tplc="6E4CFA28">
      <w:start w:val="1"/>
      <w:numFmt w:val="bullet"/>
      <w:lvlText w:val="•"/>
      <w:lvlJc w:val="left"/>
      <w:pPr>
        <w:tabs>
          <w:tab w:val="num" w:pos="1440"/>
        </w:tabs>
        <w:ind w:left="1440" w:hanging="360"/>
      </w:pPr>
      <w:rPr>
        <w:rFonts w:ascii="Arial" w:hAnsi="Arial" w:hint="default"/>
      </w:rPr>
    </w:lvl>
    <w:lvl w:ilvl="2" w:tplc="7B4A398A" w:tentative="1">
      <w:start w:val="1"/>
      <w:numFmt w:val="bullet"/>
      <w:lvlText w:val="•"/>
      <w:lvlJc w:val="left"/>
      <w:pPr>
        <w:tabs>
          <w:tab w:val="num" w:pos="2160"/>
        </w:tabs>
        <w:ind w:left="2160" w:hanging="360"/>
      </w:pPr>
      <w:rPr>
        <w:rFonts w:ascii="Arial" w:hAnsi="Arial" w:hint="default"/>
      </w:rPr>
    </w:lvl>
    <w:lvl w:ilvl="3" w:tplc="D5EA1208" w:tentative="1">
      <w:start w:val="1"/>
      <w:numFmt w:val="bullet"/>
      <w:lvlText w:val="•"/>
      <w:lvlJc w:val="left"/>
      <w:pPr>
        <w:tabs>
          <w:tab w:val="num" w:pos="2880"/>
        </w:tabs>
        <w:ind w:left="2880" w:hanging="360"/>
      </w:pPr>
      <w:rPr>
        <w:rFonts w:ascii="Arial" w:hAnsi="Arial" w:hint="default"/>
      </w:rPr>
    </w:lvl>
    <w:lvl w:ilvl="4" w:tplc="09FC429E" w:tentative="1">
      <w:start w:val="1"/>
      <w:numFmt w:val="bullet"/>
      <w:lvlText w:val="•"/>
      <w:lvlJc w:val="left"/>
      <w:pPr>
        <w:tabs>
          <w:tab w:val="num" w:pos="3600"/>
        </w:tabs>
        <w:ind w:left="3600" w:hanging="360"/>
      </w:pPr>
      <w:rPr>
        <w:rFonts w:ascii="Arial" w:hAnsi="Arial" w:hint="default"/>
      </w:rPr>
    </w:lvl>
    <w:lvl w:ilvl="5" w:tplc="205826F2" w:tentative="1">
      <w:start w:val="1"/>
      <w:numFmt w:val="bullet"/>
      <w:lvlText w:val="•"/>
      <w:lvlJc w:val="left"/>
      <w:pPr>
        <w:tabs>
          <w:tab w:val="num" w:pos="4320"/>
        </w:tabs>
        <w:ind w:left="4320" w:hanging="360"/>
      </w:pPr>
      <w:rPr>
        <w:rFonts w:ascii="Arial" w:hAnsi="Arial" w:hint="default"/>
      </w:rPr>
    </w:lvl>
    <w:lvl w:ilvl="6" w:tplc="6EF05328" w:tentative="1">
      <w:start w:val="1"/>
      <w:numFmt w:val="bullet"/>
      <w:lvlText w:val="•"/>
      <w:lvlJc w:val="left"/>
      <w:pPr>
        <w:tabs>
          <w:tab w:val="num" w:pos="5040"/>
        </w:tabs>
        <w:ind w:left="5040" w:hanging="360"/>
      </w:pPr>
      <w:rPr>
        <w:rFonts w:ascii="Arial" w:hAnsi="Arial" w:hint="default"/>
      </w:rPr>
    </w:lvl>
    <w:lvl w:ilvl="7" w:tplc="8BC212E8" w:tentative="1">
      <w:start w:val="1"/>
      <w:numFmt w:val="bullet"/>
      <w:lvlText w:val="•"/>
      <w:lvlJc w:val="left"/>
      <w:pPr>
        <w:tabs>
          <w:tab w:val="num" w:pos="5760"/>
        </w:tabs>
        <w:ind w:left="5760" w:hanging="360"/>
      </w:pPr>
      <w:rPr>
        <w:rFonts w:ascii="Arial" w:hAnsi="Arial" w:hint="default"/>
      </w:rPr>
    </w:lvl>
    <w:lvl w:ilvl="8" w:tplc="AD96D76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2F7C5985"/>
    <w:multiLevelType w:val="hybridMultilevel"/>
    <w:tmpl w:val="1B7A7E12"/>
    <w:lvl w:ilvl="0" w:tplc="04090001">
      <w:start w:val="1"/>
      <w:numFmt w:val="bullet"/>
      <w:lvlText w:val=""/>
      <w:lvlJc w:val="left"/>
      <w:pPr>
        <w:tabs>
          <w:tab w:val="num" w:pos="904"/>
        </w:tabs>
        <w:ind w:left="904" w:hanging="360"/>
      </w:pPr>
      <w:rPr>
        <w:rFonts w:ascii="Symbol" w:hAnsi="Symbol" w:hint="default"/>
      </w:rPr>
    </w:lvl>
    <w:lvl w:ilvl="1" w:tplc="04090003">
      <w:start w:val="1"/>
      <w:numFmt w:val="bullet"/>
      <w:lvlText w:val="o"/>
      <w:lvlJc w:val="left"/>
      <w:pPr>
        <w:tabs>
          <w:tab w:val="num" w:pos="1624"/>
        </w:tabs>
        <w:ind w:left="1624" w:hanging="360"/>
      </w:pPr>
      <w:rPr>
        <w:rFonts w:ascii="Courier New" w:hAnsi="Courier New" w:cs="Courier New" w:hint="default"/>
      </w:rPr>
    </w:lvl>
    <w:lvl w:ilvl="2" w:tplc="04090005" w:tentative="1">
      <w:start w:val="1"/>
      <w:numFmt w:val="bullet"/>
      <w:lvlText w:val=""/>
      <w:lvlJc w:val="left"/>
      <w:pPr>
        <w:tabs>
          <w:tab w:val="num" w:pos="2344"/>
        </w:tabs>
        <w:ind w:left="2344" w:hanging="360"/>
      </w:pPr>
      <w:rPr>
        <w:rFonts w:ascii="Wingdings" w:hAnsi="Wingdings" w:hint="default"/>
      </w:rPr>
    </w:lvl>
    <w:lvl w:ilvl="3" w:tplc="04090001" w:tentative="1">
      <w:start w:val="1"/>
      <w:numFmt w:val="bullet"/>
      <w:lvlText w:val=""/>
      <w:lvlJc w:val="left"/>
      <w:pPr>
        <w:tabs>
          <w:tab w:val="num" w:pos="3064"/>
        </w:tabs>
        <w:ind w:left="3064" w:hanging="360"/>
      </w:pPr>
      <w:rPr>
        <w:rFonts w:ascii="Symbol" w:hAnsi="Symbol" w:hint="default"/>
      </w:rPr>
    </w:lvl>
    <w:lvl w:ilvl="4" w:tplc="04090003" w:tentative="1">
      <w:start w:val="1"/>
      <w:numFmt w:val="bullet"/>
      <w:lvlText w:val="o"/>
      <w:lvlJc w:val="left"/>
      <w:pPr>
        <w:tabs>
          <w:tab w:val="num" w:pos="3784"/>
        </w:tabs>
        <w:ind w:left="3784" w:hanging="360"/>
      </w:pPr>
      <w:rPr>
        <w:rFonts w:ascii="Courier New" w:hAnsi="Courier New" w:cs="Courier New" w:hint="default"/>
      </w:rPr>
    </w:lvl>
    <w:lvl w:ilvl="5" w:tplc="04090005" w:tentative="1">
      <w:start w:val="1"/>
      <w:numFmt w:val="bullet"/>
      <w:lvlText w:val=""/>
      <w:lvlJc w:val="left"/>
      <w:pPr>
        <w:tabs>
          <w:tab w:val="num" w:pos="4504"/>
        </w:tabs>
        <w:ind w:left="4504" w:hanging="360"/>
      </w:pPr>
      <w:rPr>
        <w:rFonts w:ascii="Wingdings" w:hAnsi="Wingdings" w:hint="default"/>
      </w:rPr>
    </w:lvl>
    <w:lvl w:ilvl="6" w:tplc="04090001" w:tentative="1">
      <w:start w:val="1"/>
      <w:numFmt w:val="bullet"/>
      <w:lvlText w:val=""/>
      <w:lvlJc w:val="left"/>
      <w:pPr>
        <w:tabs>
          <w:tab w:val="num" w:pos="5224"/>
        </w:tabs>
        <w:ind w:left="5224" w:hanging="360"/>
      </w:pPr>
      <w:rPr>
        <w:rFonts w:ascii="Symbol" w:hAnsi="Symbol" w:hint="default"/>
      </w:rPr>
    </w:lvl>
    <w:lvl w:ilvl="7" w:tplc="04090003" w:tentative="1">
      <w:start w:val="1"/>
      <w:numFmt w:val="bullet"/>
      <w:lvlText w:val="o"/>
      <w:lvlJc w:val="left"/>
      <w:pPr>
        <w:tabs>
          <w:tab w:val="num" w:pos="5944"/>
        </w:tabs>
        <w:ind w:left="5944" w:hanging="360"/>
      </w:pPr>
      <w:rPr>
        <w:rFonts w:ascii="Courier New" w:hAnsi="Courier New" w:cs="Courier New" w:hint="default"/>
      </w:rPr>
    </w:lvl>
    <w:lvl w:ilvl="8" w:tplc="04090005" w:tentative="1">
      <w:start w:val="1"/>
      <w:numFmt w:val="bullet"/>
      <w:lvlText w:val=""/>
      <w:lvlJc w:val="left"/>
      <w:pPr>
        <w:tabs>
          <w:tab w:val="num" w:pos="6664"/>
        </w:tabs>
        <w:ind w:left="6664" w:hanging="360"/>
      </w:pPr>
      <w:rPr>
        <w:rFonts w:ascii="Wingdings" w:hAnsi="Wingdings" w:hint="default"/>
      </w:rPr>
    </w:lvl>
  </w:abstractNum>
  <w:abstractNum w:abstractNumId="38" w15:restartNumberingAfterBreak="0">
    <w:nsid w:val="2FC37FFC"/>
    <w:multiLevelType w:val="hybridMultilevel"/>
    <w:tmpl w:val="86EA5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1A532E9"/>
    <w:multiLevelType w:val="hybridMultilevel"/>
    <w:tmpl w:val="914C7CC0"/>
    <w:lvl w:ilvl="0" w:tplc="4A24AFF6">
      <w:start w:val="1"/>
      <w:numFmt w:val="bullet"/>
      <w:lvlText w:val=""/>
      <w:lvlJc w:val="left"/>
      <w:pPr>
        <w:ind w:left="160" w:hanging="183"/>
      </w:pPr>
      <w:rPr>
        <w:rFonts w:ascii="Symbol" w:eastAsia="Symbol" w:hAnsi="Symbol" w:hint="default"/>
        <w:sz w:val="18"/>
        <w:szCs w:val="18"/>
      </w:rPr>
    </w:lvl>
    <w:lvl w:ilvl="1" w:tplc="084CA3A8">
      <w:start w:val="1"/>
      <w:numFmt w:val="bullet"/>
      <w:lvlText w:val="•"/>
      <w:lvlJc w:val="left"/>
      <w:pPr>
        <w:ind w:left="510" w:hanging="183"/>
      </w:pPr>
      <w:rPr>
        <w:rFonts w:hint="default"/>
      </w:rPr>
    </w:lvl>
    <w:lvl w:ilvl="2" w:tplc="11E00552">
      <w:start w:val="1"/>
      <w:numFmt w:val="bullet"/>
      <w:lvlText w:val="•"/>
      <w:lvlJc w:val="left"/>
      <w:pPr>
        <w:ind w:left="860" w:hanging="183"/>
      </w:pPr>
      <w:rPr>
        <w:rFonts w:hint="default"/>
      </w:rPr>
    </w:lvl>
    <w:lvl w:ilvl="3" w:tplc="6644DF22">
      <w:start w:val="1"/>
      <w:numFmt w:val="bullet"/>
      <w:lvlText w:val="•"/>
      <w:lvlJc w:val="left"/>
      <w:pPr>
        <w:ind w:left="1210" w:hanging="183"/>
      </w:pPr>
      <w:rPr>
        <w:rFonts w:hint="default"/>
      </w:rPr>
    </w:lvl>
    <w:lvl w:ilvl="4" w:tplc="9FE82824">
      <w:start w:val="1"/>
      <w:numFmt w:val="bullet"/>
      <w:lvlText w:val="•"/>
      <w:lvlJc w:val="left"/>
      <w:pPr>
        <w:ind w:left="1559" w:hanging="183"/>
      </w:pPr>
      <w:rPr>
        <w:rFonts w:hint="default"/>
      </w:rPr>
    </w:lvl>
    <w:lvl w:ilvl="5" w:tplc="37A298B0">
      <w:start w:val="1"/>
      <w:numFmt w:val="bullet"/>
      <w:lvlText w:val="•"/>
      <w:lvlJc w:val="left"/>
      <w:pPr>
        <w:ind w:left="1909" w:hanging="183"/>
      </w:pPr>
      <w:rPr>
        <w:rFonts w:hint="default"/>
      </w:rPr>
    </w:lvl>
    <w:lvl w:ilvl="6" w:tplc="0EEAA884">
      <w:start w:val="1"/>
      <w:numFmt w:val="bullet"/>
      <w:lvlText w:val="•"/>
      <w:lvlJc w:val="left"/>
      <w:pPr>
        <w:ind w:left="2259" w:hanging="183"/>
      </w:pPr>
      <w:rPr>
        <w:rFonts w:hint="default"/>
      </w:rPr>
    </w:lvl>
    <w:lvl w:ilvl="7" w:tplc="82D2350E">
      <w:start w:val="1"/>
      <w:numFmt w:val="bullet"/>
      <w:lvlText w:val="•"/>
      <w:lvlJc w:val="left"/>
      <w:pPr>
        <w:ind w:left="2609" w:hanging="183"/>
      </w:pPr>
      <w:rPr>
        <w:rFonts w:hint="default"/>
      </w:rPr>
    </w:lvl>
    <w:lvl w:ilvl="8" w:tplc="D2C68602">
      <w:start w:val="1"/>
      <w:numFmt w:val="bullet"/>
      <w:lvlText w:val="•"/>
      <w:lvlJc w:val="left"/>
      <w:pPr>
        <w:ind w:left="2959" w:hanging="183"/>
      </w:pPr>
      <w:rPr>
        <w:rFonts w:hint="default"/>
      </w:rPr>
    </w:lvl>
  </w:abstractNum>
  <w:abstractNum w:abstractNumId="40" w15:restartNumberingAfterBreak="0">
    <w:nsid w:val="32D96338"/>
    <w:multiLevelType w:val="hybridMultilevel"/>
    <w:tmpl w:val="6DC6A3BC"/>
    <w:lvl w:ilvl="0" w:tplc="0409000F">
      <w:start w:val="1"/>
      <w:numFmt w:val="decimal"/>
      <w:lvlText w:val="%1."/>
      <w:lvlJc w:val="left"/>
      <w:pPr>
        <w:tabs>
          <w:tab w:val="num" w:pos="720"/>
        </w:tabs>
        <w:ind w:left="720" w:hanging="360"/>
      </w:pPr>
      <w:rPr>
        <w:rFonts w:hint="default"/>
      </w:rPr>
    </w:lvl>
    <w:lvl w:ilvl="1" w:tplc="C79E99A4" w:tentative="1">
      <w:start w:val="1"/>
      <w:numFmt w:val="bullet"/>
      <w:lvlText w:val="•"/>
      <w:lvlJc w:val="left"/>
      <w:pPr>
        <w:tabs>
          <w:tab w:val="num" w:pos="1440"/>
        </w:tabs>
        <w:ind w:left="1440" w:hanging="360"/>
      </w:pPr>
      <w:rPr>
        <w:rFonts w:ascii="Arial" w:hAnsi="Arial" w:hint="default"/>
      </w:rPr>
    </w:lvl>
    <w:lvl w:ilvl="2" w:tplc="AF26B4A8" w:tentative="1">
      <w:start w:val="1"/>
      <w:numFmt w:val="bullet"/>
      <w:lvlText w:val="•"/>
      <w:lvlJc w:val="left"/>
      <w:pPr>
        <w:tabs>
          <w:tab w:val="num" w:pos="2160"/>
        </w:tabs>
        <w:ind w:left="2160" w:hanging="360"/>
      </w:pPr>
      <w:rPr>
        <w:rFonts w:ascii="Arial" w:hAnsi="Arial" w:hint="default"/>
      </w:rPr>
    </w:lvl>
    <w:lvl w:ilvl="3" w:tplc="355EB968" w:tentative="1">
      <w:start w:val="1"/>
      <w:numFmt w:val="bullet"/>
      <w:lvlText w:val="•"/>
      <w:lvlJc w:val="left"/>
      <w:pPr>
        <w:tabs>
          <w:tab w:val="num" w:pos="2880"/>
        </w:tabs>
        <w:ind w:left="2880" w:hanging="360"/>
      </w:pPr>
      <w:rPr>
        <w:rFonts w:ascii="Arial" w:hAnsi="Arial" w:hint="default"/>
      </w:rPr>
    </w:lvl>
    <w:lvl w:ilvl="4" w:tplc="702A5A52" w:tentative="1">
      <w:start w:val="1"/>
      <w:numFmt w:val="bullet"/>
      <w:lvlText w:val="•"/>
      <w:lvlJc w:val="left"/>
      <w:pPr>
        <w:tabs>
          <w:tab w:val="num" w:pos="3600"/>
        </w:tabs>
        <w:ind w:left="3600" w:hanging="360"/>
      </w:pPr>
      <w:rPr>
        <w:rFonts w:ascii="Arial" w:hAnsi="Arial" w:hint="default"/>
      </w:rPr>
    </w:lvl>
    <w:lvl w:ilvl="5" w:tplc="7DC44BFA" w:tentative="1">
      <w:start w:val="1"/>
      <w:numFmt w:val="bullet"/>
      <w:lvlText w:val="•"/>
      <w:lvlJc w:val="left"/>
      <w:pPr>
        <w:tabs>
          <w:tab w:val="num" w:pos="4320"/>
        </w:tabs>
        <w:ind w:left="4320" w:hanging="360"/>
      </w:pPr>
      <w:rPr>
        <w:rFonts w:ascii="Arial" w:hAnsi="Arial" w:hint="default"/>
      </w:rPr>
    </w:lvl>
    <w:lvl w:ilvl="6" w:tplc="42263494" w:tentative="1">
      <w:start w:val="1"/>
      <w:numFmt w:val="bullet"/>
      <w:lvlText w:val="•"/>
      <w:lvlJc w:val="left"/>
      <w:pPr>
        <w:tabs>
          <w:tab w:val="num" w:pos="5040"/>
        </w:tabs>
        <w:ind w:left="5040" w:hanging="360"/>
      </w:pPr>
      <w:rPr>
        <w:rFonts w:ascii="Arial" w:hAnsi="Arial" w:hint="default"/>
      </w:rPr>
    </w:lvl>
    <w:lvl w:ilvl="7" w:tplc="869A2F38" w:tentative="1">
      <w:start w:val="1"/>
      <w:numFmt w:val="bullet"/>
      <w:lvlText w:val="•"/>
      <w:lvlJc w:val="left"/>
      <w:pPr>
        <w:tabs>
          <w:tab w:val="num" w:pos="5760"/>
        </w:tabs>
        <w:ind w:left="5760" w:hanging="360"/>
      </w:pPr>
      <w:rPr>
        <w:rFonts w:ascii="Arial" w:hAnsi="Arial" w:hint="default"/>
      </w:rPr>
    </w:lvl>
    <w:lvl w:ilvl="8" w:tplc="C0F4CF3C"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332F3E36"/>
    <w:multiLevelType w:val="hybridMultilevel"/>
    <w:tmpl w:val="D5C0A7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33A02FFE"/>
    <w:multiLevelType w:val="hybridMultilevel"/>
    <w:tmpl w:val="84367E1C"/>
    <w:lvl w:ilvl="0" w:tplc="5644C30E">
      <w:start w:val="1"/>
      <w:numFmt w:val="bullet"/>
      <w:lvlText w:val=""/>
      <w:lvlJc w:val="left"/>
      <w:pPr>
        <w:ind w:left="72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4416C3D"/>
    <w:multiLevelType w:val="hybridMultilevel"/>
    <w:tmpl w:val="697083F4"/>
    <w:lvl w:ilvl="0" w:tplc="8B861AD6">
      <w:start w:val="1"/>
      <w:numFmt w:val="decimal"/>
      <w:lvlText w:val="(%1)"/>
      <w:lvlJc w:val="left"/>
      <w:pPr>
        <w:ind w:left="147" w:hanging="286"/>
      </w:pPr>
      <w:rPr>
        <w:rFonts w:ascii="Times New Roman" w:eastAsia="Times New Roman" w:hAnsi="Times New Roman" w:hint="default"/>
        <w:w w:val="99"/>
        <w:sz w:val="20"/>
        <w:szCs w:val="20"/>
      </w:rPr>
    </w:lvl>
    <w:lvl w:ilvl="1" w:tplc="F9A8495A">
      <w:start w:val="1"/>
      <w:numFmt w:val="bullet"/>
      <w:lvlText w:val=""/>
      <w:lvlJc w:val="left"/>
      <w:pPr>
        <w:ind w:left="860" w:hanging="360"/>
      </w:pPr>
      <w:rPr>
        <w:rFonts w:ascii="Symbol" w:eastAsia="Symbol" w:hAnsi="Symbol" w:hint="default"/>
        <w:sz w:val="24"/>
        <w:szCs w:val="24"/>
      </w:rPr>
    </w:lvl>
    <w:lvl w:ilvl="2" w:tplc="988A941E">
      <w:start w:val="1"/>
      <w:numFmt w:val="bullet"/>
      <w:lvlText w:val="•"/>
      <w:lvlJc w:val="left"/>
      <w:pPr>
        <w:ind w:left="1915" w:hanging="360"/>
      </w:pPr>
      <w:rPr>
        <w:rFonts w:hint="default"/>
      </w:rPr>
    </w:lvl>
    <w:lvl w:ilvl="3" w:tplc="AC166C98">
      <w:start w:val="1"/>
      <w:numFmt w:val="bullet"/>
      <w:lvlText w:val="•"/>
      <w:lvlJc w:val="left"/>
      <w:pPr>
        <w:ind w:left="2971" w:hanging="360"/>
      </w:pPr>
      <w:rPr>
        <w:rFonts w:hint="default"/>
      </w:rPr>
    </w:lvl>
    <w:lvl w:ilvl="4" w:tplc="A066E75C">
      <w:start w:val="1"/>
      <w:numFmt w:val="bullet"/>
      <w:lvlText w:val="•"/>
      <w:lvlJc w:val="left"/>
      <w:pPr>
        <w:ind w:left="4026" w:hanging="360"/>
      </w:pPr>
      <w:rPr>
        <w:rFonts w:hint="default"/>
      </w:rPr>
    </w:lvl>
    <w:lvl w:ilvl="5" w:tplc="5A3E9856">
      <w:start w:val="1"/>
      <w:numFmt w:val="bullet"/>
      <w:lvlText w:val="•"/>
      <w:lvlJc w:val="left"/>
      <w:pPr>
        <w:ind w:left="5082" w:hanging="360"/>
      </w:pPr>
      <w:rPr>
        <w:rFonts w:hint="default"/>
      </w:rPr>
    </w:lvl>
    <w:lvl w:ilvl="6" w:tplc="CB786DEE">
      <w:start w:val="1"/>
      <w:numFmt w:val="bullet"/>
      <w:lvlText w:val="•"/>
      <w:lvlJc w:val="left"/>
      <w:pPr>
        <w:ind w:left="6137" w:hanging="360"/>
      </w:pPr>
      <w:rPr>
        <w:rFonts w:hint="default"/>
      </w:rPr>
    </w:lvl>
    <w:lvl w:ilvl="7" w:tplc="D2B0387E">
      <w:start w:val="1"/>
      <w:numFmt w:val="bullet"/>
      <w:lvlText w:val="•"/>
      <w:lvlJc w:val="left"/>
      <w:pPr>
        <w:ind w:left="7193" w:hanging="360"/>
      </w:pPr>
      <w:rPr>
        <w:rFonts w:hint="default"/>
      </w:rPr>
    </w:lvl>
    <w:lvl w:ilvl="8" w:tplc="8A382044">
      <w:start w:val="1"/>
      <w:numFmt w:val="bullet"/>
      <w:lvlText w:val="•"/>
      <w:lvlJc w:val="left"/>
      <w:pPr>
        <w:ind w:left="8248" w:hanging="360"/>
      </w:pPr>
      <w:rPr>
        <w:rFonts w:hint="default"/>
      </w:rPr>
    </w:lvl>
  </w:abstractNum>
  <w:abstractNum w:abstractNumId="44" w15:restartNumberingAfterBreak="0">
    <w:nsid w:val="35291453"/>
    <w:multiLevelType w:val="hybridMultilevel"/>
    <w:tmpl w:val="230ABA48"/>
    <w:lvl w:ilvl="0" w:tplc="04090001">
      <w:start w:val="1"/>
      <w:numFmt w:val="bullet"/>
      <w:lvlText w:val=""/>
      <w:lvlJc w:val="left"/>
      <w:pPr>
        <w:tabs>
          <w:tab w:val="num" w:pos="908"/>
        </w:tabs>
        <w:ind w:left="908" w:hanging="360"/>
      </w:pPr>
      <w:rPr>
        <w:rFonts w:ascii="Symbol" w:hAnsi="Symbol" w:hint="default"/>
      </w:rPr>
    </w:lvl>
    <w:lvl w:ilvl="1" w:tplc="3092CB2C">
      <w:start w:val="1"/>
      <w:numFmt w:val="bullet"/>
      <w:lvlText w:val=""/>
      <w:lvlJc w:val="left"/>
      <w:pPr>
        <w:tabs>
          <w:tab w:val="num" w:pos="-892"/>
        </w:tabs>
        <w:ind w:left="1269" w:hanging="1"/>
      </w:pPr>
      <w:rPr>
        <w:rFonts w:ascii="Wingdings" w:hAnsi="Wingdings" w:cs="Times New Roman" w:hint="default"/>
      </w:rPr>
    </w:lvl>
    <w:lvl w:ilvl="2" w:tplc="04090005" w:tentative="1">
      <w:start w:val="1"/>
      <w:numFmt w:val="bullet"/>
      <w:lvlText w:val=""/>
      <w:lvlJc w:val="left"/>
      <w:pPr>
        <w:tabs>
          <w:tab w:val="num" w:pos="2348"/>
        </w:tabs>
        <w:ind w:left="2348" w:hanging="360"/>
      </w:pPr>
      <w:rPr>
        <w:rFonts w:ascii="Wingdings" w:hAnsi="Wingdings" w:hint="default"/>
      </w:rPr>
    </w:lvl>
    <w:lvl w:ilvl="3" w:tplc="04090001" w:tentative="1">
      <w:start w:val="1"/>
      <w:numFmt w:val="bullet"/>
      <w:lvlText w:val=""/>
      <w:lvlJc w:val="left"/>
      <w:pPr>
        <w:tabs>
          <w:tab w:val="num" w:pos="3068"/>
        </w:tabs>
        <w:ind w:left="3068" w:hanging="360"/>
      </w:pPr>
      <w:rPr>
        <w:rFonts w:ascii="Symbol" w:hAnsi="Symbol" w:hint="default"/>
      </w:rPr>
    </w:lvl>
    <w:lvl w:ilvl="4" w:tplc="04090003" w:tentative="1">
      <w:start w:val="1"/>
      <w:numFmt w:val="bullet"/>
      <w:lvlText w:val="o"/>
      <w:lvlJc w:val="left"/>
      <w:pPr>
        <w:tabs>
          <w:tab w:val="num" w:pos="3788"/>
        </w:tabs>
        <w:ind w:left="3788" w:hanging="360"/>
      </w:pPr>
      <w:rPr>
        <w:rFonts w:ascii="Courier New" w:hAnsi="Courier New" w:cs="Courier New" w:hint="default"/>
      </w:rPr>
    </w:lvl>
    <w:lvl w:ilvl="5" w:tplc="04090005" w:tentative="1">
      <w:start w:val="1"/>
      <w:numFmt w:val="bullet"/>
      <w:lvlText w:val=""/>
      <w:lvlJc w:val="left"/>
      <w:pPr>
        <w:tabs>
          <w:tab w:val="num" w:pos="4508"/>
        </w:tabs>
        <w:ind w:left="4508" w:hanging="360"/>
      </w:pPr>
      <w:rPr>
        <w:rFonts w:ascii="Wingdings" w:hAnsi="Wingdings" w:hint="default"/>
      </w:rPr>
    </w:lvl>
    <w:lvl w:ilvl="6" w:tplc="04090001" w:tentative="1">
      <w:start w:val="1"/>
      <w:numFmt w:val="bullet"/>
      <w:lvlText w:val=""/>
      <w:lvlJc w:val="left"/>
      <w:pPr>
        <w:tabs>
          <w:tab w:val="num" w:pos="5228"/>
        </w:tabs>
        <w:ind w:left="5228" w:hanging="360"/>
      </w:pPr>
      <w:rPr>
        <w:rFonts w:ascii="Symbol" w:hAnsi="Symbol" w:hint="default"/>
      </w:rPr>
    </w:lvl>
    <w:lvl w:ilvl="7" w:tplc="04090003" w:tentative="1">
      <w:start w:val="1"/>
      <w:numFmt w:val="bullet"/>
      <w:lvlText w:val="o"/>
      <w:lvlJc w:val="left"/>
      <w:pPr>
        <w:tabs>
          <w:tab w:val="num" w:pos="5948"/>
        </w:tabs>
        <w:ind w:left="5948" w:hanging="360"/>
      </w:pPr>
      <w:rPr>
        <w:rFonts w:ascii="Courier New" w:hAnsi="Courier New" w:cs="Courier New" w:hint="default"/>
      </w:rPr>
    </w:lvl>
    <w:lvl w:ilvl="8" w:tplc="04090005" w:tentative="1">
      <w:start w:val="1"/>
      <w:numFmt w:val="bullet"/>
      <w:lvlText w:val=""/>
      <w:lvlJc w:val="left"/>
      <w:pPr>
        <w:tabs>
          <w:tab w:val="num" w:pos="6668"/>
        </w:tabs>
        <w:ind w:left="6668" w:hanging="360"/>
      </w:pPr>
      <w:rPr>
        <w:rFonts w:ascii="Wingdings" w:hAnsi="Wingdings" w:hint="default"/>
      </w:rPr>
    </w:lvl>
  </w:abstractNum>
  <w:abstractNum w:abstractNumId="45" w15:restartNumberingAfterBreak="0">
    <w:nsid w:val="36837B66"/>
    <w:multiLevelType w:val="hybridMultilevel"/>
    <w:tmpl w:val="9F6EB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7515D51"/>
    <w:multiLevelType w:val="hybridMultilevel"/>
    <w:tmpl w:val="70DE8336"/>
    <w:lvl w:ilvl="0" w:tplc="38FED99A">
      <w:start w:val="1"/>
      <w:numFmt w:val="decimal"/>
      <w:lvlText w:val="%1."/>
      <w:lvlJc w:val="left"/>
      <w:pPr>
        <w:ind w:left="143" w:hanging="200"/>
      </w:pPr>
      <w:rPr>
        <w:rFonts w:ascii="Times New Roman" w:eastAsia="Times New Roman" w:hAnsi="Times New Roman" w:hint="default"/>
        <w:w w:val="111"/>
        <w:sz w:val="18"/>
        <w:szCs w:val="18"/>
      </w:rPr>
    </w:lvl>
    <w:lvl w:ilvl="1" w:tplc="72F82698">
      <w:start w:val="1"/>
      <w:numFmt w:val="bullet"/>
      <w:lvlText w:val="•"/>
      <w:lvlJc w:val="left"/>
      <w:pPr>
        <w:ind w:left="477" w:hanging="200"/>
      </w:pPr>
      <w:rPr>
        <w:rFonts w:hint="default"/>
      </w:rPr>
    </w:lvl>
    <w:lvl w:ilvl="2" w:tplc="0634773A">
      <w:start w:val="1"/>
      <w:numFmt w:val="bullet"/>
      <w:lvlText w:val="•"/>
      <w:lvlJc w:val="left"/>
      <w:pPr>
        <w:ind w:left="811" w:hanging="200"/>
      </w:pPr>
      <w:rPr>
        <w:rFonts w:hint="default"/>
      </w:rPr>
    </w:lvl>
    <w:lvl w:ilvl="3" w:tplc="5E7C13EE">
      <w:start w:val="1"/>
      <w:numFmt w:val="bullet"/>
      <w:lvlText w:val="•"/>
      <w:lvlJc w:val="left"/>
      <w:pPr>
        <w:ind w:left="1145" w:hanging="200"/>
      </w:pPr>
      <w:rPr>
        <w:rFonts w:hint="default"/>
      </w:rPr>
    </w:lvl>
    <w:lvl w:ilvl="4" w:tplc="F676BA00">
      <w:start w:val="1"/>
      <w:numFmt w:val="bullet"/>
      <w:lvlText w:val="•"/>
      <w:lvlJc w:val="left"/>
      <w:pPr>
        <w:ind w:left="1478" w:hanging="200"/>
      </w:pPr>
      <w:rPr>
        <w:rFonts w:hint="default"/>
      </w:rPr>
    </w:lvl>
    <w:lvl w:ilvl="5" w:tplc="1786C744">
      <w:start w:val="1"/>
      <w:numFmt w:val="bullet"/>
      <w:lvlText w:val="•"/>
      <w:lvlJc w:val="left"/>
      <w:pPr>
        <w:ind w:left="1812" w:hanging="200"/>
      </w:pPr>
      <w:rPr>
        <w:rFonts w:hint="default"/>
      </w:rPr>
    </w:lvl>
    <w:lvl w:ilvl="6" w:tplc="1C88D476">
      <w:start w:val="1"/>
      <w:numFmt w:val="bullet"/>
      <w:lvlText w:val="•"/>
      <w:lvlJc w:val="left"/>
      <w:pPr>
        <w:ind w:left="2146" w:hanging="200"/>
      </w:pPr>
      <w:rPr>
        <w:rFonts w:hint="default"/>
      </w:rPr>
    </w:lvl>
    <w:lvl w:ilvl="7" w:tplc="41EA1062">
      <w:start w:val="1"/>
      <w:numFmt w:val="bullet"/>
      <w:lvlText w:val="•"/>
      <w:lvlJc w:val="left"/>
      <w:pPr>
        <w:ind w:left="2479" w:hanging="200"/>
      </w:pPr>
      <w:rPr>
        <w:rFonts w:hint="default"/>
      </w:rPr>
    </w:lvl>
    <w:lvl w:ilvl="8" w:tplc="E858182E">
      <w:start w:val="1"/>
      <w:numFmt w:val="bullet"/>
      <w:lvlText w:val="•"/>
      <w:lvlJc w:val="left"/>
      <w:pPr>
        <w:ind w:left="2813" w:hanging="200"/>
      </w:pPr>
      <w:rPr>
        <w:rFonts w:hint="default"/>
      </w:rPr>
    </w:lvl>
  </w:abstractNum>
  <w:abstractNum w:abstractNumId="47" w15:restartNumberingAfterBreak="0">
    <w:nsid w:val="3758704E"/>
    <w:multiLevelType w:val="hybridMultilevel"/>
    <w:tmpl w:val="6C0EE742"/>
    <w:lvl w:ilvl="0" w:tplc="5D527102">
      <w:start w:val="1"/>
      <w:numFmt w:val="bullet"/>
      <w:lvlText w:val="•"/>
      <w:lvlJc w:val="left"/>
      <w:pPr>
        <w:tabs>
          <w:tab w:val="num" w:pos="720"/>
        </w:tabs>
        <w:ind w:left="720" w:hanging="360"/>
      </w:pPr>
      <w:rPr>
        <w:rFonts w:ascii="Arial" w:hAnsi="Arial" w:hint="default"/>
      </w:rPr>
    </w:lvl>
    <w:lvl w:ilvl="1" w:tplc="DA1ABD3E">
      <w:start w:val="1"/>
      <w:numFmt w:val="bullet"/>
      <w:lvlText w:val="•"/>
      <w:lvlJc w:val="left"/>
      <w:pPr>
        <w:tabs>
          <w:tab w:val="num" w:pos="1440"/>
        </w:tabs>
        <w:ind w:left="1440" w:hanging="360"/>
      </w:pPr>
      <w:rPr>
        <w:rFonts w:ascii="Arial" w:hAnsi="Arial" w:hint="default"/>
      </w:rPr>
    </w:lvl>
    <w:lvl w:ilvl="2" w:tplc="84BCB6F0" w:tentative="1">
      <w:start w:val="1"/>
      <w:numFmt w:val="bullet"/>
      <w:lvlText w:val="•"/>
      <w:lvlJc w:val="left"/>
      <w:pPr>
        <w:tabs>
          <w:tab w:val="num" w:pos="2160"/>
        </w:tabs>
        <w:ind w:left="2160" w:hanging="360"/>
      </w:pPr>
      <w:rPr>
        <w:rFonts w:ascii="Arial" w:hAnsi="Arial" w:hint="default"/>
      </w:rPr>
    </w:lvl>
    <w:lvl w:ilvl="3" w:tplc="C89EDB9E" w:tentative="1">
      <w:start w:val="1"/>
      <w:numFmt w:val="bullet"/>
      <w:lvlText w:val="•"/>
      <w:lvlJc w:val="left"/>
      <w:pPr>
        <w:tabs>
          <w:tab w:val="num" w:pos="2880"/>
        </w:tabs>
        <w:ind w:left="2880" w:hanging="360"/>
      </w:pPr>
      <w:rPr>
        <w:rFonts w:ascii="Arial" w:hAnsi="Arial" w:hint="default"/>
      </w:rPr>
    </w:lvl>
    <w:lvl w:ilvl="4" w:tplc="B70E1FA0" w:tentative="1">
      <w:start w:val="1"/>
      <w:numFmt w:val="bullet"/>
      <w:lvlText w:val="•"/>
      <w:lvlJc w:val="left"/>
      <w:pPr>
        <w:tabs>
          <w:tab w:val="num" w:pos="3600"/>
        </w:tabs>
        <w:ind w:left="3600" w:hanging="360"/>
      </w:pPr>
      <w:rPr>
        <w:rFonts w:ascii="Arial" w:hAnsi="Arial" w:hint="default"/>
      </w:rPr>
    </w:lvl>
    <w:lvl w:ilvl="5" w:tplc="8CB6BC4E" w:tentative="1">
      <w:start w:val="1"/>
      <w:numFmt w:val="bullet"/>
      <w:lvlText w:val="•"/>
      <w:lvlJc w:val="left"/>
      <w:pPr>
        <w:tabs>
          <w:tab w:val="num" w:pos="4320"/>
        </w:tabs>
        <w:ind w:left="4320" w:hanging="360"/>
      </w:pPr>
      <w:rPr>
        <w:rFonts w:ascii="Arial" w:hAnsi="Arial" w:hint="default"/>
      </w:rPr>
    </w:lvl>
    <w:lvl w:ilvl="6" w:tplc="A88C70F4" w:tentative="1">
      <w:start w:val="1"/>
      <w:numFmt w:val="bullet"/>
      <w:lvlText w:val="•"/>
      <w:lvlJc w:val="left"/>
      <w:pPr>
        <w:tabs>
          <w:tab w:val="num" w:pos="5040"/>
        </w:tabs>
        <w:ind w:left="5040" w:hanging="360"/>
      </w:pPr>
      <w:rPr>
        <w:rFonts w:ascii="Arial" w:hAnsi="Arial" w:hint="default"/>
      </w:rPr>
    </w:lvl>
    <w:lvl w:ilvl="7" w:tplc="BA54B59C" w:tentative="1">
      <w:start w:val="1"/>
      <w:numFmt w:val="bullet"/>
      <w:lvlText w:val="•"/>
      <w:lvlJc w:val="left"/>
      <w:pPr>
        <w:tabs>
          <w:tab w:val="num" w:pos="5760"/>
        </w:tabs>
        <w:ind w:left="5760" w:hanging="360"/>
      </w:pPr>
      <w:rPr>
        <w:rFonts w:ascii="Arial" w:hAnsi="Arial" w:hint="default"/>
      </w:rPr>
    </w:lvl>
    <w:lvl w:ilvl="8" w:tplc="A04C083C"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37643CAF"/>
    <w:multiLevelType w:val="hybridMultilevel"/>
    <w:tmpl w:val="69A435A2"/>
    <w:lvl w:ilvl="0" w:tplc="B3D0D5F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A2D7FD2"/>
    <w:multiLevelType w:val="hybridMultilevel"/>
    <w:tmpl w:val="DB68BA44"/>
    <w:lvl w:ilvl="0" w:tplc="04090001">
      <w:start w:val="1"/>
      <w:numFmt w:val="bullet"/>
      <w:lvlText w:val=""/>
      <w:lvlJc w:val="left"/>
      <w:pPr>
        <w:tabs>
          <w:tab w:val="num" w:pos="904"/>
        </w:tabs>
        <w:ind w:left="904" w:hanging="360"/>
      </w:pPr>
      <w:rPr>
        <w:rFonts w:ascii="Symbol" w:hAnsi="Symbol" w:hint="default"/>
      </w:rPr>
    </w:lvl>
    <w:lvl w:ilvl="1" w:tplc="04090003" w:tentative="1">
      <w:start w:val="1"/>
      <w:numFmt w:val="bullet"/>
      <w:lvlText w:val="o"/>
      <w:lvlJc w:val="left"/>
      <w:pPr>
        <w:tabs>
          <w:tab w:val="num" w:pos="1624"/>
        </w:tabs>
        <w:ind w:left="1624" w:hanging="360"/>
      </w:pPr>
      <w:rPr>
        <w:rFonts w:ascii="Courier New" w:hAnsi="Courier New" w:cs="Courier New" w:hint="default"/>
      </w:rPr>
    </w:lvl>
    <w:lvl w:ilvl="2" w:tplc="04090005" w:tentative="1">
      <w:start w:val="1"/>
      <w:numFmt w:val="bullet"/>
      <w:lvlText w:val=""/>
      <w:lvlJc w:val="left"/>
      <w:pPr>
        <w:tabs>
          <w:tab w:val="num" w:pos="2344"/>
        </w:tabs>
        <w:ind w:left="2344" w:hanging="360"/>
      </w:pPr>
      <w:rPr>
        <w:rFonts w:ascii="Wingdings" w:hAnsi="Wingdings" w:hint="default"/>
      </w:rPr>
    </w:lvl>
    <w:lvl w:ilvl="3" w:tplc="04090001" w:tentative="1">
      <w:start w:val="1"/>
      <w:numFmt w:val="bullet"/>
      <w:lvlText w:val=""/>
      <w:lvlJc w:val="left"/>
      <w:pPr>
        <w:tabs>
          <w:tab w:val="num" w:pos="3064"/>
        </w:tabs>
        <w:ind w:left="3064" w:hanging="360"/>
      </w:pPr>
      <w:rPr>
        <w:rFonts w:ascii="Symbol" w:hAnsi="Symbol" w:hint="default"/>
      </w:rPr>
    </w:lvl>
    <w:lvl w:ilvl="4" w:tplc="04090003" w:tentative="1">
      <w:start w:val="1"/>
      <w:numFmt w:val="bullet"/>
      <w:lvlText w:val="o"/>
      <w:lvlJc w:val="left"/>
      <w:pPr>
        <w:tabs>
          <w:tab w:val="num" w:pos="3784"/>
        </w:tabs>
        <w:ind w:left="3784" w:hanging="360"/>
      </w:pPr>
      <w:rPr>
        <w:rFonts w:ascii="Courier New" w:hAnsi="Courier New" w:cs="Courier New" w:hint="default"/>
      </w:rPr>
    </w:lvl>
    <w:lvl w:ilvl="5" w:tplc="04090005" w:tentative="1">
      <w:start w:val="1"/>
      <w:numFmt w:val="bullet"/>
      <w:lvlText w:val=""/>
      <w:lvlJc w:val="left"/>
      <w:pPr>
        <w:tabs>
          <w:tab w:val="num" w:pos="4504"/>
        </w:tabs>
        <w:ind w:left="4504" w:hanging="360"/>
      </w:pPr>
      <w:rPr>
        <w:rFonts w:ascii="Wingdings" w:hAnsi="Wingdings" w:hint="default"/>
      </w:rPr>
    </w:lvl>
    <w:lvl w:ilvl="6" w:tplc="04090001" w:tentative="1">
      <w:start w:val="1"/>
      <w:numFmt w:val="bullet"/>
      <w:lvlText w:val=""/>
      <w:lvlJc w:val="left"/>
      <w:pPr>
        <w:tabs>
          <w:tab w:val="num" w:pos="5224"/>
        </w:tabs>
        <w:ind w:left="5224" w:hanging="360"/>
      </w:pPr>
      <w:rPr>
        <w:rFonts w:ascii="Symbol" w:hAnsi="Symbol" w:hint="default"/>
      </w:rPr>
    </w:lvl>
    <w:lvl w:ilvl="7" w:tplc="04090003" w:tentative="1">
      <w:start w:val="1"/>
      <w:numFmt w:val="bullet"/>
      <w:lvlText w:val="o"/>
      <w:lvlJc w:val="left"/>
      <w:pPr>
        <w:tabs>
          <w:tab w:val="num" w:pos="5944"/>
        </w:tabs>
        <w:ind w:left="5944" w:hanging="360"/>
      </w:pPr>
      <w:rPr>
        <w:rFonts w:ascii="Courier New" w:hAnsi="Courier New" w:cs="Courier New" w:hint="default"/>
      </w:rPr>
    </w:lvl>
    <w:lvl w:ilvl="8" w:tplc="04090005" w:tentative="1">
      <w:start w:val="1"/>
      <w:numFmt w:val="bullet"/>
      <w:lvlText w:val=""/>
      <w:lvlJc w:val="left"/>
      <w:pPr>
        <w:tabs>
          <w:tab w:val="num" w:pos="6664"/>
        </w:tabs>
        <w:ind w:left="6664" w:hanging="360"/>
      </w:pPr>
      <w:rPr>
        <w:rFonts w:ascii="Wingdings" w:hAnsi="Wingdings" w:hint="default"/>
      </w:rPr>
    </w:lvl>
  </w:abstractNum>
  <w:abstractNum w:abstractNumId="50" w15:restartNumberingAfterBreak="0">
    <w:nsid w:val="3D361320"/>
    <w:multiLevelType w:val="hybridMultilevel"/>
    <w:tmpl w:val="CA443084"/>
    <w:lvl w:ilvl="0" w:tplc="04090007">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1" w15:restartNumberingAfterBreak="0">
    <w:nsid w:val="3FBE3064"/>
    <w:multiLevelType w:val="hybridMultilevel"/>
    <w:tmpl w:val="65E6B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FC532B2"/>
    <w:multiLevelType w:val="hybridMultilevel"/>
    <w:tmpl w:val="053621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FFB49DA"/>
    <w:multiLevelType w:val="hybridMultilevel"/>
    <w:tmpl w:val="C0949F28"/>
    <w:lvl w:ilvl="0" w:tplc="5B8EAB34">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0455613"/>
    <w:multiLevelType w:val="hybridMultilevel"/>
    <w:tmpl w:val="2B8850B2"/>
    <w:lvl w:ilvl="0" w:tplc="03923D58">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08D2D35"/>
    <w:multiLevelType w:val="hybridMultilevel"/>
    <w:tmpl w:val="F356DF2C"/>
    <w:lvl w:ilvl="0" w:tplc="329AB622">
      <w:start w:val="1"/>
      <w:numFmt w:val="bullet"/>
      <w:lvlText w:val=""/>
      <w:lvlJc w:val="left"/>
      <w:pPr>
        <w:ind w:left="868" w:hanging="360"/>
      </w:pPr>
      <w:rPr>
        <w:rFonts w:ascii="Symbol" w:eastAsia="Symbol" w:hAnsi="Symbol" w:hint="default"/>
        <w:sz w:val="24"/>
        <w:szCs w:val="24"/>
      </w:rPr>
    </w:lvl>
    <w:lvl w:ilvl="1" w:tplc="B964AF5C">
      <w:start w:val="1"/>
      <w:numFmt w:val="bullet"/>
      <w:lvlText w:val="•"/>
      <w:lvlJc w:val="left"/>
      <w:pPr>
        <w:ind w:left="1825" w:hanging="360"/>
      </w:pPr>
      <w:rPr>
        <w:rFonts w:hint="default"/>
      </w:rPr>
    </w:lvl>
    <w:lvl w:ilvl="2" w:tplc="F3C8D0BE">
      <w:start w:val="1"/>
      <w:numFmt w:val="bullet"/>
      <w:lvlText w:val="•"/>
      <w:lvlJc w:val="left"/>
      <w:pPr>
        <w:ind w:left="2782" w:hanging="360"/>
      </w:pPr>
      <w:rPr>
        <w:rFonts w:hint="default"/>
      </w:rPr>
    </w:lvl>
    <w:lvl w:ilvl="3" w:tplc="A0F6911E">
      <w:start w:val="1"/>
      <w:numFmt w:val="bullet"/>
      <w:lvlText w:val="•"/>
      <w:lvlJc w:val="left"/>
      <w:pPr>
        <w:ind w:left="3739" w:hanging="360"/>
      </w:pPr>
      <w:rPr>
        <w:rFonts w:hint="default"/>
      </w:rPr>
    </w:lvl>
    <w:lvl w:ilvl="4" w:tplc="B7ACC87E">
      <w:start w:val="1"/>
      <w:numFmt w:val="bullet"/>
      <w:lvlText w:val="•"/>
      <w:lvlJc w:val="left"/>
      <w:pPr>
        <w:ind w:left="4696" w:hanging="360"/>
      </w:pPr>
      <w:rPr>
        <w:rFonts w:hint="default"/>
      </w:rPr>
    </w:lvl>
    <w:lvl w:ilvl="5" w:tplc="351AB816">
      <w:start w:val="1"/>
      <w:numFmt w:val="bullet"/>
      <w:lvlText w:val="•"/>
      <w:lvlJc w:val="left"/>
      <w:pPr>
        <w:ind w:left="5654" w:hanging="360"/>
      </w:pPr>
      <w:rPr>
        <w:rFonts w:hint="default"/>
      </w:rPr>
    </w:lvl>
    <w:lvl w:ilvl="6" w:tplc="9328F8FE">
      <w:start w:val="1"/>
      <w:numFmt w:val="bullet"/>
      <w:lvlText w:val="•"/>
      <w:lvlJc w:val="left"/>
      <w:pPr>
        <w:ind w:left="6611" w:hanging="360"/>
      </w:pPr>
      <w:rPr>
        <w:rFonts w:hint="default"/>
      </w:rPr>
    </w:lvl>
    <w:lvl w:ilvl="7" w:tplc="C564FEFC">
      <w:start w:val="1"/>
      <w:numFmt w:val="bullet"/>
      <w:lvlText w:val="•"/>
      <w:lvlJc w:val="left"/>
      <w:pPr>
        <w:ind w:left="7568" w:hanging="360"/>
      </w:pPr>
      <w:rPr>
        <w:rFonts w:hint="default"/>
      </w:rPr>
    </w:lvl>
    <w:lvl w:ilvl="8" w:tplc="B67C56A4">
      <w:start w:val="1"/>
      <w:numFmt w:val="bullet"/>
      <w:lvlText w:val="•"/>
      <w:lvlJc w:val="left"/>
      <w:pPr>
        <w:ind w:left="8525" w:hanging="360"/>
      </w:pPr>
      <w:rPr>
        <w:rFonts w:hint="default"/>
      </w:rPr>
    </w:lvl>
  </w:abstractNum>
  <w:abstractNum w:abstractNumId="56" w15:restartNumberingAfterBreak="0">
    <w:nsid w:val="411B674F"/>
    <w:multiLevelType w:val="hybridMultilevel"/>
    <w:tmpl w:val="3E966D2C"/>
    <w:lvl w:ilvl="0" w:tplc="03923D58">
      <w:start w:val="1"/>
      <w:numFmt w:val="bullet"/>
      <w:lvlText w:val=""/>
      <w:lvlJc w:val="left"/>
      <w:pPr>
        <w:ind w:left="1080" w:hanging="360"/>
      </w:pPr>
      <w:rPr>
        <w:rFonts w:ascii="Symbol" w:hAnsi="Symbol" w:hint="default"/>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41644B35"/>
    <w:multiLevelType w:val="hybridMultilevel"/>
    <w:tmpl w:val="D0FE3CA0"/>
    <w:lvl w:ilvl="0" w:tplc="15222722">
      <w:start w:val="1"/>
      <w:numFmt w:val="bullet"/>
      <w:lvlText w:val="•"/>
      <w:lvlJc w:val="left"/>
      <w:pPr>
        <w:tabs>
          <w:tab w:val="num" w:pos="720"/>
        </w:tabs>
        <w:ind w:left="720" w:hanging="360"/>
      </w:pPr>
      <w:rPr>
        <w:rFonts w:ascii="Arial" w:hAnsi="Arial" w:hint="default"/>
      </w:rPr>
    </w:lvl>
    <w:lvl w:ilvl="1" w:tplc="C71AAF3A">
      <w:start w:val="1"/>
      <w:numFmt w:val="bullet"/>
      <w:lvlText w:val="•"/>
      <w:lvlJc w:val="left"/>
      <w:pPr>
        <w:tabs>
          <w:tab w:val="num" w:pos="1440"/>
        </w:tabs>
        <w:ind w:left="1440" w:hanging="360"/>
      </w:pPr>
      <w:rPr>
        <w:rFonts w:ascii="Arial" w:hAnsi="Arial" w:hint="default"/>
      </w:rPr>
    </w:lvl>
    <w:lvl w:ilvl="2" w:tplc="D51AF9CE" w:tentative="1">
      <w:start w:val="1"/>
      <w:numFmt w:val="bullet"/>
      <w:lvlText w:val="•"/>
      <w:lvlJc w:val="left"/>
      <w:pPr>
        <w:tabs>
          <w:tab w:val="num" w:pos="2160"/>
        </w:tabs>
        <w:ind w:left="2160" w:hanging="360"/>
      </w:pPr>
      <w:rPr>
        <w:rFonts w:ascii="Arial" w:hAnsi="Arial" w:hint="default"/>
      </w:rPr>
    </w:lvl>
    <w:lvl w:ilvl="3" w:tplc="01A8FC7C" w:tentative="1">
      <w:start w:val="1"/>
      <w:numFmt w:val="bullet"/>
      <w:lvlText w:val="•"/>
      <w:lvlJc w:val="left"/>
      <w:pPr>
        <w:tabs>
          <w:tab w:val="num" w:pos="2880"/>
        </w:tabs>
        <w:ind w:left="2880" w:hanging="360"/>
      </w:pPr>
      <w:rPr>
        <w:rFonts w:ascii="Arial" w:hAnsi="Arial" w:hint="default"/>
      </w:rPr>
    </w:lvl>
    <w:lvl w:ilvl="4" w:tplc="C8865290" w:tentative="1">
      <w:start w:val="1"/>
      <w:numFmt w:val="bullet"/>
      <w:lvlText w:val="•"/>
      <w:lvlJc w:val="left"/>
      <w:pPr>
        <w:tabs>
          <w:tab w:val="num" w:pos="3600"/>
        </w:tabs>
        <w:ind w:left="3600" w:hanging="360"/>
      </w:pPr>
      <w:rPr>
        <w:rFonts w:ascii="Arial" w:hAnsi="Arial" w:hint="default"/>
      </w:rPr>
    </w:lvl>
    <w:lvl w:ilvl="5" w:tplc="DFEAA712" w:tentative="1">
      <w:start w:val="1"/>
      <w:numFmt w:val="bullet"/>
      <w:lvlText w:val="•"/>
      <w:lvlJc w:val="left"/>
      <w:pPr>
        <w:tabs>
          <w:tab w:val="num" w:pos="4320"/>
        </w:tabs>
        <w:ind w:left="4320" w:hanging="360"/>
      </w:pPr>
      <w:rPr>
        <w:rFonts w:ascii="Arial" w:hAnsi="Arial" w:hint="default"/>
      </w:rPr>
    </w:lvl>
    <w:lvl w:ilvl="6" w:tplc="EA28C09C" w:tentative="1">
      <w:start w:val="1"/>
      <w:numFmt w:val="bullet"/>
      <w:lvlText w:val="•"/>
      <w:lvlJc w:val="left"/>
      <w:pPr>
        <w:tabs>
          <w:tab w:val="num" w:pos="5040"/>
        </w:tabs>
        <w:ind w:left="5040" w:hanging="360"/>
      </w:pPr>
      <w:rPr>
        <w:rFonts w:ascii="Arial" w:hAnsi="Arial" w:hint="default"/>
      </w:rPr>
    </w:lvl>
    <w:lvl w:ilvl="7" w:tplc="AA26E7F6" w:tentative="1">
      <w:start w:val="1"/>
      <w:numFmt w:val="bullet"/>
      <w:lvlText w:val="•"/>
      <w:lvlJc w:val="left"/>
      <w:pPr>
        <w:tabs>
          <w:tab w:val="num" w:pos="5760"/>
        </w:tabs>
        <w:ind w:left="5760" w:hanging="360"/>
      </w:pPr>
      <w:rPr>
        <w:rFonts w:ascii="Arial" w:hAnsi="Arial" w:hint="default"/>
      </w:rPr>
    </w:lvl>
    <w:lvl w:ilvl="8" w:tplc="6978B696"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47250982"/>
    <w:multiLevelType w:val="hybridMultilevel"/>
    <w:tmpl w:val="124A1DDE"/>
    <w:lvl w:ilvl="0" w:tplc="39BAECA8">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7456F7B"/>
    <w:multiLevelType w:val="multilevel"/>
    <w:tmpl w:val="0F44E134"/>
    <w:lvl w:ilvl="0">
      <w:start w:val="5"/>
      <w:numFmt w:val="decimal"/>
      <w:lvlText w:val="%1"/>
      <w:lvlJc w:val="left"/>
      <w:pPr>
        <w:ind w:left="148" w:hanging="344"/>
      </w:pPr>
      <w:rPr>
        <w:rFonts w:hint="default"/>
      </w:rPr>
    </w:lvl>
    <w:lvl w:ilvl="1">
      <w:start w:val="1"/>
      <w:numFmt w:val="decimal"/>
      <w:lvlText w:val="%1.%2"/>
      <w:lvlJc w:val="left"/>
      <w:pPr>
        <w:ind w:left="148" w:hanging="344"/>
      </w:pPr>
      <w:rPr>
        <w:rFonts w:ascii="Times New Roman" w:eastAsia="Times New Roman" w:hAnsi="Times New Roman" w:hint="default"/>
        <w:spacing w:val="-5"/>
        <w:sz w:val="24"/>
        <w:szCs w:val="24"/>
      </w:rPr>
    </w:lvl>
    <w:lvl w:ilvl="2">
      <w:start w:val="1"/>
      <w:numFmt w:val="bullet"/>
      <w:lvlText w:val=""/>
      <w:lvlJc w:val="left"/>
      <w:pPr>
        <w:ind w:left="868" w:hanging="360"/>
      </w:pPr>
      <w:rPr>
        <w:rFonts w:ascii="Symbol" w:eastAsia="Symbol" w:hAnsi="Symbol" w:hint="default"/>
        <w:sz w:val="24"/>
        <w:szCs w:val="24"/>
      </w:rPr>
    </w:lvl>
    <w:lvl w:ilvl="3">
      <w:start w:val="1"/>
      <w:numFmt w:val="bullet"/>
      <w:lvlText w:val="•"/>
      <w:lvlJc w:val="left"/>
      <w:pPr>
        <w:ind w:left="2995" w:hanging="360"/>
      </w:pPr>
      <w:rPr>
        <w:rFonts w:hint="default"/>
      </w:rPr>
    </w:lvl>
    <w:lvl w:ilvl="4">
      <w:start w:val="1"/>
      <w:numFmt w:val="bullet"/>
      <w:lvlText w:val="•"/>
      <w:lvlJc w:val="left"/>
      <w:pPr>
        <w:ind w:left="4058" w:hanging="360"/>
      </w:pPr>
      <w:rPr>
        <w:rFonts w:hint="default"/>
      </w:rPr>
    </w:lvl>
    <w:lvl w:ilvl="5">
      <w:start w:val="1"/>
      <w:numFmt w:val="bullet"/>
      <w:lvlText w:val="•"/>
      <w:lvlJc w:val="left"/>
      <w:pPr>
        <w:ind w:left="5122" w:hanging="360"/>
      </w:pPr>
      <w:rPr>
        <w:rFonts w:hint="default"/>
      </w:rPr>
    </w:lvl>
    <w:lvl w:ilvl="6">
      <w:start w:val="1"/>
      <w:numFmt w:val="bullet"/>
      <w:lvlText w:val="•"/>
      <w:lvlJc w:val="left"/>
      <w:pPr>
        <w:ind w:left="6185" w:hanging="360"/>
      </w:pPr>
      <w:rPr>
        <w:rFonts w:hint="default"/>
      </w:rPr>
    </w:lvl>
    <w:lvl w:ilvl="7">
      <w:start w:val="1"/>
      <w:numFmt w:val="bullet"/>
      <w:lvlText w:val="•"/>
      <w:lvlJc w:val="left"/>
      <w:pPr>
        <w:ind w:left="7249" w:hanging="360"/>
      </w:pPr>
      <w:rPr>
        <w:rFonts w:hint="default"/>
      </w:rPr>
    </w:lvl>
    <w:lvl w:ilvl="8">
      <w:start w:val="1"/>
      <w:numFmt w:val="bullet"/>
      <w:lvlText w:val="•"/>
      <w:lvlJc w:val="left"/>
      <w:pPr>
        <w:ind w:left="8312" w:hanging="360"/>
      </w:pPr>
      <w:rPr>
        <w:rFonts w:hint="default"/>
      </w:rPr>
    </w:lvl>
  </w:abstractNum>
  <w:abstractNum w:abstractNumId="60" w15:restartNumberingAfterBreak="0">
    <w:nsid w:val="475F5AC3"/>
    <w:multiLevelType w:val="multilevel"/>
    <w:tmpl w:val="2BCEE3E0"/>
    <w:lvl w:ilvl="0">
      <w:start w:val="16"/>
      <w:numFmt w:val="upperLetter"/>
      <w:lvlText w:val="%1"/>
      <w:lvlJc w:val="left"/>
      <w:pPr>
        <w:ind w:left="606" w:hanging="459"/>
      </w:pPr>
      <w:rPr>
        <w:rFonts w:hint="default"/>
      </w:rPr>
    </w:lvl>
    <w:lvl w:ilvl="1">
      <w:start w:val="12"/>
      <w:numFmt w:val="upperLetter"/>
      <w:lvlText w:val="%1.%2."/>
      <w:lvlJc w:val="left"/>
      <w:pPr>
        <w:ind w:left="606" w:hanging="459"/>
      </w:pPr>
      <w:rPr>
        <w:rFonts w:ascii="Times New Roman" w:eastAsia="Times New Roman" w:hAnsi="Times New Roman" w:hint="default"/>
        <w:sz w:val="24"/>
        <w:szCs w:val="24"/>
      </w:rPr>
    </w:lvl>
    <w:lvl w:ilvl="2">
      <w:start w:val="1"/>
      <w:numFmt w:val="bullet"/>
      <w:lvlText w:val=""/>
      <w:lvlJc w:val="left"/>
      <w:pPr>
        <w:ind w:left="868" w:hanging="360"/>
      </w:pPr>
      <w:rPr>
        <w:rFonts w:ascii="Symbol" w:eastAsia="Symbol" w:hAnsi="Symbol" w:hint="default"/>
        <w:sz w:val="24"/>
        <w:szCs w:val="24"/>
      </w:rPr>
    </w:lvl>
    <w:lvl w:ilvl="3">
      <w:start w:val="1"/>
      <w:numFmt w:val="bullet"/>
      <w:lvlText w:val="•"/>
      <w:lvlJc w:val="left"/>
      <w:pPr>
        <w:ind w:left="2995" w:hanging="360"/>
      </w:pPr>
      <w:rPr>
        <w:rFonts w:hint="default"/>
      </w:rPr>
    </w:lvl>
    <w:lvl w:ilvl="4">
      <w:start w:val="1"/>
      <w:numFmt w:val="bullet"/>
      <w:lvlText w:val="•"/>
      <w:lvlJc w:val="left"/>
      <w:pPr>
        <w:ind w:left="4058" w:hanging="360"/>
      </w:pPr>
      <w:rPr>
        <w:rFonts w:hint="default"/>
      </w:rPr>
    </w:lvl>
    <w:lvl w:ilvl="5">
      <w:start w:val="1"/>
      <w:numFmt w:val="bullet"/>
      <w:lvlText w:val="•"/>
      <w:lvlJc w:val="left"/>
      <w:pPr>
        <w:ind w:left="5122" w:hanging="360"/>
      </w:pPr>
      <w:rPr>
        <w:rFonts w:hint="default"/>
      </w:rPr>
    </w:lvl>
    <w:lvl w:ilvl="6">
      <w:start w:val="1"/>
      <w:numFmt w:val="bullet"/>
      <w:lvlText w:val="•"/>
      <w:lvlJc w:val="left"/>
      <w:pPr>
        <w:ind w:left="6185" w:hanging="360"/>
      </w:pPr>
      <w:rPr>
        <w:rFonts w:hint="default"/>
      </w:rPr>
    </w:lvl>
    <w:lvl w:ilvl="7">
      <w:start w:val="1"/>
      <w:numFmt w:val="bullet"/>
      <w:lvlText w:val="•"/>
      <w:lvlJc w:val="left"/>
      <w:pPr>
        <w:ind w:left="7249" w:hanging="360"/>
      </w:pPr>
      <w:rPr>
        <w:rFonts w:hint="default"/>
      </w:rPr>
    </w:lvl>
    <w:lvl w:ilvl="8">
      <w:start w:val="1"/>
      <w:numFmt w:val="bullet"/>
      <w:lvlText w:val="•"/>
      <w:lvlJc w:val="left"/>
      <w:pPr>
        <w:ind w:left="8312" w:hanging="360"/>
      </w:pPr>
      <w:rPr>
        <w:rFonts w:hint="default"/>
      </w:rPr>
    </w:lvl>
  </w:abstractNum>
  <w:abstractNum w:abstractNumId="61" w15:restartNumberingAfterBreak="0">
    <w:nsid w:val="480C2FFC"/>
    <w:multiLevelType w:val="hybridMultilevel"/>
    <w:tmpl w:val="2812C60E"/>
    <w:lvl w:ilvl="0" w:tplc="78CEEB7C">
      <w:start w:val="2"/>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8570470"/>
    <w:multiLevelType w:val="hybridMultilevel"/>
    <w:tmpl w:val="CDF0E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9FB5CC7"/>
    <w:multiLevelType w:val="hybridMultilevel"/>
    <w:tmpl w:val="27DC8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A2B19BC"/>
    <w:multiLevelType w:val="hybridMultilevel"/>
    <w:tmpl w:val="01FA4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B2A3E42"/>
    <w:multiLevelType w:val="hybridMultilevel"/>
    <w:tmpl w:val="856AA278"/>
    <w:lvl w:ilvl="0" w:tplc="78CEEB7C">
      <w:start w:val="2"/>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C011083"/>
    <w:multiLevelType w:val="hybridMultilevel"/>
    <w:tmpl w:val="81A627C8"/>
    <w:lvl w:ilvl="0" w:tplc="9708A6BA">
      <w:start w:val="1"/>
      <w:numFmt w:val="decimal"/>
      <w:lvlText w:val="%1."/>
      <w:lvlJc w:val="left"/>
      <w:pPr>
        <w:ind w:left="720" w:hanging="360"/>
      </w:pPr>
      <w:rPr>
        <w:rFonts w:ascii="Courier New" w:eastAsia="Times New Roman" w:hAnsi="Courier New"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C691CD3"/>
    <w:multiLevelType w:val="hybridMultilevel"/>
    <w:tmpl w:val="47725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CFE0079"/>
    <w:multiLevelType w:val="hybridMultilevel"/>
    <w:tmpl w:val="8F042880"/>
    <w:lvl w:ilvl="0" w:tplc="36F24F6E">
      <w:start w:val="1"/>
      <w:numFmt w:val="upperRoman"/>
      <w:lvlText w:val="%1."/>
      <w:lvlJc w:val="left"/>
      <w:pPr>
        <w:ind w:left="579" w:hanging="432"/>
      </w:pPr>
      <w:rPr>
        <w:rFonts w:ascii="Times New Roman" w:eastAsia="Times New Roman" w:hAnsi="Times New Roman" w:hint="default"/>
        <w:b/>
        <w:bCs/>
        <w:spacing w:val="-1"/>
        <w:w w:val="99"/>
        <w:sz w:val="44"/>
        <w:szCs w:val="44"/>
      </w:rPr>
    </w:lvl>
    <w:lvl w:ilvl="1" w:tplc="8EDCEF32">
      <w:start w:val="1"/>
      <w:numFmt w:val="bullet"/>
      <w:lvlText w:val=""/>
      <w:lvlJc w:val="left"/>
      <w:pPr>
        <w:ind w:left="868" w:hanging="360"/>
      </w:pPr>
      <w:rPr>
        <w:rFonts w:ascii="Symbol" w:eastAsia="Symbol" w:hAnsi="Symbol" w:hint="default"/>
        <w:sz w:val="24"/>
        <w:szCs w:val="24"/>
      </w:rPr>
    </w:lvl>
    <w:lvl w:ilvl="2" w:tplc="D918F422">
      <w:start w:val="1"/>
      <w:numFmt w:val="bullet"/>
      <w:lvlText w:val=""/>
      <w:lvlJc w:val="left"/>
      <w:pPr>
        <w:ind w:left="988" w:hanging="360"/>
      </w:pPr>
      <w:rPr>
        <w:rFonts w:ascii="Symbol" w:eastAsia="Symbol" w:hAnsi="Symbol" w:hint="default"/>
        <w:sz w:val="24"/>
        <w:szCs w:val="24"/>
      </w:rPr>
    </w:lvl>
    <w:lvl w:ilvl="3" w:tplc="3DC04668">
      <w:start w:val="1"/>
      <w:numFmt w:val="bullet"/>
      <w:lvlText w:val="•"/>
      <w:lvlJc w:val="left"/>
      <w:pPr>
        <w:ind w:left="988" w:hanging="360"/>
      </w:pPr>
      <w:rPr>
        <w:rFonts w:hint="default"/>
      </w:rPr>
    </w:lvl>
    <w:lvl w:ilvl="4" w:tplc="83F23AF8">
      <w:start w:val="1"/>
      <w:numFmt w:val="bullet"/>
      <w:lvlText w:val="•"/>
      <w:lvlJc w:val="left"/>
      <w:pPr>
        <w:ind w:left="2338" w:hanging="360"/>
      </w:pPr>
      <w:rPr>
        <w:rFonts w:hint="default"/>
      </w:rPr>
    </w:lvl>
    <w:lvl w:ilvl="5" w:tplc="A0DE0B60">
      <w:start w:val="1"/>
      <w:numFmt w:val="bullet"/>
      <w:lvlText w:val="•"/>
      <w:lvlJc w:val="left"/>
      <w:pPr>
        <w:ind w:left="3688" w:hanging="360"/>
      </w:pPr>
      <w:rPr>
        <w:rFonts w:hint="default"/>
      </w:rPr>
    </w:lvl>
    <w:lvl w:ilvl="6" w:tplc="A0485812">
      <w:start w:val="1"/>
      <w:numFmt w:val="bullet"/>
      <w:lvlText w:val="•"/>
      <w:lvlJc w:val="left"/>
      <w:pPr>
        <w:ind w:left="5038" w:hanging="360"/>
      </w:pPr>
      <w:rPr>
        <w:rFonts w:hint="default"/>
      </w:rPr>
    </w:lvl>
    <w:lvl w:ilvl="7" w:tplc="06F2BA78">
      <w:start w:val="1"/>
      <w:numFmt w:val="bullet"/>
      <w:lvlText w:val="•"/>
      <w:lvlJc w:val="left"/>
      <w:pPr>
        <w:ind w:left="6389" w:hanging="360"/>
      </w:pPr>
      <w:rPr>
        <w:rFonts w:hint="default"/>
      </w:rPr>
    </w:lvl>
    <w:lvl w:ilvl="8" w:tplc="24F2AAB8">
      <w:start w:val="1"/>
      <w:numFmt w:val="bullet"/>
      <w:lvlText w:val="•"/>
      <w:lvlJc w:val="left"/>
      <w:pPr>
        <w:ind w:left="7739" w:hanging="360"/>
      </w:pPr>
      <w:rPr>
        <w:rFonts w:hint="default"/>
      </w:rPr>
    </w:lvl>
  </w:abstractNum>
  <w:abstractNum w:abstractNumId="69" w15:restartNumberingAfterBreak="0">
    <w:nsid w:val="4CFE7ACA"/>
    <w:multiLevelType w:val="hybridMultilevel"/>
    <w:tmpl w:val="E2B6DCB0"/>
    <w:lvl w:ilvl="0" w:tplc="CA8E3FE4">
      <w:start w:val="1"/>
      <w:numFmt w:val="bullet"/>
      <w:lvlText w:val="•"/>
      <w:lvlJc w:val="left"/>
      <w:pPr>
        <w:tabs>
          <w:tab w:val="num" w:pos="720"/>
        </w:tabs>
        <w:ind w:left="720" w:hanging="360"/>
      </w:pPr>
      <w:rPr>
        <w:rFonts w:ascii="Arial" w:hAnsi="Arial" w:hint="default"/>
      </w:rPr>
    </w:lvl>
    <w:lvl w:ilvl="1" w:tplc="91722F32">
      <w:start w:val="1"/>
      <w:numFmt w:val="bullet"/>
      <w:lvlText w:val="•"/>
      <w:lvlJc w:val="left"/>
      <w:pPr>
        <w:tabs>
          <w:tab w:val="num" w:pos="1440"/>
        </w:tabs>
        <w:ind w:left="1440" w:hanging="360"/>
      </w:pPr>
      <w:rPr>
        <w:rFonts w:ascii="Arial" w:hAnsi="Arial" w:hint="default"/>
      </w:rPr>
    </w:lvl>
    <w:lvl w:ilvl="2" w:tplc="E86C03B2" w:tentative="1">
      <w:start w:val="1"/>
      <w:numFmt w:val="bullet"/>
      <w:lvlText w:val="•"/>
      <w:lvlJc w:val="left"/>
      <w:pPr>
        <w:tabs>
          <w:tab w:val="num" w:pos="2160"/>
        </w:tabs>
        <w:ind w:left="2160" w:hanging="360"/>
      </w:pPr>
      <w:rPr>
        <w:rFonts w:ascii="Arial" w:hAnsi="Arial" w:hint="default"/>
      </w:rPr>
    </w:lvl>
    <w:lvl w:ilvl="3" w:tplc="2D3E040A" w:tentative="1">
      <w:start w:val="1"/>
      <w:numFmt w:val="bullet"/>
      <w:lvlText w:val="•"/>
      <w:lvlJc w:val="left"/>
      <w:pPr>
        <w:tabs>
          <w:tab w:val="num" w:pos="2880"/>
        </w:tabs>
        <w:ind w:left="2880" w:hanging="360"/>
      </w:pPr>
      <w:rPr>
        <w:rFonts w:ascii="Arial" w:hAnsi="Arial" w:hint="default"/>
      </w:rPr>
    </w:lvl>
    <w:lvl w:ilvl="4" w:tplc="69101EDA" w:tentative="1">
      <w:start w:val="1"/>
      <w:numFmt w:val="bullet"/>
      <w:lvlText w:val="•"/>
      <w:lvlJc w:val="left"/>
      <w:pPr>
        <w:tabs>
          <w:tab w:val="num" w:pos="3600"/>
        </w:tabs>
        <w:ind w:left="3600" w:hanging="360"/>
      </w:pPr>
      <w:rPr>
        <w:rFonts w:ascii="Arial" w:hAnsi="Arial" w:hint="default"/>
      </w:rPr>
    </w:lvl>
    <w:lvl w:ilvl="5" w:tplc="FD80B65E" w:tentative="1">
      <w:start w:val="1"/>
      <w:numFmt w:val="bullet"/>
      <w:lvlText w:val="•"/>
      <w:lvlJc w:val="left"/>
      <w:pPr>
        <w:tabs>
          <w:tab w:val="num" w:pos="4320"/>
        </w:tabs>
        <w:ind w:left="4320" w:hanging="360"/>
      </w:pPr>
      <w:rPr>
        <w:rFonts w:ascii="Arial" w:hAnsi="Arial" w:hint="default"/>
      </w:rPr>
    </w:lvl>
    <w:lvl w:ilvl="6" w:tplc="A7AA9516" w:tentative="1">
      <w:start w:val="1"/>
      <w:numFmt w:val="bullet"/>
      <w:lvlText w:val="•"/>
      <w:lvlJc w:val="left"/>
      <w:pPr>
        <w:tabs>
          <w:tab w:val="num" w:pos="5040"/>
        </w:tabs>
        <w:ind w:left="5040" w:hanging="360"/>
      </w:pPr>
      <w:rPr>
        <w:rFonts w:ascii="Arial" w:hAnsi="Arial" w:hint="default"/>
      </w:rPr>
    </w:lvl>
    <w:lvl w:ilvl="7" w:tplc="1674E6C2" w:tentative="1">
      <w:start w:val="1"/>
      <w:numFmt w:val="bullet"/>
      <w:lvlText w:val="•"/>
      <w:lvlJc w:val="left"/>
      <w:pPr>
        <w:tabs>
          <w:tab w:val="num" w:pos="5760"/>
        </w:tabs>
        <w:ind w:left="5760" w:hanging="360"/>
      </w:pPr>
      <w:rPr>
        <w:rFonts w:ascii="Arial" w:hAnsi="Arial" w:hint="default"/>
      </w:rPr>
    </w:lvl>
    <w:lvl w:ilvl="8" w:tplc="5D308514" w:tentative="1">
      <w:start w:val="1"/>
      <w:numFmt w:val="bullet"/>
      <w:lvlText w:val="•"/>
      <w:lvlJc w:val="left"/>
      <w:pPr>
        <w:tabs>
          <w:tab w:val="num" w:pos="6480"/>
        </w:tabs>
        <w:ind w:left="6480" w:hanging="360"/>
      </w:pPr>
      <w:rPr>
        <w:rFonts w:ascii="Arial" w:hAnsi="Arial" w:hint="default"/>
      </w:rPr>
    </w:lvl>
  </w:abstractNum>
  <w:abstractNum w:abstractNumId="70" w15:restartNumberingAfterBreak="0">
    <w:nsid w:val="4E3347D5"/>
    <w:multiLevelType w:val="hybridMultilevel"/>
    <w:tmpl w:val="DA14AF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4E5904B5"/>
    <w:multiLevelType w:val="hybridMultilevel"/>
    <w:tmpl w:val="6D802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1B26BB2"/>
    <w:multiLevelType w:val="hybridMultilevel"/>
    <w:tmpl w:val="9F805820"/>
    <w:lvl w:ilvl="0" w:tplc="3848A8B4">
      <w:start w:val="1"/>
      <w:numFmt w:val="bullet"/>
      <w:lvlText w:val="•"/>
      <w:lvlJc w:val="left"/>
      <w:pPr>
        <w:tabs>
          <w:tab w:val="num" w:pos="720"/>
        </w:tabs>
        <w:ind w:left="720" w:hanging="360"/>
      </w:pPr>
      <w:rPr>
        <w:rFonts w:ascii="Arial" w:hAnsi="Arial" w:hint="default"/>
      </w:rPr>
    </w:lvl>
    <w:lvl w:ilvl="1" w:tplc="A1A26574">
      <w:start w:val="1"/>
      <w:numFmt w:val="bullet"/>
      <w:lvlText w:val="•"/>
      <w:lvlJc w:val="left"/>
      <w:pPr>
        <w:tabs>
          <w:tab w:val="num" w:pos="1440"/>
        </w:tabs>
        <w:ind w:left="1440" w:hanging="360"/>
      </w:pPr>
      <w:rPr>
        <w:rFonts w:ascii="Arial" w:hAnsi="Arial" w:hint="default"/>
      </w:rPr>
    </w:lvl>
    <w:lvl w:ilvl="2" w:tplc="A5148E08" w:tentative="1">
      <w:start w:val="1"/>
      <w:numFmt w:val="bullet"/>
      <w:lvlText w:val="•"/>
      <w:lvlJc w:val="left"/>
      <w:pPr>
        <w:tabs>
          <w:tab w:val="num" w:pos="2160"/>
        </w:tabs>
        <w:ind w:left="2160" w:hanging="360"/>
      </w:pPr>
      <w:rPr>
        <w:rFonts w:ascii="Arial" w:hAnsi="Arial" w:hint="default"/>
      </w:rPr>
    </w:lvl>
    <w:lvl w:ilvl="3" w:tplc="651A32E8" w:tentative="1">
      <w:start w:val="1"/>
      <w:numFmt w:val="bullet"/>
      <w:lvlText w:val="•"/>
      <w:lvlJc w:val="left"/>
      <w:pPr>
        <w:tabs>
          <w:tab w:val="num" w:pos="2880"/>
        </w:tabs>
        <w:ind w:left="2880" w:hanging="360"/>
      </w:pPr>
      <w:rPr>
        <w:rFonts w:ascii="Arial" w:hAnsi="Arial" w:hint="default"/>
      </w:rPr>
    </w:lvl>
    <w:lvl w:ilvl="4" w:tplc="67C4552E" w:tentative="1">
      <w:start w:val="1"/>
      <w:numFmt w:val="bullet"/>
      <w:lvlText w:val="•"/>
      <w:lvlJc w:val="left"/>
      <w:pPr>
        <w:tabs>
          <w:tab w:val="num" w:pos="3600"/>
        </w:tabs>
        <w:ind w:left="3600" w:hanging="360"/>
      </w:pPr>
      <w:rPr>
        <w:rFonts w:ascii="Arial" w:hAnsi="Arial" w:hint="default"/>
      </w:rPr>
    </w:lvl>
    <w:lvl w:ilvl="5" w:tplc="2B4A3EF8" w:tentative="1">
      <w:start w:val="1"/>
      <w:numFmt w:val="bullet"/>
      <w:lvlText w:val="•"/>
      <w:lvlJc w:val="left"/>
      <w:pPr>
        <w:tabs>
          <w:tab w:val="num" w:pos="4320"/>
        </w:tabs>
        <w:ind w:left="4320" w:hanging="360"/>
      </w:pPr>
      <w:rPr>
        <w:rFonts w:ascii="Arial" w:hAnsi="Arial" w:hint="default"/>
      </w:rPr>
    </w:lvl>
    <w:lvl w:ilvl="6" w:tplc="F92EE910" w:tentative="1">
      <w:start w:val="1"/>
      <w:numFmt w:val="bullet"/>
      <w:lvlText w:val="•"/>
      <w:lvlJc w:val="left"/>
      <w:pPr>
        <w:tabs>
          <w:tab w:val="num" w:pos="5040"/>
        </w:tabs>
        <w:ind w:left="5040" w:hanging="360"/>
      </w:pPr>
      <w:rPr>
        <w:rFonts w:ascii="Arial" w:hAnsi="Arial" w:hint="default"/>
      </w:rPr>
    </w:lvl>
    <w:lvl w:ilvl="7" w:tplc="B8B22604" w:tentative="1">
      <w:start w:val="1"/>
      <w:numFmt w:val="bullet"/>
      <w:lvlText w:val="•"/>
      <w:lvlJc w:val="left"/>
      <w:pPr>
        <w:tabs>
          <w:tab w:val="num" w:pos="5760"/>
        </w:tabs>
        <w:ind w:left="5760" w:hanging="360"/>
      </w:pPr>
      <w:rPr>
        <w:rFonts w:ascii="Arial" w:hAnsi="Arial" w:hint="default"/>
      </w:rPr>
    </w:lvl>
    <w:lvl w:ilvl="8" w:tplc="E98424BA" w:tentative="1">
      <w:start w:val="1"/>
      <w:numFmt w:val="bullet"/>
      <w:lvlText w:val="•"/>
      <w:lvlJc w:val="left"/>
      <w:pPr>
        <w:tabs>
          <w:tab w:val="num" w:pos="6480"/>
        </w:tabs>
        <w:ind w:left="6480" w:hanging="360"/>
      </w:pPr>
      <w:rPr>
        <w:rFonts w:ascii="Arial" w:hAnsi="Arial" w:hint="default"/>
      </w:rPr>
    </w:lvl>
  </w:abstractNum>
  <w:abstractNum w:abstractNumId="73" w15:restartNumberingAfterBreak="0">
    <w:nsid w:val="51C070AB"/>
    <w:multiLevelType w:val="hybridMultilevel"/>
    <w:tmpl w:val="3ADA490A"/>
    <w:lvl w:ilvl="0" w:tplc="57D4DBE6">
      <w:start w:val="1"/>
      <w:numFmt w:val="bullet"/>
      <w:lvlText w:val="•"/>
      <w:lvlJc w:val="left"/>
      <w:pPr>
        <w:tabs>
          <w:tab w:val="num" w:pos="720"/>
        </w:tabs>
        <w:ind w:left="720" w:hanging="360"/>
      </w:pPr>
      <w:rPr>
        <w:rFonts w:ascii="Arial" w:hAnsi="Arial" w:hint="default"/>
      </w:rPr>
    </w:lvl>
    <w:lvl w:ilvl="1" w:tplc="C79E99A4" w:tentative="1">
      <w:start w:val="1"/>
      <w:numFmt w:val="bullet"/>
      <w:lvlText w:val="•"/>
      <w:lvlJc w:val="left"/>
      <w:pPr>
        <w:tabs>
          <w:tab w:val="num" w:pos="1440"/>
        </w:tabs>
        <w:ind w:left="1440" w:hanging="360"/>
      </w:pPr>
      <w:rPr>
        <w:rFonts w:ascii="Arial" w:hAnsi="Arial" w:hint="default"/>
      </w:rPr>
    </w:lvl>
    <w:lvl w:ilvl="2" w:tplc="AF26B4A8" w:tentative="1">
      <w:start w:val="1"/>
      <w:numFmt w:val="bullet"/>
      <w:lvlText w:val="•"/>
      <w:lvlJc w:val="left"/>
      <w:pPr>
        <w:tabs>
          <w:tab w:val="num" w:pos="2160"/>
        </w:tabs>
        <w:ind w:left="2160" w:hanging="360"/>
      </w:pPr>
      <w:rPr>
        <w:rFonts w:ascii="Arial" w:hAnsi="Arial" w:hint="default"/>
      </w:rPr>
    </w:lvl>
    <w:lvl w:ilvl="3" w:tplc="355EB968" w:tentative="1">
      <w:start w:val="1"/>
      <w:numFmt w:val="bullet"/>
      <w:lvlText w:val="•"/>
      <w:lvlJc w:val="left"/>
      <w:pPr>
        <w:tabs>
          <w:tab w:val="num" w:pos="2880"/>
        </w:tabs>
        <w:ind w:left="2880" w:hanging="360"/>
      </w:pPr>
      <w:rPr>
        <w:rFonts w:ascii="Arial" w:hAnsi="Arial" w:hint="default"/>
      </w:rPr>
    </w:lvl>
    <w:lvl w:ilvl="4" w:tplc="702A5A52" w:tentative="1">
      <w:start w:val="1"/>
      <w:numFmt w:val="bullet"/>
      <w:lvlText w:val="•"/>
      <w:lvlJc w:val="left"/>
      <w:pPr>
        <w:tabs>
          <w:tab w:val="num" w:pos="3600"/>
        </w:tabs>
        <w:ind w:left="3600" w:hanging="360"/>
      </w:pPr>
      <w:rPr>
        <w:rFonts w:ascii="Arial" w:hAnsi="Arial" w:hint="default"/>
      </w:rPr>
    </w:lvl>
    <w:lvl w:ilvl="5" w:tplc="7DC44BFA" w:tentative="1">
      <w:start w:val="1"/>
      <w:numFmt w:val="bullet"/>
      <w:lvlText w:val="•"/>
      <w:lvlJc w:val="left"/>
      <w:pPr>
        <w:tabs>
          <w:tab w:val="num" w:pos="4320"/>
        </w:tabs>
        <w:ind w:left="4320" w:hanging="360"/>
      </w:pPr>
      <w:rPr>
        <w:rFonts w:ascii="Arial" w:hAnsi="Arial" w:hint="default"/>
      </w:rPr>
    </w:lvl>
    <w:lvl w:ilvl="6" w:tplc="42263494" w:tentative="1">
      <w:start w:val="1"/>
      <w:numFmt w:val="bullet"/>
      <w:lvlText w:val="•"/>
      <w:lvlJc w:val="left"/>
      <w:pPr>
        <w:tabs>
          <w:tab w:val="num" w:pos="5040"/>
        </w:tabs>
        <w:ind w:left="5040" w:hanging="360"/>
      </w:pPr>
      <w:rPr>
        <w:rFonts w:ascii="Arial" w:hAnsi="Arial" w:hint="default"/>
      </w:rPr>
    </w:lvl>
    <w:lvl w:ilvl="7" w:tplc="869A2F38" w:tentative="1">
      <w:start w:val="1"/>
      <w:numFmt w:val="bullet"/>
      <w:lvlText w:val="•"/>
      <w:lvlJc w:val="left"/>
      <w:pPr>
        <w:tabs>
          <w:tab w:val="num" w:pos="5760"/>
        </w:tabs>
        <w:ind w:left="5760" w:hanging="360"/>
      </w:pPr>
      <w:rPr>
        <w:rFonts w:ascii="Arial" w:hAnsi="Arial" w:hint="default"/>
      </w:rPr>
    </w:lvl>
    <w:lvl w:ilvl="8" w:tplc="C0F4CF3C" w:tentative="1">
      <w:start w:val="1"/>
      <w:numFmt w:val="bullet"/>
      <w:lvlText w:val="•"/>
      <w:lvlJc w:val="left"/>
      <w:pPr>
        <w:tabs>
          <w:tab w:val="num" w:pos="6480"/>
        </w:tabs>
        <w:ind w:left="6480" w:hanging="360"/>
      </w:pPr>
      <w:rPr>
        <w:rFonts w:ascii="Arial" w:hAnsi="Arial" w:hint="default"/>
      </w:rPr>
    </w:lvl>
  </w:abstractNum>
  <w:abstractNum w:abstractNumId="74" w15:restartNumberingAfterBreak="0">
    <w:nsid w:val="524A20B7"/>
    <w:multiLevelType w:val="multilevel"/>
    <w:tmpl w:val="89D2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36A4E70"/>
    <w:multiLevelType w:val="hybridMultilevel"/>
    <w:tmpl w:val="20DC13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4A45846"/>
    <w:multiLevelType w:val="hybridMultilevel"/>
    <w:tmpl w:val="56A2F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57E789B"/>
    <w:multiLevelType w:val="hybridMultilevel"/>
    <w:tmpl w:val="934EAC54"/>
    <w:lvl w:ilvl="0" w:tplc="E3003BCC">
      <w:start w:val="1"/>
      <w:numFmt w:val="upperLetter"/>
      <w:lvlText w:val="%1."/>
      <w:lvlJc w:val="left"/>
      <w:pPr>
        <w:tabs>
          <w:tab w:val="num" w:pos="600"/>
        </w:tabs>
        <w:ind w:left="600" w:hanging="60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15:restartNumberingAfterBreak="0">
    <w:nsid w:val="57B76216"/>
    <w:multiLevelType w:val="hybridMultilevel"/>
    <w:tmpl w:val="6978B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9AF5C32"/>
    <w:multiLevelType w:val="hybridMultilevel"/>
    <w:tmpl w:val="A95CCA54"/>
    <w:lvl w:ilvl="0" w:tplc="1A14F2C8">
      <w:start w:val="21"/>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9B253C8"/>
    <w:multiLevelType w:val="hybridMultilevel"/>
    <w:tmpl w:val="0890CDD2"/>
    <w:lvl w:ilvl="0" w:tplc="FD74D648">
      <w:start w:val="4"/>
      <w:numFmt w:val="decimal"/>
      <w:lvlText w:val="%1."/>
      <w:lvlJc w:val="left"/>
      <w:pPr>
        <w:tabs>
          <w:tab w:val="num" w:pos="915"/>
        </w:tabs>
        <w:ind w:left="915" w:hanging="5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59F557F8"/>
    <w:multiLevelType w:val="hybridMultilevel"/>
    <w:tmpl w:val="2B9C5ED6"/>
    <w:lvl w:ilvl="0" w:tplc="994C6C62">
      <w:start w:val="1"/>
      <w:numFmt w:val="upperRoman"/>
      <w:lvlText w:val="%1."/>
      <w:lvlJc w:val="left"/>
      <w:pPr>
        <w:ind w:left="796" w:hanging="648"/>
      </w:pPr>
      <w:rPr>
        <w:rFonts w:ascii="Times New Roman" w:eastAsia="Times New Roman" w:hAnsi="Times New Roman" w:hint="default"/>
        <w:b/>
        <w:bCs/>
        <w:spacing w:val="-1"/>
        <w:sz w:val="34"/>
        <w:szCs w:val="34"/>
      </w:rPr>
    </w:lvl>
    <w:lvl w:ilvl="1" w:tplc="6406B28C">
      <w:start w:val="1"/>
      <w:numFmt w:val="bullet"/>
      <w:lvlText w:val="•"/>
      <w:lvlJc w:val="left"/>
      <w:pPr>
        <w:ind w:left="1760" w:hanging="648"/>
      </w:pPr>
      <w:rPr>
        <w:rFonts w:hint="default"/>
      </w:rPr>
    </w:lvl>
    <w:lvl w:ilvl="2" w:tplc="4FCA5BEE">
      <w:start w:val="1"/>
      <w:numFmt w:val="bullet"/>
      <w:lvlText w:val="•"/>
      <w:lvlJc w:val="left"/>
      <w:pPr>
        <w:ind w:left="2724" w:hanging="648"/>
      </w:pPr>
      <w:rPr>
        <w:rFonts w:hint="default"/>
      </w:rPr>
    </w:lvl>
    <w:lvl w:ilvl="3" w:tplc="4A341964">
      <w:start w:val="1"/>
      <w:numFmt w:val="bullet"/>
      <w:lvlText w:val="•"/>
      <w:lvlJc w:val="left"/>
      <w:pPr>
        <w:ind w:left="3689" w:hanging="648"/>
      </w:pPr>
      <w:rPr>
        <w:rFonts w:hint="default"/>
      </w:rPr>
    </w:lvl>
    <w:lvl w:ilvl="4" w:tplc="5BDEDA1E">
      <w:start w:val="1"/>
      <w:numFmt w:val="bullet"/>
      <w:lvlText w:val="•"/>
      <w:lvlJc w:val="left"/>
      <w:pPr>
        <w:ind w:left="4653" w:hanging="648"/>
      </w:pPr>
      <w:rPr>
        <w:rFonts w:hint="default"/>
      </w:rPr>
    </w:lvl>
    <w:lvl w:ilvl="5" w:tplc="4510F47C">
      <w:start w:val="1"/>
      <w:numFmt w:val="bullet"/>
      <w:lvlText w:val="•"/>
      <w:lvlJc w:val="left"/>
      <w:pPr>
        <w:ind w:left="5618" w:hanging="648"/>
      </w:pPr>
      <w:rPr>
        <w:rFonts w:hint="default"/>
      </w:rPr>
    </w:lvl>
    <w:lvl w:ilvl="6" w:tplc="DA1A8FCE">
      <w:start w:val="1"/>
      <w:numFmt w:val="bullet"/>
      <w:lvlText w:val="•"/>
      <w:lvlJc w:val="left"/>
      <w:pPr>
        <w:ind w:left="6582" w:hanging="648"/>
      </w:pPr>
      <w:rPr>
        <w:rFonts w:hint="default"/>
      </w:rPr>
    </w:lvl>
    <w:lvl w:ilvl="7" w:tplc="7130C752">
      <w:start w:val="1"/>
      <w:numFmt w:val="bullet"/>
      <w:lvlText w:val="•"/>
      <w:lvlJc w:val="left"/>
      <w:pPr>
        <w:ind w:left="7546" w:hanging="648"/>
      </w:pPr>
      <w:rPr>
        <w:rFonts w:hint="default"/>
      </w:rPr>
    </w:lvl>
    <w:lvl w:ilvl="8" w:tplc="48D483A8">
      <w:start w:val="1"/>
      <w:numFmt w:val="bullet"/>
      <w:lvlText w:val="•"/>
      <w:lvlJc w:val="left"/>
      <w:pPr>
        <w:ind w:left="8511" w:hanging="648"/>
      </w:pPr>
      <w:rPr>
        <w:rFonts w:hint="default"/>
      </w:rPr>
    </w:lvl>
  </w:abstractNum>
  <w:abstractNum w:abstractNumId="82" w15:restartNumberingAfterBreak="0">
    <w:nsid w:val="59FA1BD6"/>
    <w:multiLevelType w:val="multilevel"/>
    <w:tmpl w:val="1D2A3A14"/>
    <w:lvl w:ilvl="0">
      <w:start w:val="1"/>
      <w:numFmt w:val="decimal"/>
      <w:lvlText w:val="%1."/>
      <w:lvlJc w:val="left"/>
      <w:pPr>
        <w:tabs>
          <w:tab w:val="num" w:pos="1530"/>
        </w:tabs>
        <w:ind w:left="153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C211509"/>
    <w:multiLevelType w:val="hybridMultilevel"/>
    <w:tmpl w:val="379241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4" w15:restartNumberingAfterBreak="0">
    <w:nsid w:val="610D0AAB"/>
    <w:multiLevelType w:val="hybridMultilevel"/>
    <w:tmpl w:val="5126B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11A7837"/>
    <w:multiLevelType w:val="hybridMultilevel"/>
    <w:tmpl w:val="EDFA46B4"/>
    <w:lvl w:ilvl="0" w:tplc="F370A580">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18D1FAE"/>
    <w:multiLevelType w:val="multilevel"/>
    <w:tmpl w:val="BDFE6A50"/>
    <w:lvl w:ilvl="0">
      <w:start w:val="1"/>
      <w:numFmt w:val="bullet"/>
      <w:lvlText w:val=""/>
      <w:lvlJc w:val="left"/>
      <w:pPr>
        <w:ind w:left="720" w:hanging="360"/>
      </w:pPr>
      <w:rPr>
        <w:rFonts w:ascii="Symbol" w:hAnsi="Symbol"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87" w15:restartNumberingAfterBreak="0">
    <w:nsid w:val="63213CB0"/>
    <w:multiLevelType w:val="hybridMultilevel"/>
    <w:tmpl w:val="DE14526A"/>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88" w15:restartNumberingAfterBreak="0">
    <w:nsid w:val="636015E3"/>
    <w:multiLevelType w:val="multilevel"/>
    <w:tmpl w:val="BE3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63BF5961"/>
    <w:multiLevelType w:val="hybridMultilevel"/>
    <w:tmpl w:val="9F7A8D44"/>
    <w:lvl w:ilvl="0" w:tplc="EE84E77A">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3ED405A"/>
    <w:multiLevelType w:val="hybridMultilevel"/>
    <w:tmpl w:val="E3585D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4FA1B74"/>
    <w:multiLevelType w:val="hybridMultilevel"/>
    <w:tmpl w:val="ED9C33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2" w15:restartNumberingAfterBreak="0">
    <w:nsid w:val="656A6DDA"/>
    <w:multiLevelType w:val="hybridMultilevel"/>
    <w:tmpl w:val="21424D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62A1574"/>
    <w:multiLevelType w:val="multilevel"/>
    <w:tmpl w:val="61A69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80A0F4A"/>
    <w:multiLevelType w:val="hybridMultilevel"/>
    <w:tmpl w:val="83945E86"/>
    <w:lvl w:ilvl="0" w:tplc="A5FC5D50">
      <w:start w:val="1"/>
      <w:numFmt w:val="bullet"/>
      <w:lvlText w:val="•"/>
      <w:lvlJc w:val="left"/>
      <w:pPr>
        <w:tabs>
          <w:tab w:val="num" w:pos="720"/>
        </w:tabs>
        <w:ind w:left="720" w:hanging="360"/>
      </w:pPr>
      <w:rPr>
        <w:rFonts w:ascii="Arial" w:hAnsi="Arial" w:hint="default"/>
      </w:rPr>
    </w:lvl>
    <w:lvl w:ilvl="1" w:tplc="4948D752">
      <w:start w:val="1"/>
      <w:numFmt w:val="bullet"/>
      <w:lvlText w:val="•"/>
      <w:lvlJc w:val="left"/>
      <w:pPr>
        <w:tabs>
          <w:tab w:val="num" w:pos="1440"/>
        </w:tabs>
        <w:ind w:left="1440" w:hanging="360"/>
      </w:pPr>
      <w:rPr>
        <w:rFonts w:ascii="Arial" w:hAnsi="Arial" w:hint="default"/>
      </w:rPr>
    </w:lvl>
    <w:lvl w:ilvl="2" w:tplc="F8403496" w:tentative="1">
      <w:start w:val="1"/>
      <w:numFmt w:val="bullet"/>
      <w:lvlText w:val="•"/>
      <w:lvlJc w:val="left"/>
      <w:pPr>
        <w:tabs>
          <w:tab w:val="num" w:pos="2160"/>
        </w:tabs>
        <w:ind w:left="2160" w:hanging="360"/>
      </w:pPr>
      <w:rPr>
        <w:rFonts w:ascii="Arial" w:hAnsi="Arial" w:hint="default"/>
      </w:rPr>
    </w:lvl>
    <w:lvl w:ilvl="3" w:tplc="C944D5F4" w:tentative="1">
      <w:start w:val="1"/>
      <w:numFmt w:val="bullet"/>
      <w:lvlText w:val="•"/>
      <w:lvlJc w:val="left"/>
      <w:pPr>
        <w:tabs>
          <w:tab w:val="num" w:pos="2880"/>
        </w:tabs>
        <w:ind w:left="2880" w:hanging="360"/>
      </w:pPr>
      <w:rPr>
        <w:rFonts w:ascii="Arial" w:hAnsi="Arial" w:hint="default"/>
      </w:rPr>
    </w:lvl>
    <w:lvl w:ilvl="4" w:tplc="7968FE6E" w:tentative="1">
      <w:start w:val="1"/>
      <w:numFmt w:val="bullet"/>
      <w:lvlText w:val="•"/>
      <w:lvlJc w:val="left"/>
      <w:pPr>
        <w:tabs>
          <w:tab w:val="num" w:pos="3600"/>
        </w:tabs>
        <w:ind w:left="3600" w:hanging="360"/>
      </w:pPr>
      <w:rPr>
        <w:rFonts w:ascii="Arial" w:hAnsi="Arial" w:hint="default"/>
      </w:rPr>
    </w:lvl>
    <w:lvl w:ilvl="5" w:tplc="769A7E5C" w:tentative="1">
      <w:start w:val="1"/>
      <w:numFmt w:val="bullet"/>
      <w:lvlText w:val="•"/>
      <w:lvlJc w:val="left"/>
      <w:pPr>
        <w:tabs>
          <w:tab w:val="num" w:pos="4320"/>
        </w:tabs>
        <w:ind w:left="4320" w:hanging="360"/>
      </w:pPr>
      <w:rPr>
        <w:rFonts w:ascii="Arial" w:hAnsi="Arial" w:hint="default"/>
      </w:rPr>
    </w:lvl>
    <w:lvl w:ilvl="6" w:tplc="19EA7C30" w:tentative="1">
      <w:start w:val="1"/>
      <w:numFmt w:val="bullet"/>
      <w:lvlText w:val="•"/>
      <w:lvlJc w:val="left"/>
      <w:pPr>
        <w:tabs>
          <w:tab w:val="num" w:pos="5040"/>
        </w:tabs>
        <w:ind w:left="5040" w:hanging="360"/>
      </w:pPr>
      <w:rPr>
        <w:rFonts w:ascii="Arial" w:hAnsi="Arial" w:hint="default"/>
      </w:rPr>
    </w:lvl>
    <w:lvl w:ilvl="7" w:tplc="B20AD458" w:tentative="1">
      <w:start w:val="1"/>
      <w:numFmt w:val="bullet"/>
      <w:lvlText w:val="•"/>
      <w:lvlJc w:val="left"/>
      <w:pPr>
        <w:tabs>
          <w:tab w:val="num" w:pos="5760"/>
        </w:tabs>
        <w:ind w:left="5760" w:hanging="360"/>
      </w:pPr>
      <w:rPr>
        <w:rFonts w:ascii="Arial" w:hAnsi="Arial" w:hint="default"/>
      </w:rPr>
    </w:lvl>
    <w:lvl w:ilvl="8" w:tplc="AF4687BC" w:tentative="1">
      <w:start w:val="1"/>
      <w:numFmt w:val="bullet"/>
      <w:lvlText w:val="•"/>
      <w:lvlJc w:val="left"/>
      <w:pPr>
        <w:tabs>
          <w:tab w:val="num" w:pos="6480"/>
        </w:tabs>
        <w:ind w:left="6480" w:hanging="360"/>
      </w:pPr>
      <w:rPr>
        <w:rFonts w:ascii="Arial" w:hAnsi="Arial" w:hint="default"/>
      </w:rPr>
    </w:lvl>
  </w:abstractNum>
  <w:abstractNum w:abstractNumId="95" w15:restartNumberingAfterBreak="0">
    <w:nsid w:val="69CF04A9"/>
    <w:multiLevelType w:val="multilevel"/>
    <w:tmpl w:val="E620D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A59323A"/>
    <w:multiLevelType w:val="hybridMultilevel"/>
    <w:tmpl w:val="4CCC9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BB84ECC"/>
    <w:multiLevelType w:val="hybridMultilevel"/>
    <w:tmpl w:val="4F68A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BEE5846"/>
    <w:multiLevelType w:val="hybridMultilevel"/>
    <w:tmpl w:val="F254240A"/>
    <w:lvl w:ilvl="0" w:tplc="08FE7D00">
      <w:start w:val="1"/>
      <w:numFmt w:val="bullet"/>
      <w:lvlText w:val=""/>
      <w:lvlJc w:val="left"/>
      <w:pPr>
        <w:ind w:left="1174" w:hanging="360"/>
      </w:pPr>
      <w:rPr>
        <w:rFonts w:ascii="Symbol" w:hAnsi="Symbol" w:hint="default"/>
        <w:sz w:val="18"/>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9" w15:restartNumberingAfterBreak="0">
    <w:nsid w:val="6D2860C9"/>
    <w:multiLevelType w:val="hybridMultilevel"/>
    <w:tmpl w:val="7716EF62"/>
    <w:lvl w:ilvl="0" w:tplc="DA86F9F4">
      <w:start w:val="1"/>
      <w:numFmt w:val="bullet"/>
      <w:lvlText w:val=""/>
      <w:lvlJc w:val="left"/>
      <w:pPr>
        <w:ind w:left="1440" w:hanging="360"/>
      </w:pPr>
      <w:rPr>
        <w:rFonts w:ascii="Symbol" w:hAnsi="Symbol" w:hint="default"/>
        <w:sz w:val="18"/>
        <w:szCs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0" w15:restartNumberingAfterBreak="0">
    <w:nsid w:val="6E753B28"/>
    <w:multiLevelType w:val="hybridMultilevel"/>
    <w:tmpl w:val="5ACE05CE"/>
    <w:lvl w:ilvl="0" w:tplc="78CEEB7C">
      <w:start w:val="2"/>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EB030D2"/>
    <w:multiLevelType w:val="hybridMultilevel"/>
    <w:tmpl w:val="633447F4"/>
    <w:lvl w:ilvl="0" w:tplc="0409000F">
      <w:start w:val="1"/>
      <w:numFmt w:val="decimal"/>
      <w:lvlText w:val="%1."/>
      <w:lvlJc w:val="left"/>
      <w:pPr>
        <w:tabs>
          <w:tab w:val="num" w:pos="720"/>
        </w:tabs>
        <w:ind w:left="720" w:hanging="360"/>
      </w:pPr>
      <w:rPr>
        <w:rFonts w:hint="default"/>
      </w:rPr>
    </w:lvl>
    <w:lvl w:ilvl="1" w:tplc="C79E99A4" w:tentative="1">
      <w:start w:val="1"/>
      <w:numFmt w:val="bullet"/>
      <w:lvlText w:val="•"/>
      <w:lvlJc w:val="left"/>
      <w:pPr>
        <w:tabs>
          <w:tab w:val="num" w:pos="1440"/>
        </w:tabs>
        <w:ind w:left="1440" w:hanging="360"/>
      </w:pPr>
      <w:rPr>
        <w:rFonts w:ascii="Arial" w:hAnsi="Arial" w:hint="default"/>
      </w:rPr>
    </w:lvl>
    <w:lvl w:ilvl="2" w:tplc="AF26B4A8" w:tentative="1">
      <w:start w:val="1"/>
      <w:numFmt w:val="bullet"/>
      <w:lvlText w:val="•"/>
      <w:lvlJc w:val="left"/>
      <w:pPr>
        <w:tabs>
          <w:tab w:val="num" w:pos="2160"/>
        </w:tabs>
        <w:ind w:left="2160" w:hanging="360"/>
      </w:pPr>
      <w:rPr>
        <w:rFonts w:ascii="Arial" w:hAnsi="Arial" w:hint="default"/>
      </w:rPr>
    </w:lvl>
    <w:lvl w:ilvl="3" w:tplc="355EB968" w:tentative="1">
      <w:start w:val="1"/>
      <w:numFmt w:val="bullet"/>
      <w:lvlText w:val="•"/>
      <w:lvlJc w:val="left"/>
      <w:pPr>
        <w:tabs>
          <w:tab w:val="num" w:pos="2880"/>
        </w:tabs>
        <w:ind w:left="2880" w:hanging="360"/>
      </w:pPr>
      <w:rPr>
        <w:rFonts w:ascii="Arial" w:hAnsi="Arial" w:hint="default"/>
      </w:rPr>
    </w:lvl>
    <w:lvl w:ilvl="4" w:tplc="702A5A52" w:tentative="1">
      <w:start w:val="1"/>
      <w:numFmt w:val="bullet"/>
      <w:lvlText w:val="•"/>
      <w:lvlJc w:val="left"/>
      <w:pPr>
        <w:tabs>
          <w:tab w:val="num" w:pos="3600"/>
        </w:tabs>
        <w:ind w:left="3600" w:hanging="360"/>
      </w:pPr>
      <w:rPr>
        <w:rFonts w:ascii="Arial" w:hAnsi="Arial" w:hint="default"/>
      </w:rPr>
    </w:lvl>
    <w:lvl w:ilvl="5" w:tplc="7DC44BFA" w:tentative="1">
      <w:start w:val="1"/>
      <w:numFmt w:val="bullet"/>
      <w:lvlText w:val="•"/>
      <w:lvlJc w:val="left"/>
      <w:pPr>
        <w:tabs>
          <w:tab w:val="num" w:pos="4320"/>
        </w:tabs>
        <w:ind w:left="4320" w:hanging="360"/>
      </w:pPr>
      <w:rPr>
        <w:rFonts w:ascii="Arial" w:hAnsi="Arial" w:hint="default"/>
      </w:rPr>
    </w:lvl>
    <w:lvl w:ilvl="6" w:tplc="42263494" w:tentative="1">
      <w:start w:val="1"/>
      <w:numFmt w:val="bullet"/>
      <w:lvlText w:val="•"/>
      <w:lvlJc w:val="left"/>
      <w:pPr>
        <w:tabs>
          <w:tab w:val="num" w:pos="5040"/>
        </w:tabs>
        <w:ind w:left="5040" w:hanging="360"/>
      </w:pPr>
      <w:rPr>
        <w:rFonts w:ascii="Arial" w:hAnsi="Arial" w:hint="default"/>
      </w:rPr>
    </w:lvl>
    <w:lvl w:ilvl="7" w:tplc="869A2F38" w:tentative="1">
      <w:start w:val="1"/>
      <w:numFmt w:val="bullet"/>
      <w:lvlText w:val="•"/>
      <w:lvlJc w:val="left"/>
      <w:pPr>
        <w:tabs>
          <w:tab w:val="num" w:pos="5760"/>
        </w:tabs>
        <w:ind w:left="5760" w:hanging="360"/>
      </w:pPr>
      <w:rPr>
        <w:rFonts w:ascii="Arial" w:hAnsi="Arial" w:hint="default"/>
      </w:rPr>
    </w:lvl>
    <w:lvl w:ilvl="8" w:tplc="C0F4CF3C" w:tentative="1">
      <w:start w:val="1"/>
      <w:numFmt w:val="bullet"/>
      <w:lvlText w:val="•"/>
      <w:lvlJc w:val="left"/>
      <w:pPr>
        <w:tabs>
          <w:tab w:val="num" w:pos="6480"/>
        </w:tabs>
        <w:ind w:left="6480" w:hanging="360"/>
      </w:pPr>
      <w:rPr>
        <w:rFonts w:ascii="Arial" w:hAnsi="Arial" w:hint="default"/>
      </w:rPr>
    </w:lvl>
  </w:abstractNum>
  <w:abstractNum w:abstractNumId="102" w15:restartNumberingAfterBreak="0">
    <w:nsid w:val="6FA00B98"/>
    <w:multiLevelType w:val="hybridMultilevel"/>
    <w:tmpl w:val="0512CE3A"/>
    <w:lvl w:ilvl="0" w:tplc="1A14F2C8">
      <w:start w:val="21"/>
      <w:numFmt w:val="bullet"/>
      <w:lvlText w:val="-"/>
      <w:lvlJc w:val="left"/>
      <w:pPr>
        <w:ind w:left="1440" w:hanging="360"/>
      </w:pPr>
      <w:rPr>
        <w:rFonts w:ascii="Courier New" w:eastAsia="Times New Roman"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3" w15:restartNumberingAfterBreak="0">
    <w:nsid w:val="70023E9F"/>
    <w:multiLevelType w:val="hybridMultilevel"/>
    <w:tmpl w:val="3AE48528"/>
    <w:lvl w:ilvl="0" w:tplc="04090001">
      <w:start w:val="1"/>
      <w:numFmt w:val="bullet"/>
      <w:lvlText w:val=""/>
      <w:lvlJc w:val="left"/>
      <w:pPr>
        <w:tabs>
          <w:tab w:val="num" w:pos="907"/>
        </w:tabs>
        <w:ind w:left="907" w:hanging="360"/>
      </w:pPr>
      <w:rPr>
        <w:rFonts w:ascii="Symbol" w:hAnsi="Symbol" w:hint="default"/>
      </w:rPr>
    </w:lvl>
    <w:lvl w:ilvl="1" w:tplc="04090003" w:tentative="1">
      <w:start w:val="1"/>
      <w:numFmt w:val="bullet"/>
      <w:lvlText w:val="o"/>
      <w:lvlJc w:val="left"/>
      <w:pPr>
        <w:tabs>
          <w:tab w:val="num" w:pos="1627"/>
        </w:tabs>
        <w:ind w:left="1627" w:hanging="360"/>
      </w:pPr>
      <w:rPr>
        <w:rFonts w:ascii="Courier New" w:hAnsi="Courier New" w:cs="Courier New" w:hint="default"/>
      </w:rPr>
    </w:lvl>
    <w:lvl w:ilvl="2" w:tplc="04090005" w:tentative="1">
      <w:start w:val="1"/>
      <w:numFmt w:val="bullet"/>
      <w:lvlText w:val=""/>
      <w:lvlJc w:val="left"/>
      <w:pPr>
        <w:tabs>
          <w:tab w:val="num" w:pos="2347"/>
        </w:tabs>
        <w:ind w:left="2347" w:hanging="360"/>
      </w:pPr>
      <w:rPr>
        <w:rFonts w:ascii="Wingdings" w:hAnsi="Wingdings" w:hint="default"/>
      </w:rPr>
    </w:lvl>
    <w:lvl w:ilvl="3" w:tplc="04090001" w:tentative="1">
      <w:start w:val="1"/>
      <w:numFmt w:val="bullet"/>
      <w:lvlText w:val=""/>
      <w:lvlJc w:val="left"/>
      <w:pPr>
        <w:tabs>
          <w:tab w:val="num" w:pos="3067"/>
        </w:tabs>
        <w:ind w:left="3067" w:hanging="360"/>
      </w:pPr>
      <w:rPr>
        <w:rFonts w:ascii="Symbol" w:hAnsi="Symbol" w:hint="default"/>
      </w:rPr>
    </w:lvl>
    <w:lvl w:ilvl="4" w:tplc="04090003" w:tentative="1">
      <w:start w:val="1"/>
      <w:numFmt w:val="bullet"/>
      <w:lvlText w:val="o"/>
      <w:lvlJc w:val="left"/>
      <w:pPr>
        <w:tabs>
          <w:tab w:val="num" w:pos="3787"/>
        </w:tabs>
        <w:ind w:left="3787" w:hanging="360"/>
      </w:pPr>
      <w:rPr>
        <w:rFonts w:ascii="Courier New" w:hAnsi="Courier New" w:cs="Courier New" w:hint="default"/>
      </w:rPr>
    </w:lvl>
    <w:lvl w:ilvl="5" w:tplc="04090005" w:tentative="1">
      <w:start w:val="1"/>
      <w:numFmt w:val="bullet"/>
      <w:lvlText w:val=""/>
      <w:lvlJc w:val="left"/>
      <w:pPr>
        <w:tabs>
          <w:tab w:val="num" w:pos="4507"/>
        </w:tabs>
        <w:ind w:left="4507" w:hanging="360"/>
      </w:pPr>
      <w:rPr>
        <w:rFonts w:ascii="Wingdings" w:hAnsi="Wingdings" w:hint="default"/>
      </w:rPr>
    </w:lvl>
    <w:lvl w:ilvl="6" w:tplc="04090001" w:tentative="1">
      <w:start w:val="1"/>
      <w:numFmt w:val="bullet"/>
      <w:lvlText w:val=""/>
      <w:lvlJc w:val="left"/>
      <w:pPr>
        <w:tabs>
          <w:tab w:val="num" w:pos="5227"/>
        </w:tabs>
        <w:ind w:left="5227" w:hanging="360"/>
      </w:pPr>
      <w:rPr>
        <w:rFonts w:ascii="Symbol" w:hAnsi="Symbol" w:hint="default"/>
      </w:rPr>
    </w:lvl>
    <w:lvl w:ilvl="7" w:tplc="04090003" w:tentative="1">
      <w:start w:val="1"/>
      <w:numFmt w:val="bullet"/>
      <w:lvlText w:val="o"/>
      <w:lvlJc w:val="left"/>
      <w:pPr>
        <w:tabs>
          <w:tab w:val="num" w:pos="5947"/>
        </w:tabs>
        <w:ind w:left="5947" w:hanging="360"/>
      </w:pPr>
      <w:rPr>
        <w:rFonts w:ascii="Courier New" w:hAnsi="Courier New" w:cs="Courier New" w:hint="default"/>
      </w:rPr>
    </w:lvl>
    <w:lvl w:ilvl="8" w:tplc="04090005" w:tentative="1">
      <w:start w:val="1"/>
      <w:numFmt w:val="bullet"/>
      <w:lvlText w:val=""/>
      <w:lvlJc w:val="left"/>
      <w:pPr>
        <w:tabs>
          <w:tab w:val="num" w:pos="6667"/>
        </w:tabs>
        <w:ind w:left="6667" w:hanging="360"/>
      </w:pPr>
      <w:rPr>
        <w:rFonts w:ascii="Wingdings" w:hAnsi="Wingdings" w:hint="default"/>
      </w:rPr>
    </w:lvl>
  </w:abstractNum>
  <w:abstractNum w:abstractNumId="104" w15:restartNumberingAfterBreak="0">
    <w:nsid w:val="70FA7CF1"/>
    <w:multiLevelType w:val="hybridMultilevel"/>
    <w:tmpl w:val="F7983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1AC343F"/>
    <w:multiLevelType w:val="hybridMultilevel"/>
    <w:tmpl w:val="29DC665C"/>
    <w:lvl w:ilvl="0" w:tplc="7236E06E">
      <w:start w:val="1"/>
      <w:numFmt w:val="lowerLetter"/>
      <w:lvlText w:val="(%1)"/>
      <w:lvlJc w:val="left"/>
      <w:pPr>
        <w:ind w:left="2308" w:hanging="360"/>
      </w:pPr>
      <w:rPr>
        <w:rFonts w:ascii="Times New Roman" w:eastAsia="Times New Roman" w:hAnsi="Times New Roman" w:hint="default"/>
        <w:spacing w:val="-1"/>
        <w:sz w:val="24"/>
        <w:szCs w:val="24"/>
      </w:rPr>
    </w:lvl>
    <w:lvl w:ilvl="1" w:tplc="8A74FCD2">
      <w:start w:val="1"/>
      <w:numFmt w:val="decimal"/>
      <w:lvlText w:val="(%2)"/>
      <w:lvlJc w:val="left"/>
      <w:pPr>
        <w:ind w:left="2740" w:hanging="360"/>
      </w:pPr>
      <w:rPr>
        <w:rFonts w:ascii="Times New Roman" w:eastAsia="Times New Roman" w:hAnsi="Times New Roman" w:hint="default"/>
        <w:spacing w:val="-1"/>
        <w:sz w:val="24"/>
        <w:szCs w:val="24"/>
      </w:rPr>
    </w:lvl>
    <w:lvl w:ilvl="2" w:tplc="C2C0DE6E">
      <w:start w:val="1"/>
      <w:numFmt w:val="bullet"/>
      <w:lvlText w:val="•"/>
      <w:lvlJc w:val="left"/>
      <w:pPr>
        <w:ind w:left="2740" w:hanging="360"/>
      </w:pPr>
      <w:rPr>
        <w:rFonts w:hint="default"/>
      </w:rPr>
    </w:lvl>
    <w:lvl w:ilvl="3" w:tplc="AD7272AC">
      <w:start w:val="1"/>
      <w:numFmt w:val="bullet"/>
      <w:lvlText w:val="•"/>
      <w:lvlJc w:val="left"/>
      <w:pPr>
        <w:ind w:left="3702" w:hanging="360"/>
      </w:pPr>
      <w:rPr>
        <w:rFonts w:hint="default"/>
      </w:rPr>
    </w:lvl>
    <w:lvl w:ilvl="4" w:tplc="92E25872">
      <w:start w:val="1"/>
      <w:numFmt w:val="bullet"/>
      <w:lvlText w:val="•"/>
      <w:lvlJc w:val="left"/>
      <w:pPr>
        <w:ind w:left="4665" w:hanging="360"/>
      </w:pPr>
      <w:rPr>
        <w:rFonts w:hint="default"/>
      </w:rPr>
    </w:lvl>
    <w:lvl w:ilvl="5" w:tplc="6C7EABC8">
      <w:start w:val="1"/>
      <w:numFmt w:val="bullet"/>
      <w:lvlText w:val="•"/>
      <w:lvlJc w:val="left"/>
      <w:pPr>
        <w:ind w:left="5627" w:hanging="360"/>
      </w:pPr>
      <w:rPr>
        <w:rFonts w:hint="default"/>
      </w:rPr>
    </w:lvl>
    <w:lvl w:ilvl="6" w:tplc="A71EBC4E">
      <w:start w:val="1"/>
      <w:numFmt w:val="bullet"/>
      <w:lvlText w:val="•"/>
      <w:lvlJc w:val="left"/>
      <w:pPr>
        <w:ind w:left="6590" w:hanging="360"/>
      </w:pPr>
      <w:rPr>
        <w:rFonts w:hint="default"/>
      </w:rPr>
    </w:lvl>
    <w:lvl w:ilvl="7" w:tplc="B6EAC4D8">
      <w:start w:val="1"/>
      <w:numFmt w:val="bullet"/>
      <w:lvlText w:val="•"/>
      <w:lvlJc w:val="left"/>
      <w:pPr>
        <w:ind w:left="7552" w:hanging="360"/>
      </w:pPr>
      <w:rPr>
        <w:rFonts w:hint="default"/>
      </w:rPr>
    </w:lvl>
    <w:lvl w:ilvl="8" w:tplc="45BEE2AC">
      <w:start w:val="1"/>
      <w:numFmt w:val="bullet"/>
      <w:lvlText w:val="•"/>
      <w:lvlJc w:val="left"/>
      <w:pPr>
        <w:ind w:left="8515" w:hanging="360"/>
      </w:pPr>
      <w:rPr>
        <w:rFonts w:hint="default"/>
      </w:rPr>
    </w:lvl>
  </w:abstractNum>
  <w:abstractNum w:abstractNumId="106" w15:restartNumberingAfterBreak="0">
    <w:nsid w:val="73BD5C5C"/>
    <w:multiLevelType w:val="hybridMultilevel"/>
    <w:tmpl w:val="DC96ECB4"/>
    <w:lvl w:ilvl="0" w:tplc="3D008934">
      <w:start w:val="1"/>
      <w:numFmt w:val="bullet"/>
      <w:lvlText w:val="•"/>
      <w:lvlJc w:val="left"/>
      <w:pPr>
        <w:tabs>
          <w:tab w:val="num" w:pos="720"/>
        </w:tabs>
        <w:ind w:left="720" w:hanging="360"/>
      </w:pPr>
      <w:rPr>
        <w:rFonts w:ascii="Arial" w:hAnsi="Arial" w:hint="default"/>
      </w:rPr>
    </w:lvl>
    <w:lvl w:ilvl="1" w:tplc="2E16556E" w:tentative="1">
      <w:start w:val="1"/>
      <w:numFmt w:val="bullet"/>
      <w:lvlText w:val="•"/>
      <w:lvlJc w:val="left"/>
      <w:pPr>
        <w:tabs>
          <w:tab w:val="num" w:pos="1440"/>
        </w:tabs>
        <w:ind w:left="1440" w:hanging="360"/>
      </w:pPr>
      <w:rPr>
        <w:rFonts w:ascii="Arial" w:hAnsi="Arial" w:hint="default"/>
      </w:rPr>
    </w:lvl>
    <w:lvl w:ilvl="2" w:tplc="D95AE17C" w:tentative="1">
      <w:start w:val="1"/>
      <w:numFmt w:val="bullet"/>
      <w:lvlText w:val="•"/>
      <w:lvlJc w:val="left"/>
      <w:pPr>
        <w:tabs>
          <w:tab w:val="num" w:pos="2160"/>
        </w:tabs>
        <w:ind w:left="2160" w:hanging="360"/>
      </w:pPr>
      <w:rPr>
        <w:rFonts w:ascii="Arial" w:hAnsi="Arial" w:hint="default"/>
      </w:rPr>
    </w:lvl>
    <w:lvl w:ilvl="3" w:tplc="09D454CE" w:tentative="1">
      <w:start w:val="1"/>
      <w:numFmt w:val="bullet"/>
      <w:lvlText w:val="•"/>
      <w:lvlJc w:val="left"/>
      <w:pPr>
        <w:tabs>
          <w:tab w:val="num" w:pos="2880"/>
        </w:tabs>
        <w:ind w:left="2880" w:hanging="360"/>
      </w:pPr>
      <w:rPr>
        <w:rFonts w:ascii="Arial" w:hAnsi="Arial" w:hint="default"/>
      </w:rPr>
    </w:lvl>
    <w:lvl w:ilvl="4" w:tplc="DA408260" w:tentative="1">
      <w:start w:val="1"/>
      <w:numFmt w:val="bullet"/>
      <w:lvlText w:val="•"/>
      <w:lvlJc w:val="left"/>
      <w:pPr>
        <w:tabs>
          <w:tab w:val="num" w:pos="3600"/>
        </w:tabs>
        <w:ind w:left="3600" w:hanging="360"/>
      </w:pPr>
      <w:rPr>
        <w:rFonts w:ascii="Arial" w:hAnsi="Arial" w:hint="default"/>
      </w:rPr>
    </w:lvl>
    <w:lvl w:ilvl="5" w:tplc="1D5A8A3E" w:tentative="1">
      <w:start w:val="1"/>
      <w:numFmt w:val="bullet"/>
      <w:lvlText w:val="•"/>
      <w:lvlJc w:val="left"/>
      <w:pPr>
        <w:tabs>
          <w:tab w:val="num" w:pos="4320"/>
        </w:tabs>
        <w:ind w:left="4320" w:hanging="360"/>
      </w:pPr>
      <w:rPr>
        <w:rFonts w:ascii="Arial" w:hAnsi="Arial" w:hint="default"/>
      </w:rPr>
    </w:lvl>
    <w:lvl w:ilvl="6" w:tplc="D264FE66" w:tentative="1">
      <w:start w:val="1"/>
      <w:numFmt w:val="bullet"/>
      <w:lvlText w:val="•"/>
      <w:lvlJc w:val="left"/>
      <w:pPr>
        <w:tabs>
          <w:tab w:val="num" w:pos="5040"/>
        </w:tabs>
        <w:ind w:left="5040" w:hanging="360"/>
      </w:pPr>
      <w:rPr>
        <w:rFonts w:ascii="Arial" w:hAnsi="Arial" w:hint="default"/>
      </w:rPr>
    </w:lvl>
    <w:lvl w:ilvl="7" w:tplc="5B08D4B0" w:tentative="1">
      <w:start w:val="1"/>
      <w:numFmt w:val="bullet"/>
      <w:lvlText w:val="•"/>
      <w:lvlJc w:val="left"/>
      <w:pPr>
        <w:tabs>
          <w:tab w:val="num" w:pos="5760"/>
        </w:tabs>
        <w:ind w:left="5760" w:hanging="360"/>
      </w:pPr>
      <w:rPr>
        <w:rFonts w:ascii="Arial" w:hAnsi="Arial" w:hint="default"/>
      </w:rPr>
    </w:lvl>
    <w:lvl w:ilvl="8" w:tplc="22E86B82" w:tentative="1">
      <w:start w:val="1"/>
      <w:numFmt w:val="bullet"/>
      <w:lvlText w:val="•"/>
      <w:lvlJc w:val="left"/>
      <w:pPr>
        <w:tabs>
          <w:tab w:val="num" w:pos="6480"/>
        </w:tabs>
        <w:ind w:left="6480" w:hanging="360"/>
      </w:pPr>
      <w:rPr>
        <w:rFonts w:ascii="Arial" w:hAnsi="Arial" w:hint="default"/>
      </w:rPr>
    </w:lvl>
  </w:abstractNum>
  <w:abstractNum w:abstractNumId="107" w15:restartNumberingAfterBreak="0">
    <w:nsid w:val="73E61C0E"/>
    <w:multiLevelType w:val="hybridMultilevel"/>
    <w:tmpl w:val="08C49650"/>
    <w:lvl w:ilvl="0" w:tplc="141AA0D8">
      <w:start w:val="1"/>
      <w:numFmt w:val="bullet"/>
      <w:lvlText w:val="•"/>
      <w:lvlJc w:val="left"/>
      <w:pPr>
        <w:tabs>
          <w:tab w:val="num" w:pos="720"/>
        </w:tabs>
        <w:ind w:left="720" w:hanging="360"/>
      </w:pPr>
      <w:rPr>
        <w:rFonts w:ascii="Arial" w:hAnsi="Arial" w:hint="default"/>
      </w:rPr>
    </w:lvl>
    <w:lvl w:ilvl="1" w:tplc="E59A0286">
      <w:start w:val="1"/>
      <w:numFmt w:val="bullet"/>
      <w:lvlText w:val="•"/>
      <w:lvlJc w:val="left"/>
      <w:pPr>
        <w:tabs>
          <w:tab w:val="num" w:pos="1440"/>
        </w:tabs>
        <w:ind w:left="1440" w:hanging="360"/>
      </w:pPr>
      <w:rPr>
        <w:rFonts w:ascii="Arial" w:hAnsi="Arial" w:hint="default"/>
      </w:rPr>
    </w:lvl>
    <w:lvl w:ilvl="2" w:tplc="28BCF94C" w:tentative="1">
      <w:start w:val="1"/>
      <w:numFmt w:val="bullet"/>
      <w:lvlText w:val="•"/>
      <w:lvlJc w:val="left"/>
      <w:pPr>
        <w:tabs>
          <w:tab w:val="num" w:pos="2160"/>
        </w:tabs>
        <w:ind w:left="2160" w:hanging="360"/>
      </w:pPr>
      <w:rPr>
        <w:rFonts w:ascii="Arial" w:hAnsi="Arial" w:hint="default"/>
      </w:rPr>
    </w:lvl>
    <w:lvl w:ilvl="3" w:tplc="6E645ADA" w:tentative="1">
      <w:start w:val="1"/>
      <w:numFmt w:val="bullet"/>
      <w:lvlText w:val="•"/>
      <w:lvlJc w:val="left"/>
      <w:pPr>
        <w:tabs>
          <w:tab w:val="num" w:pos="2880"/>
        </w:tabs>
        <w:ind w:left="2880" w:hanging="360"/>
      </w:pPr>
      <w:rPr>
        <w:rFonts w:ascii="Arial" w:hAnsi="Arial" w:hint="default"/>
      </w:rPr>
    </w:lvl>
    <w:lvl w:ilvl="4" w:tplc="F532422C" w:tentative="1">
      <w:start w:val="1"/>
      <w:numFmt w:val="bullet"/>
      <w:lvlText w:val="•"/>
      <w:lvlJc w:val="left"/>
      <w:pPr>
        <w:tabs>
          <w:tab w:val="num" w:pos="3600"/>
        </w:tabs>
        <w:ind w:left="3600" w:hanging="360"/>
      </w:pPr>
      <w:rPr>
        <w:rFonts w:ascii="Arial" w:hAnsi="Arial" w:hint="default"/>
      </w:rPr>
    </w:lvl>
    <w:lvl w:ilvl="5" w:tplc="F7B449A6" w:tentative="1">
      <w:start w:val="1"/>
      <w:numFmt w:val="bullet"/>
      <w:lvlText w:val="•"/>
      <w:lvlJc w:val="left"/>
      <w:pPr>
        <w:tabs>
          <w:tab w:val="num" w:pos="4320"/>
        </w:tabs>
        <w:ind w:left="4320" w:hanging="360"/>
      </w:pPr>
      <w:rPr>
        <w:rFonts w:ascii="Arial" w:hAnsi="Arial" w:hint="default"/>
      </w:rPr>
    </w:lvl>
    <w:lvl w:ilvl="6" w:tplc="D74C2922" w:tentative="1">
      <w:start w:val="1"/>
      <w:numFmt w:val="bullet"/>
      <w:lvlText w:val="•"/>
      <w:lvlJc w:val="left"/>
      <w:pPr>
        <w:tabs>
          <w:tab w:val="num" w:pos="5040"/>
        </w:tabs>
        <w:ind w:left="5040" w:hanging="360"/>
      </w:pPr>
      <w:rPr>
        <w:rFonts w:ascii="Arial" w:hAnsi="Arial" w:hint="default"/>
      </w:rPr>
    </w:lvl>
    <w:lvl w:ilvl="7" w:tplc="5ADE5866" w:tentative="1">
      <w:start w:val="1"/>
      <w:numFmt w:val="bullet"/>
      <w:lvlText w:val="•"/>
      <w:lvlJc w:val="left"/>
      <w:pPr>
        <w:tabs>
          <w:tab w:val="num" w:pos="5760"/>
        </w:tabs>
        <w:ind w:left="5760" w:hanging="360"/>
      </w:pPr>
      <w:rPr>
        <w:rFonts w:ascii="Arial" w:hAnsi="Arial" w:hint="default"/>
      </w:rPr>
    </w:lvl>
    <w:lvl w:ilvl="8" w:tplc="AF807128" w:tentative="1">
      <w:start w:val="1"/>
      <w:numFmt w:val="bullet"/>
      <w:lvlText w:val="•"/>
      <w:lvlJc w:val="left"/>
      <w:pPr>
        <w:tabs>
          <w:tab w:val="num" w:pos="6480"/>
        </w:tabs>
        <w:ind w:left="6480" w:hanging="360"/>
      </w:pPr>
      <w:rPr>
        <w:rFonts w:ascii="Arial" w:hAnsi="Arial" w:hint="default"/>
      </w:rPr>
    </w:lvl>
  </w:abstractNum>
  <w:abstractNum w:abstractNumId="108" w15:restartNumberingAfterBreak="0">
    <w:nsid w:val="74AC4E20"/>
    <w:multiLevelType w:val="hybridMultilevel"/>
    <w:tmpl w:val="C450E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9" w15:restartNumberingAfterBreak="0">
    <w:nsid w:val="77E606DF"/>
    <w:multiLevelType w:val="hybridMultilevel"/>
    <w:tmpl w:val="ECCC0F86"/>
    <w:lvl w:ilvl="0" w:tplc="E38AAD82">
      <w:start w:val="14"/>
      <w:numFmt w:val="decimal"/>
      <w:lvlText w:val="%1."/>
      <w:lvlJc w:val="left"/>
      <w:pPr>
        <w:tabs>
          <w:tab w:val="num" w:pos="540"/>
        </w:tabs>
        <w:ind w:left="540" w:hanging="54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0" w15:restartNumberingAfterBreak="0">
    <w:nsid w:val="783E316E"/>
    <w:multiLevelType w:val="hybridMultilevel"/>
    <w:tmpl w:val="2902B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8400087"/>
    <w:multiLevelType w:val="hybridMultilevel"/>
    <w:tmpl w:val="B6BA7F24"/>
    <w:lvl w:ilvl="0" w:tplc="E82C73EC">
      <w:start w:val="1"/>
      <w:numFmt w:val="bullet"/>
      <w:lvlText w:val="•"/>
      <w:lvlJc w:val="left"/>
      <w:pPr>
        <w:tabs>
          <w:tab w:val="num" w:pos="720"/>
        </w:tabs>
        <w:ind w:left="720" w:hanging="360"/>
      </w:pPr>
      <w:rPr>
        <w:rFonts w:ascii="Arial" w:hAnsi="Arial" w:hint="default"/>
      </w:rPr>
    </w:lvl>
    <w:lvl w:ilvl="1" w:tplc="A00A18FC">
      <w:start w:val="1"/>
      <w:numFmt w:val="bullet"/>
      <w:lvlText w:val="•"/>
      <w:lvlJc w:val="left"/>
      <w:pPr>
        <w:tabs>
          <w:tab w:val="num" w:pos="1440"/>
        </w:tabs>
        <w:ind w:left="1440" w:hanging="360"/>
      </w:pPr>
      <w:rPr>
        <w:rFonts w:ascii="Arial" w:hAnsi="Arial" w:hint="default"/>
      </w:rPr>
    </w:lvl>
    <w:lvl w:ilvl="2" w:tplc="D6BC830A" w:tentative="1">
      <w:start w:val="1"/>
      <w:numFmt w:val="bullet"/>
      <w:lvlText w:val="•"/>
      <w:lvlJc w:val="left"/>
      <w:pPr>
        <w:tabs>
          <w:tab w:val="num" w:pos="2160"/>
        </w:tabs>
        <w:ind w:left="2160" w:hanging="360"/>
      </w:pPr>
      <w:rPr>
        <w:rFonts w:ascii="Arial" w:hAnsi="Arial" w:hint="default"/>
      </w:rPr>
    </w:lvl>
    <w:lvl w:ilvl="3" w:tplc="A0AA176E" w:tentative="1">
      <w:start w:val="1"/>
      <w:numFmt w:val="bullet"/>
      <w:lvlText w:val="•"/>
      <w:lvlJc w:val="left"/>
      <w:pPr>
        <w:tabs>
          <w:tab w:val="num" w:pos="2880"/>
        </w:tabs>
        <w:ind w:left="2880" w:hanging="360"/>
      </w:pPr>
      <w:rPr>
        <w:rFonts w:ascii="Arial" w:hAnsi="Arial" w:hint="default"/>
      </w:rPr>
    </w:lvl>
    <w:lvl w:ilvl="4" w:tplc="2A9CFD98" w:tentative="1">
      <w:start w:val="1"/>
      <w:numFmt w:val="bullet"/>
      <w:lvlText w:val="•"/>
      <w:lvlJc w:val="left"/>
      <w:pPr>
        <w:tabs>
          <w:tab w:val="num" w:pos="3600"/>
        </w:tabs>
        <w:ind w:left="3600" w:hanging="360"/>
      </w:pPr>
      <w:rPr>
        <w:rFonts w:ascii="Arial" w:hAnsi="Arial" w:hint="default"/>
      </w:rPr>
    </w:lvl>
    <w:lvl w:ilvl="5" w:tplc="5EC8745E" w:tentative="1">
      <w:start w:val="1"/>
      <w:numFmt w:val="bullet"/>
      <w:lvlText w:val="•"/>
      <w:lvlJc w:val="left"/>
      <w:pPr>
        <w:tabs>
          <w:tab w:val="num" w:pos="4320"/>
        </w:tabs>
        <w:ind w:left="4320" w:hanging="360"/>
      </w:pPr>
      <w:rPr>
        <w:rFonts w:ascii="Arial" w:hAnsi="Arial" w:hint="default"/>
      </w:rPr>
    </w:lvl>
    <w:lvl w:ilvl="6" w:tplc="BF48BFEA" w:tentative="1">
      <w:start w:val="1"/>
      <w:numFmt w:val="bullet"/>
      <w:lvlText w:val="•"/>
      <w:lvlJc w:val="left"/>
      <w:pPr>
        <w:tabs>
          <w:tab w:val="num" w:pos="5040"/>
        </w:tabs>
        <w:ind w:left="5040" w:hanging="360"/>
      </w:pPr>
      <w:rPr>
        <w:rFonts w:ascii="Arial" w:hAnsi="Arial" w:hint="default"/>
      </w:rPr>
    </w:lvl>
    <w:lvl w:ilvl="7" w:tplc="2F3205C0" w:tentative="1">
      <w:start w:val="1"/>
      <w:numFmt w:val="bullet"/>
      <w:lvlText w:val="•"/>
      <w:lvlJc w:val="left"/>
      <w:pPr>
        <w:tabs>
          <w:tab w:val="num" w:pos="5760"/>
        </w:tabs>
        <w:ind w:left="5760" w:hanging="360"/>
      </w:pPr>
      <w:rPr>
        <w:rFonts w:ascii="Arial" w:hAnsi="Arial" w:hint="default"/>
      </w:rPr>
    </w:lvl>
    <w:lvl w:ilvl="8" w:tplc="19B80DC0" w:tentative="1">
      <w:start w:val="1"/>
      <w:numFmt w:val="bullet"/>
      <w:lvlText w:val="•"/>
      <w:lvlJc w:val="left"/>
      <w:pPr>
        <w:tabs>
          <w:tab w:val="num" w:pos="6480"/>
        </w:tabs>
        <w:ind w:left="6480" w:hanging="360"/>
      </w:pPr>
      <w:rPr>
        <w:rFonts w:ascii="Arial" w:hAnsi="Arial" w:hint="default"/>
      </w:rPr>
    </w:lvl>
  </w:abstractNum>
  <w:abstractNum w:abstractNumId="112" w15:restartNumberingAfterBreak="0">
    <w:nsid w:val="78676060"/>
    <w:multiLevelType w:val="hybridMultilevel"/>
    <w:tmpl w:val="15863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AA97EC9"/>
    <w:multiLevelType w:val="hybridMultilevel"/>
    <w:tmpl w:val="6B68D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C663692"/>
    <w:multiLevelType w:val="hybridMultilevel"/>
    <w:tmpl w:val="600E6A5C"/>
    <w:lvl w:ilvl="0" w:tplc="04090001">
      <w:start w:val="1"/>
      <w:numFmt w:val="bullet"/>
      <w:lvlText w:val=""/>
      <w:lvlJc w:val="left"/>
      <w:pPr>
        <w:tabs>
          <w:tab w:val="num" w:pos="907"/>
        </w:tabs>
        <w:ind w:left="907" w:hanging="360"/>
      </w:pPr>
      <w:rPr>
        <w:rFonts w:ascii="Symbol" w:hAnsi="Symbol" w:hint="default"/>
      </w:rPr>
    </w:lvl>
    <w:lvl w:ilvl="1" w:tplc="04090003" w:tentative="1">
      <w:start w:val="1"/>
      <w:numFmt w:val="bullet"/>
      <w:lvlText w:val="o"/>
      <w:lvlJc w:val="left"/>
      <w:pPr>
        <w:tabs>
          <w:tab w:val="num" w:pos="1627"/>
        </w:tabs>
        <w:ind w:left="1627" w:hanging="360"/>
      </w:pPr>
      <w:rPr>
        <w:rFonts w:ascii="Courier New" w:hAnsi="Courier New" w:cs="Courier New" w:hint="default"/>
      </w:rPr>
    </w:lvl>
    <w:lvl w:ilvl="2" w:tplc="04090005" w:tentative="1">
      <w:start w:val="1"/>
      <w:numFmt w:val="bullet"/>
      <w:lvlText w:val=""/>
      <w:lvlJc w:val="left"/>
      <w:pPr>
        <w:tabs>
          <w:tab w:val="num" w:pos="2347"/>
        </w:tabs>
        <w:ind w:left="2347" w:hanging="360"/>
      </w:pPr>
      <w:rPr>
        <w:rFonts w:ascii="Wingdings" w:hAnsi="Wingdings" w:hint="default"/>
      </w:rPr>
    </w:lvl>
    <w:lvl w:ilvl="3" w:tplc="04090001" w:tentative="1">
      <w:start w:val="1"/>
      <w:numFmt w:val="bullet"/>
      <w:lvlText w:val=""/>
      <w:lvlJc w:val="left"/>
      <w:pPr>
        <w:tabs>
          <w:tab w:val="num" w:pos="3067"/>
        </w:tabs>
        <w:ind w:left="3067" w:hanging="360"/>
      </w:pPr>
      <w:rPr>
        <w:rFonts w:ascii="Symbol" w:hAnsi="Symbol" w:hint="default"/>
      </w:rPr>
    </w:lvl>
    <w:lvl w:ilvl="4" w:tplc="04090003" w:tentative="1">
      <w:start w:val="1"/>
      <w:numFmt w:val="bullet"/>
      <w:lvlText w:val="o"/>
      <w:lvlJc w:val="left"/>
      <w:pPr>
        <w:tabs>
          <w:tab w:val="num" w:pos="3787"/>
        </w:tabs>
        <w:ind w:left="3787" w:hanging="360"/>
      </w:pPr>
      <w:rPr>
        <w:rFonts w:ascii="Courier New" w:hAnsi="Courier New" w:cs="Courier New" w:hint="default"/>
      </w:rPr>
    </w:lvl>
    <w:lvl w:ilvl="5" w:tplc="04090005" w:tentative="1">
      <w:start w:val="1"/>
      <w:numFmt w:val="bullet"/>
      <w:lvlText w:val=""/>
      <w:lvlJc w:val="left"/>
      <w:pPr>
        <w:tabs>
          <w:tab w:val="num" w:pos="4507"/>
        </w:tabs>
        <w:ind w:left="4507" w:hanging="360"/>
      </w:pPr>
      <w:rPr>
        <w:rFonts w:ascii="Wingdings" w:hAnsi="Wingdings" w:hint="default"/>
      </w:rPr>
    </w:lvl>
    <w:lvl w:ilvl="6" w:tplc="04090001" w:tentative="1">
      <w:start w:val="1"/>
      <w:numFmt w:val="bullet"/>
      <w:lvlText w:val=""/>
      <w:lvlJc w:val="left"/>
      <w:pPr>
        <w:tabs>
          <w:tab w:val="num" w:pos="5227"/>
        </w:tabs>
        <w:ind w:left="5227" w:hanging="360"/>
      </w:pPr>
      <w:rPr>
        <w:rFonts w:ascii="Symbol" w:hAnsi="Symbol" w:hint="default"/>
      </w:rPr>
    </w:lvl>
    <w:lvl w:ilvl="7" w:tplc="04090003" w:tentative="1">
      <w:start w:val="1"/>
      <w:numFmt w:val="bullet"/>
      <w:lvlText w:val="o"/>
      <w:lvlJc w:val="left"/>
      <w:pPr>
        <w:tabs>
          <w:tab w:val="num" w:pos="5947"/>
        </w:tabs>
        <w:ind w:left="5947" w:hanging="360"/>
      </w:pPr>
      <w:rPr>
        <w:rFonts w:ascii="Courier New" w:hAnsi="Courier New" w:cs="Courier New" w:hint="default"/>
      </w:rPr>
    </w:lvl>
    <w:lvl w:ilvl="8" w:tplc="04090005" w:tentative="1">
      <w:start w:val="1"/>
      <w:numFmt w:val="bullet"/>
      <w:lvlText w:val=""/>
      <w:lvlJc w:val="left"/>
      <w:pPr>
        <w:tabs>
          <w:tab w:val="num" w:pos="6667"/>
        </w:tabs>
        <w:ind w:left="6667" w:hanging="360"/>
      </w:pPr>
      <w:rPr>
        <w:rFonts w:ascii="Wingdings" w:hAnsi="Wingdings" w:hint="default"/>
      </w:rPr>
    </w:lvl>
  </w:abstractNum>
  <w:abstractNum w:abstractNumId="115" w15:restartNumberingAfterBreak="0">
    <w:nsid w:val="7C8845AB"/>
    <w:multiLevelType w:val="hybridMultilevel"/>
    <w:tmpl w:val="EFCE71F2"/>
    <w:lvl w:ilvl="0" w:tplc="03923D58">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F6E6176"/>
    <w:multiLevelType w:val="hybridMultilevel"/>
    <w:tmpl w:val="8E6EBC94"/>
    <w:lvl w:ilvl="0" w:tplc="2B4A0FD4">
      <w:start w:val="1"/>
      <w:numFmt w:val="decimal"/>
      <w:lvlText w:val="%1."/>
      <w:lvlJc w:val="left"/>
      <w:pPr>
        <w:ind w:left="160" w:hanging="200"/>
      </w:pPr>
      <w:rPr>
        <w:rFonts w:ascii="Times New Roman" w:eastAsia="Times New Roman" w:hAnsi="Times New Roman" w:hint="default"/>
        <w:w w:val="111"/>
        <w:sz w:val="18"/>
        <w:szCs w:val="18"/>
      </w:rPr>
    </w:lvl>
    <w:lvl w:ilvl="1" w:tplc="AA24BEAE">
      <w:start w:val="1"/>
      <w:numFmt w:val="bullet"/>
      <w:lvlText w:val="•"/>
      <w:lvlJc w:val="left"/>
      <w:pPr>
        <w:ind w:left="495" w:hanging="200"/>
      </w:pPr>
      <w:rPr>
        <w:rFonts w:hint="default"/>
      </w:rPr>
    </w:lvl>
    <w:lvl w:ilvl="2" w:tplc="C9DC844E">
      <w:start w:val="1"/>
      <w:numFmt w:val="bullet"/>
      <w:lvlText w:val="•"/>
      <w:lvlJc w:val="left"/>
      <w:pPr>
        <w:ind w:left="831" w:hanging="200"/>
      </w:pPr>
      <w:rPr>
        <w:rFonts w:hint="default"/>
      </w:rPr>
    </w:lvl>
    <w:lvl w:ilvl="3" w:tplc="064E4DA6">
      <w:start w:val="1"/>
      <w:numFmt w:val="bullet"/>
      <w:lvlText w:val="•"/>
      <w:lvlJc w:val="left"/>
      <w:pPr>
        <w:ind w:left="1166" w:hanging="200"/>
      </w:pPr>
      <w:rPr>
        <w:rFonts w:hint="default"/>
      </w:rPr>
    </w:lvl>
    <w:lvl w:ilvl="4" w:tplc="2B303856">
      <w:start w:val="1"/>
      <w:numFmt w:val="bullet"/>
      <w:lvlText w:val="•"/>
      <w:lvlJc w:val="left"/>
      <w:pPr>
        <w:ind w:left="1502" w:hanging="200"/>
      </w:pPr>
      <w:rPr>
        <w:rFonts w:hint="default"/>
      </w:rPr>
    </w:lvl>
    <w:lvl w:ilvl="5" w:tplc="CCDE0E68">
      <w:start w:val="1"/>
      <w:numFmt w:val="bullet"/>
      <w:lvlText w:val="•"/>
      <w:lvlJc w:val="left"/>
      <w:pPr>
        <w:ind w:left="1838" w:hanging="200"/>
      </w:pPr>
      <w:rPr>
        <w:rFonts w:hint="default"/>
      </w:rPr>
    </w:lvl>
    <w:lvl w:ilvl="6" w:tplc="2F704D28">
      <w:start w:val="1"/>
      <w:numFmt w:val="bullet"/>
      <w:lvlText w:val="•"/>
      <w:lvlJc w:val="left"/>
      <w:pPr>
        <w:ind w:left="2173" w:hanging="200"/>
      </w:pPr>
      <w:rPr>
        <w:rFonts w:hint="default"/>
      </w:rPr>
    </w:lvl>
    <w:lvl w:ilvl="7" w:tplc="897246E8">
      <w:start w:val="1"/>
      <w:numFmt w:val="bullet"/>
      <w:lvlText w:val="•"/>
      <w:lvlJc w:val="left"/>
      <w:pPr>
        <w:ind w:left="2509" w:hanging="200"/>
      </w:pPr>
      <w:rPr>
        <w:rFonts w:hint="default"/>
      </w:rPr>
    </w:lvl>
    <w:lvl w:ilvl="8" w:tplc="BE1825C8">
      <w:start w:val="1"/>
      <w:numFmt w:val="bullet"/>
      <w:lvlText w:val="•"/>
      <w:lvlJc w:val="left"/>
      <w:pPr>
        <w:ind w:left="2844" w:hanging="200"/>
      </w:pPr>
      <w:rPr>
        <w:rFonts w:hint="default"/>
      </w:rPr>
    </w:lvl>
  </w:abstractNum>
  <w:num w:numId="1">
    <w:abstractNumId w:val="70"/>
  </w:num>
  <w:num w:numId="2">
    <w:abstractNumId w:val="77"/>
  </w:num>
  <w:num w:numId="3">
    <w:abstractNumId w:val="82"/>
  </w:num>
  <w:num w:numId="4">
    <w:abstractNumId w:val="35"/>
  </w:num>
  <w:num w:numId="5">
    <w:abstractNumId w:val="63"/>
  </w:num>
  <w:num w:numId="6">
    <w:abstractNumId w:val="67"/>
  </w:num>
  <w:num w:numId="7">
    <w:abstractNumId w:val="11"/>
  </w:num>
  <w:num w:numId="8">
    <w:abstractNumId w:val="66"/>
  </w:num>
  <w:num w:numId="9">
    <w:abstractNumId w:val="88"/>
  </w:num>
  <w:num w:numId="10">
    <w:abstractNumId w:val="65"/>
  </w:num>
  <w:num w:numId="11">
    <w:abstractNumId w:val="61"/>
  </w:num>
  <w:num w:numId="12">
    <w:abstractNumId w:val="6"/>
  </w:num>
  <w:num w:numId="13">
    <w:abstractNumId w:val="100"/>
  </w:num>
  <w:num w:numId="14">
    <w:abstractNumId w:val="7"/>
  </w:num>
  <w:num w:numId="15">
    <w:abstractNumId w:val="29"/>
  </w:num>
  <w:num w:numId="16">
    <w:abstractNumId w:val="79"/>
  </w:num>
  <w:num w:numId="17">
    <w:abstractNumId w:val="102"/>
  </w:num>
  <w:num w:numId="18">
    <w:abstractNumId w:val="30"/>
  </w:num>
  <w:num w:numId="19">
    <w:abstractNumId w:val="108"/>
  </w:num>
  <w:num w:numId="20">
    <w:abstractNumId w:val="91"/>
  </w:num>
  <w:num w:numId="21">
    <w:abstractNumId w:val="45"/>
  </w:num>
  <w:num w:numId="22">
    <w:abstractNumId w:val="97"/>
  </w:num>
  <w:num w:numId="23">
    <w:abstractNumId w:val="84"/>
  </w:num>
  <w:num w:numId="24">
    <w:abstractNumId w:val="17"/>
  </w:num>
  <w:num w:numId="25">
    <w:abstractNumId w:val="93"/>
  </w:num>
  <w:num w:numId="26">
    <w:abstractNumId w:val="74"/>
  </w:num>
  <w:num w:numId="27">
    <w:abstractNumId w:val="10"/>
  </w:num>
  <w:num w:numId="28">
    <w:abstractNumId w:val="0"/>
  </w:num>
  <w:num w:numId="29">
    <w:abstractNumId w:val="41"/>
  </w:num>
  <w:num w:numId="30">
    <w:abstractNumId w:val="109"/>
  </w:num>
  <w:num w:numId="31">
    <w:abstractNumId w:val="9"/>
  </w:num>
  <w:num w:numId="32">
    <w:abstractNumId w:val="20"/>
  </w:num>
  <w:num w:numId="33">
    <w:abstractNumId w:val="44"/>
  </w:num>
  <w:num w:numId="34">
    <w:abstractNumId w:val="37"/>
  </w:num>
  <w:num w:numId="35">
    <w:abstractNumId w:val="49"/>
  </w:num>
  <w:num w:numId="36">
    <w:abstractNumId w:val="32"/>
  </w:num>
  <w:num w:numId="37">
    <w:abstractNumId w:val="114"/>
  </w:num>
  <w:num w:numId="38">
    <w:abstractNumId w:val="2"/>
  </w:num>
  <w:num w:numId="39">
    <w:abstractNumId w:val="8"/>
  </w:num>
  <w:num w:numId="40">
    <w:abstractNumId w:val="87"/>
  </w:num>
  <w:num w:numId="41">
    <w:abstractNumId w:val="1"/>
  </w:num>
  <w:num w:numId="42">
    <w:abstractNumId w:val="80"/>
  </w:num>
  <w:num w:numId="43">
    <w:abstractNumId w:val="103"/>
  </w:num>
  <w:num w:numId="44">
    <w:abstractNumId w:val="50"/>
  </w:num>
  <w:num w:numId="45">
    <w:abstractNumId w:val="33"/>
  </w:num>
  <w:num w:numId="46">
    <w:abstractNumId w:val="51"/>
  </w:num>
  <w:num w:numId="47">
    <w:abstractNumId w:val="42"/>
  </w:num>
  <w:num w:numId="48">
    <w:abstractNumId w:val="73"/>
  </w:num>
  <w:num w:numId="49">
    <w:abstractNumId w:val="40"/>
  </w:num>
  <w:num w:numId="50">
    <w:abstractNumId w:val="90"/>
  </w:num>
  <w:num w:numId="51">
    <w:abstractNumId w:val="94"/>
  </w:num>
  <w:num w:numId="52">
    <w:abstractNumId w:val="69"/>
  </w:num>
  <w:num w:numId="53">
    <w:abstractNumId w:val="111"/>
  </w:num>
  <w:num w:numId="54">
    <w:abstractNumId w:val="76"/>
  </w:num>
  <w:num w:numId="55">
    <w:abstractNumId w:val="36"/>
  </w:num>
  <w:num w:numId="56">
    <w:abstractNumId w:val="53"/>
  </w:num>
  <w:num w:numId="57">
    <w:abstractNumId w:val="47"/>
  </w:num>
  <w:num w:numId="58">
    <w:abstractNumId w:val="85"/>
  </w:num>
  <w:num w:numId="59">
    <w:abstractNumId w:val="13"/>
  </w:num>
  <w:num w:numId="60">
    <w:abstractNumId w:val="16"/>
  </w:num>
  <w:num w:numId="61">
    <w:abstractNumId w:val="15"/>
  </w:num>
  <w:num w:numId="62">
    <w:abstractNumId w:val="72"/>
  </w:num>
  <w:num w:numId="63">
    <w:abstractNumId w:val="57"/>
  </w:num>
  <w:num w:numId="64">
    <w:abstractNumId w:val="107"/>
  </w:num>
  <w:num w:numId="65">
    <w:abstractNumId w:val="96"/>
  </w:num>
  <w:num w:numId="66">
    <w:abstractNumId w:val="106"/>
  </w:num>
  <w:num w:numId="67">
    <w:abstractNumId w:val="83"/>
  </w:num>
  <w:num w:numId="68">
    <w:abstractNumId w:val="58"/>
  </w:num>
  <w:num w:numId="69">
    <w:abstractNumId w:val="89"/>
  </w:num>
  <w:num w:numId="70">
    <w:abstractNumId w:val="48"/>
  </w:num>
  <w:num w:numId="71">
    <w:abstractNumId w:val="98"/>
  </w:num>
  <w:num w:numId="72">
    <w:abstractNumId w:val="34"/>
  </w:num>
  <w:num w:numId="73">
    <w:abstractNumId w:val="104"/>
  </w:num>
  <w:num w:numId="74">
    <w:abstractNumId w:val="14"/>
  </w:num>
  <w:num w:numId="75">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2"/>
  </w:num>
  <w:num w:numId="79">
    <w:abstractNumId w:val="21"/>
  </w:num>
  <w:num w:numId="80">
    <w:abstractNumId w:val="92"/>
  </w:num>
  <w:num w:numId="81">
    <w:abstractNumId w:val="99"/>
  </w:num>
  <w:num w:numId="82">
    <w:abstractNumId w:val="18"/>
  </w:num>
  <w:num w:numId="83">
    <w:abstractNumId w:val="101"/>
  </w:num>
  <w:num w:numId="84">
    <w:abstractNumId w:val="56"/>
  </w:num>
  <w:num w:numId="85">
    <w:abstractNumId w:val="115"/>
  </w:num>
  <w:num w:numId="86">
    <w:abstractNumId w:val="26"/>
  </w:num>
  <w:num w:numId="87">
    <w:abstractNumId w:val="54"/>
  </w:num>
  <w:num w:numId="88">
    <w:abstractNumId w:val="113"/>
  </w:num>
  <w:num w:numId="89">
    <w:abstractNumId w:val="78"/>
  </w:num>
  <w:num w:numId="90">
    <w:abstractNumId w:val="64"/>
  </w:num>
  <w:num w:numId="91">
    <w:abstractNumId w:val="38"/>
  </w:num>
  <w:num w:numId="92">
    <w:abstractNumId w:val="22"/>
  </w:num>
  <w:num w:numId="93">
    <w:abstractNumId w:val="3"/>
  </w:num>
  <w:num w:numId="94">
    <w:abstractNumId w:val="62"/>
  </w:num>
  <w:num w:numId="95">
    <w:abstractNumId w:val="52"/>
  </w:num>
  <w:num w:numId="96">
    <w:abstractNumId w:val="86"/>
  </w:num>
  <w:num w:numId="97">
    <w:abstractNumId w:val="5"/>
  </w:num>
  <w:num w:numId="98">
    <w:abstractNumId w:val="71"/>
  </w:num>
  <w:num w:numId="99">
    <w:abstractNumId w:val="4"/>
  </w:num>
  <w:num w:numId="100">
    <w:abstractNumId w:val="23"/>
  </w:num>
  <w:num w:numId="101">
    <w:abstractNumId w:val="112"/>
  </w:num>
  <w:num w:numId="102">
    <w:abstractNumId w:val="110"/>
  </w:num>
  <w:num w:numId="103">
    <w:abstractNumId w:val="43"/>
  </w:num>
  <w:num w:numId="104">
    <w:abstractNumId w:val="28"/>
  </w:num>
  <w:num w:numId="105">
    <w:abstractNumId w:val="27"/>
  </w:num>
  <w:num w:numId="106">
    <w:abstractNumId w:val="25"/>
  </w:num>
  <w:num w:numId="107">
    <w:abstractNumId w:val="55"/>
  </w:num>
  <w:num w:numId="108">
    <w:abstractNumId w:val="19"/>
  </w:num>
  <w:num w:numId="109">
    <w:abstractNumId w:val="60"/>
  </w:num>
  <w:num w:numId="110">
    <w:abstractNumId w:val="68"/>
  </w:num>
  <w:num w:numId="111">
    <w:abstractNumId w:val="105"/>
  </w:num>
  <w:num w:numId="112">
    <w:abstractNumId w:val="59"/>
  </w:num>
  <w:num w:numId="113">
    <w:abstractNumId w:val="31"/>
  </w:num>
  <w:num w:numId="114">
    <w:abstractNumId w:val="81"/>
  </w:num>
  <w:num w:numId="115">
    <w:abstractNumId w:val="39"/>
  </w:num>
  <w:num w:numId="116">
    <w:abstractNumId w:val="46"/>
  </w:num>
  <w:num w:numId="117">
    <w:abstractNumId w:val="116"/>
  </w:num>
  <w:num w:numId="118">
    <w:abstractNumId w:val="75"/>
  </w:num>
  <w:num w:numId="119">
    <w:abstractNumId w:val="24"/>
  </w:num>
  <w:num w:numId="120">
    <w:abstractNumId w:val="95"/>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C23"/>
    <w:rsid w:val="00000783"/>
    <w:rsid w:val="000058AC"/>
    <w:rsid w:val="00005C6C"/>
    <w:rsid w:val="00006DC1"/>
    <w:rsid w:val="000075E0"/>
    <w:rsid w:val="00010380"/>
    <w:rsid w:val="00014428"/>
    <w:rsid w:val="00015E62"/>
    <w:rsid w:val="00020D09"/>
    <w:rsid w:val="00022586"/>
    <w:rsid w:val="000231A1"/>
    <w:rsid w:val="000367D5"/>
    <w:rsid w:val="00042321"/>
    <w:rsid w:val="00051C23"/>
    <w:rsid w:val="000521AD"/>
    <w:rsid w:val="00053FDE"/>
    <w:rsid w:val="00056C4B"/>
    <w:rsid w:val="00072821"/>
    <w:rsid w:val="00075889"/>
    <w:rsid w:val="000810FA"/>
    <w:rsid w:val="00083254"/>
    <w:rsid w:val="000865D4"/>
    <w:rsid w:val="00087BDC"/>
    <w:rsid w:val="0009007E"/>
    <w:rsid w:val="000927F0"/>
    <w:rsid w:val="000947B0"/>
    <w:rsid w:val="0009542E"/>
    <w:rsid w:val="0009650F"/>
    <w:rsid w:val="000C06DF"/>
    <w:rsid w:val="000C6129"/>
    <w:rsid w:val="000C65CF"/>
    <w:rsid w:val="000C7402"/>
    <w:rsid w:val="000D3BE9"/>
    <w:rsid w:val="000D44F1"/>
    <w:rsid w:val="000D51BF"/>
    <w:rsid w:val="000D5722"/>
    <w:rsid w:val="000D594E"/>
    <w:rsid w:val="000D7391"/>
    <w:rsid w:val="000E1F85"/>
    <w:rsid w:val="000E71F8"/>
    <w:rsid w:val="000E7C62"/>
    <w:rsid w:val="000F069F"/>
    <w:rsid w:val="000F11C8"/>
    <w:rsid w:val="000F21C0"/>
    <w:rsid w:val="000F64CE"/>
    <w:rsid w:val="000F7665"/>
    <w:rsid w:val="000F7B28"/>
    <w:rsid w:val="000F7CEC"/>
    <w:rsid w:val="001011B3"/>
    <w:rsid w:val="00101E17"/>
    <w:rsid w:val="00102200"/>
    <w:rsid w:val="00111C27"/>
    <w:rsid w:val="001120D7"/>
    <w:rsid w:val="00112DE7"/>
    <w:rsid w:val="00114174"/>
    <w:rsid w:val="0011657C"/>
    <w:rsid w:val="001173F2"/>
    <w:rsid w:val="0012461C"/>
    <w:rsid w:val="00130ACA"/>
    <w:rsid w:val="001337B5"/>
    <w:rsid w:val="00141219"/>
    <w:rsid w:val="0014145B"/>
    <w:rsid w:val="00142A92"/>
    <w:rsid w:val="00143929"/>
    <w:rsid w:val="00143E5C"/>
    <w:rsid w:val="00144DDC"/>
    <w:rsid w:val="0014562B"/>
    <w:rsid w:val="00147073"/>
    <w:rsid w:val="00147F9C"/>
    <w:rsid w:val="00153BEA"/>
    <w:rsid w:val="00160621"/>
    <w:rsid w:val="001673E4"/>
    <w:rsid w:val="00167694"/>
    <w:rsid w:val="0017071C"/>
    <w:rsid w:val="00170EE7"/>
    <w:rsid w:val="00174891"/>
    <w:rsid w:val="00176763"/>
    <w:rsid w:val="00176B34"/>
    <w:rsid w:val="00176B4F"/>
    <w:rsid w:val="00181489"/>
    <w:rsid w:val="0018278A"/>
    <w:rsid w:val="00186385"/>
    <w:rsid w:val="00193660"/>
    <w:rsid w:val="00195144"/>
    <w:rsid w:val="001975DD"/>
    <w:rsid w:val="001B00C4"/>
    <w:rsid w:val="001B02A1"/>
    <w:rsid w:val="001B1990"/>
    <w:rsid w:val="001B3171"/>
    <w:rsid w:val="001B787A"/>
    <w:rsid w:val="001C30D6"/>
    <w:rsid w:val="001C483C"/>
    <w:rsid w:val="001C4B98"/>
    <w:rsid w:val="001C7FFE"/>
    <w:rsid w:val="001D1651"/>
    <w:rsid w:val="001D2122"/>
    <w:rsid w:val="001D2767"/>
    <w:rsid w:val="001E2638"/>
    <w:rsid w:val="001E3EAC"/>
    <w:rsid w:val="001E44FB"/>
    <w:rsid w:val="001E7AC9"/>
    <w:rsid w:val="001F02A0"/>
    <w:rsid w:val="001F1DD7"/>
    <w:rsid w:val="001F2D21"/>
    <w:rsid w:val="001F4919"/>
    <w:rsid w:val="00200645"/>
    <w:rsid w:val="00202655"/>
    <w:rsid w:val="00204247"/>
    <w:rsid w:val="0021012D"/>
    <w:rsid w:val="0021149B"/>
    <w:rsid w:val="00211B94"/>
    <w:rsid w:val="002178A6"/>
    <w:rsid w:val="00217E6D"/>
    <w:rsid w:val="002201EA"/>
    <w:rsid w:val="00222094"/>
    <w:rsid w:val="00222C7F"/>
    <w:rsid w:val="00225A8B"/>
    <w:rsid w:val="00226C42"/>
    <w:rsid w:val="00226F8F"/>
    <w:rsid w:val="00226FF1"/>
    <w:rsid w:val="00234235"/>
    <w:rsid w:val="002376A2"/>
    <w:rsid w:val="00241E8E"/>
    <w:rsid w:val="002464EB"/>
    <w:rsid w:val="0025062C"/>
    <w:rsid w:val="002509BD"/>
    <w:rsid w:val="00263E3D"/>
    <w:rsid w:val="00266756"/>
    <w:rsid w:val="00271BA5"/>
    <w:rsid w:val="00282E23"/>
    <w:rsid w:val="00284FC9"/>
    <w:rsid w:val="00285DE9"/>
    <w:rsid w:val="00290A1C"/>
    <w:rsid w:val="00290CB7"/>
    <w:rsid w:val="00291D2B"/>
    <w:rsid w:val="0029347B"/>
    <w:rsid w:val="0029589B"/>
    <w:rsid w:val="00296738"/>
    <w:rsid w:val="002A45A2"/>
    <w:rsid w:val="002A696D"/>
    <w:rsid w:val="002A69C6"/>
    <w:rsid w:val="002B3A5A"/>
    <w:rsid w:val="002B569E"/>
    <w:rsid w:val="002B6B91"/>
    <w:rsid w:val="002B7691"/>
    <w:rsid w:val="002C0501"/>
    <w:rsid w:val="002C2445"/>
    <w:rsid w:val="002C3C4F"/>
    <w:rsid w:val="002C4996"/>
    <w:rsid w:val="002C7DF6"/>
    <w:rsid w:val="002D0934"/>
    <w:rsid w:val="002D7C43"/>
    <w:rsid w:val="002E0D17"/>
    <w:rsid w:val="002E10D1"/>
    <w:rsid w:val="002F0B65"/>
    <w:rsid w:val="002F7D24"/>
    <w:rsid w:val="003028E1"/>
    <w:rsid w:val="00304727"/>
    <w:rsid w:val="00305326"/>
    <w:rsid w:val="0030610A"/>
    <w:rsid w:val="0030636D"/>
    <w:rsid w:val="00310E36"/>
    <w:rsid w:val="003117CB"/>
    <w:rsid w:val="0031349D"/>
    <w:rsid w:val="00314274"/>
    <w:rsid w:val="00317069"/>
    <w:rsid w:val="00317F6B"/>
    <w:rsid w:val="00320DE9"/>
    <w:rsid w:val="00321815"/>
    <w:rsid w:val="003232B3"/>
    <w:rsid w:val="00327C47"/>
    <w:rsid w:val="003302F8"/>
    <w:rsid w:val="0033128F"/>
    <w:rsid w:val="00331682"/>
    <w:rsid w:val="00331DBF"/>
    <w:rsid w:val="0033418D"/>
    <w:rsid w:val="00335FD2"/>
    <w:rsid w:val="00336AA9"/>
    <w:rsid w:val="003405A4"/>
    <w:rsid w:val="0034168F"/>
    <w:rsid w:val="00342217"/>
    <w:rsid w:val="00350F2A"/>
    <w:rsid w:val="0035111C"/>
    <w:rsid w:val="0035231B"/>
    <w:rsid w:val="00354319"/>
    <w:rsid w:val="00355EE8"/>
    <w:rsid w:val="00361117"/>
    <w:rsid w:val="003636E6"/>
    <w:rsid w:val="0036619D"/>
    <w:rsid w:val="003662C8"/>
    <w:rsid w:val="00367CF1"/>
    <w:rsid w:val="003706F6"/>
    <w:rsid w:val="00372DBF"/>
    <w:rsid w:val="0038209B"/>
    <w:rsid w:val="00384315"/>
    <w:rsid w:val="00386541"/>
    <w:rsid w:val="00387192"/>
    <w:rsid w:val="00390511"/>
    <w:rsid w:val="0039100A"/>
    <w:rsid w:val="00391615"/>
    <w:rsid w:val="00394AD2"/>
    <w:rsid w:val="00396295"/>
    <w:rsid w:val="003968F9"/>
    <w:rsid w:val="00397178"/>
    <w:rsid w:val="003B159A"/>
    <w:rsid w:val="003B169F"/>
    <w:rsid w:val="003B41A1"/>
    <w:rsid w:val="003B7A50"/>
    <w:rsid w:val="003B7E43"/>
    <w:rsid w:val="003C1D6E"/>
    <w:rsid w:val="003D0FE4"/>
    <w:rsid w:val="003D193E"/>
    <w:rsid w:val="003D506D"/>
    <w:rsid w:val="003D57DC"/>
    <w:rsid w:val="003D5C70"/>
    <w:rsid w:val="003E1A58"/>
    <w:rsid w:val="003E48AA"/>
    <w:rsid w:val="003E6EA3"/>
    <w:rsid w:val="00402D24"/>
    <w:rsid w:val="00405C10"/>
    <w:rsid w:val="00406344"/>
    <w:rsid w:val="004110F5"/>
    <w:rsid w:val="00411405"/>
    <w:rsid w:val="004133B0"/>
    <w:rsid w:val="004164FE"/>
    <w:rsid w:val="00416870"/>
    <w:rsid w:val="00416FC6"/>
    <w:rsid w:val="00417D0C"/>
    <w:rsid w:val="00422E1D"/>
    <w:rsid w:val="00424D6C"/>
    <w:rsid w:val="00433FCE"/>
    <w:rsid w:val="004428E7"/>
    <w:rsid w:val="0044499C"/>
    <w:rsid w:val="00446EDE"/>
    <w:rsid w:val="004514ED"/>
    <w:rsid w:val="004602FE"/>
    <w:rsid w:val="00460FEB"/>
    <w:rsid w:val="00466E5F"/>
    <w:rsid w:val="00467954"/>
    <w:rsid w:val="004717A5"/>
    <w:rsid w:val="0047290A"/>
    <w:rsid w:val="00474B1C"/>
    <w:rsid w:val="00476C1F"/>
    <w:rsid w:val="00480072"/>
    <w:rsid w:val="00480B99"/>
    <w:rsid w:val="00483456"/>
    <w:rsid w:val="00483CE5"/>
    <w:rsid w:val="00485132"/>
    <w:rsid w:val="00487812"/>
    <w:rsid w:val="00490457"/>
    <w:rsid w:val="0049119A"/>
    <w:rsid w:val="004943E0"/>
    <w:rsid w:val="004965C5"/>
    <w:rsid w:val="00497522"/>
    <w:rsid w:val="004A02E0"/>
    <w:rsid w:val="004A0B6F"/>
    <w:rsid w:val="004A73AF"/>
    <w:rsid w:val="004A7E4B"/>
    <w:rsid w:val="004B015A"/>
    <w:rsid w:val="004B2ADC"/>
    <w:rsid w:val="004B449A"/>
    <w:rsid w:val="004D1B1D"/>
    <w:rsid w:val="004D1BBA"/>
    <w:rsid w:val="004D461E"/>
    <w:rsid w:val="004E0506"/>
    <w:rsid w:val="004E54E0"/>
    <w:rsid w:val="004F255E"/>
    <w:rsid w:val="004F28B6"/>
    <w:rsid w:val="004F2FF7"/>
    <w:rsid w:val="004F3AFB"/>
    <w:rsid w:val="004F457B"/>
    <w:rsid w:val="004F45CE"/>
    <w:rsid w:val="004F53F6"/>
    <w:rsid w:val="004F7B95"/>
    <w:rsid w:val="00500D8E"/>
    <w:rsid w:val="00501C4D"/>
    <w:rsid w:val="00504BA6"/>
    <w:rsid w:val="00506111"/>
    <w:rsid w:val="0050667E"/>
    <w:rsid w:val="0051278C"/>
    <w:rsid w:val="00513554"/>
    <w:rsid w:val="00522C18"/>
    <w:rsid w:val="00522E8F"/>
    <w:rsid w:val="00524895"/>
    <w:rsid w:val="00526CF0"/>
    <w:rsid w:val="0053186D"/>
    <w:rsid w:val="00531C62"/>
    <w:rsid w:val="00531CAD"/>
    <w:rsid w:val="00532906"/>
    <w:rsid w:val="00532C68"/>
    <w:rsid w:val="00532F17"/>
    <w:rsid w:val="0053499B"/>
    <w:rsid w:val="00541E51"/>
    <w:rsid w:val="005505BE"/>
    <w:rsid w:val="005520C3"/>
    <w:rsid w:val="00552163"/>
    <w:rsid w:val="00552DD9"/>
    <w:rsid w:val="00553A6B"/>
    <w:rsid w:val="0055462B"/>
    <w:rsid w:val="00554E6E"/>
    <w:rsid w:val="00556056"/>
    <w:rsid w:val="005648E1"/>
    <w:rsid w:val="00570D17"/>
    <w:rsid w:val="00572EB3"/>
    <w:rsid w:val="00573C9E"/>
    <w:rsid w:val="00580AA5"/>
    <w:rsid w:val="00580FF5"/>
    <w:rsid w:val="005824BD"/>
    <w:rsid w:val="00587825"/>
    <w:rsid w:val="0059195D"/>
    <w:rsid w:val="00593756"/>
    <w:rsid w:val="00596B6C"/>
    <w:rsid w:val="00597E7F"/>
    <w:rsid w:val="005A4847"/>
    <w:rsid w:val="005B00FC"/>
    <w:rsid w:val="005B22D4"/>
    <w:rsid w:val="005C0B42"/>
    <w:rsid w:val="005C189F"/>
    <w:rsid w:val="005C2DD6"/>
    <w:rsid w:val="005C60F1"/>
    <w:rsid w:val="005C6966"/>
    <w:rsid w:val="005D1B7E"/>
    <w:rsid w:val="005D274E"/>
    <w:rsid w:val="005D3DEC"/>
    <w:rsid w:val="005D491F"/>
    <w:rsid w:val="005D61DB"/>
    <w:rsid w:val="005E0710"/>
    <w:rsid w:val="005E0B35"/>
    <w:rsid w:val="005E0CB4"/>
    <w:rsid w:val="005E5313"/>
    <w:rsid w:val="005F0ED4"/>
    <w:rsid w:val="005F40BD"/>
    <w:rsid w:val="005F49A8"/>
    <w:rsid w:val="005F608B"/>
    <w:rsid w:val="00603498"/>
    <w:rsid w:val="00603DB4"/>
    <w:rsid w:val="00607559"/>
    <w:rsid w:val="00620121"/>
    <w:rsid w:val="006208CC"/>
    <w:rsid w:val="00621A41"/>
    <w:rsid w:val="0062795E"/>
    <w:rsid w:val="006300FE"/>
    <w:rsid w:val="00634E1D"/>
    <w:rsid w:val="006402C3"/>
    <w:rsid w:val="00640565"/>
    <w:rsid w:val="0064176C"/>
    <w:rsid w:val="00645A28"/>
    <w:rsid w:val="006477C4"/>
    <w:rsid w:val="00651F0F"/>
    <w:rsid w:val="006611A1"/>
    <w:rsid w:val="00665ADF"/>
    <w:rsid w:val="00666006"/>
    <w:rsid w:val="00666DA5"/>
    <w:rsid w:val="00672857"/>
    <w:rsid w:val="00675B9F"/>
    <w:rsid w:val="00677404"/>
    <w:rsid w:val="006803BD"/>
    <w:rsid w:val="00681782"/>
    <w:rsid w:val="00681E38"/>
    <w:rsid w:val="006824DC"/>
    <w:rsid w:val="00683CDE"/>
    <w:rsid w:val="00687BD9"/>
    <w:rsid w:val="00694E07"/>
    <w:rsid w:val="006953F5"/>
    <w:rsid w:val="006A353F"/>
    <w:rsid w:val="006B0806"/>
    <w:rsid w:val="006B1006"/>
    <w:rsid w:val="006B2726"/>
    <w:rsid w:val="006B2FBC"/>
    <w:rsid w:val="006C24FA"/>
    <w:rsid w:val="006C3E57"/>
    <w:rsid w:val="006C6004"/>
    <w:rsid w:val="006C6A3D"/>
    <w:rsid w:val="006D1643"/>
    <w:rsid w:val="006D5275"/>
    <w:rsid w:val="006D6E9D"/>
    <w:rsid w:val="006E04CD"/>
    <w:rsid w:val="006E4CE1"/>
    <w:rsid w:val="006E63F2"/>
    <w:rsid w:val="006E6629"/>
    <w:rsid w:val="006E7B63"/>
    <w:rsid w:val="006F0DE6"/>
    <w:rsid w:val="006F4029"/>
    <w:rsid w:val="006F589F"/>
    <w:rsid w:val="006F68BE"/>
    <w:rsid w:val="006F6B86"/>
    <w:rsid w:val="007013A9"/>
    <w:rsid w:val="0070249D"/>
    <w:rsid w:val="00703898"/>
    <w:rsid w:val="0070451D"/>
    <w:rsid w:val="00707AFB"/>
    <w:rsid w:val="0071026A"/>
    <w:rsid w:val="00712F85"/>
    <w:rsid w:val="007151C6"/>
    <w:rsid w:val="007155B6"/>
    <w:rsid w:val="007248C6"/>
    <w:rsid w:val="00724A40"/>
    <w:rsid w:val="00725243"/>
    <w:rsid w:val="00725B6E"/>
    <w:rsid w:val="00726FB9"/>
    <w:rsid w:val="00740AFC"/>
    <w:rsid w:val="00740C51"/>
    <w:rsid w:val="00742BBA"/>
    <w:rsid w:val="00744A33"/>
    <w:rsid w:val="00745B5E"/>
    <w:rsid w:val="00755413"/>
    <w:rsid w:val="007564C5"/>
    <w:rsid w:val="00762C40"/>
    <w:rsid w:val="007630C6"/>
    <w:rsid w:val="007651D5"/>
    <w:rsid w:val="00772632"/>
    <w:rsid w:val="00772692"/>
    <w:rsid w:val="007768D5"/>
    <w:rsid w:val="00786793"/>
    <w:rsid w:val="00790D2C"/>
    <w:rsid w:val="007935D5"/>
    <w:rsid w:val="007950D1"/>
    <w:rsid w:val="007A0046"/>
    <w:rsid w:val="007A09FE"/>
    <w:rsid w:val="007A0FBE"/>
    <w:rsid w:val="007A5231"/>
    <w:rsid w:val="007A69BC"/>
    <w:rsid w:val="007A7FB0"/>
    <w:rsid w:val="007B4446"/>
    <w:rsid w:val="007B67E8"/>
    <w:rsid w:val="007B681E"/>
    <w:rsid w:val="007B6828"/>
    <w:rsid w:val="007B7869"/>
    <w:rsid w:val="007C3815"/>
    <w:rsid w:val="007D1E4E"/>
    <w:rsid w:val="007D2E90"/>
    <w:rsid w:val="007D4DC8"/>
    <w:rsid w:val="007D7102"/>
    <w:rsid w:val="007E48CC"/>
    <w:rsid w:val="007E608C"/>
    <w:rsid w:val="007F42C0"/>
    <w:rsid w:val="0080325F"/>
    <w:rsid w:val="00813CEA"/>
    <w:rsid w:val="00814F15"/>
    <w:rsid w:val="00817E2B"/>
    <w:rsid w:val="0082011C"/>
    <w:rsid w:val="008210DE"/>
    <w:rsid w:val="0082158E"/>
    <w:rsid w:val="008244CB"/>
    <w:rsid w:val="008339E8"/>
    <w:rsid w:val="008368A6"/>
    <w:rsid w:val="008376B8"/>
    <w:rsid w:val="008401CF"/>
    <w:rsid w:val="00841BDF"/>
    <w:rsid w:val="00841DB9"/>
    <w:rsid w:val="0084609A"/>
    <w:rsid w:val="00846E18"/>
    <w:rsid w:val="008507CE"/>
    <w:rsid w:val="00850CF3"/>
    <w:rsid w:val="008510C2"/>
    <w:rsid w:val="00856E31"/>
    <w:rsid w:val="008643BF"/>
    <w:rsid w:val="008653EE"/>
    <w:rsid w:val="00871071"/>
    <w:rsid w:val="00873950"/>
    <w:rsid w:val="008742B8"/>
    <w:rsid w:val="00874674"/>
    <w:rsid w:val="00881575"/>
    <w:rsid w:val="00884ED3"/>
    <w:rsid w:val="008866A0"/>
    <w:rsid w:val="00887904"/>
    <w:rsid w:val="00887C39"/>
    <w:rsid w:val="008900A8"/>
    <w:rsid w:val="008955AC"/>
    <w:rsid w:val="008960C0"/>
    <w:rsid w:val="008A0F2B"/>
    <w:rsid w:val="008A1894"/>
    <w:rsid w:val="008A26A5"/>
    <w:rsid w:val="008A63A9"/>
    <w:rsid w:val="008A7A39"/>
    <w:rsid w:val="008B0A1F"/>
    <w:rsid w:val="008B4A0F"/>
    <w:rsid w:val="008C1AC2"/>
    <w:rsid w:val="008C6040"/>
    <w:rsid w:val="008D0F7E"/>
    <w:rsid w:val="008D3315"/>
    <w:rsid w:val="008D4518"/>
    <w:rsid w:val="008D4AEA"/>
    <w:rsid w:val="008E4F7A"/>
    <w:rsid w:val="008F2588"/>
    <w:rsid w:val="008F4311"/>
    <w:rsid w:val="008F5419"/>
    <w:rsid w:val="008F5D1A"/>
    <w:rsid w:val="008F5FE3"/>
    <w:rsid w:val="008F7221"/>
    <w:rsid w:val="0090404E"/>
    <w:rsid w:val="009041C8"/>
    <w:rsid w:val="00905F63"/>
    <w:rsid w:val="0091116B"/>
    <w:rsid w:val="009113FF"/>
    <w:rsid w:val="00911785"/>
    <w:rsid w:val="00914194"/>
    <w:rsid w:val="00917785"/>
    <w:rsid w:val="00920611"/>
    <w:rsid w:val="009223A5"/>
    <w:rsid w:val="00922929"/>
    <w:rsid w:val="0093567A"/>
    <w:rsid w:val="00936512"/>
    <w:rsid w:val="00936A53"/>
    <w:rsid w:val="00940CCC"/>
    <w:rsid w:val="00941376"/>
    <w:rsid w:val="009451B1"/>
    <w:rsid w:val="0094533B"/>
    <w:rsid w:val="00945B72"/>
    <w:rsid w:val="009477E7"/>
    <w:rsid w:val="00950A9F"/>
    <w:rsid w:val="00952125"/>
    <w:rsid w:val="009529D5"/>
    <w:rsid w:val="00953E07"/>
    <w:rsid w:val="00955A35"/>
    <w:rsid w:val="00957799"/>
    <w:rsid w:val="00961B7C"/>
    <w:rsid w:val="00961B92"/>
    <w:rsid w:val="00962045"/>
    <w:rsid w:val="00966622"/>
    <w:rsid w:val="00980852"/>
    <w:rsid w:val="009875A4"/>
    <w:rsid w:val="00990112"/>
    <w:rsid w:val="009A0DEF"/>
    <w:rsid w:val="009A5B14"/>
    <w:rsid w:val="009B1651"/>
    <w:rsid w:val="009B3F1A"/>
    <w:rsid w:val="009B564F"/>
    <w:rsid w:val="009B5D1B"/>
    <w:rsid w:val="009C2DE1"/>
    <w:rsid w:val="009C4D0C"/>
    <w:rsid w:val="009C5213"/>
    <w:rsid w:val="009C7AEE"/>
    <w:rsid w:val="009D0E13"/>
    <w:rsid w:val="009D13CE"/>
    <w:rsid w:val="009D2820"/>
    <w:rsid w:val="009D789F"/>
    <w:rsid w:val="009D7BE5"/>
    <w:rsid w:val="009E5531"/>
    <w:rsid w:val="009E6157"/>
    <w:rsid w:val="009F3006"/>
    <w:rsid w:val="009F5543"/>
    <w:rsid w:val="009F58E1"/>
    <w:rsid w:val="009F7E6D"/>
    <w:rsid w:val="00A011A9"/>
    <w:rsid w:val="00A0351F"/>
    <w:rsid w:val="00A03A08"/>
    <w:rsid w:val="00A03E76"/>
    <w:rsid w:val="00A04EF3"/>
    <w:rsid w:val="00A063C1"/>
    <w:rsid w:val="00A13C75"/>
    <w:rsid w:val="00A160B5"/>
    <w:rsid w:val="00A16977"/>
    <w:rsid w:val="00A25AAC"/>
    <w:rsid w:val="00A26449"/>
    <w:rsid w:val="00A30821"/>
    <w:rsid w:val="00A377DB"/>
    <w:rsid w:val="00A4170A"/>
    <w:rsid w:val="00A41AF5"/>
    <w:rsid w:val="00A41C2D"/>
    <w:rsid w:val="00A43C20"/>
    <w:rsid w:val="00A43E54"/>
    <w:rsid w:val="00A46181"/>
    <w:rsid w:val="00A56BED"/>
    <w:rsid w:val="00A5731A"/>
    <w:rsid w:val="00A61AC0"/>
    <w:rsid w:val="00A64252"/>
    <w:rsid w:val="00A6745E"/>
    <w:rsid w:val="00A7495C"/>
    <w:rsid w:val="00A762DE"/>
    <w:rsid w:val="00A7723E"/>
    <w:rsid w:val="00A77AC0"/>
    <w:rsid w:val="00A77FC7"/>
    <w:rsid w:val="00A80865"/>
    <w:rsid w:val="00A8125C"/>
    <w:rsid w:val="00A82844"/>
    <w:rsid w:val="00A84493"/>
    <w:rsid w:val="00A906F7"/>
    <w:rsid w:val="00A910D5"/>
    <w:rsid w:val="00A918E4"/>
    <w:rsid w:val="00A91F82"/>
    <w:rsid w:val="00A959B8"/>
    <w:rsid w:val="00A95CA0"/>
    <w:rsid w:val="00A968A2"/>
    <w:rsid w:val="00A978B5"/>
    <w:rsid w:val="00AA3FD8"/>
    <w:rsid w:val="00AA7B9B"/>
    <w:rsid w:val="00AB0F7B"/>
    <w:rsid w:val="00AB2445"/>
    <w:rsid w:val="00AB64D1"/>
    <w:rsid w:val="00AD1AB4"/>
    <w:rsid w:val="00AD5ED7"/>
    <w:rsid w:val="00AD5FF3"/>
    <w:rsid w:val="00AE104C"/>
    <w:rsid w:val="00AE1BAC"/>
    <w:rsid w:val="00AE2E70"/>
    <w:rsid w:val="00AE6F1A"/>
    <w:rsid w:val="00AF399C"/>
    <w:rsid w:val="00AF4347"/>
    <w:rsid w:val="00AF5FE7"/>
    <w:rsid w:val="00B04082"/>
    <w:rsid w:val="00B14349"/>
    <w:rsid w:val="00B17222"/>
    <w:rsid w:val="00B23C58"/>
    <w:rsid w:val="00B2553B"/>
    <w:rsid w:val="00B27347"/>
    <w:rsid w:val="00B3071C"/>
    <w:rsid w:val="00B3242F"/>
    <w:rsid w:val="00B32E83"/>
    <w:rsid w:val="00B33306"/>
    <w:rsid w:val="00B344B2"/>
    <w:rsid w:val="00B37CD6"/>
    <w:rsid w:val="00B42B95"/>
    <w:rsid w:val="00B43456"/>
    <w:rsid w:val="00B45E24"/>
    <w:rsid w:val="00B45FBC"/>
    <w:rsid w:val="00B5099D"/>
    <w:rsid w:val="00B50F0E"/>
    <w:rsid w:val="00B516DC"/>
    <w:rsid w:val="00B51C81"/>
    <w:rsid w:val="00B565FD"/>
    <w:rsid w:val="00B56DE2"/>
    <w:rsid w:val="00B5781C"/>
    <w:rsid w:val="00B6266A"/>
    <w:rsid w:val="00B62FC7"/>
    <w:rsid w:val="00B638EB"/>
    <w:rsid w:val="00B641B2"/>
    <w:rsid w:val="00B71E85"/>
    <w:rsid w:val="00B74013"/>
    <w:rsid w:val="00B74203"/>
    <w:rsid w:val="00B76907"/>
    <w:rsid w:val="00B76968"/>
    <w:rsid w:val="00B76F86"/>
    <w:rsid w:val="00B84243"/>
    <w:rsid w:val="00B84B29"/>
    <w:rsid w:val="00B964AD"/>
    <w:rsid w:val="00BA1C9C"/>
    <w:rsid w:val="00BA6EC3"/>
    <w:rsid w:val="00BB0791"/>
    <w:rsid w:val="00BB2E8A"/>
    <w:rsid w:val="00BB477C"/>
    <w:rsid w:val="00BB6CDA"/>
    <w:rsid w:val="00BB7461"/>
    <w:rsid w:val="00BB7D4D"/>
    <w:rsid w:val="00BC1A73"/>
    <w:rsid w:val="00BC2D59"/>
    <w:rsid w:val="00BC4B72"/>
    <w:rsid w:val="00BD0865"/>
    <w:rsid w:val="00BD18B8"/>
    <w:rsid w:val="00BD378C"/>
    <w:rsid w:val="00BD3E49"/>
    <w:rsid w:val="00BD6389"/>
    <w:rsid w:val="00BD6CD1"/>
    <w:rsid w:val="00BD6DDA"/>
    <w:rsid w:val="00BE1609"/>
    <w:rsid w:val="00BE18FF"/>
    <w:rsid w:val="00BE5297"/>
    <w:rsid w:val="00BE5965"/>
    <w:rsid w:val="00BF44CC"/>
    <w:rsid w:val="00BF5064"/>
    <w:rsid w:val="00BF5A9A"/>
    <w:rsid w:val="00BF61A8"/>
    <w:rsid w:val="00C0102E"/>
    <w:rsid w:val="00C02282"/>
    <w:rsid w:val="00C0672C"/>
    <w:rsid w:val="00C06847"/>
    <w:rsid w:val="00C10010"/>
    <w:rsid w:val="00C13BA6"/>
    <w:rsid w:val="00C215FE"/>
    <w:rsid w:val="00C22D3C"/>
    <w:rsid w:val="00C26282"/>
    <w:rsid w:val="00C26405"/>
    <w:rsid w:val="00C336CB"/>
    <w:rsid w:val="00C37096"/>
    <w:rsid w:val="00C41DD2"/>
    <w:rsid w:val="00C43816"/>
    <w:rsid w:val="00C43EA6"/>
    <w:rsid w:val="00C44D89"/>
    <w:rsid w:val="00C4792E"/>
    <w:rsid w:val="00C50D24"/>
    <w:rsid w:val="00C515AA"/>
    <w:rsid w:val="00C534AD"/>
    <w:rsid w:val="00C567EA"/>
    <w:rsid w:val="00C6619F"/>
    <w:rsid w:val="00C672D5"/>
    <w:rsid w:val="00C834DC"/>
    <w:rsid w:val="00C8360B"/>
    <w:rsid w:val="00C84A79"/>
    <w:rsid w:val="00C863CF"/>
    <w:rsid w:val="00C86F36"/>
    <w:rsid w:val="00C91463"/>
    <w:rsid w:val="00C92770"/>
    <w:rsid w:val="00CA366F"/>
    <w:rsid w:val="00CB0315"/>
    <w:rsid w:val="00CB1A12"/>
    <w:rsid w:val="00CB6877"/>
    <w:rsid w:val="00CC0A11"/>
    <w:rsid w:val="00CC5F99"/>
    <w:rsid w:val="00CD348D"/>
    <w:rsid w:val="00CD4667"/>
    <w:rsid w:val="00CE1CC9"/>
    <w:rsid w:val="00CE21D6"/>
    <w:rsid w:val="00CE394D"/>
    <w:rsid w:val="00CE3A35"/>
    <w:rsid w:val="00CE53AB"/>
    <w:rsid w:val="00CE6182"/>
    <w:rsid w:val="00CF37BB"/>
    <w:rsid w:val="00CF4860"/>
    <w:rsid w:val="00CF4E51"/>
    <w:rsid w:val="00CF70F3"/>
    <w:rsid w:val="00CF7976"/>
    <w:rsid w:val="00D028FC"/>
    <w:rsid w:val="00D02EF1"/>
    <w:rsid w:val="00D07D90"/>
    <w:rsid w:val="00D1137A"/>
    <w:rsid w:val="00D1603B"/>
    <w:rsid w:val="00D17337"/>
    <w:rsid w:val="00D176EB"/>
    <w:rsid w:val="00D203FE"/>
    <w:rsid w:val="00D20B78"/>
    <w:rsid w:val="00D234AE"/>
    <w:rsid w:val="00D30DE3"/>
    <w:rsid w:val="00D344B2"/>
    <w:rsid w:val="00D35112"/>
    <w:rsid w:val="00D36655"/>
    <w:rsid w:val="00D42776"/>
    <w:rsid w:val="00D42A49"/>
    <w:rsid w:val="00D439CF"/>
    <w:rsid w:val="00D46DBA"/>
    <w:rsid w:val="00D52914"/>
    <w:rsid w:val="00D55796"/>
    <w:rsid w:val="00D57CEF"/>
    <w:rsid w:val="00D60543"/>
    <w:rsid w:val="00D67D80"/>
    <w:rsid w:val="00D7209C"/>
    <w:rsid w:val="00D7406D"/>
    <w:rsid w:val="00D7443D"/>
    <w:rsid w:val="00D74D54"/>
    <w:rsid w:val="00D7516B"/>
    <w:rsid w:val="00D768F7"/>
    <w:rsid w:val="00D8011D"/>
    <w:rsid w:val="00D806D3"/>
    <w:rsid w:val="00D809E4"/>
    <w:rsid w:val="00D857DD"/>
    <w:rsid w:val="00D85CFD"/>
    <w:rsid w:val="00D8793F"/>
    <w:rsid w:val="00D9648C"/>
    <w:rsid w:val="00D9720E"/>
    <w:rsid w:val="00DA1DD6"/>
    <w:rsid w:val="00DA4078"/>
    <w:rsid w:val="00DA5C46"/>
    <w:rsid w:val="00DA6001"/>
    <w:rsid w:val="00DA6339"/>
    <w:rsid w:val="00DB2443"/>
    <w:rsid w:val="00DB47FC"/>
    <w:rsid w:val="00DB4C37"/>
    <w:rsid w:val="00DB5595"/>
    <w:rsid w:val="00DC1C23"/>
    <w:rsid w:val="00DC3A48"/>
    <w:rsid w:val="00DD05F0"/>
    <w:rsid w:val="00DD352F"/>
    <w:rsid w:val="00DD7A5B"/>
    <w:rsid w:val="00DE044A"/>
    <w:rsid w:val="00DE0DFC"/>
    <w:rsid w:val="00DE3C6D"/>
    <w:rsid w:val="00DE529D"/>
    <w:rsid w:val="00DF13A0"/>
    <w:rsid w:val="00DF71B4"/>
    <w:rsid w:val="00E01B4E"/>
    <w:rsid w:val="00E0410A"/>
    <w:rsid w:val="00E07D9E"/>
    <w:rsid w:val="00E20A86"/>
    <w:rsid w:val="00E21FC0"/>
    <w:rsid w:val="00E26F54"/>
    <w:rsid w:val="00E30105"/>
    <w:rsid w:val="00E30D2A"/>
    <w:rsid w:val="00E368FB"/>
    <w:rsid w:val="00E37210"/>
    <w:rsid w:val="00E41A32"/>
    <w:rsid w:val="00E4383A"/>
    <w:rsid w:val="00E44313"/>
    <w:rsid w:val="00E52408"/>
    <w:rsid w:val="00E5397D"/>
    <w:rsid w:val="00E57CFE"/>
    <w:rsid w:val="00E65A70"/>
    <w:rsid w:val="00E672B9"/>
    <w:rsid w:val="00E67826"/>
    <w:rsid w:val="00E70464"/>
    <w:rsid w:val="00E71051"/>
    <w:rsid w:val="00E72385"/>
    <w:rsid w:val="00E723F1"/>
    <w:rsid w:val="00E743D7"/>
    <w:rsid w:val="00E75196"/>
    <w:rsid w:val="00E84DD5"/>
    <w:rsid w:val="00E8735C"/>
    <w:rsid w:val="00E90A09"/>
    <w:rsid w:val="00E94D61"/>
    <w:rsid w:val="00E95DA1"/>
    <w:rsid w:val="00EA0D53"/>
    <w:rsid w:val="00EB01D4"/>
    <w:rsid w:val="00EB2CA8"/>
    <w:rsid w:val="00EB784F"/>
    <w:rsid w:val="00EC4213"/>
    <w:rsid w:val="00EC59DC"/>
    <w:rsid w:val="00EC698B"/>
    <w:rsid w:val="00EC776E"/>
    <w:rsid w:val="00ED19FD"/>
    <w:rsid w:val="00ED782E"/>
    <w:rsid w:val="00ED7FD8"/>
    <w:rsid w:val="00EE4CBA"/>
    <w:rsid w:val="00EE789E"/>
    <w:rsid w:val="00EF2EB8"/>
    <w:rsid w:val="00EF3165"/>
    <w:rsid w:val="00EF48C5"/>
    <w:rsid w:val="00EF56D6"/>
    <w:rsid w:val="00EF78FA"/>
    <w:rsid w:val="00F0015C"/>
    <w:rsid w:val="00F02021"/>
    <w:rsid w:val="00F03D5B"/>
    <w:rsid w:val="00F03F87"/>
    <w:rsid w:val="00F10B17"/>
    <w:rsid w:val="00F12AF4"/>
    <w:rsid w:val="00F136EA"/>
    <w:rsid w:val="00F2019E"/>
    <w:rsid w:val="00F210CA"/>
    <w:rsid w:val="00F24287"/>
    <w:rsid w:val="00F25009"/>
    <w:rsid w:val="00F25209"/>
    <w:rsid w:val="00F268A4"/>
    <w:rsid w:val="00F27C24"/>
    <w:rsid w:val="00F3100D"/>
    <w:rsid w:val="00F329D4"/>
    <w:rsid w:val="00F34EDC"/>
    <w:rsid w:val="00F34F3F"/>
    <w:rsid w:val="00F35789"/>
    <w:rsid w:val="00F359A0"/>
    <w:rsid w:val="00F375F7"/>
    <w:rsid w:val="00F43915"/>
    <w:rsid w:val="00F44759"/>
    <w:rsid w:val="00F449AA"/>
    <w:rsid w:val="00F47CBD"/>
    <w:rsid w:val="00F61265"/>
    <w:rsid w:val="00F62AF7"/>
    <w:rsid w:val="00F63424"/>
    <w:rsid w:val="00F64286"/>
    <w:rsid w:val="00F66007"/>
    <w:rsid w:val="00F818E1"/>
    <w:rsid w:val="00F81A1E"/>
    <w:rsid w:val="00F83116"/>
    <w:rsid w:val="00F834A3"/>
    <w:rsid w:val="00F933D8"/>
    <w:rsid w:val="00F94067"/>
    <w:rsid w:val="00F94A27"/>
    <w:rsid w:val="00F94C70"/>
    <w:rsid w:val="00F95B9D"/>
    <w:rsid w:val="00F96190"/>
    <w:rsid w:val="00F96295"/>
    <w:rsid w:val="00FA5092"/>
    <w:rsid w:val="00FB4221"/>
    <w:rsid w:val="00FB429F"/>
    <w:rsid w:val="00FB5B32"/>
    <w:rsid w:val="00FB7547"/>
    <w:rsid w:val="00FC6990"/>
    <w:rsid w:val="00FC6ED2"/>
    <w:rsid w:val="00FD511B"/>
    <w:rsid w:val="00FD5748"/>
    <w:rsid w:val="00FD7547"/>
    <w:rsid w:val="00FE0691"/>
    <w:rsid w:val="00FE0FDC"/>
    <w:rsid w:val="00FE3DC6"/>
    <w:rsid w:val="00FE5A29"/>
    <w:rsid w:val="00FE70AB"/>
    <w:rsid w:val="00FF2720"/>
    <w:rsid w:val="00FF351B"/>
    <w:rsid w:val="00FF7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889ED33"/>
  <w15:chartTrackingRefBased/>
  <w15:docId w15:val="{0665BC80-93E3-40F5-A77E-6FC419E8F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1" w:qFormat="1"/>
    <w:lsdException w:name="toc 2" w:uiPriority="1" w:qFormat="1"/>
    <w:lsdException w:name="toc 3" w:uiPriority="1" w:qFormat="1"/>
    <w:lsdException w:name="header" w:uiPriority="99"/>
    <w:lsdException w:name="footer" w:uiPriority="99"/>
    <w:lsdException w:name="caption" w:qFormat="1"/>
    <w:lsdException w:name="Title" w:qFormat="1"/>
    <w:lsdException w:name="Default Paragraph Font" w:uiPriority="1"/>
    <w:lsdException w:name="Body Text" w:uiPriority="1" w:qFormat="1"/>
    <w:lsdException w:name="Subtitle" w:qFormat="1"/>
    <w:lsdException w:name="Strong" w:qFormat="1"/>
    <w:lsdException w:name="Emphasis" w:uiPriority="20" w:qFormat="1"/>
    <w:lsdException w:name="Plain Text" w:uiPriority="99"/>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181"/>
    <w:pPr>
      <w:widowControl w:val="0"/>
    </w:pPr>
    <w:rPr>
      <w:rFonts w:ascii="Courier New" w:hAnsi="Courier New"/>
      <w:snapToGrid w:val="0"/>
    </w:rPr>
  </w:style>
  <w:style w:type="paragraph" w:styleId="Heading1">
    <w:name w:val="heading 1"/>
    <w:basedOn w:val="Normal"/>
    <w:next w:val="Normal"/>
    <w:link w:val="Heading1Char"/>
    <w:uiPriority w:val="1"/>
    <w:qFormat/>
    <w:rsid w:val="00A4618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1"/>
    <w:unhideWhenUsed/>
    <w:qFormat/>
    <w:rsid w:val="00A46181"/>
    <w:pPr>
      <w:keepNext/>
      <w:keepLines/>
      <w:widowControl/>
      <w:spacing w:before="40"/>
      <w:outlineLvl w:val="1"/>
    </w:pPr>
    <w:rPr>
      <w:rFonts w:asciiTheme="majorHAnsi" w:eastAsiaTheme="majorEastAsia" w:hAnsiTheme="majorHAnsi" w:cstheme="majorBidi"/>
      <w:snapToGrid/>
      <w:color w:val="2E74B5" w:themeColor="accent1" w:themeShade="BF"/>
      <w:sz w:val="26"/>
      <w:szCs w:val="26"/>
    </w:rPr>
  </w:style>
  <w:style w:type="paragraph" w:styleId="Heading3">
    <w:name w:val="heading 3"/>
    <w:basedOn w:val="Normal"/>
    <w:next w:val="Normal"/>
    <w:link w:val="Heading3Char"/>
    <w:uiPriority w:val="1"/>
    <w:unhideWhenUsed/>
    <w:qFormat/>
    <w:rsid w:val="00A46181"/>
    <w:pPr>
      <w:keepNext/>
      <w:keepLines/>
      <w:widowControl/>
      <w:spacing w:before="40"/>
      <w:outlineLvl w:val="2"/>
    </w:pPr>
    <w:rPr>
      <w:rFonts w:asciiTheme="majorHAnsi" w:eastAsiaTheme="majorEastAsia" w:hAnsiTheme="majorHAnsi" w:cstheme="majorBidi"/>
      <w:snapToGrid/>
      <w:color w:val="1F4D78" w:themeColor="accent1" w:themeShade="7F"/>
      <w:sz w:val="24"/>
      <w:szCs w:val="24"/>
    </w:rPr>
  </w:style>
  <w:style w:type="paragraph" w:styleId="Heading4">
    <w:name w:val="heading 4"/>
    <w:basedOn w:val="Normal"/>
    <w:link w:val="Heading4Char"/>
    <w:uiPriority w:val="1"/>
    <w:unhideWhenUsed/>
    <w:qFormat/>
    <w:rsid w:val="00A46181"/>
    <w:pPr>
      <w:widowControl/>
      <w:spacing w:before="100" w:beforeAutospacing="1" w:after="100" w:afterAutospacing="1"/>
      <w:outlineLvl w:val="3"/>
    </w:pPr>
    <w:rPr>
      <w:rFonts w:ascii="Times New Roman" w:eastAsiaTheme="minorEastAsia" w:hAnsi="Times New Roman"/>
      <w:b/>
      <w:bCs/>
      <w:snapToGrid/>
      <w:sz w:val="24"/>
      <w:szCs w:val="24"/>
    </w:rPr>
  </w:style>
  <w:style w:type="paragraph" w:styleId="Heading6">
    <w:name w:val="heading 6"/>
    <w:basedOn w:val="Normal"/>
    <w:next w:val="Normal"/>
    <w:link w:val="Heading6Char"/>
    <w:semiHidden/>
    <w:unhideWhenUsed/>
    <w:qFormat/>
    <w:rsid w:val="00772692"/>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rsid w:val="00A46181"/>
    <w:pPr>
      <w:widowControl/>
    </w:pPr>
    <w:rPr>
      <w:rFonts w:ascii="Times New Roman" w:hAnsi="Times New Roman"/>
      <w:snapToGrid/>
    </w:rPr>
  </w:style>
  <w:style w:type="character" w:styleId="FootnoteReference">
    <w:name w:val="footnote reference"/>
    <w:rPr>
      <w:vertAlign w:val="superscript"/>
    </w:rPr>
  </w:style>
  <w:style w:type="paragraph" w:styleId="TOC1">
    <w:name w:val="toc 1"/>
    <w:basedOn w:val="Normal"/>
    <w:next w:val="Normal"/>
    <w:autoRedefine/>
    <w:uiPriority w:val="1"/>
    <w:qFormat/>
    <w:rsid w:val="00A46181"/>
    <w:pPr>
      <w:tabs>
        <w:tab w:val="right" w:leader="dot" w:pos="9360"/>
      </w:tabs>
      <w:suppressAutoHyphens/>
      <w:spacing w:before="480"/>
      <w:ind w:left="720" w:right="720" w:hanging="720"/>
    </w:pPr>
  </w:style>
  <w:style w:type="paragraph" w:styleId="TOC2">
    <w:name w:val="toc 2"/>
    <w:basedOn w:val="Normal"/>
    <w:next w:val="Normal"/>
    <w:autoRedefine/>
    <w:uiPriority w:val="1"/>
    <w:qFormat/>
    <w:rsid w:val="00A46181"/>
    <w:pPr>
      <w:tabs>
        <w:tab w:val="right" w:leader="dot" w:pos="9360"/>
      </w:tabs>
      <w:suppressAutoHyphens/>
      <w:ind w:left="1440" w:right="720" w:hanging="720"/>
    </w:pPr>
  </w:style>
  <w:style w:type="paragraph" w:styleId="TOC3">
    <w:name w:val="toc 3"/>
    <w:basedOn w:val="Normal"/>
    <w:next w:val="Normal"/>
    <w:autoRedefine/>
    <w:uiPriority w:val="1"/>
    <w:qFormat/>
    <w:rsid w:val="00A46181"/>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A46181"/>
    <w:pPr>
      <w:widowControl/>
      <w:spacing w:before="100" w:beforeAutospacing="1" w:after="100" w:afterAutospacing="1"/>
    </w:pPr>
    <w:rPr>
      <w:rFonts w:ascii="Times New Roman" w:hAnsi="Times New Roman"/>
      <w:snapToGrid/>
      <w:sz w:val="24"/>
      <w:szCs w:val="24"/>
    </w:rPr>
  </w:style>
  <w:style w:type="character" w:styleId="CommentReference">
    <w:name w:val="annotation reference"/>
    <w:rsid w:val="00790D2C"/>
    <w:rPr>
      <w:sz w:val="16"/>
      <w:szCs w:val="16"/>
    </w:rPr>
  </w:style>
  <w:style w:type="paragraph" w:styleId="CommentText">
    <w:name w:val="annotation text"/>
    <w:basedOn w:val="Normal"/>
    <w:link w:val="CommentTextChar"/>
    <w:rsid w:val="00A46181"/>
    <w:rPr>
      <w:rFonts w:ascii="Times New Roman" w:hAnsi="Times New Roman"/>
    </w:rPr>
  </w:style>
  <w:style w:type="character" w:customStyle="1" w:styleId="CommentTextChar">
    <w:name w:val="Comment Text Char"/>
    <w:link w:val="CommentText"/>
    <w:rsid w:val="00336AA9"/>
    <w:rPr>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A46181"/>
    <w:rPr>
      <w:rFonts w:ascii="Courier New" w:hAnsi="Courier New"/>
      <w:snapToGrid w:val="0"/>
    </w:rPr>
  </w:style>
  <w:style w:type="table" w:styleId="TableGrid">
    <w:name w:val="Table Grid"/>
    <w:basedOn w:val="TableNormal"/>
    <w:rsid w:val="0095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B964AD"/>
  </w:style>
  <w:style w:type="paragraph" w:customStyle="1" w:styleId="p1">
    <w:name w:val="p1"/>
    <w:basedOn w:val="Normal"/>
    <w:rsid w:val="001C7FFE"/>
    <w:pPr>
      <w:widowControl/>
      <w:spacing w:before="100" w:beforeAutospacing="1" w:after="100" w:afterAutospacing="1"/>
    </w:pPr>
    <w:rPr>
      <w:rFonts w:ascii="Times New Roman" w:hAnsi="Times New Roman"/>
      <w:snapToGrid/>
      <w:sz w:val="24"/>
      <w:szCs w:val="24"/>
    </w:rPr>
  </w:style>
  <w:style w:type="paragraph" w:styleId="Header">
    <w:name w:val="header"/>
    <w:basedOn w:val="Normal"/>
    <w:link w:val="HeaderChar"/>
    <w:uiPriority w:val="99"/>
    <w:rsid w:val="00A46181"/>
    <w:pPr>
      <w:tabs>
        <w:tab w:val="center" w:pos="4680"/>
        <w:tab w:val="right" w:pos="9360"/>
      </w:tabs>
    </w:pPr>
  </w:style>
  <w:style w:type="character" w:customStyle="1" w:styleId="HeaderChar">
    <w:name w:val="Header Char"/>
    <w:link w:val="Header"/>
    <w:uiPriority w:val="99"/>
    <w:rsid w:val="004F45CE"/>
    <w:rPr>
      <w:rFonts w:ascii="Courier New" w:hAnsi="Courier New"/>
      <w:snapToGrid w:val="0"/>
    </w:rPr>
  </w:style>
  <w:style w:type="paragraph" w:styleId="Footer">
    <w:name w:val="footer"/>
    <w:basedOn w:val="Normal"/>
    <w:link w:val="FooterChar"/>
    <w:uiPriority w:val="99"/>
    <w:rsid w:val="00A46181"/>
    <w:pPr>
      <w:tabs>
        <w:tab w:val="center" w:pos="4680"/>
        <w:tab w:val="right" w:pos="9360"/>
      </w:tabs>
    </w:pPr>
  </w:style>
  <w:style w:type="character" w:customStyle="1" w:styleId="FooterChar">
    <w:name w:val="Footer Char"/>
    <w:link w:val="Footer"/>
    <w:uiPriority w:val="99"/>
    <w:rsid w:val="004F45CE"/>
    <w:rPr>
      <w:rFonts w:ascii="Courier New" w:hAnsi="Courier New"/>
      <w:snapToGrid w:val="0"/>
    </w:rPr>
  </w:style>
  <w:style w:type="paragraph" w:styleId="ListParagraph">
    <w:name w:val="List Paragraph"/>
    <w:basedOn w:val="Normal"/>
    <w:uiPriority w:val="1"/>
    <w:qFormat/>
    <w:rsid w:val="004F7B95"/>
    <w:pPr>
      <w:ind w:left="720"/>
    </w:pPr>
  </w:style>
  <w:style w:type="paragraph" w:customStyle="1" w:styleId="ReportCover-Title">
    <w:name w:val="ReportCover-Title"/>
    <w:basedOn w:val="Normal"/>
    <w:rsid w:val="00160621"/>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60621"/>
    <w:pPr>
      <w:widowControl/>
      <w:spacing w:after="840" w:line="260" w:lineRule="exact"/>
    </w:pPr>
    <w:rPr>
      <w:rFonts w:ascii="Franklin Gothic Medium" w:hAnsi="Franklin Gothic Medium"/>
      <w:b/>
      <w:snapToGrid/>
      <w:color w:val="003C79"/>
      <w:sz w:val="24"/>
    </w:rPr>
  </w:style>
  <w:style w:type="character" w:customStyle="1" w:styleId="Heading6Char">
    <w:name w:val="Heading 6 Char"/>
    <w:basedOn w:val="DefaultParagraphFont"/>
    <w:link w:val="Heading6"/>
    <w:semiHidden/>
    <w:rsid w:val="00772692"/>
    <w:rPr>
      <w:rFonts w:asciiTheme="majorHAnsi" w:eastAsiaTheme="majorEastAsia" w:hAnsiTheme="majorHAnsi" w:cstheme="majorBidi"/>
      <w:snapToGrid w:val="0"/>
      <w:color w:val="1F4D78" w:themeColor="accent1" w:themeShade="7F"/>
    </w:rPr>
  </w:style>
  <w:style w:type="paragraph" w:customStyle="1" w:styleId="Level1">
    <w:name w:val="Level 1"/>
    <w:basedOn w:val="Normal"/>
    <w:rsid w:val="00A46181"/>
    <w:rPr>
      <w:rFonts w:ascii="Times New Roman" w:hAnsi="Times New Roman"/>
      <w:snapToGrid/>
      <w:sz w:val="24"/>
    </w:rPr>
  </w:style>
  <w:style w:type="character" w:styleId="FollowedHyperlink">
    <w:name w:val="FollowedHyperlink"/>
    <w:basedOn w:val="DefaultParagraphFont"/>
    <w:rsid w:val="00A46181"/>
    <w:rPr>
      <w:color w:val="954F72" w:themeColor="followedHyperlink"/>
      <w:u w:val="single"/>
    </w:rPr>
  </w:style>
  <w:style w:type="character" w:customStyle="1" w:styleId="Heading1Char">
    <w:name w:val="Heading 1 Char"/>
    <w:basedOn w:val="DefaultParagraphFont"/>
    <w:link w:val="Heading1"/>
    <w:uiPriority w:val="1"/>
    <w:rsid w:val="00B964AD"/>
    <w:rPr>
      <w:rFonts w:asciiTheme="majorHAnsi" w:eastAsiaTheme="majorEastAsia" w:hAnsiTheme="majorHAnsi" w:cstheme="majorBidi"/>
      <w:snapToGrid w:val="0"/>
      <w:color w:val="2E74B5" w:themeColor="accent1" w:themeShade="BF"/>
      <w:sz w:val="32"/>
      <w:szCs w:val="32"/>
    </w:rPr>
  </w:style>
  <w:style w:type="character" w:styleId="Emphasis">
    <w:name w:val="Emphasis"/>
    <w:basedOn w:val="DefaultParagraphFont"/>
    <w:uiPriority w:val="20"/>
    <w:qFormat/>
    <w:rsid w:val="00B964AD"/>
    <w:rPr>
      <w:i/>
      <w:iCs/>
    </w:rPr>
  </w:style>
  <w:style w:type="paragraph" w:styleId="HTMLPreformatted">
    <w:name w:val="HTML Preformatted"/>
    <w:basedOn w:val="Normal"/>
    <w:link w:val="HTMLPreformattedChar"/>
    <w:rsid w:val="00A461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snapToGrid/>
    </w:rPr>
  </w:style>
  <w:style w:type="character" w:customStyle="1" w:styleId="HTMLPreformattedChar">
    <w:name w:val="HTML Preformatted Char"/>
    <w:basedOn w:val="DefaultParagraphFont"/>
    <w:link w:val="HTMLPreformatted"/>
    <w:rsid w:val="00B964AD"/>
    <w:rPr>
      <w:rFonts w:ascii="Courier New" w:hAnsi="Courier New" w:cs="Courier New"/>
    </w:rPr>
  </w:style>
  <w:style w:type="paragraph" w:styleId="BodyText">
    <w:name w:val="Body Text"/>
    <w:basedOn w:val="Normal"/>
    <w:link w:val="BodyTextChar"/>
    <w:uiPriority w:val="1"/>
    <w:qFormat/>
    <w:rsid w:val="00A46181"/>
    <w:pPr>
      <w:ind w:left="147"/>
    </w:pPr>
    <w:rPr>
      <w:rFonts w:ascii="Times New Roman" w:hAnsi="Times New Roman" w:cstheme="minorBidi"/>
      <w:snapToGrid/>
      <w:sz w:val="24"/>
      <w:szCs w:val="24"/>
    </w:rPr>
  </w:style>
  <w:style w:type="character" w:customStyle="1" w:styleId="BodyTextChar">
    <w:name w:val="Body Text Char"/>
    <w:basedOn w:val="DefaultParagraphFont"/>
    <w:link w:val="BodyText"/>
    <w:uiPriority w:val="1"/>
    <w:rsid w:val="00B964AD"/>
    <w:rPr>
      <w:rFonts w:cstheme="minorBidi"/>
      <w:sz w:val="24"/>
      <w:szCs w:val="24"/>
    </w:rPr>
  </w:style>
  <w:style w:type="paragraph" w:customStyle="1" w:styleId="TableParagraph">
    <w:name w:val="Table Paragraph"/>
    <w:basedOn w:val="Normal"/>
    <w:uiPriority w:val="1"/>
    <w:qFormat/>
    <w:rsid w:val="00A46181"/>
    <w:rPr>
      <w:rFonts w:asciiTheme="minorHAnsi" w:eastAsiaTheme="minorHAnsi" w:hAnsiTheme="minorHAnsi" w:cstheme="minorBidi"/>
      <w:snapToGrid/>
      <w:sz w:val="22"/>
      <w:szCs w:val="22"/>
    </w:rPr>
  </w:style>
  <w:style w:type="paragraph" w:customStyle="1" w:styleId="single-line">
    <w:name w:val="single-line"/>
    <w:basedOn w:val="Normal"/>
    <w:rsid w:val="00A46181"/>
    <w:pPr>
      <w:widowControl/>
      <w:spacing w:before="100" w:beforeAutospacing="1" w:after="100" w:afterAutospacing="1"/>
    </w:pPr>
    <w:rPr>
      <w:rFonts w:ascii="Times New Roman" w:hAnsi="Times New Roman"/>
      <w:snapToGrid/>
      <w:sz w:val="24"/>
      <w:szCs w:val="24"/>
    </w:rPr>
  </w:style>
  <w:style w:type="character" w:customStyle="1" w:styleId="text">
    <w:name w:val="text"/>
    <w:basedOn w:val="DefaultParagraphFont"/>
    <w:rsid w:val="00B964AD"/>
  </w:style>
  <w:style w:type="paragraph" w:customStyle="1" w:styleId="signature-name">
    <w:name w:val="signature-name"/>
    <w:basedOn w:val="Normal"/>
    <w:rsid w:val="00A46181"/>
    <w:pPr>
      <w:widowControl/>
      <w:spacing w:before="100" w:beforeAutospacing="1" w:after="100" w:afterAutospacing="1"/>
    </w:pPr>
    <w:rPr>
      <w:rFonts w:ascii="Times New Roman" w:hAnsi="Times New Roman"/>
      <w:snapToGrid/>
      <w:sz w:val="24"/>
      <w:szCs w:val="24"/>
    </w:rPr>
  </w:style>
  <w:style w:type="paragraph" w:customStyle="1" w:styleId="signature-title">
    <w:name w:val="signature-title"/>
    <w:basedOn w:val="Normal"/>
    <w:rsid w:val="00A46181"/>
    <w:pPr>
      <w:widowControl/>
      <w:spacing w:before="100" w:beforeAutospacing="1" w:after="100" w:afterAutospacing="1"/>
    </w:pPr>
    <w:rPr>
      <w:rFonts w:ascii="Times New Roman" w:hAnsi="Times New Roman"/>
      <w:snapToGrid/>
      <w:sz w:val="24"/>
      <w:szCs w:val="24"/>
    </w:rPr>
  </w:style>
  <w:style w:type="paragraph" w:styleId="ListBullet">
    <w:name w:val="List Bullet"/>
    <w:basedOn w:val="Normal"/>
    <w:rsid w:val="00922929"/>
    <w:pPr>
      <w:numPr>
        <w:numId w:val="28"/>
      </w:numPr>
      <w:contextualSpacing/>
    </w:pPr>
    <w:rPr>
      <w:rFonts w:ascii="Times New Roman" w:hAnsi="Times New Roman"/>
      <w:sz w:val="24"/>
    </w:rPr>
  </w:style>
  <w:style w:type="character" w:customStyle="1" w:styleId="UnresolvedMention1">
    <w:name w:val="Unresolved Mention1"/>
    <w:basedOn w:val="DefaultParagraphFont"/>
    <w:uiPriority w:val="99"/>
    <w:semiHidden/>
    <w:unhideWhenUsed/>
    <w:rsid w:val="00E26F54"/>
    <w:rPr>
      <w:color w:val="605E5C"/>
      <w:shd w:val="clear" w:color="auto" w:fill="E1DFDD"/>
    </w:rPr>
  </w:style>
  <w:style w:type="character" w:customStyle="1" w:styleId="Heading2Char">
    <w:name w:val="Heading 2 Char"/>
    <w:basedOn w:val="DefaultParagraphFont"/>
    <w:link w:val="Heading2"/>
    <w:uiPriority w:val="1"/>
    <w:rsid w:val="00A4618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1"/>
    <w:rsid w:val="00A4618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1"/>
    <w:rsid w:val="00A46181"/>
    <w:rPr>
      <w:rFonts w:eastAsiaTheme="minorEastAsia"/>
      <w:b/>
      <w:bCs/>
      <w:sz w:val="24"/>
      <w:szCs w:val="24"/>
    </w:rPr>
  </w:style>
  <w:style w:type="character" w:styleId="PageNumber">
    <w:name w:val="page number"/>
    <w:basedOn w:val="DefaultParagraphFont"/>
    <w:rsid w:val="00A46181"/>
  </w:style>
  <w:style w:type="paragraph" w:styleId="NoSpacing">
    <w:name w:val="No Spacing"/>
    <w:uiPriority w:val="1"/>
    <w:qFormat/>
    <w:rsid w:val="00A46181"/>
    <w:rPr>
      <w:rFonts w:ascii="Calibri" w:hAnsi="Calibri"/>
      <w:sz w:val="22"/>
      <w:szCs w:val="22"/>
    </w:rPr>
  </w:style>
  <w:style w:type="paragraph" w:styleId="PlainText">
    <w:name w:val="Plain Text"/>
    <w:basedOn w:val="Normal"/>
    <w:link w:val="PlainTextChar"/>
    <w:uiPriority w:val="99"/>
    <w:unhideWhenUsed/>
    <w:rsid w:val="00A46181"/>
    <w:pPr>
      <w:widowControl/>
    </w:pPr>
    <w:rPr>
      <w:rFonts w:ascii="Consolas" w:eastAsiaTheme="minorHAnsi" w:hAnsi="Consolas" w:cstheme="minorBidi"/>
      <w:snapToGrid/>
      <w:sz w:val="21"/>
      <w:szCs w:val="21"/>
    </w:rPr>
  </w:style>
  <w:style w:type="character" w:customStyle="1" w:styleId="PlainTextChar">
    <w:name w:val="Plain Text Char"/>
    <w:basedOn w:val="DefaultParagraphFont"/>
    <w:link w:val="PlainText"/>
    <w:uiPriority w:val="99"/>
    <w:rsid w:val="00A46181"/>
    <w:rPr>
      <w:rFonts w:ascii="Consolas" w:eastAsiaTheme="minorHAnsi" w:hAnsi="Consolas" w:cstheme="minorBidi"/>
      <w:sz w:val="21"/>
      <w:szCs w:val="21"/>
    </w:rPr>
  </w:style>
  <w:style w:type="paragraph" w:styleId="Quote">
    <w:name w:val="Quote"/>
    <w:basedOn w:val="Normal"/>
    <w:next w:val="Normal"/>
    <w:link w:val="QuoteChar"/>
    <w:uiPriority w:val="29"/>
    <w:qFormat/>
    <w:rsid w:val="00A46181"/>
    <w:pPr>
      <w:widowControl/>
    </w:pPr>
    <w:rPr>
      <w:rFonts w:ascii="Times New Roman" w:hAnsi="Times New Roman"/>
      <w:i/>
      <w:iCs/>
      <w:snapToGrid/>
      <w:color w:val="000000" w:themeColor="text1"/>
      <w:sz w:val="24"/>
    </w:rPr>
  </w:style>
  <w:style w:type="character" w:customStyle="1" w:styleId="QuoteChar">
    <w:name w:val="Quote Char"/>
    <w:basedOn w:val="DefaultParagraphFont"/>
    <w:link w:val="Quote"/>
    <w:uiPriority w:val="29"/>
    <w:rsid w:val="00A46181"/>
    <w:rPr>
      <w:i/>
      <w:iCs/>
      <w:color w:val="000000" w:themeColor="text1"/>
      <w:sz w:val="24"/>
    </w:rPr>
  </w:style>
  <w:style w:type="numbering" w:customStyle="1" w:styleId="NoList1">
    <w:name w:val="No List1"/>
    <w:next w:val="NoList"/>
    <w:uiPriority w:val="99"/>
    <w:semiHidden/>
    <w:unhideWhenUsed/>
    <w:rsid w:val="00A46181"/>
  </w:style>
  <w:style w:type="paragraph" w:customStyle="1" w:styleId="frdoc">
    <w:name w:val="frdoc"/>
    <w:basedOn w:val="Normal"/>
    <w:rsid w:val="00A46181"/>
    <w:pPr>
      <w:widowControl/>
      <w:spacing w:before="100" w:beforeAutospacing="1" w:after="100" w:afterAutospacing="1"/>
    </w:pPr>
    <w:rPr>
      <w:rFonts w:ascii="Times New Roman" w:hAnsi="Times New Roman"/>
      <w:snapToGrid/>
      <w:sz w:val="24"/>
      <w:szCs w:val="24"/>
    </w:rPr>
  </w:style>
  <w:style w:type="paragraph" w:customStyle="1" w:styleId="billing-code">
    <w:name w:val="billing-code"/>
    <w:basedOn w:val="Normal"/>
    <w:rsid w:val="00A46181"/>
    <w:pPr>
      <w:widowControl/>
      <w:spacing w:before="100" w:beforeAutospacing="1" w:after="100" w:afterAutospacing="1"/>
    </w:pPr>
    <w:rPr>
      <w:rFonts w:ascii="Times New Roman" w:hAnsi="Times New Roman"/>
      <w:snapToGrid/>
      <w:sz w:val="24"/>
      <w:szCs w:val="24"/>
    </w:rPr>
  </w:style>
  <w:style w:type="character" w:customStyle="1" w:styleId="UnresolvedMention">
    <w:name w:val="Unresolved Mention"/>
    <w:basedOn w:val="DefaultParagraphFont"/>
    <w:uiPriority w:val="99"/>
    <w:semiHidden/>
    <w:unhideWhenUsed/>
    <w:rsid w:val="004A7E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31111">
      <w:bodyDiv w:val="1"/>
      <w:marLeft w:val="0"/>
      <w:marRight w:val="0"/>
      <w:marTop w:val="0"/>
      <w:marBottom w:val="0"/>
      <w:divBdr>
        <w:top w:val="none" w:sz="0" w:space="0" w:color="auto"/>
        <w:left w:val="none" w:sz="0" w:space="0" w:color="auto"/>
        <w:bottom w:val="none" w:sz="0" w:space="0" w:color="auto"/>
        <w:right w:val="none" w:sz="0" w:space="0" w:color="auto"/>
      </w:divBdr>
    </w:div>
    <w:div w:id="235552122">
      <w:bodyDiv w:val="1"/>
      <w:marLeft w:val="0"/>
      <w:marRight w:val="0"/>
      <w:marTop w:val="0"/>
      <w:marBottom w:val="0"/>
      <w:divBdr>
        <w:top w:val="none" w:sz="0" w:space="0" w:color="auto"/>
        <w:left w:val="none" w:sz="0" w:space="0" w:color="auto"/>
        <w:bottom w:val="none" w:sz="0" w:space="0" w:color="auto"/>
        <w:right w:val="none" w:sz="0" w:space="0" w:color="auto"/>
      </w:divBdr>
      <w:divsChild>
        <w:div w:id="1688367964">
          <w:marLeft w:val="1008"/>
          <w:marRight w:val="0"/>
          <w:marTop w:val="53"/>
          <w:marBottom w:val="0"/>
          <w:divBdr>
            <w:top w:val="none" w:sz="0" w:space="0" w:color="auto"/>
            <w:left w:val="none" w:sz="0" w:space="0" w:color="auto"/>
            <w:bottom w:val="none" w:sz="0" w:space="0" w:color="auto"/>
            <w:right w:val="none" w:sz="0" w:space="0" w:color="auto"/>
          </w:divBdr>
        </w:div>
        <w:div w:id="2020959760">
          <w:marLeft w:val="1008"/>
          <w:marRight w:val="0"/>
          <w:marTop w:val="53"/>
          <w:marBottom w:val="0"/>
          <w:divBdr>
            <w:top w:val="none" w:sz="0" w:space="0" w:color="auto"/>
            <w:left w:val="none" w:sz="0" w:space="0" w:color="auto"/>
            <w:bottom w:val="none" w:sz="0" w:space="0" w:color="auto"/>
            <w:right w:val="none" w:sz="0" w:space="0" w:color="auto"/>
          </w:divBdr>
        </w:div>
      </w:divsChild>
    </w:div>
    <w:div w:id="282081291">
      <w:bodyDiv w:val="1"/>
      <w:marLeft w:val="0"/>
      <w:marRight w:val="0"/>
      <w:marTop w:val="0"/>
      <w:marBottom w:val="0"/>
      <w:divBdr>
        <w:top w:val="none" w:sz="0" w:space="0" w:color="auto"/>
        <w:left w:val="none" w:sz="0" w:space="0" w:color="auto"/>
        <w:bottom w:val="none" w:sz="0" w:space="0" w:color="auto"/>
        <w:right w:val="none" w:sz="0" w:space="0" w:color="auto"/>
      </w:divBdr>
    </w:div>
    <w:div w:id="354118588">
      <w:bodyDiv w:val="1"/>
      <w:marLeft w:val="0"/>
      <w:marRight w:val="0"/>
      <w:marTop w:val="0"/>
      <w:marBottom w:val="0"/>
      <w:divBdr>
        <w:top w:val="none" w:sz="0" w:space="0" w:color="auto"/>
        <w:left w:val="none" w:sz="0" w:space="0" w:color="auto"/>
        <w:bottom w:val="none" w:sz="0" w:space="0" w:color="auto"/>
        <w:right w:val="none" w:sz="0" w:space="0" w:color="auto"/>
      </w:divBdr>
    </w:div>
    <w:div w:id="563029888">
      <w:bodyDiv w:val="1"/>
      <w:marLeft w:val="0"/>
      <w:marRight w:val="0"/>
      <w:marTop w:val="0"/>
      <w:marBottom w:val="0"/>
      <w:divBdr>
        <w:top w:val="none" w:sz="0" w:space="0" w:color="auto"/>
        <w:left w:val="none" w:sz="0" w:space="0" w:color="auto"/>
        <w:bottom w:val="none" w:sz="0" w:space="0" w:color="auto"/>
        <w:right w:val="none" w:sz="0" w:space="0" w:color="auto"/>
      </w:divBdr>
    </w:div>
    <w:div w:id="589043540">
      <w:bodyDiv w:val="1"/>
      <w:marLeft w:val="0"/>
      <w:marRight w:val="0"/>
      <w:marTop w:val="0"/>
      <w:marBottom w:val="0"/>
      <w:divBdr>
        <w:top w:val="none" w:sz="0" w:space="0" w:color="auto"/>
        <w:left w:val="none" w:sz="0" w:space="0" w:color="auto"/>
        <w:bottom w:val="none" w:sz="0" w:space="0" w:color="auto"/>
        <w:right w:val="none" w:sz="0" w:space="0" w:color="auto"/>
      </w:divBdr>
      <w:divsChild>
        <w:div w:id="1163199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7633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4153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24792163">
      <w:bodyDiv w:val="1"/>
      <w:marLeft w:val="0"/>
      <w:marRight w:val="0"/>
      <w:marTop w:val="0"/>
      <w:marBottom w:val="0"/>
      <w:divBdr>
        <w:top w:val="none" w:sz="0" w:space="0" w:color="auto"/>
        <w:left w:val="none" w:sz="0" w:space="0" w:color="auto"/>
        <w:bottom w:val="none" w:sz="0" w:space="0" w:color="auto"/>
        <w:right w:val="none" w:sz="0" w:space="0" w:color="auto"/>
      </w:divBdr>
      <w:divsChild>
        <w:div w:id="369889105">
          <w:marLeft w:val="0"/>
          <w:marRight w:val="0"/>
          <w:marTop w:val="0"/>
          <w:marBottom w:val="0"/>
          <w:divBdr>
            <w:top w:val="none" w:sz="0" w:space="0" w:color="auto"/>
            <w:left w:val="none" w:sz="0" w:space="0" w:color="auto"/>
            <w:bottom w:val="none" w:sz="0" w:space="0" w:color="auto"/>
            <w:right w:val="none" w:sz="0" w:space="0" w:color="auto"/>
          </w:divBdr>
        </w:div>
      </w:divsChild>
    </w:div>
    <w:div w:id="785346607">
      <w:bodyDiv w:val="1"/>
      <w:marLeft w:val="0"/>
      <w:marRight w:val="0"/>
      <w:marTop w:val="0"/>
      <w:marBottom w:val="0"/>
      <w:divBdr>
        <w:top w:val="none" w:sz="0" w:space="0" w:color="auto"/>
        <w:left w:val="none" w:sz="0" w:space="0" w:color="auto"/>
        <w:bottom w:val="none" w:sz="0" w:space="0" w:color="auto"/>
        <w:right w:val="none" w:sz="0" w:space="0" w:color="auto"/>
      </w:divBdr>
    </w:div>
    <w:div w:id="891622561">
      <w:bodyDiv w:val="1"/>
      <w:marLeft w:val="0"/>
      <w:marRight w:val="0"/>
      <w:marTop w:val="0"/>
      <w:marBottom w:val="0"/>
      <w:divBdr>
        <w:top w:val="none" w:sz="0" w:space="0" w:color="auto"/>
        <w:left w:val="none" w:sz="0" w:space="0" w:color="auto"/>
        <w:bottom w:val="none" w:sz="0" w:space="0" w:color="auto"/>
        <w:right w:val="none" w:sz="0" w:space="0" w:color="auto"/>
      </w:divBdr>
    </w:div>
    <w:div w:id="921642430">
      <w:bodyDiv w:val="1"/>
      <w:marLeft w:val="0"/>
      <w:marRight w:val="0"/>
      <w:marTop w:val="0"/>
      <w:marBottom w:val="0"/>
      <w:divBdr>
        <w:top w:val="none" w:sz="0" w:space="0" w:color="auto"/>
        <w:left w:val="none" w:sz="0" w:space="0" w:color="auto"/>
        <w:bottom w:val="none" w:sz="0" w:space="0" w:color="auto"/>
        <w:right w:val="none" w:sz="0" w:space="0" w:color="auto"/>
      </w:divBdr>
      <w:divsChild>
        <w:div w:id="926035739">
          <w:marLeft w:val="1008"/>
          <w:marRight w:val="0"/>
          <w:marTop w:val="62"/>
          <w:marBottom w:val="0"/>
          <w:divBdr>
            <w:top w:val="none" w:sz="0" w:space="0" w:color="auto"/>
            <w:left w:val="none" w:sz="0" w:space="0" w:color="auto"/>
            <w:bottom w:val="none" w:sz="0" w:space="0" w:color="auto"/>
            <w:right w:val="none" w:sz="0" w:space="0" w:color="auto"/>
          </w:divBdr>
        </w:div>
        <w:div w:id="1235360024">
          <w:marLeft w:val="1008"/>
          <w:marRight w:val="0"/>
          <w:marTop w:val="62"/>
          <w:marBottom w:val="0"/>
          <w:divBdr>
            <w:top w:val="none" w:sz="0" w:space="0" w:color="auto"/>
            <w:left w:val="none" w:sz="0" w:space="0" w:color="auto"/>
            <w:bottom w:val="none" w:sz="0" w:space="0" w:color="auto"/>
            <w:right w:val="none" w:sz="0" w:space="0" w:color="auto"/>
          </w:divBdr>
        </w:div>
        <w:div w:id="1961564673">
          <w:marLeft w:val="1008"/>
          <w:marRight w:val="0"/>
          <w:marTop w:val="62"/>
          <w:marBottom w:val="0"/>
          <w:divBdr>
            <w:top w:val="none" w:sz="0" w:space="0" w:color="auto"/>
            <w:left w:val="none" w:sz="0" w:space="0" w:color="auto"/>
            <w:bottom w:val="none" w:sz="0" w:space="0" w:color="auto"/>
            <w:right w:val="none" w:sz="0" w:space="0" w:color="auto"/>
          </w:divBdr>
        </w:div>
      </w:divsChild>
    </w:div>
    <w:div w:id="956451466">
      <w:bodyDiv w:val="1"/>
      <w:marLeft w:val="0"/>
      <w:marRight w:val="0"/>
      <w:marTop w:val="0"/>
      <w:marBottom w:val="0"/>
      <w:divBdr>
        <w:top w:val="none" w:sz="0" w:space="0" w:color="auto"/>
        <w:left w:val="none" w:sz="0" w:space="0" w:color="auto"/>
        <w:bottom w:val="none" w:sz="0" w:space="0" w:color="auto"/>
        <w:right w:val="none" w:sz="0" w:space="0" w:color="auto"/>
      </w:divBdr>
    </w:div>
    <w:div w:id="961961136">
      <w:bodyDiv w:val="1"/>
      <w:marLeft w:val="0"/>
      <w:marRight w:val="0"/>
      <w:marTop w:val="0"/>
      <w:marBottom w:val="0"/>
      <w:divBdr>
        <w:top w:val="none" w:sz="0" w:space="0" w:color="auto"/>
        <w:left w:val="none" w:sz="0" w:space="0" w:color="auto"/>
        <w:bottom w:val="none" w:sz="0" w:space="0" w:color="auto"/>
        <w:right w:val="none" w:sz="0" w:space="0" w:color="auto"/>
      </w:divBdr>
    </w:div>
    <w:div w:id="986201544">
      <w:bodyDiv w:val="1"/>
      <w:marLeft w:val="0"/>
      <w:marRight w:val="0"/>
      <w:marTop w:val="0"/>
      <w:marBottom w:val="0"/>
      <w:divBdr>
        <w:top w:val="none" w:sz="0" w:space="0" w:color="auto"/>
        <w:left w:val="none" w:sz="0" w:space="0" w:color="auto"/>
        <w:bottom w:val="none" w:sz="0" w:space="0" w:color="auto"/>
        <w:right w:val="none" w:sz="0" w:space="0" w:color="auto"/>
      </w:divBdr>
      <w:divsChild>
        <w:div w:id="142819484">
          <w:marLeft w:val="547"/>
          <w:marRight w:val="0"/>
          <w:marTop w:val="91"/>
          <w:marBottom w:val="0"/>
          <w:divBdr>
            <w:top w:val="none" w:sz="0" w:space="0" w:color="auto"/>
            <w:left w:val="none" w:sz="0" w:space="0" w:color="auto"/>
            <w:bottom w:val="none" w:sz="0" w:space="0" w:color="auto"/>
            <w:right w:val="none" w:sz="0" w:space="0" w:color="auto"/>
          </w:divBdr>
        </w:div>
        <w:div w:id="459349290">
          <w:marLeft w:val="547"/>
          <w:marRight w:val="0"/>
          <w:marTop w:val="91"/>
          <w:marBottom w:val="0"/>
          <w:divBdr>
            <w:top w:val="none" w:sz="0" w:space="0" w:color="auto"/>
            <w:left w:val="none" w:sz="0" w:space="0" w:color="auto"/>
            <w:bottom w:val="none" w:sz="0" w:space="0" w:color="auto"/>
            <w:right w:val="none" w:sz="0" w:space="0" w:color="auto"/>
          </w:divBdr>
        </w:div>
        <w:div w:id="1008675145">
          <w:marLeft w:val="547"/>
          <w:marRight w:val="0"/>
          <w:marTop w:val="91"/>
          <w:marBottom w:val="0"/>
          <w:divBdr>
            <w:top w:val="none" w:sz="0" w:space="0" w:color="auto"/>
            <w:left w:val="none" w:sz="0" w:space="0" w:color="auto"/>
            <w:bottom w:val="none" w:sz="0" w:space="0" w:color="auto"/>
            <w:right w:val="none" w:sz="0" w:space="0" w:color="auto"/>
          </w:divBdr>
        </w:div>
        <w:div w:id="1669676478">
          <w:marLeft w:val="547"/>
          <w:marRight w:val="0"/>
          <w:marTop w:val="91"/>
          <w:marBottom w:val="0"/>
          <w:divBdr>
            <w:top w:val="none" w:sz="0" w:space="0" w:color="auto"/>
            <w:left w:val="none" w:sz="0" w:space="0" w:color="auto"/>
            <w:bottom w:val="none" w:sz="0" w:space="0" w:color="auto"/>
            <w:right w:val="none" w:sz="0" w:space="0" w:color="auto"/>
          </w:divBdr>
        </w:div>
      </w:divsChild>
    </w:div>
    <w:div w:id="1037852275">
      <w:bodyDiv w:val="1"/>
      <w:marLeft w:val="0"/>
      <w:marRight w:val="0"/>
      <w:marTop w:val="0"/>
      <w:marBottom w:val="0"/>
      <w:divBdr>
        <w:top w:val="none" w:sz="0" w:space="0" w:color="auto"/>
        <w:left w:val="none" w:sz="0" w:space="0" w:color="auto"/>
        <w:bottom w:val="none" w:sz="0" w:space="0" w:color="auto"/>
        <w:right w:val="none" w:sz="0" w:space="0" w:color="auto"/>
      </w:divBdr>
    </w:div>
    <w:div w:id="1049262866">
      <w:bodyDiv w:val="1"/>
      <w:marLeft w:val="0"/>
      <w:marRight w:val="0"/>
      <w:marTop w:val="0"/>
      <w:marBottom w:val="0"/>
      <w:divBdr>
        <w:top w:val="none" w:sz="0" w:space="0" w:color="auto"/>
        <w:left w:val="none" w:sz="0" w:space="0" w:color="auto"/>
        <w:bottom w:val="none" w:sz="0" w:space="0" w:color="auto"/>
        <w:right w:val="none" w:sz="0" w:space="0" w:color="auto"/>
      </w:divBdr>
      <w:divsChild>
        <w:div w:id="1857034477">
          <w:marLeft w:val="1008"/>
          <w:marRight w:val="0"/>
          <w:marTop w:val="53"/>
          <w:marBottom w:val="0"/>
          <w:divBdr>
            <w:top w:val="none" w:sz="0" w:space="0" w:color="auto"/>
            <w:left w:val="none" w:sz="0" w:space="0" w:color="auto"/>
            <w:bottom w:val="none" w:sz="0" w:space="0" w:color="auto"/>
            <w:right w:val="none" w:sz="0" w:space="0" w:color="auto"/>
          </w:divBdr>
        </w:div>
      </w:divsChild>
    </w:div>
    <w:div w:id="1130824597">
      <w:bodyDiv w:val="1"/>
      <w:marLeft w:val="0"/>
      <w:marRight w:val="0"/>
      <w:marTop w:val="0"/>
      <w:marBottom w:val="0"/>
      <w:divBdr>
        <w:top w:val="none" w:sz="0" w:space="0" w:color="auto"/>
        <w:left w:val="none" w:sz="0" w:space="0" w:color="auto"/>
        <w:bottom w:val="none" w:sz="0" w:space="0" w:color="auto"/>
        <w:right w:val="none" w:sz="0" w:space="0" w:color="auto"/>
      </w:divBdr>
      <w:divsChild>
        <w:div w:id="229968605">
          <w:marLeft w:val="1008"/>
          <w:marRight w:val="0"/>
          <w:marTop w:val="62"/>
          <w:marBottom w:val="0"/>
          <w:divBdr>
            <w:top w:val="none" w:sz="0" w:space="0" w:color="auto"/>
            <w:left w:val="none" w:sz="0" w:space="0" w:color="auto"/>
            <w:bottom w:val="none" w:sz="0" w:space="0" w:color="auto"/>
            <w:right w:val="none" w:sz="0" w:space="0" w:color="auto"/>
          </w:divBdr>
        </w:div>
      </w:divsChild>
    </w:div>
    <w:div w:id="1298140870">
      <w:bodyDiv w:val="1"/>
      <w:marLeft w:val="0"/>
      <w:marRight w:val="0"/>
      <w:marTop w:val="0"/>
      <w:marBottom w:val="0"/>
      <w:divBdr>
        <w:top w:val="none" w:sz="0" w:space="0" w:color="auto"/>
        <w:left w:val="none" w:sz="0" w:space="0" w:color="auto"/>
        <w:bottom w:val="none" w:sz="0" w:space="0" w:color="auto"/>
        <w:right w:val="none" w:sz="0" w:space="0" w:color="auto"/>
      </w:divBdr>
      <w:divsChild>
        <w:div w:id="225070127">
          <w:marLeft w:val="0"/>
          <w:marRight w:val="0"/>
          <w:marTop w:val="0"/>
          <w:marBottom w:val="0"/>
          <w:divBdr>
            <w:top w:val="none" w:sz="0" w:space="0" w:color="auto"/>
            <w:left w:val="none" w:sz="0" w:space="0" w:color="auto"/>
            <w:bottom w:val="none" w:sz="0" w:space="0" w:color="auto"/>
            <w:right w:val="none" w:sz="0" w:space="0" w:color="auto"/>
          </w:divBdr>
        </w:div>
      </w:divsChild>
    </w:div>
    <w:div w:id="1309047825">
      <w:bodyDiv w:val="1"/>
      <w:marLeft w:val="0"/>
      <w:marRight w:val="0"/>
      <w:marTop w:val="0"/>
      <w:marBottom w:val="0"/>
      <w:divBdr>
        <w:top w:val="none" w:sz="0" w:space="0" w:color="auto"/>
        <w:left w:val="none" w:sz="0" w:space="0" w:color="auto"/>
        <w:bottom w:val="none" w:sz="0" w:space="0" w:color="auto"/>
        <w:right w:val="none" w:sz="0" w:space="0" w:color="auto"/>
      </w:divBdr>
    </w:div>
    <w:div w:id="1379818239">
      <w:bodyDiv w:val="1"/>
      <w:marLeft w:val="0"/>
      <w:marRight w:val="0"/>
      <w:marTop w:val="0"/>
      <w:marBottom w:val="0"/>
      <w:divBdr>
        <w:top w:val="none" w:sz="0" w:space="0" w:color="auto"/>
        <w:left w:val="none" w:sz="0" w:space="0" w:color="auto"/>
        <w:bottom w:val="none" w:sz="0" w:space="0" w:color="auto"/>
        <w:right w:val="none" w:sz="0" w:space="0" w:color="auto"/>
      </w:divBdr>
    </w:div>
    <w:div w:id="1404713729">
      <w:bodyDiv w:val="1"/>
      <w:marLeft w:val="0"/>
      <w:marRight w:val="0"/>
      <w:marTop w:val="0"/>
      <w:marBottom w:val="0"/>
      <w:divBdr>
        <w:top w:val="none" w:sz="0" w:space="0" w:color="auto"/>
        <w:left w:val="none" w:sz="0" w:space="0" w:color="auto"/>
        <w:bottom w:val="none" w:sz="0" w:space="0" w:color="auto"/>
        <w:right w:val="none" w:sz="0" w:space="0" w:color="auto"/>
      </w:divBdr>
      <w:divsChild>
        <w:div w:id="789780946">
          <w:marLeft w:val="1008"/>
          <w:marRight w:val="0"/>
          <w:marTop w:val="53"/>
          <w:marBottom w:val="0"/>
          <w:divBdr>
            <w:top w:val="none" w:sz="0" w:space="0" w:color="auto"/>
            <w:left w:val="none" w:sz="0" w:space="0" w:color="auto"/>
            <w:bottom w:val="none" w:sz="0" w:space="0" w:color="auto"/>
            <w:right w:val="none" w:sz="0" w:space="0" w:color="auto"/>
          </w:divBdr>
        </w:div>
        <w:div w:id="825322001">
          <w:marLeft w:val="1008"/>
          <w:marRight w:val="0"/>
          <w:marTop w:val="53"/>
          <w:marBottom w:val="0"/>
          <w:divBdr>
            <w:top w:val="none" w:sz="0" w:space="0" w:color="auto"/>
            <w:left w:val="none" w:sz="0" w:space="0" w:color="auto"/>
            <w:bottom w:val="none" w:sz="0" w:space="0" w:color="auto"/>
            <w:right w:val="none" w:sz="0" w:space="0" w:color="auto"/>
          </w:divBdr>
        </w:div>
        <w:div w:id="969213497">
          <w:marLeft w:val="1008"/>
          <w:marRight w:val="0"/>
          <w:marTop w:val="53"/>
          <w:marBottom w:val="0"/>
          <w:divBdr>
            <w:top w:val="none" w:sz="0" w:space="0" w:color="auto"/>
            <w:left w:val="none" w:sz="0" w:space="0" w:color="auto"/>
            <w:bottom w:val="none" w:sz="0" w:space="0" w:color="auto"/>
            <w:right w:val="none" w:sz="0" w:space="0" w:color="auto"/>
          </w:divBdr>
        </w:div>
        <w:div w:id="980572351">
          <w:marLeft w:val="1008"/>
          <w:marRight w:val="0"/>
          <w:marTop w:val="53"/>
          <w:marBottom w:val="0"/>
          <w:divBdr>
            <w:top w:val="none" w:sz="0" w:space="0" w:color="auto"/>
            <w:left w:val="none" w:sz="0" w:space="0" w:color="auto"/>
            <w:bottom w:val="none" w:sz="0" w:space="0" w:color="auto"/>
            <w:right w:val="none" w:sz="0" w:space="0" w:color="auto"/>
          </w:divBdr>
        </w:div>
        <w:div w:id="1500198434">
          <w:marLeft w:val="1008"/>
          <w:marRight w:val="0"/>
          <w:marTop w:val="53"/>
          <w:marBottom w:val="0"/>
          <w:divBdr>
            <w:top w:val="none" w:sz="0" w:space="0" w:color="auto"/>
            <w:left w:val="none" w:sz="0" w:space="0" w:color="auto"/>
            <w:bottom w:val="none" w:sz="0" w:space="0" w:color="auto"/>
            <w:right w:val="none" w:sz="0" w:space="0" w:color="auto"/>
          </w:divBdr>
        </w:div>
      </w:divsChild>
    </w:div>
    <w:div w:id="1546524269">
      <w:bodyDiv w:val="1"/>
      <w:marLeft w:val="0"/>
      <w:marRight w:val="0"/>
      <w:marTop w:val="0"/>
      <w:marBottom w:val="0"/>
      <w:divBdr>
        <w:top w:val="none" w:sz="0" w:space="0" w:color="auto"/>
        <w:left w:val="none" w:sz="0" w:space="0" w:color="auto"/>
        <w:bottom w:val="none" w:sz="0" w:space="0" w:color="auto"/>
        <w:right w:val="none" w:sz="0" w:space="0" w:color="auto"/>
      </w:divBdr>
      <w:divsChild>
        <w:div w:id="403188661">
          <w:marLeft w:val="1008"/>
          <w:marRight w:val="0"/>
          <w:marTop w:val="62"/>
          <w:marBottom w:val="0"/>
          <w:divBdr>
            <w:top w:val="none" w:sz="0" w:space="0" w:color="auto"/>
            <w:left w:val="none" w:sz="0" w:space="0" w:color="auto"/>
            <w:bottom w:val="none" w:sz="0" w:space="0" w:color="auto"/>
            <w:right w:val="none" w:sz="0" w:space="0" w:color="auto"/>
          </w:divBdr>
        </w:div>
        <w:div w:id="966810915">
          <w:marLeft w:val="1008"/>
          <w:marRight w:val="0"/>
          <w:marTop w:val="62"/>
          <w:marBottom w:val="0"/>
          <w:divBdr>
            <w:top w:val="none" w:sz="0" w:space="0" w:color="auto"/>
            <w:left w:val="none" w:sz="0" w:space="0" w:color="auto"/>
            <w:bottom w:val="none" w:sz="0" w:space="0" w:color="auto"/>
            <w:right w:val="none" w:sz="0" w:space="0" w:color="auto"/>
          </w:divBdr>
        </w:div>
        <w:div w:id="1330524500">
          <w:marLeft w:val="1008"/>
          <w:marRight w:val="0"/>
          <w:marTop w:val="62"/>
          <w:marBottom w:val="0"/>
          <w:divBdr>
            <w:top w:val="none" w:sz="0" w:space="0" w:color="auto"/>
            <w:left w:val="none" w:sz="0" w:space="0" w:color="auto"/>
            <w:bottom w:val="none" w:sz="0" w:space="0" w:color="auto"/>
            <w:right w:val="none" w:sz="0" w:space="0" w:color="auto"/>
          </w:divBdr>
        </w:div>
      </w:divsChild>
    </w:div>
    <w:div w:id="1553685968">
      <w:bodyDiv w:val="1"/>
      <w:marLeft w:val="0"/>
      <w:marRight w:val="0"/>
      <w:marTop w:val="0"/>
      <w:marBottom w:val="0"/>
      <w:divBdr>
        <w:top w:val="none" w:sz="0" w:space="0" w:color="auto"/>
        <w:left w:val="none" w:sz="0" w:space="0" w:color="auto"/>
        <w:bottom w:val="none" w:sz="0" w:space="0" w:color="auto"/>
        <w:right w:val="none" w:sz="0" w:space="0" w:color="auto"/>
      </w:divBdr>
      <w:divsChild>
        <w:div w:id="110519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3011574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1210200">
      <w:bodyDiv w:val="1"/>
      <w:marLeft w:val="0"/>
      <w:marRight w:val="0"/>
      <w:marTop w:val="0"/>
      <w:marBottom w:val="0"/>
      <w:divBdr>
        <w:top w:val="none" w:sz="0" w:space="0" w:color="auto"/>
        <w:left w:val="none" w:sz="0" w:space="0" w:color="auto"/>
        <w:bottom w:val="none" w:sz="0" w:space="0" w:color="auto"/>
        <w:right w:val="none" w:sz="0" w:space="0" w:color="auto"/>
      </w:divBdr>
    </w:div>
    <w:div w:id="1561357041">
      <w:bodyDiv w:val="1"/>
      <w:marLeft w:val="0"/>
      <w:marRight w:val="0"/>
      <w:marTop w:val="0"/>
      <w:marBottom w:val="0"/>
      <w:divBdr>
        <w:top w:val="none" w:sz="0" w:space="0" w:color="auto"/>
        <w:left w:val="none" w:sz="0" w:space="0" w:color="auto"/>
        <w:bottom w:val="none" w:sz="0" w:space="0" w:color="auto"/>
        <w:right w:val="none" w:sz="0" w:space="0" w:color="auto"/>
      </w:divBdr>
      <w:divsChild>
        <w:div w:id="406535531">
          <w:marLeft w:val="0"/>
          <w:marRight w:val="0"/>
          <w:marTop w:val="0"/>
          <w:marBottom w:val="0"/>
          <w:divBdr>
            <w:top w:val="none" w:sz="0" w:space="0" w:color="auto"/>
            <w:left w:val="none" w:sz="0" w:space="0" w:color="auto"/>
            <w:bottom w:val="none" w:sz="0" w:space="0" w:color="auto"/>
            <w:right w:val="none" w:sz="0" w:space="0" w:color="auto"/>
          </w:divBdr>
        </w:div>
      </w:divsChild>
    </w:div>
    <w:div w:id="1567257341">
      <w:bodyDiv w:val="1"/>
      <w:marLeft w:val="0"/>
      <w:marRight w:val="0"/>
      <w:marTop w:val="0"/>
      <w:marBottom w:val="0"/>
      <w:divBdr>
        <w:top w:val="none" w:sz="0" w:space="0" w:color="auto"/>
        <w:left w:val="none" w:sz="0" w:space="0" w:color="auto"/>
        <w:bottom w:val="none" w:sz="0" w:space="0" w:color="auto"/>
        <w:right w:val="none" w:sz="0" w:space="0" w:color="auto"/>
      </w:divBdr>
    </w:div>
    <w:div w:id="1605503407">
      <w:bodyDiv w:val="1"/>
      <w:marLeft w:val="0"/>
      <w:marRight w:val="0"/>
      <w:marTop w:val="0"/>
      <w:marBottom w:val="0"/>
      <w:divBdr>
        <w:top w:val="none" w:sz="0" w:space="0" w:color="auto"/>
        <w:left w:val="none" w:sz="0" w:space="0" w:color="auto"/>
        <w:bottom w:val="none" w:sz="0" w:space="0" w:color="auto"/>
        <w:right w:val="none" w:sz="0" w:space="0" w:color="auto"/>
      </w:divBdr>
      <w:divsChild>
        <w:div w:id="1344240694">
          <w:marLeft w:val="0"/>
          <w:marRight w:val="0"/>
          <w:marTop w:val="0"/>
          <w:marBottom w:val="0"/>
          <w:divBdr>
            <w:top w:val="none" w:sz="0" w:space="0" w:color="auto"/>
            <w:left w:val="none" w:sz="0" w:space="0" w:color="auto"/>
            <w:bottom w:val="none" w:sz="0" w:space="0" w:color="auto"/>
            <w:right w:val="none" w:sz="0" w:space="0" w:color="auto"/>
          </w:divBdr>
        </w:div>
      </w:divsChild>
    </w:div>
    <w:div w:id="1648196342">
      <w:bodyDiv w:val="1"/>
      <w:marLeft w:val="0"/>
      <w:marRight w:val="0"/>
      <w:marTop w:val="0"/>
      <w:marBottom w:val="0"/>
      <w:divBdr>
        <w:top w:val="none" w:sz="0" w:space="0" w:color="auto"/>
        <w:left w:val="none" w:sz="0" w:space="0" w:color="auto"/>
        <w:bottom w:val="none" w:sz="0" w:space="0" w:color="auto"/>
        <w:right w:val="none" w:sz="0" w:space="0" w:color="auto"/>
      </w:divBdr>
      <w:divsChild>
        <w:div w:id="305016040">
          <w:marLeft w:val="300"/>
          <w:marRight w:val="300"/>
          <w:marTop w:val="0"/>
          <w:marBottom w:val="0"/>
          <w:divBdr>
            <w:top w:val="none" w:sz="0" w:space="0" w:color="auto"/>
            <w:left w:val="none" w:sz="0" w:space="0" w:color="auto"/>
            <w:bottom w:val="none" w:sz="0" w:space="0" w:color="auto"/>
            <w:right w:val="none" w:sz="0" w:space="0" w:color="auto"/>
          </w:divBdr>
          <w:divsChild>
            <w:div w:id="1416321945">
              <w:marLeft w:val="0"/>
              <w:marRight w:val="0"/>
              <w:marTop w:val="0"/>
              <w:marBottom w:val="0"/>
              <w:divBdr>
                <w:top w:val="none" w:sz="0" w:space="0" w:color="auto"/>
                <w:left w:val="none" w:sz="0" w:space="0" w:color="auto"/>
                <w:bottom w:val="none" w:sz="0" w:space="0" w:color="auto"/>
                <w:right w:val="none" w:sz="0" w:space="0" w:color="auto"/>
              </w:divBdr>
              <w:divsChild>
                <w:div w:id="1030644176">
                  <w:marLeft w:val="300"/>
                  <w:marRight w:val="300"/>
                  <w:marTop w:val="0"/>
                  <w:marBottom w:val="0"/>
                  <w:divBdr>
                    <w:top w:val="none" w:sz="0" w:space="0" w:color="auto"/>
                    <w:left w:val="none" w:sz="0" w:space="0" w:color="auto"/>
                    <w:bottom w:val="none" w:sz="0" w:space="0" w:color="auto"/>
                    <w:right w:val="none" w:sz="0" w:space="0" w:color="auto"/>
                  </w:divBdr>
                  <w:divsChild>
                    <w:div w:id="2084983008">
                      <w:marLeft w:val="0"/>
                      <w:marRight w:val="0"/>
                      <w:marTop w:val="0"/>
                      <w:marBottom w:val="0"/>
                      <w:divBdr>
                        <w:top w:val="none" w:sz="0" w:space="0" w:color="auto"/>
                        <w:left w:val="none" w:sz="0" w:space="0" w:color="auto"/>
                        <w:bottom w:val="none" w:sz="0" w:space="0" w:color="auto"/>
                        <w:right w:val="none" w:sz="0" w:space="0" w:color="auto"/>
                      </w:divBdr>
                      <w:divsChild>
                        <w:div w:id="1446269043">
                          <w:marLeft w:val="0"/>
                          <w:marRight w:val="0"/>
                          <w:marTop w:val="0"/>
                          <w:marBottom w:val="0"/>
                          <w:divBdr>
                            <w:top w:val="none" w:sz="0" w:space="0" w:color="auto"/>
                            <w:left w:val="none" w:sz="0" w:space="0" w:color="auto"/>
                            <w:bottom w:val="none" w:sz="0" w:space="0" w:color="auto"/>
                            <w:right w:val="none" w:sz="0" w:space="0" w:color="auto"/>
                          </w:divBdr>
                          <w:divsChild>
                            <w:div w:id="184058108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06178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7247622">
      <w:bodyDiv w:val="1"/>
      <w:marLeft w:val="0"/>
      <w:marRight w:val="0"/>
      <w:marTop w:val="0"/>
      <w:marBottom w:val="0"/>
      <w:divBdr>
        <w:top w:val="none" w:sz="0" w:space="0" w:color="auto"/>
        <w:left w:val="none" w:sz="0" w:space="0" w:color="auto"/>
        <w:bottom w:val="none" w:sz="0" w:space="0" w:color="auto"/>
        <w:right w:val="none" w:sz="0" w:space="0" w:color="auto"/>
      </w:divBdr>
    </w:div>
    <w:div w:id="1671986662">
      <w:bodyDiv w:val="1"/>
      <w:marLeft w:val="0"/>
      <w:marRight w:val="0"/>
      <w:marTop w:val="0"/>
      <w:marBottom w:val="0"/>
      <w:divBdr>
        <w:top w:val="none" w:sz="0" w:space="0" w:color="auto"/>
        <w:left w:val="none" w:sz="0" w:space="0" w:color="auto"/>
        <w:bottom w:val="none" w:sz="0" w:space="0" w:color="auto"/>
        <w:right w:val="none" w:sz="0" w:space="0" w:color="auto"/>
      </w:divBdr>
      <w:divsChild>
        <w:div w:id="2077361642">
          <w:marLeft w:val="0"/>
          <w:marRight w:val="0"/>
          <w:marTop w:val="0"/>
          <w:marBottom w:val="0"/>
          <w:divBdr>
            <w:top w:val="none" w:sz="0" w:space="0" w:color="auto"/>
            <w:left w:val="none" w:sz="0" w:space="0" w:color="auto"/>
            <w:bottom w:val="none" w:sz="0" w:space="0" w:color="auto"/>
            <w:right w:val="none" w:sz="0" w:space="0" w:color="auto"/>
          </w:divBdr>
        </w:div>
      </w:divsChild>
    </w:div>
    <w:div w:id="1794400601">
      <w:bodyDiv w:val="1"/>
      <w:marLeft w:val="0"/>
      <w:marRight w:val="0"/>
      <w:marTop w:val="0"/>
      <w:marBottom w:val="0"/>
      <w:divBdr>
        <w:top w:val="none" w:sz="0" w:space="0" w:color="auto"/>
        <w:left w:val="none" w:sz="0" w:space="0" w:color="auto"/>
        <w:bottom w:val="none" w:sz="0" w:space="0" w:color="auto"/>
        <w:right w:val="none" w:sz="0" w:space="0" w:color="auto"/>
      </w:divBdr>
      <w:divsChild>
        <w:div w:id="1576355801">
          <w:marLeft w:val="300"/>
          <w:marRight w:val="300"/>
          <w:marTop w:val="0"/>
          <w:marBottom w:val="0"/>
          <w:divBdr>
            <w:top w:val="none" w:sz="0" w:space="0" w:color="auto"/>
            <w:left w:val="none" w:sz="0" w:space="0" w:color="auto"/>
            <w:bottom w:val="none" w:sz="0" w:space="0" w:color="auto"/>
            <w:right w:val="none" w:sz="0" w:space="0" w:color="auto"/>
          </w:divBdr>
          <w:divsChild>
            <w:div w:id="1910378766">
              <w:marLeft w:val="0"/>
              <w:marRight w:val="0"/>
              <w:marTop w:val="0"/>
              <w:marBottom w:val="0"/>
              <w:divBdr>
                <w:top w:val="none" w:sz="0" w:space="0" w:color="auto"/>
                <w:left w:val="none" w:sz="0" w:space="0" w:color="auto"/>
                <w:bottom w:val="none" w:sz="0" w:space="0" w:color="auto"/>
                <w:right w:val="none" w:sz="0" w:space="0" w:color="auto"/>
              </w:divBdr>
              <w:divsChild>
                <w:div w:id="563099811">
                  <w:marLeft w:val="300"/>
                  <w:marRight w:val="300"/>
                  <w:marTop w:val="0"/>
                  <w:marBottom w:val="0"/>
                  <w:divBdr>
                    <w:top w:val="none" w:sz="0" w:space="0" w:color="auto"/>
                    <w:left w:val="none" w:sz="0" w:space="0" w:color="auto"/>
                    <w:bottom w:val="none" w:sz="0" w:space="0" w:color="auto"/>
                    <w:right w:val="none" w:sz="0" w:space="0" w:color="auto"/>
                  </w:divBdr>
                  <w:divsChild>
                    <w:div w:id="1465080953">
                      <w:marLeft w:val="0"/>
                      <w:marRight w:val="0"/>
                      <w:marTop w:val="0"/>
                      <w:marBottom w:val="0"/>
                      <w:divBdr>
                        <w:top w:val="none" w:sz="0" w:space="0" w:color="auto"/>
                        <w:left w:val="none" w:sz="0" w:space="0" w:color="auto"/>
                        <w:bottom w:val="none" w:sz="0" w:space="0" w:color="auto"/>
                        <w:right w:val="none" w:sz="0" w:space="0" w:color="auto"/>
                      </w:divBdr>
                      <w:divsChild>
                        <w:div w:id="101006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891116">
      <w:bodyDiv w:val="1"/>
      <w:marLeft w:val="0"/>
      <w:marRight w:val="0"/>
      <w:marTop w:val="0"/>
      <w:marBottom w:val="0"/>
      <w:divBdr>
        <w:top w:val="none" w:sz="0" w:space="0" w:color="auto"/>
        <w:left w:val="none" w:sz="0" w:space="0" w:color="auto"/>
        <w:bottom w:val="none" w:sz="0" w:space="0" w:color="auto"/>
        <w:right w:val="none" w:sz="0" w:space="0" w:color="auto"/>
      </w:divBdr>
      <w:divsChild>
        <w:div w:id="1427573914">
          <w:marLeft w:val="1008"/>
          <w:marRight w:val="0"/>
          <w:marTop w:val="62"/>
          <w:marBottom w:val="0"/>
          <w:divBdr>
            <w:top w:val="none" w:sz="0" w:space="0" w:color="auto"/>
            <w:left w:val="none" w:sz="0" w:space="0" w:color="auto"/>
            <w:bottom w:val="none" w:sz="0" w:space="0" w:color="auto"/>
            <w:right w:val="none" w:sz="0" w:space="0" w:color="auto"/>
          </w:divBdr>
        </w:div>
      </w:divsChild>
    </w:div>
    <w:div w:id="1869485436">
      <w:bodyDiv w:val="1"/>
      <w:marLeft w:val="0"/>
      <w:marRight w:val="0"/>
      <w:marTop w:val="0"/>
      <w:marBottom w:val="0"/>
      <w:divBdr>
        <w:top w:val="none" w:sz="0" w:space="0" w:color="auto"/>
        <w:left w:val="none" w:sz="0" w:space="0" w:color="auto"/>
        <w:bottom w:val="none" w:sz="0" w:space="0" w:color="auto"/>
        <w:right w:val="none" w:sz="0" w:space="0" w:color="auto"/>
      </w:divBdr>
      <w:divsChild>
        <w:div w:id="1966934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9641584">
      <w:bodyDiv w:val="1"/>
      <w:marLeft w:val="0"/>
      <w:marRight w:val="0"/>
      <w:marTop w:val="0"/>
      <w:marBottom w:val="0"/>
      <w:divBdr>
        <w:top w:val="none" w:sz="0" w:space="0" w:color="auto"/>
        <w:left w:val="none" w:sz="0" w:space="0" w:color="auto"/>
        <w:bottom w:val="none" w:sz="0" w:space="0" w:color="auto"/>
        <w:right w:val="none" w:sz="0" w:space="0" w:color="auto"/>
      </w:divBdr>
    </w:div>
    <w:div w:id="1951400636">
      <w:bodyDiv w:val="1"/>
      <w:marLeft w:val="0"/>
      <w:marRight w:val="0"/>
      <w:marTop w:val="0"/>
      <w:marBottom w:val="0"/>
      <w:divBdr>
        <w:top w:val="none" w:sz="0" w:space="0" w:color="auto"/>
        <w:left w:val="none" w:sz="0" w:space="0" w:color="auto"/>
        <w:bottom w:val="none" w:sz="0" w:space="0" w:color="auto"/>
        <w:right w:val="none" w:sz="0" w:space="0" w:color="auto"/>
      </w:divBdr>
      <w:divsChild>
        <w:div w:id="314650580">
          <w:marLeft w:val="547"/>
          <w:marRight w:val="0"/>
          <w:marTop w:val="106"/>
          <w:marBottom w:val="0"/>
          <w:divBdr>
            <w:top w:val="none" w:sz="0" w:space="0" w:color="auto"/>
            <w:left w:val="none" w:sz="0" w:space="0" w:color="auto"/>
            <w:bottom w:val="none" w:sz="0" w:space="0" w:color="auto"/>
            <w:right w:val="none" w:sz="0" w:space="0" w:color="auto"/>
          </w:divBdr>
        </w:div>
        <w:div w:id="1028871627">
          <w:marLeft w:val="547"/>
          <w:marRight w:val="0"/>
          <w:marTop w:val="106"/>
          <w:marBottom w:val="0"/>
          <w:divBdr>
            <w:top w:val="none" w:sz="0" w:space="0" w:color="auto"/>
            <w:left w:val="none" w:sz="0" w:space="0" w:color="auto"/>
            <w:bottom w:val="none" w:sz="0" w:space="0" w:color="auto"/>
            <w:right w:val="none" w:sz="0" w:space="0" w:color="auto"/>
          </w:divBdr>
        </w:div>
        <w:div w:id="1432705143">
          <w:marLeft w:val="547"/>
          <w:marRight w:val="0"/>
          <w:marTop w:val="106"/>
          <w:marBottom w:val="0"/>
          <w:divBdr>
            <w:top w:val="none" w:sz="0" w:space="0" w:color="auto"/>
            <w:left w:val="none" w:sz="0" w:space="0" w:color="auto"/>
            <w:bottom w:val="none" w:sz="0" w:space="0" w:color="auto"/>
            <w:right w:val="none" w:sz="0" w:space="0" w:color="auto"/>
          </w:divBdr>
        </w:div>
      </w:divsChild>
    </w:div>
    <w:div w:id="1970278325">
      <w:bodyDiv w:val="1"/>
      <w:marLeft w:val="0"/>
      <w:marRight w:val="0"/>
      <w:marTop w:val="0"/>
      <w:marBottom w:val="0"/>
      <w:divBdr>
        <w:top w:val="none" w:sz="0" w:space="0" w:color="auto"/>
        <w:left w:val="none" w:sz="0" w:space="0" w:color="auto"/>
        <w:bottom w:val="none" w:sz="0" w:space="0" w:color="auto"/>
        <w:right w:val="none" w:sz="0" w:space="0" w:color="auto"/>
      </w:divBdr>
      <w:divsChild>
        <w:div w:id="206455469">
          <w:marLeft w:val="0"/>
          <w:marRight w:val="0"/>
          <w:marTop w:val="0"/>
          <w:marBottom w:val="0"/>
          <w:divBdr>
            <w:top w:val="none" w:sz="0" w:space="0" w:color="auto"/>
            <w:left w:val="none" w:sz="0" w:space="0" w:color="auto"/>
            <w:bottom w:val="none" w:sz="0" w:space="0" w:color="auto"/>
            <w:right w:val="none" w:sz="0" w:space="0" w:color="auto"/>
          </w:divBdr>
        </w:div>
      </w:divsChild>
    </w:div>
    <w:div w:id="1979261694">
      <w:bodyDiv w:val="1"/>
      <w:marLeft w:val="0"/>
      <w:marRight w:val="0"/>
      <w:marTop w:val="0"/>
      <w:marBottom w:val="0"/>
      <w:divBdr>
        <w:top w:val="none" w:sz="0" w:space="0" w:color="auto"/>
        <w:left w:val="none" w:sz="0" w:space="0" w:color="auto"/>
        <w:bottom w:val="none" w:sz="0" w:space="0" w:color="auto"/>
        <w:right w:val="none" w:sz="0" w:space="0" w:color="auto"/>
      </w:divBdr>
      <w:divsChild>
        <w:div w:id="1327781870">
          <w:marLeft w:val="1008"/>
          <w:marRight w:val="0"/>
          <w:marTop w:val="62"/>
          <w:marBottom w:val="0"/>
          <w:divBdr>
            <w:top w:val="none" w:sz="0" w:space="0" w:color="auto"/>
            <w:left w:val="none" w:sz="0" w:space="0" w:color="auto"/>
            <w:bottom w:val="none" w:sz="0" w:space="0" w:color="auto"/>
            <w:right w:val="none" w:sz="0" w:space="0" w:color="auto"/>
          </w:divBdr>
        </w:div>
      </w:divsChild>
    </w:div>
    <w:div w:id="2078820321">
      <w:bodyDiv w:val="1"/>
      <w:marLeft w:val="0"/>
      <w:marRight w:val="0"/>
      <w:marTop w:val="0"/>
      <w:marBottom w:val="0"/>
      <w:divBdr>
        <w:top w:val="none" w:sz="0" w:space="0" w:color="auto"/>
        <w:left w:val="none" w:sz="0" w:space="0" w:color="auto"/>
        <w:bottom w:val="none" w:sz="0" w:space="0" w:color="auto"/>
        <w:right w:val="none" w:sz="0" w:space="0" w:color="auto"/>
      </w:divBdr>
      <w:divsChild>
        <w:div w:id="392702351">
          <w:marLeft w:val="0"/>
          <w:marRight w:val="0"/>
          <w:marTop w:val="0"/>
          <w:marBottom w:val="0"/>
          <w:divBdr>
            <w:top w:val="none" w:sz="0" w:space="0" w:color="auto"/>
            <w:left w:val="none" w:sz="0" w:space="0" w:color="auto"/>
            <w:bottom w:val="none" w:sz="0" w:space="0" w:color="auto"/>
            <w:right w:val="none" w:sz="0" w:space="0" w:color="auto"/>
          </w:divBdr>
        </w:div>
        <w:div w:id="920259322">
          <w:marLeft w:val="0"/>
          <w:marRight w:val="0"/>
          <w:marTop w:val="0"/>
          <w:marBottom w:val="0"/>
          <w:divBdr>
            <w:top w:val="none" w:sz="0" w:space="0" w:color="auto"/>
            <w:left w:val="none" w:sz="0" w:space="0" w:color="auto"/>
            <w:bottom w:val="none" w:sz="0" w:space="0" w:color="auto"/>
            <w:right w:val="none" w:sz="0" w:space="0" w:color="auto"/>
          </w:divBdr>
        </w:div>
        <w:div w:id="1751073466">
          <w:marLeft w:val="0"/>
          <w:marRight w:val="0"/>
          <w:marTop w:val="0"/>
          <w:marBottom w:val="0"/>
          <w:divBdr>
            <w:top w:val="none" w:sz="0" w:space="0" w:color="auto"/>
            <w:left w:val="none" w:sz="0" w:space="0" w:color="auto"/>
            <w:bottom w:val="none" w:sz="0" w:space="0" w:color="auto"/>
            <w:right w:val="none" w:sz="0" w:space="0" w:color="auto"/>
          </w:divBdr>
        </w:div>
      </w:divsChild>
    </w:div>
    <w:div w:id="2128886688">
      <w:bodyDiv w:val="1"/>
      <w:marLeft w:val="0"/>
      <w:marRight w:val="0"/>
      <w:marTop w:val="0"/>
      <w:marBottom w:val="0"/>
      <w:divBdr>
        <w:top w:val="none" w:sz="0" w:space="0" w:color="auto"/>
        <w:left w:val="none" w:sz="0" w:space="0" w:color="auto"/>
        <w:bottom w:val="none" w:sz="0" w:space="0" w:color="auto"/>
        <w:right w:val="none" w:sz="0" w:space="0" w:color="auto"/>
      </w:divBdr>
    </w:div>
    <w:div w:id="2138602237">
      <w:bodyDiv w:val="1"/>
      <w:marLeft w:val="0"/>
      <w:marRight w:val="0"/>
      <w:marTop w:val="0"/>
      <w:marBottom w:val="0"/>
      <w:divBdr>
        <w:top w:val="none" w:sz="0" w:space="0" w:color="auto"/>
        <w:left w:val="none" w:sz="0" w:space="0" w:color="auto"/>
        <w:bottom w:val="none" w:sz="0" w:space="0" w:color="auto"/>
        <w:right w:val="none" w:sz="0" w:space="0" w:color="auto"/>
      </w:divBdr>
      <w:divsChild>
        <w:div w:id="1468083924">
          <w:marLeft w:val="1008"/>
          <w:marRight w:val="0"/>
          <w:marTop w:val="62"/>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liheappm.acf.hhs.gov/" TargetMode="External"/><Relationship Id="rId18" Type="http://schemas.openxmlformats.org/officeDocument/2006/relationships/footer" Target="footer1.xml"/><Relationship Id="rId26" Type="http://schemas.openxmlformats.org/officeDocument/2006/relationships/hyperlink" Target="https://www.acf.hhs.gov/ocs/resource/funding-applications" TargetMode="External"/><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footer" Target="foot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yperlink" Target="https://home.grantsolutions.gov/home" TargetMode="External"/><Relationship Id="rId33" Type="http://schemas.openxmlformats.org/officeDocument/2006/relationships/footer" Target="footer4.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reginfo.gov/public/do/PRAViewICR?ref_nbr=201406-0970-003" TargetMode="External"/><Relationship Id="rId20" Type="http://schemas.openxmlformats.org/officeDocument/2006/relationships/image" Target="media/image1.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acf.hhs.gov/sites/default/files/ocs/fy14_liheap_rtc_final.pdf" TargetMode="External"/><Relationship Id="rId32" Type="http://schemas.openxmlformats.org/officeDocument/2006/relationships/header" Target="header4.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reginfo.gov/public/do/PRAViewICR?ref_nbr=201802-0970-007" TargetMode="External"/><Relationship Id="rId23" Type="http://schemas.openxmlformats.org/officeDocument/2006/relationships/image" Target="media/image4.png"/><Relationship Id="rId28" Type="http://schemas.openxmlformats.org/officeDocument/2006/relationships/hyperlink" Target="mailto:infocollection@acf.hhs.gov" TargetMode="External"/><Relationship Id="rId36" Type="http://schemas.openxmlformats.org/officeDocument/2006/relationships/footer" Target="footer6.xm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reginfo.gov/public/do/PRAViewICR?ref_nbr=201802-0970-007" TargetMode="External"/><Relationship Id="rId22" Type="http://schemas.openxmlformats.org/officeDocument/2006/relationships/image" Target="media/image3.png"/><Relationship Id="rId27" Type="http://schemas.openxmlformats.org/officeDocument/2006/relationships/hyperlink" Target="https://api.fdsys.gov/link?collection=plaw&amp;congress=104&amp;lawtype=public&amp;lawnum=13&amp;link-type=html" TargetMode="External"/><Relationship Id="rId30" Type="http://schemas.openxmlformats.org/officeDocument/2006/relationships/footer" Target="footer3.xml"/><Relationship Id="rId35"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ard_x0020_Copy_x0020_Received_x0020_by_x0020_OD xmlns="529ba1de-83f7-4614-a33a-20d5c69b3234" xsi:nil="true"/>
    <Tracking_x0020_Number xmlns="529ba1de-83f7-4614-a33a-20d5c69b3234">3935</Tracking_x0020_Number>
    <Posted_x0020_Online_x0020_Date xmlns="529ba1de-83f7-4614-a33a-20d5c69b3234" xsi:nil="true"/>
    <Completed_x003f_ xmlns="529ba1de-83f7-4614-a33a-20d5c69b3234">Yes</Completed_x003f_>
    <Type_x0020_of_x0020_Doc xmlns="529ba1de-83f7-4614-a33a-20d5c69b3234">Public Communications</Type_x0020_of_x0020_Doc>
    <Division xmlns="529ba1de-83f7-4614-a33a-20d5c69b3234">DEA</Division>
    <Due_x0020_Date xmlns="529ba1de-83f7-4614-a33a-20d5c69b3234" xsi:nil="true"/>
    <Program xmlns="529ba1de-83f7-4614-a33a-20d5c69b3234">LIHEAP</Program>
    <V3Comments xmlns="http://schemas.microsoft.com/sharepoint/v3">&lt;div&gt;This is the OMB supporting statement.  Please review after reviewing the LPDF instructions&lt;/div&gt;</V3Comments>
    <Fiscal_x0020_Year xmlns="529ba1de-83f7-4614-a33a-20d5c69b3234">2020</Fiscal_x0020_Year>
    <Mailed_x0020_Out_x0020_Date xmlns="529ba1de-83f7-4614-a33a-20d5c69b3234" xsi:nil="true"/>
    <Notes0 xmlns="529ba1de-83f7-4614-a33a-20d5c69b3234" xsi:nil="true"/>
    <Lead_x0020_POC xmlns="529ba1de-83f7-4614-a33a-20d5c69b3234">
      <UserInfo>
        <DisplayName>Edelman, Peter (ACF)</DisplayName>
        <AccountId>38</AccountId>
        <AccountType/>
      </UserInfo>
    </Lead_x0020_POC>
    <Hard_x0020_Copy_x0020_Returned_x0020_to_x0020_Division xmlns="529ba1de-83f7-4614-a33a-20d5c69b3234" xsi:nil="true"/>
    <Link_x0020_to_x0020_Current_x0020_Task xmlns="529ba1de-83f7-4614-a33a-20d5c69b3234">
      <Url xsi:nil="true"/>
      <Description xsi:nil="true"/>
    </Link_x0020_to_x0020_Current_x0020_Task>
    <Currently_x0020_Tasked_x0020_To xmlns="529ba1de-83f7-4614-a33a-20d5c69b3234">
      <UserInfo>
        <DisplayName/>
        <AccountId xsi:nil="true"/>
        <AccountType/>
      </UserInfo>
    </Currently_x0020_Tasked_x0020_To>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79513618726EA43B759DC4E98B2843D" ma:contentTypeVersion="34" ma:contentTypeDescription="Create a new document." ma:contentTypeScope="" ma:versionID="eb912a7985d6edcbefc478d267123ab3">
  <xsd:schema xmlns:xsd="http://www.w3.org/2001/XMLSchema" xmlns:xs="http://www.w3.org/2001/XMLSchema" xmlns:p="http://schemas.microsoft.com/office/2006/metadata/properties" xmlns:ns1="http://schemas.microsoft.com/sharepoint/v3" xmlns:ns2="529ba1de-83f7-4614-a33a-20d5c69b3234" targetNamespace="http://schemas.microsoft.com/office/2006/metadata/properties" ma:root="true" ma:fieldsID="7da4c8cd5d9e215ee32e41aefe444be0" ns1:_="" ns2:_="">
    <xsd:import namespace="http://schemas.microsoft.com/sharepoint/v3"/>
    <xsd:import namespace="529ba1de-83f7-4614-a33a-20d5c69b3234"/>
    <xsd:element name="properties">
      <xsd:complexType>
        <xsd:sequence>
          <xsd:element name="documentManagement">
            <xsd:complexType>
              <xsd:all>
                <xsd:element ref="ns2:Lead_x0020_POC"/>
                <xsd:element ref="ns2:Division"/>
                <xsd:element ref="ns2:Program"/>
                <xsd:element ref="ns2:Fiscal_x0020_Year"/>
                <xsd:element ref="ns2:Type_x0020_of_x0020_Doc"/>
                <xsd:element ref="ns2:Hard_x0020_Copy_x0020_Received_x0020_by_x0020_OD" minOccurs="0"/>
                <xsd:element ref="ns2:Hard_x0020_Copy_x0020_Returned_x0020_to_x0020_Division" minOccurs="0"/>
                <xsd:element ref="ns2:Completed_x003f_" minOccurs="0"/>
                <xsd:element ref="ns2:Tracking_x0020_Number" minOccurs="0"/>
                <xsd:element ref="ns2:Notes0" minOccurs="0"/>
                <xsd:element ref="ns2:Currently_x0020_Tasked_x0020_To" minOccurs="0"/>
                <xsd:element ref="ns2:Link_x0020_to_x0020_Current_x0020_Task" minOccurs="0"/>
                <xsd:element ref="ns2:Due_x0020_Date" minOccurs="0"/>
                <xsd:element ref="ns2:Mailed_x0020_Out_x0020_Date" minOccurs="0"/>
                <xsd:element ref="ns2:Posted_x0020_Online_x0020_Date"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25" nillable="true" ma:displayName="Append-Only Comments" ma:description="" ma:internalName="Append_x002d_Only_x0020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9ba1de-83f7-4614-a33a-20d5c69b3234" elementFormDefault="qualified">
    <xsd:import namespace="http://schemas.microsoft.com/office/2006/documentManagement/types"/>
    <xsd:import namespace="http://schemas.microsoft.com/office/infopath/2007/PartnerControls"/>
    <xsd:element name="Lead_x0020_POC" ma:index="1" ma:displayName="Lead POC" ma:description="Main Lead and Point of Contact for this Document Set." ma:list="UserInfo" ma:SharePointGroup="0" ma:internalName="Lead_x0020_POC"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ivision" ma:index="2" ma:displayName="Division" ma:format="Dropdown" ma:internalName="Division" ma:readOnly="false">
      <xsd:simpleType>
        <xsd:restriction base="dms:Choice">
          <xsd:enumeration value="All"/>
          <xsd:enumeration value="DCA"/>
          <xsd:enumeration value="DCDDP"/>
          <xsd:enumeration value="DEA"/>
          <xsd:enumeration value="DSS"/>
          <xsd:enumeration value="OD"/>
        </xsd:restriction>
      </xsd:simpleType>
    </xsd:element>
    <xsd:element name="Program" ma:index="3" ma:displayName="Program" ma:format="Dropdown" ma:internalName="Program" ma:readOnly="false">
      <xsd:simpleType>
        <xsd:restriction base="dms:Choice">
          <xsd:enumeration value="All"/>
          <xsd:enumeration value="AFI"/>
          <xsd:enumeration value="CED"/>
          <xsd:enumeration value="CED/RCD"/>
          <xsd:enumeration value="CSBG"/>
          <xsd:enumeration value="LIHEAP"/>
          <xsd:enumeration value="RCD"/>
          <xsd:enumeration value="SSBG"/>
        </xsd:restriction>
      </xsd:simpleType>
    </xsd:element>
    <xsd:element name="Fiscal_x0020_Year" ma:index="4" ma:displayName="Fiscal Year" ma:format="Dropdown" ma:internalName="Fiscal_x0020_Year">
      <xsd:simpleType>
        <xsd:restriction base="dms:Choice">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element name="Type_x0020_of_x0020_Doc" ma:index="5" ma:displayName="Type of Doc" ma:format="Dropdown" ma:internalName="Type_x0020_of_x0020_Doc">
      <xsd:simpleType>
        <xsd:restriction base="dms:Choice">
          <xsd:enumeration value="Action Transmittal"/>
          <xsd:enumeration value="Conference Materials"/>
          <xsd:enumeration value="Congressional Report"/>
          <xsd:enumeration value="Dear Colleague Letters"/>
          <xsd:enumeration value="Decision Memo"/>
          <xsd:enumeration value="Deviation Memo"/>
          <xsd:enumeration value="Disallowance"/>
          <xsd:enumeration value="Federal Register Notices"/>
          <xsd:enumeration value="Federal Review"/>
          <xsd:enumeration value="FOAs-Funding Opportunity Announcements"/>
          <xsd:enumeration value="Funding Decision Memo"/>
          <xsd:enumeration value="GAO - Government Accounting Office Responses"/>
          <xsd:enumeration value="Home Energy Notebook"/>
          <xsd:enumeration value="IM-Information Memorandum"/>
          <xsd:enumeration value="MOU-Memorandums of Understanding"/>
          <xsd:enumeration value="Monitoring Report"/>
          <xsd:enumeration value="Non-SWIFT Correspondence"/>
          <xsd:enumeration value="OIG Reponses"/>
          <xsd:enumeration value="Planning and Budget"/>
          <xsd:enumeration value="Public Communications"/>
          <xsd:enumeration value="Test Document"/>
          <xsd:enumeration value="Waiver Letters"/>
        </xsd:restriction>
      </xsd:simpleType>
    </xsd:element>
    <xsd:element name="Hard_x0020_Copy_x0020_Received_x0020_by_x0020_OD" ma:index="6" nillable="true" ma:displayName="Hard Copy Received by OD" ma:description="The date OD received a Hard Copy for OCS Director signature." ma:format="DateOnly" ma:internalName="Hard_x0020_Copy_x0020_Received_x0020_by_x0020_OD">
      <xsd:simpleType>
        <xsd:restriction base="dms:DateTime"/>
      </xsd:simpleType>
    </xsd:element>
    <xsd:element name="Hard_x0020_Copy_x0020_Returned_x0020_to_x0020_Division" ma:index="7" nillable="true" ma:displayName="Hard Copy Returned to Division" ma:description="The date OD returned the signed Hard Copy to the Program Division." ma:format="DateOnly" ma:internalName="Hard_x0020_Copy_x0020_Returned_x0020_to_x0020_Division">
      <xsd:simpleType>
        <xsd:restriction base="dms:DateTime"/>
      </xsd:simpleType>
    </xsd:element>
    <xsd:element name="Completed_x003f_" ma:index="8" nillable="true" ma:displayName="Completed?" ma:default="No" ma:description="Items marked as completed will be hidden from the default view." ma:format="Dropdown" ma:internalName="Completed_x003f_">
      <xsd:simpleType>
        <xsd:restriction base="dms:Choice">
          <xsd:enumeration value="No"/>
          <xsd:enumeration value="Yes"/>
        </xsd:restriction>
      </xsd:simpleType>
    </xsd:element>
    <xsd:element name="Tracking_x0020_Number" ma:index="9" nillable="true" ma:displayName="Tracking Number" ma:hidden="true" ma:internalName="Tracking_x0020_Number" ma:readOnly="false">
      <xsd:simpleType>
        <xsd:restriction base="dms:Number"/>
      </xsd:simpleType>
    </xsd:element>
    <xsd:element name="Notes0" ma:index="10" nillable="true" ma:displayName="Notes" ma:internalName="Notes0">
      <xsd:simpleType>
        <xsd:restriction base="dms:Note">
          <xsd:maxLength value="255"/>
        </xsd:restriction>
      </xsd:simpleType>
    </xsd:element>
    <xsd:element name="Currently_x0020_Tasked_x0020_To" ma:index="20" nillable="true" ma:displayName="Currently Tasked To" ma:hidden="true" ma:list="UserInfo" ma:SearchPeopleOnly="false" ma:SharePointGroup="0" ma:internalName="Currently_x0020_Tasked_x0020_To"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ink_x0020_to_x0020_Current_x0020_Task" ma:index="21" nillable="true" ma:displayName="Link to Current Task" ma:format="Hyperlink" ma:hidden="true" ma:internalName="Link_x0020_to_x0020_Current_x0020_Tas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ue_x0020_Date" ma:index="22" nillable="true" ma:displayName="Due Date" ma:format="DateOnly" ma:hidden="true" ma:internalName="Due_x0020_Date" ma:readOnly="false">
      <xsd:simpleType>
        <xsd:restriction base="dms:DateTime"/>
      </xsd:simpleType>
    </xsd:element>
    <xsd:element name="Mailed_x0020_Out_x0020_Date" ma:index="23" nillable="true" ma:displayName="Mailed Out Date" ma:format="DateOnly" ma:internalName="Mailed_x0020_Out_x0020_Date">
      <xsd:simpleType>
        <xsd:restriction base="dms:DateTime"/>
      </xsd:simpleType>
    </xsd:element>
    <xsd:element name="Posted_x0020_Online_x0020_Date" ma:index="24" nillable="true" ma:displayName="Posted Online Date" ma:format="DateOnly" ma:internalName="Posted_x0020_Online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Mailed_x0020_Out_x0020_Date xmlns="529ba1de-83f7-4614-a33a-20d5c69b3234" xsi:nil="true"/>
    <Completed_x003f_ xmlns="529ba1de-83f7-4614-a33a-20d5c69b3234">Yes</Completed_x003f_>
    <Posted_x0020_Online_x0020_Date xmlns="529ba1de-83f7-4614-a33a-20d5c69b3234" xsi:nil="true"/>
    <Due_x0020_Date xmlns="529ba1de-83f7-4614-a33a-20d5c69b3234" xsi:nil="true"/>
    <Link_x0020_to_x0020_Current_x0020_Task xmlns="529ba1de-83f7-4614-a33a-20d5c69b3234">
      <Url xsi:nil="true"/>
      <Description xsi:nil="true"/>
    </Link_x0020_to_x0020_Current_x0020_Task>
    <Program xmlns="529ba1de-83f7-4614-a33a-20d5c69b3234">LIHEAP</Program>
    <Hard_x0020_Copy_x0020_Returned_x0020_to_x0020_Division xmlns="529ba1de-83f7-4614-a33a-20d5c69b3234" xsi:nil="true"/>
    <Hard_x0020_Copy_x0020_Received_x0020_by_x0020_OD xmlns="529ba1de-83f7-4614-a33a-20d5c69b3234" xsi:nil="true"/>
    <Currently_x0020_Tasked_x0020_To xmlns="529ba1de-83f7-4614-a33a-20d5c69b3234">
      <UserInfo>
        <DisplayName/>
        <AccountId xsi:nil="true"/>
        <AccountType/>
      </UserInfo>
    </Currently_x0020_Tasked_x0020_To>
    <Notes0 xmlns="529ba1de-83f7-4614-a33a-20d5c69b3234" xsi:nil="true"/>
    <Lead_x0020_POC xmlns="529ba1de-83f7-4614-a33a-20d5c69b3234">
      <UserInfo>
        <DisplayName>Edelman, Peter (ACF)</DisplayName>
        <AccountId>38</AccountId>
        <AccountType/>
      </UserInfo>
    </Lead_x0020_POC>
    <Type_x0020_of_x0020_Doc xmlns="529ba1de-83f7-4614-a33a-20d5c69b3234">Public Communications</Type_x0020_of_x0020_Doc>
    <V3Comments xmlns="http://schemas.microsoft.com/sharepoint/v3">&lt;div&gt;OMB supporting statement&lt;/div&gt;</V3Comments>
    <Fiscal_x0020_Year xmlns="529ba1de-83f7-4614-a33a-20d5c69b3234">2020</Fiscal_x0020_Year>
    <Division xmlns="529ba1de-83f7-4614-a33a-20d5c69b3234">DEA</Division>
    <Tracking_x0020_Number xmlns="529ba1de-83f7-4614-a33a-20d5c69b3234"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3BE3E-0767-4274-B11F-FDF70B3FAE5F}">
  <ds:schemaRefs>
    <ds:schemaRef ds:uri="http://schemas.microsoft.com/sharepoint/v3/contenttype/forms"/>
  </ds:schemaRefs>
</ds:datastoreItem>
</file>

<file path=customXml/itemProps2.xml><?xml version="1.0" encoding="utf-8"?>
<ds:datastoreItem xmlns:ds="http://schemas.openxmlformats.org/officeDocument/2006/customXml" ds:itemID="{86010647-A343-4519-BBF8-466C8954E5F7}">
  <ds:schemaRefs>
    <ds:schemaRef ds:uri="http://schemas.microsoft.com/sharepoint/v3/contenttype/forms"/>
  </ds:schemaRefs>
</ds:datastoreItem>
</file>

<file path=customXml/itemProps3.xml><?xml version="1.0" encoding="utf-8"?>
<ds:datastoreItem xmlns:ds="http://schemas.openxmlformats.org/officeDocument/2006/customXml" ds:itemID="{E52B9CD4-95DE-4AE2-BE9C-E919D53E006F}">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529ba1de-83f7-4614-a33a-20d5c69b3234"/>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21CE9ED9-7211-40CF-BA18-4253F1C8D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29ba1de-83f7-4614-a33a-20d5c69b3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01BB8C9-16EA-4820-86C2-583247C18510}">
  <ds:schemaRefs>
    <ds:schemaRef ds:uri="http://schemas.microsoft.com/office/2006/metadata/properties"/>
    <ds:schemaRef ds:uri="http://schemas.microsoft.com/office/infopath/2007/PartnerControls"/>
    <ds:schemaRef ds:uri="529ba1de-83f7-4614-a33a-20d5c69b3234"/>
    <ds:schemaRef ds:uri="http://schemas.microsoft.com/sharepoint/v3"/>
  </ds:schemaRefs>
</ds:datastoreItem>
</file>

<file path=customXml/itemProps6.xml><?xml version="1.0" encoding="utf-8"?>
<ds:datastoreItem xmlns:ds="http://schemas.openxmlformats.org/officeDocument/2006/customXml" ds:itemID="{8BB1DFA3-1543-4E0F-B923-241BFBA01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5998</Words>
  <Characters>34646</Characters>
  <Application>Microsoft Office Word</Application>
  <DocSecurity>4</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40563</CharactersWithSpaces>
  <SharedDoc>false</SharedDoc>
  <HLinks>
    <vt:vector size="18" baseType="variant">
      <vt:variant>
        <vt:i4>4390938</vt:i4>
      </vt:variant>
      <vt:variant>
        <vt:i4>3</vt:i4>
      </vt:variant>
      <vt:variant>
        <vt:i4>0</vt:i4>
      </vt:variant>
      <vt:variant>
        <vt:i4>5</vt:i4>
      </vt:variant>
      <vt:variant>
        <vt:lpwstr>https://www.bls.gov/oes/current/oes211093.htm</vt:lpwstr>
      </vt:variant>
      <vt:variant>
        <vt:lpwstr/>
      </vt:variant>
      <vt:variant>
        <vt:i4>6029377</vt:i4>
      </vt:variant>
      <vt:variant>
        <vt:i4>0</vt:i4>
      </vt:variant>
      <vt:variant>
        <vt:i4>0</vt:i4>
      </vt:variant>
      <vt:variant>
        <vt:i4>5</vt:i4>
      </vt:variant>
      <vt:variant>
        <vt:lpwstr>https://acfeoffice.acf.hhs.gov/offices/pra/Templates/Forms/AllItems.aspx</vt:lpwstr>
      </vt:variant>
      <vt:variant>
        <vt:lpwstr/>
      </vt:variant>
      <vt:variant>
        <vt:i4>5177421</vt:i4>
      </vt:variant>
      <vt:variant>
        <vt:i4>0</vt:i4>
      </vt:variant>
      <vt:variant>
        <vt:i4>0</vt:i4>
      </vt:variant>
      <vt:variant>
        <vt:i4>5</vt:i4>
      </vt:variant>
      <vt:variant>
        <vt:lpwstr>https://www.law.cornell.edu/cfr/text/5/1320.9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Edelman, Peter (ACF)</dc:creator>
  <cp:keywords/>
  <cp:lastModifiedBy>Jones, Molly (ACF)</cp:lastModifiedBy>
  <cp:revision>2</cp:revision>
  <dcterms:created xsi:type="dcterms:W3CDTF">2020-12-09T18:05:00Z</dcterms:created>
  <dcterms:modified xsi:type="dcterms:W3CDTF">2020-12-09T18:05:00Z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0x010100A79513618726EA43B759DC4E98B2843D</vt:lpwstr>
  </property>
  <property fmtid="{D5CDD505-2E9C-101B-9397-08002B2CF9AE}" pid="3" name="WorkflowChangePath">
    <vt:lpwstr>dcd4658e-bb5d-4d4a-b6e3-2b36798d318c,4;</vt:lpwstr>
  </property>
  <property fmtid="{D5CDD505-2E9C-101B-9397-08002B2CF9AE}" pid="4" name="_docset_NoMedatataSyncRequired">
    <vt:lpwstr>False</vt:lpwstr>
  </property>
</Properties>
</file>