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A35C2" w:rsidR="00D42684" w:rsidRDefault="00D42684" w14:paraId="77007B50" w14:textId="77777777">
      <w:pPr>
        <w:rPr>
          <w:rFonts w:ascii="Times New Roman" w:hAnsi="Times New Roman" w:cs="Times New Roman"/>
          <w:sz w:val="24"/>
          <w:szCs w:val="24"/>
        </w:rPr>
      </w:pPr>
    </w:p>
    <w:p w:rsidRPr="00FA35C2" w:rsidR="00A93ACA" w:rsidRDefault="00A93ACA" w14:paraId="6887AE10" w14:textId="77777777">
      <w:pPr>
        <w:rPr>
          <w:rFonts w:ascii="Times New Roman" w:hAnsi="Times New Roman" w:cs="Times New Roman"/>
          <w:sz w:val="24"/>
          <w:szCs w:val="24"/>
        </w:rPr>
      </w:pPr>
    </w:p>
    <w:p w:rsidRPr="00FA35C2" w:rsidR="00A93ACA" w:rsidP="00FA35C2" w:rsidRDefault="00A93ACA" w14:paraId="382D7B59" w14:textId="77777777">
      <w:pPr>
        <w:spacing w:after="0"/>
        <w:contextualSpacing/>
        <w:jc w:val="center"/>
        <w:rPr>
          <w:rFonts w:ascii="Times New Roman" w:hAnsi="Times New Roman" w:cs="Times New Roman"/>
          <w:b/>
          <w:sz w:val="24"/>
          <w:szCs w:val="24"/>
        </w:rPr>
      </w:pPr>
      <w:r w:rsidRPr="00FA35C2">
        <w:rPr>
          <w:rFonts w:ascii="Times New Roman" w:hAnsi="Times New Roman" w:cs="Times New Roman"/>
          <w:b/>
          <w:sz w:val="24"/>
          <w:szCs w:val="24"/>
        </w:rPr>
        <w:t>Supporting Statement for Paperwork Reduction Act Submissions</w:t>
      </w:r>
    </w:p>
    <w:p w:rsidRPr="00FA35C2" w:rsidR="00A93ACA" w:rsidP="00FA35C2" w:rsidRDefault="00A93ACA" w14:paraId="43E1CF83" w14:textId="77777777">
      <w:pPr>
        <w:spacing w:after="0"/>
        <w:contextualSpacing/>
        <w:jc w:val="center"/>
        <w:rPr>
          <w:rFonts w:ascii="Times New Roman" w:hAnsi="Times New Roman" w:cs="Times New Roman"/>
          <w:b/>
          <w:sz w:val="24"/>
          <w:szCs w:val="24"/>
        </w:rPr>
      </w:pPr>
      <w:r w:rsidRPr="00FA35C2">
        <w:rPr>
          <w:rFonts w:ascii="Times New Roman" w:hAnsi="Times New Roman" w:cs="Times New Roman"/>
          <w:b/>
          <w:sz w:val="24"/>
          <w:szCs w:val="24"/>
        </w:rPr>
        <w:t>Suspicious Orders of Controlled Substances</w:t>
      </w:r>
    </w:p>
    <w:p w:rsidRPr="00FA35C2" w:rsidR="00A93ACA" w:rsidP="00FA35C2" w:rsidRDefault="00A93ACA" w14:paraId="48E2A7AF" w14:textId="1D32F354">
      <w:pPr>
        <w:spacing w:after="0"/>
        <w:contextualSpacing/>
        <w:jc w:val="center"/>
        <w:rPr>
          <w:rFonts w:ascii="Times New Roman" w:hAnsi="Times New Roman" w:cs="Times New Roman"/>
          <w:b/>
          <w:sz w:val="24"/>
          <w:szCs w:val="24"/>
        </w:rPr>
      </w:pPr>
      <w:r w:rsidRPr="00FA35C2">
        <w:rPr>
          <w:rFonts w:ascii="Times New Roman" w:hAnsi="Times New Roman" w:cs="Times New Roman"/>
          <w:b/>
          <w:sz w:val="24"/>
          <w:szCs w:val="24"/>
        </w:rPr>
        <w:t xml:space="preserve">OMB Approval </w:t>
      </w:r>
      <w:r w:rsidRPr="00FA35C2" w:rsidR="00547379">
        <w:rPr>
          <w:rFonts w:ascii="Times New Roman" w:hAnsi="Times New Roman" w:cs="Times New Roman"/>
          <w:b/>
          <w:sz w:val="24"/>
          <w:szCs w:val="24"/>
        </w:rPr>
        <w:t>#1117-</w:t>
      </w:r>
      <w:r w:rsidR="00E34CF3">
        <w:rPr>
          <w:rFonts w:ascii="Times New Roman" w:hAnsi="Times New Roman" w:cs="Times New Roman"/>
          <w:b/>
          <w:sz w:val="24"/>
          <w:szCs w:val="24"/>
        </w:rPr>
        <w:t>NEW</w:t>
      </w:r>
    </w:p>
    <w:p w:rsidRPr="00FA35C2" w:rsidR="00A93ACA" w:rsidRDefault="00A93ACA" w14:paraId="3A47CF46" w14:textId="77777777">
      <w:pPr>
        <w:rPr>
          <w:rFonts w:ascii="Times New Roman" w:hAnsi="Times New Roman" w:cs="Times New Roman"/>
          <w:sz w:val="24"/>
          <w:szCs w:val="24"/>
        </w:rPr>
      </w:pPr>
    </w:p>
    <w:p w:rsidRPr="00FA35C2" w:rsidR="00A93ACA" w:rsidRDefault="00A93ACA" w14:paraId="6FE77D14" w14:textId="694136FB">
      <w:pPr>
        <w:rPr>
          <w:rFonts w:ascii="Times New Roman" w:hAnsi="Times New Roman" w:cs="Times New Roman"/>
          <w:sz w:val="24"/>
          <w:szCs w:val="24"/>
        </w:rPr>
      </w:pPr>
      <w:r w:rsidRPr="00FA35C2">
        <w:rPr>
          <w:rFonts w:ascii="Times New Roman" w:hAnsi="Times New Roman" w:cs="Times New Roman"/>
          <w:sz w:val="24"/>
          <w:szCs w:val="24"/>
        </w:rPr>
        <w:t>The Drug Enforcement Administration (DEA) seeks approval by the Office of Management and Budget (OMB) for a new collection of information</w:t>
      </w:r>
      <w:r w:rsidR="00E34CF3">
        <w:rPr>
          <w:rFonts w:ascii="Times New Roman" w:hAnsi="Times New Roman" w:cs="Times New Roman"/>
          <w:sz w:val="24"/>
          <w:szCs w:val="24"/>
        </w:rPr>
        <w:t>, Reporting and Recordkeeping Requirements Related to Suspicious Orders</w:t>
      </w:r>
      <w:r w:rsidRPr="00FA35C2">
        <w:rPr>
          <w:rFonts w:ascii="Times New Roman" w:hAnsi="Times New Roman" w:cs="Times New Roman"/>
          <w:sz w:val="24"/>
          <w:szCs w:val="24"/>
        </w:rPr>
        <w:t xml:space="preserve">. </w:t>
      </w:r>
    </w:p>
    <w:p w:rsidRPr="009806B6" w:rsidR="00547379" w:rsidP="00547379" w:rsidRDefault="00E34CF3" w14:paraId="1EB66181" w14:textId="6698DB26">
      <w:pPr>
        <w:rPr>
          <w:rFonts w:ascii="Times New Roman" w:hAnsi="Times New Roman" w:cs="Times New Roman"/>
          <w:sz w:val="24"/>
          <w:szCs w:val="24"/>
        </w:rPr>
      </w:pPr>
      <w:r w:rsidRPr="00DA2E57">
        <w:rPr>
          <w:rFonts w:ascii="Times New Roman" w:hAnsi="Times New Roman" w:cs="Times New Roman"/>
          <w:sz w:val="24"/>
          <w:szCs w:val="24"/>
        </w:rPr>
        <w:t xml:space="preserve">This information collection request is associated with DEA’s </w:t>
      </w:r>
      <w:r w:rsidR="00557932">
        <w:rPr>
          <w:rFonts w:ascii="Times New Roman" w:hAnsi="Times New Roman" w:cs="Times New Roman"/>
          <w:sz w:val="24"/>
          <w:szCs w:val="24"/>
        </w:rPr>
        <w:t>“</w:t>
      </w:r>
      <w:r w:rsidRPr="00DA2E57">
        <w:rPr>
          <w:rFonts w:ascii="Times New Roman" w:hAnsi="Times New Roman" w:cs="Times New Roman"/>
          <w:sz w:val="24"/>
          <w:szCs w:val="24"/>
        </w:rPr>
        <w:t>Suspicious Orders of Controlled Substances</w:t>
      </w:r>
      <w:r w:rsidR="00557932">
        <w:rPr>
          <w:rFonts w:ascii="Times New Roman" w:hAnsi="Times New Roman" w:cs="Times New Roman"/>
          <w:sz w:val="24"/>
          <w:szCs w:val="24"/>
        </w:rPr>
        <w:t>”</w:t>
      </w:r>
      <w:r w:rsidRPr="00DA2E57">
        <w:rPr>
          <w:rFonts w:ascii="Times New Roman" w:hAnsi="Times New Roman" w:cs="Times New Roman"/>
          <w:sz w:val="24"/>
          <w:szCs w:val="24"/>
        </w:rPr>
        <w:t xml:space="preserve"> rulemaking, RIN 1117-AB47.</w:t>
      </w:r>
      <w:r>
        <w:rPr>
          <w:rFonts w:ascii="Times New Roman" w:hAnsi="Times New Roman" w:cs="Times New Roman"/>
          <w:sz w:val="24"/>
          <w:szCs w:val="24"/>
        </w:rPr>
        <w:t xml:space="preserve">  DEA is proposing to revise the regulations </w:t>
      </w:r>
      <w:r w:rsidRPr="009806B6" w:rsidR="009806B6">
        <w:rPr>
          <w:rFonts w:ascii="Times New Roman" w:hAnsi="Times New Roman" w:cs="Times New Roman"/>
          <w:sz w:val="24"/>
          <w:szCs w:val="24"/>
        </w:rPr>
        <w:t>in order to implement the Preventing Drug Diversion Act of 2018 (PDDA) and, through the adoption of the two-option framework, to clarify the procedures a registrant must follow for orders received under suspicious circumstances (ORUSCs)</w:t>
      </w:r>
      <w:r w:rsidR="009806B6">
        <w:rPr>
          <w:rFonts w:ascii="Times New Roman" w:hAnsi="Times New Roman" w:cs="Times New Roman"/>
          <w:sz w:val="24"/>
          <w:szCs w:val="24"/>
        </w:rPr>
        <w:t xml:space="preserve">. The rulemaking </w:t>
      </w:r>
      <w:r w:rsidRPr="009806B6" w:rsidR="00547379">
        <w:rPr>
          <w:rFonts w:ascii="Times New Roman" w:hAnsi="Times New Roman" w:cs="Times New Roman"/>
          <w:sz w:val="24"/>
          <w:szCs w:val="24"/>
        </w:rPr>
        <w:t>requir</w:t>
      </w:r>
      <w:r w:rsidR="009806B6">
        <w:rPr>
          <w:rFonts w:ascii="Times New Roman" w:hAnsi="Times New Roman" w:cs="Times New Roman"/>
          <w:sz w:val="24"/>
          <w:szCs w:val="24"/>
        </w:rPr>
        <w:t>es</w:t>
      </w:r>
      <w:r w:rsidRPr="009806B6" w:rsidR="00547379">
        <w:rPr>
          <w:rFonts w:ascii="Times New Roman" w:hAnsi="Times New Roman" w:cs="Times New Roman"/>
          <w:sz w:val="24"/>
          <w:szCs w:val="24"/>
        </w:rPr>
        <w:t xml:space="preserve"> all suspicious order reports to be made to DEA</w:t>
      </w:r>
      <w:r>
        <w:rPr>
          <w:rFonts w:ascii="Times New Roman" w:hAnsi="Times New Roman" w:cs="Times New Roman"/>
          <w:sz w:val="24"/>
          <w:szCs w:val="24"/>
        </w:rPr>
        <w:t>’s</w:t>
      </w:r>
      <w:r w:rsidRPr="009806B6" w:rsidR="00547379">
        <w:rPr>
          <w:rFonts w:ascii="Times New Roman" w:hAnsi="Times New Roman" w:cs="Times New Roman"/>
          <w:sz w:val="24"/>
          <w:szCs w:val="24"/>
        </w:rPr>
        <w:t xml:space="preserve"> centralized database </w:t>
      </w:r>
      <w:r>
        <w:rPr>
          <w:rFonts w:ascii="Times New Roman" w:hAnsi="Times New Roman" w:cs="Times New Roman"/>
          <w:sz w:val="24"/>
          <w:szCs w:val="24"/>
        </w:rPr>
        <w:t>with the</w:t>
      </w:r>
      <w:r w:rsidRPr="009806B6" w:rsidR="00547379">
        <w:rPr>
          <w:rFonts w:ascii="Times New Roman" w:hAnsi="Times New Roman" w:cs="Times New Roman"/>
          <w:sz w:val="24"/>
          <w:szCs w:val="24"/>
        </w:rPr>
        <w:t xml:space="preserve"> required information, and all records of suspicious orders and ORUSCs to be prepared and maintained in accordance with DEA regulations, and must contain certain required information.  </w:t>
      </w:r>
    </w:p>
    <w:p w:rsidRPr="009806B6" w:rsidR="00547379" w:rsidRDefault="00547379" w14:paraId="55C74171" w14:textId="77777777">
      <w:pPr>
        <w:rPr>
          <w:rFonts w:ascii="Times New Roman" w:hAnsi="Times New Roman" w:cs="Times New Roman"/>
          <w:sz w:val="24"/>
          <w:szCs w:val="24"/>
        </w:rPr>
      </w:pPr>
    </w:p>
    <w:p w:rsidRPr="009806B6" w:rsidR="00A93ACA" w:rsidRDefault="00A93ACA" w14:paraId="58267300" w14:textId="77777777">
      <w:pPr>
        <w:rPr>
          <w:rFonts w:ascii="Times New Roman" w:hAnsi="Times New Roman" w:cs="Times New Roman"/>
          <w:b/>
          <w:sz w:val="24"/>
          <w:szCs w:val="24"/>
        </w:rPr>
      </w:pPr>
      <w:r w:rsidRPr="009806B6">
        <w:rPr>
          <w:rFonts w:ascii="Times New Roman" w:hAnsi="Times New Roman" w:cs="Times New Roman"/>
          <w:b/>
          <w:sz w:val="24"/>
          <w:szCs w:val="24"/>
        </w:rPr>
        <w:t>Part A. Justification</w:t>
      </w:r>
    </w:p>
    <w:p w:rsidRPr="009806B6" w:rsidR="00A93ACA" w:rsidP="00A93ACA" w:rsidRDefault="00A93ACA" w14:paraId="5616B6DE"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Necessity of Information:</w:t>
      </w:r>
    </w:p>
    <w:p w:rsidRPr="009806B6" w:rsidR="00434C01" w:rsidP="009D3285" w:rsidRDefault="00434C01" w14:paraId="407243C1" w14:textId="3DFD6945">
      <w:pPr>
        <w:rPr>
          <w:rFonts w:ascii="Times New Roman" w:hAnsi="Times New Roman" w:cs="Times New Roman"/>
          <w:sz w:val="24"/>
          <w:szCs w:val="24"/>
        </w:rPr>
      </w:pPr>
      <w:r w:rsidRPr="009806B6">
        <w:rPr>
          <w:rFonts w:ascii="Times New Roman" w:hAnsi="Times New Roman" w:cs="Times New Roman"/>
          <w:sz w:val="24"/>
          <w:szCs w:val="24"/>
        </w:rPr>
        <w:t xml:space="preserve">DEA implements and enforces titles II and III of the Comprehensive Drug Abuse Prevention and Control Act of 1970, Pub. L. No. 91-513, 84 Stat. 1242 (1970), as amended (collectively, the CSA).  21 U.S.C. 801–971.  The CSA </w:t>
      </w:r>
      <w:r w:rsidRPr="009806B6" w:rsidR="005C3F71">
        <w:rPr>
          <w:rFonts w:ascii="Times New Roman" w:hAnsi="Times New Roman" w:cs="Times New Roman"/>
          <w:sz w:val="24"/>
          <w:szCs w:val="24"/>
        </w:rPr>
        <w:t xml:space="preserve">imposed upon </w:t>
      </w:r>
      <w:r w:rsidRPr="009806B6">
        <w:rPr>
          <w:rFonts w:ascii="Times New Roman" w:hAnsi="Times New Roman" w:cs="Times New Roman"/>
          <w:sz w:val="24"/>
          <w:szCs w:val="24"/>
        </w:rPr>
        <w:t xml:space="preserve">all registrants authorized to distribute controlled substances </w:t>
      </w:r>
      <w:r w:rsidRPr="009806B6" w:rsidR="005C3F71">
        <w:rPr>
          <w:rFonts w:ascii="Times New Roman" w:hAnsi="Times New Roman" w:cs="Times New Roman"/>
          <w:sz w:val="24"/>
          <w:szCs w:val="24"/>
        </w:rPr>
        <w:t xml:space="preserve">the duty </w:t>
      </w:r>
      <w:r w:rsidRPr="009806B6">
        <w:rPr>
          <w:rFonts w:ascii="Times New Roman" w:hAnsi="Times New Roman" w:cs="Times New Roman"/>
          <w:sz w:val="24"/>
          <w:szCs w:val="24"/>
        </w:rPr>
        <w:t>to maintain effective controls against diversion of controlled substances into other than legitimate medical, scientif</w:t>
      </w:r>
      <w:r w:rsidRPr="009806B6" w:rsidR="005C3F71">
        <w:rPr>
          <w:rFonts w:ascii="Times New Roman" w:hAnsi="Times New Roman" w:cs="Times New Roman"/>
          <w:sz w:val="24"/>
          <w:szCs w:val="24"/>
        </w:rPr>
        <w:t xml:space="preserve">ic, and industrial channels. Furthermore, the CSA also contained </w:t>
      </w:r>
      <w:r w:rsidRPr="009806B6" w:rsidR="00660FE8">
        <w:rPr>
          <w:rFonts w:ascii="Times New Roman" w:hAnsi="Times New Roman" w:cs="Times New Roman"/>
          <w:sz w:val="24"/>
          <w:szCs w:val="24"/>
        </w:rPr>
        <w:t>provisions regarding suspicious orders.  As codified in DEA regulations, these provisions require registrants to design and operate a system to disclose to the registrant suspicious orders of controlled substances, i.e., orders of unusual size, orders deviating from a normal pattern, and orders of unusual frequency.  It also requires the registrant to “inform the Field Division Office of the Administration in his area of suspicious orders when discovered by the registrant.” 21 CFR 1301.74(b)</w:t>
      </w:r>
    </w:p>
    <w:p w:rsidRPr="009806B6" w:rsidR="009D3285" w:rsidP="009D3285" w:rsidRDefault="008E1EDA" w14:paraId="7A9E2C89" w14:textId="7DC8307C">
      <w:pPr>
        <w:rPr>
          <w:rFonts w:ascii="Times New Roman" w:hAnsi="Times New Roman" w:cs="Times New Roman"/>
          <w:sz w:val="24"/>
          <w:szCs w:val="24"/>
        </w:rPr>
      </w:pPr>
      <w:r w:rsidRPr="009806B6">
        <w:rPr>
          <w:rFonts w:ascii="Times New Roman" w:hAnsi="Times New Roman" w:cs="Times New Roman"/>
          <w:sz w:val="24"/>
          <w:szCs w:val="24"/>
        </w:rPr>
        <w:t>T</w:t>
      </w:r>
      <w:r w:rsidRPr="009806B6" w:rsidR="00253BB2">
        <w:rPr>
          <w:rFonts w:ascii="Times New Roman" w:hAnsi="Times New Roman" w:cs="Times New Roman"/>
          <w:sz w:val="24"/>
          <w:szCs w:val="24"/>
        </w:rPr>
        <w:t>he “Substance Use-Disorder Prevention that Promotes Opioid Recovery and Treatment for Patients and Communities Act” (SUPPORT Act)</w:t>
      </w:r>
      <w:r w:rsidRPr="009806B6">
        <w:rPr>
          <w:rFonts w:ascii="Times New Roman" w:hAnsi="Times New Roman" w:cs="Times New Roman"/>
          <w:sz w:val="24"/>
          <w:szCs w:val="24"/>
        </w:rPr>
        <w:t xml:space="preserve"> was signed into law on October 24, 2018.</w:t>
      </w:r>
      <w:r w:rsidRPr="009806B6" w:rsidR="005D472D">
        <w:rPr>
          <w:rFonts w:ascii="Times New Roman" w:hAnsi="Times New Roman" w:cs="Times New Roman"/>
          <w:sz w:val="24"/>
          <w:szCs w:val="24"/>
        </w:rPr>
        <w:t xml:space="preserve"> Pub. L. 115-271</w:t>
      </w:r>
      <w:r w:rsidRPr="009806B6" w:rsidR="00253BB2">
        <w:rPr>
          <w:rFonts w:ascii="Times New Roman" w:hAnsi="Times New Roman" w:cs="Times New Roman"/>
          <w:sz w:val="24"/>
          <w:szCs w:val="24"/>
        </w:rPr>
        <w:t xml:space="preserve">. </w:t>
      </w:r>
      <w:r w:rsidRPr="009806B6" w:rsidR="0079319F">
        <w:rPr>
          <w:rFonts w:ascii="Times New Roman" w:hAnsi="Times New Roman" w:cs="Times New Roman"/>
          <w:sz w:val="24"/>
          <w:szCs w:val="24"/>
        </w:rPr>
        <w:t xml:space="preserve"> </w:t>
      </w:r>
      <w:r w:rsidRPr="009806B6" w:rsidR="00253BB2">
        <w:rPr>
          <w:rFonts w:ascii="Times New Roman" w:hAnsi="Times New Roman" w:cs="Times New Roman"/>
          <w:sz w:val="24"/>
          <w:szCs w:val="24"/>
        </w:rPr>
        <w:t>The Preventing Drug Diversion Act of 2018 (PDDA)</w:t>
      </w:r>
      <w:r w:rsidRPr="009806B6" w:rsidR="0079319F">
        <w:rPr>
          <w:rFonts w:ascii="Times New Roman" w:hAnsi="Times New Roman" w:cs="Times New Roman"/>
          <w:sz w:val="24"/>
          <w:szCs w:val="24"/>
        </w:rPr>
        <w:t xml:space="preserve"> was contained within the SUPPORT Act</w:t>
      </w:r>
      <w:r w:rsidRPr="009806B6" w:rsidR="005D472D">
        <w:rPr>
          <w:rFonts w:ascii="Times New Roman" w:hAnsi="Times New Roman" w:cs="Times New Roman"/>
          <w:sz w:val="24"/>
          <w:szCs w:val="24"/>
        </w:rPr>
        <w:t>, Sections 3291 and 3292</w:t>
      </w:r>
      <w:r w:rsidRPr="009806B6" w:rsidR="0079319F">
        <w:rPr>
          <w:rFonts w:ascii="Times New Roman" w:hAnsi="Times New Roman" w:cs="Times New Roman"/>
          <w:sz w:val="24"/>
          <w:szCs w:val="24"/>
        </w:rPr>
        <w:t xml:space="preserve">.  The PDDA required DEA to establish a centralized database for collecting reports of suspicious orders not later than 1 year from the date of the PDDA’s enactment.  </w:t>
      </w:r>
      <w:r w:rsidRPr="009806B6" w:rsidR="005D472D">
        <w:rPr>
          <w:rFonts w:ascii="Times New Roman" w:hAnsi="Times New Roman" w:cs="Times New Roman"/>
          <w:sz w:val="24"/>
          <w:szCs w:val="24"/>
        </w:rPr>
        <w:t xml:space="preserve">Upon discovery of a suspicious order or series of orders, the PDDA required registrants to notify the DEA Administrator and the Special Agent in Charge of the </w:t>
      </w:r>
      <w:r w:rsidRPr="009806B6" w:rsidR="005D472D">
        <w:rPr>
          <w:rFonts w:ascii="Times New Roman" w:hAnsi="Times New Roman" w:cs="Times New Roman"/>
          <w:sz w:val="24"/>
          <w:szCs w:val="24"/>
        </w:rPr>
        <w:lastRenderedPageBreak/>
        <w:t xml:space="preserve">Division Office of DEA for the area in which the registrant </w:t>
      </w:r>
      <w:r w:rsidRPr="009806B6" w:rsidR="004D657B">
        <w:rPr>
          <w:rFonts w:ascii="Times New Roman" w:hAnsi="Times New Roman" w:cs="Times New Roman"/>
          <w:sz w:val="24"/>
          <w:szCs w:val="24"/>
        </w:rPr>
        <w:t>is located or conducts business;  alternatively,</w:t>
      </w:r>
      <w:r w:rsidRPr="009806B6" w:rsidR="005D472D">
        <w:rPr>
          <w:rFonts w:ascii="Times New Roman" w:hAnsi="Times New Roman" w:cs="Times New Roman"/>
          <w:sz w:val="24"/>
          <w:szCs w:val="24"/>
        </w:rPr>
        <w:t xml:space="preserve"> </w:t>
      </w:r>
      <w:r w:rsidRPr="009806B6" w:rsidR="004D657B">
        <w:rPr>
          <w:rFonts w:ascii="Times New Roman" w:hAnsi="Times New Roman" w:cs="Times New Roman"/>
          <w:sz w:val="24"/>
          <w:szCs w:val="24"/>
        </w:rPr>
        <w:t>“[</w:t>
      </w:r>
      <w:proofErr w:type="spellStart"/>
      <w:r w:rsidRPr="009806B6" w:rsidR="004D657B">
        <w:rPr>
          <w:rFonts w:ascii="Times New Roman" w:hAnsi="Times New Roman" w:cs="Times New Roman"/>
          <w:sz w:val="24"/>
          <w:szCs w:val="24"/>
        </w:rPr>
        <w:t>i</w:t>
      </w:r>
      <w:proofErr w:type="spellEnd"/>
      <w:r w:rsidRPr="009806B6" w:rsidR="004D657B">
        <w:rPr>
          <w:rFonts w:ascii="Times New Roman" w:hAnsi="Times New Roman" w:cs="Times New Roman"/>
          <w:sz w:val="24"/>
          <w:szCs w:val="24"/>
        </w:rPr>
        <w:t xml:space="preserve">]f a registrant reports </w:t>
      </w:r>
      <w:r w:rsidRPr="009806B6" w:rsidR="005D472D">
        <w:rPr>
          <w:rFonts w:ascii="Times New Roman" w:hAnsi="Times New Roman" w:cs="Times New Roman"/>
          <w:sz w:val="24"/>
          <w:szCs w:val="24"/>
        </w:rPr>
        <w:t>suspicious order to the DEA centralized database … the registrant shall be considered to have complied with the [notification]</w:t>
      </w:r>
      <w:r w:rsidRPr="009806B6" w:rsidR="004D657B">
        <w:rPr>
          <w:rFonts w:ascii="Times New Roman" w:hAnsi="Times New Roman" w:cs="Times New Roman"/>
          <w:sz w:val="24"/>
          <w:szCs w:val="24"/>
        </w:rPr>
        <w:t xml:space="preserve"> requirement …”</w:t>
      </w:r>
      <w:r w:rsidRPr="009806B6" w:rsidR="005D472D">
        <w:rPr>
          <w:rFonts w:ascii="Times New Roman" w:hAnsi="Times New Roman" w:cs="Times New Roman"/>
          <w:sz w:val="24"/>
          <w:szCs w:val="24"/>
        </w:rPr>
        <w:t xml:space="preserve"> </w:t>
      </w:r>
      <w:r w:rsidRPr="009806B6" w:rsidR="0079319F">
        <w:rPr>
          <w:rFonts w:ascii="Times New Roman" w:hAnsi="Times New Roman" w:cs="Times New Roman"/>
          <w:sz w:val="24"/>
          <w:szCs w:val="24"/>
        </w:rPr>
        <w:t xml:space="preserve">In </w:t>
      </w:r>
      <w:r w:rsidRPr="009806B6" w:rsidR="004D657B">
        <w:rPr>
          <w:rFonts w:ascii="Times New Roman" w:hAnsi="Times New Roman" w:cs="Times New Roman"/>
          <w:sz w:val="24"/>
          <w:szCs w:val="24"/>
        </w:rPr>
        <w:t xml:space="preserve">essence, </w:t>
      </w:r>
      <w:r w:rsidRPr="009806B6" w:rsidR="0079319F">
        <w:rPr>
          <w:rFonts w:ascii="Times New Roman" w:hAnsi="Times New Roman" w:cs="Times New Roman"/>
          <w:sz w:val="24"/>
          <w:szCs w:val="24"/>
        </w:rPr>
        <w:t xml:space="preserve">the PDDA </w:t>
      </w:r>
      <w:r w:rsidRPr="009806B6" w:rsidR="004D657B">
        <w:rPr>
          <w:rFonts w:ascii="Times New Roman" w:hAnsi="Times New Roman" w:cs="Times New Roman"/>
          <w:sz w:val="24"/>
          <w:szCs w:val="24"/>
        </w:rPr>
        <w:t>replaced DEA Field Division Office reporting with centralized reporting to DEA Headquarters.</w:t>
      </w:r>
      <w:r w:rsidRPr="009806B6" w:rsidR="0079319F">
        <w:rPr>
          <w:rFonts w:ascii="Times New Roman" w:hAnsi="Times New Roman" w:cs="Times New Roman"/>
          <w:sz w:val="24"/>
          <w:szCs w:val="24"/>
        </w:rPr>
        <w:t xml:space="preserve"> </w:t>
      </w:r>
    </w:p>
    <w:p w:rsidRPr="009806B6" w:rsidR="00A93ACA" w:rsidP="00A93ACA" w:rsidRDefault="00A93ACA" w14:paraId="211F736A"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Needs and Uses:</w:t>
      </w:r>
    </w:p>
    <w:p w:rsidRPr="009806B6" w:rsidR="00A570CE" w:rsidP="00A570CE" w:rsidRDefault="00B44D8E" w14:paraId="4E9B75DC" w14:textId="0117D359">
      <w:pPr>
        <w:rPr>
          <w:rFonts w:ascii="Times New Roman" w:hAnsi="Times New Roman" w:cs="Times New Roman"/>
          <w:sz w:val="24"/>
          <w:szCs w:val="24"/>
        </w:rPr>
      </w:pPr>
      <w:r w:rsidRPr="009806B6">
        <w:rPr>
          <w:rFonts w:ascii="Times New Roman" w:hAnsi="Times New Roman" w:cs="Times New Roman"/>
          <w:sz w:val="24"/>
          <w:szCs w:val="24"/>
        </w:rPr>
        <w:t xml:space="preserve">As part of </w:t>
      </w:r>
      <w:r w:rsidRPr="009806B6" w:rsidR="00B13CD6">
        <w:rPr>
          <w:rFonts w:ascii="Times New Roman" w:hAnsi="Times New Roman" w:cs="Times New Roman"/>
          <w:sz w:val="24"/>
          <w:szCs w:val="24"/>
        </w:rPr>
        <w:t>DEA’s implementation of the PDDA</w:t>
      </w:r>
      <w:r w:rsidRPr="009806B6">
        <w:rPr>
          <w:rFonts w:ascii="Times New Roman" w:hAnsi="Times New Roman" w:cs="Times New Roman"/>
          <w:sz w:val="24"/>
          <w:szCs w:val="24"/>
        </w:rPr>
        <w:t xml:space="preserve">, a centralized database for collecting reports of suspicious orders will be established and the requirement for registrants to design and operate privacy-law-compliant suspicious order systems </w:t>
      </w:r>
      <w:r w:rsidRPr="009806B6" w:rsidR="00B13CD6">
        <w:rPr>
          <w:rFonts w:ascii="Times New Roman" w:hAnsi="Times New Roman" w:cs="Times New Roman"/>
          <w:sz w:val="24"/>
          <w:szCs w:val="24"/>
        </w:rPr>
        <w:t xml:space="preserve">will </w:t>
      </w:r>
      <w:r w:rsidRPr="009806B6">
        <w:rPr>
          <w:rFonts w:ascii="Times New Roman" w:hAnsi="Times New Roman" w:cs="Times New Roman"/>
          <w:sz w:val="24"/>
          <w:szCs w:val="24"/>
        </w:rPr>
        <w:t>be incorporated</w:t>
      </w:r>
      <w:r w:rsidRPr="009806B6" w:rsidR="009C6A55">
        <w:rPr>
          <w:rFonts w:ascii="Times New Roman" w:hAnsi="Times New Roman" w:cs="Times New Roman"/>
          <w:sz w:val="24"/>
          <w:szCs w:val="24"/>
        </w:rPr>
        <w:t>.</w:t>
      </w:r>
    </w:p>
    <w:p w:rsidRPr="009806B6" w:rsidR="00A93ACA" w:rsidP="00A93ACA" w:rsidRDefault="00A93ACA" w14:paraId="3D055648"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Use of Information Technology</w:t>
      </w:r>
      <w:r w:rsidRPr="009806B6" w:rsidR="00A35987">
        <w:rPr>
          <w:rFonts w:ascii="Times New Roman" w:hAnsi="Times New Roman" w:cs="Times New Roman"/>
          <w:sz w:val="24"/>
          <w:szCs w:val="24"/>
          <w:u w:val="single"/>
        </w:rPr>
        <w:t>:</w:t>
      </w:r>
    </w:p>
    <w:p w:rsidRPr="009806B6" w:rsidR="000A32D7" w:rsidP="0056472D" w:rsidRDefault="00D37698" w14:paraId="10CBEE70" w14:textId="41A6EFD5">
      <w:pPr>
        <w:rPr>
          <w:rFonts w:ascii="Times New Roman" w:hAnsi="Times New Roman" w:cs="Times New Roman"/>
          <w:sz w:val="24"/>
          <w:szCs w:val="24"/>
        </w:rPr>
      </w:pPr>
      <w:r w:rsidRPr="009806B6">
        <w:rPr>
          <w:rFonts w:ascii="Times New Roman" w:hAnsi="Times New Roman" w:cs="Times New Roman"/>
          <w:sz w:val="24"/>
          <w:szCs w:val="24"/>
        </w:rPr>
        <w:t xml:space="preserve">The PDDA required DEA to establish a </w:t>
      </w:r>
      <w:r w:rsidRPr="009806B6" w:rsidR="000A32D7">
        <w:rPr>
          <w:rFonts w:ascii="Times New Roman" w:hAnsi="Times New Roman" w:cs="Times New Roman"/>
          <w:sz w:val="24"/>
          <w:szCs w:val="24"/>
        </w:rPr>
        <w:t>centralized database for collecting reports of suspicious orders</w:t>
      </w:r>
      <w:r w:rsidRPr="009806B6">
        <w:rPr>
          <w:rFonts w:ascii="Times New Roman" w:hAnsi="Times New Roman" w:cs="Times New Roman"/>
          <w:sz w:val="24"/>
          <w:szCs w:val="24"/>
        </w:rPr>
        <w:t>.  Furthermore,</w:t>
      </w:r>
      <w:r w:rsidRPr="009806B6" w:rsidR="00733CCE">
        <w:rPr>
          <w:rFonts w:ascii="Times New Roman" w:hAnsi="Times New Roman" w:cs="Times New Roman"/>
          <w:sz w:val="24"/>
          <w:szCs w:val="24"/>
        </w:rPr>
        <w:t xml:space="preserve"> upon discovery of a suspicious order, registrants are required to submit a suspicious order report to the DEA centralized database.  This is not estimated to impose additional burden on registrants.  </w:t>
      </w:r>
      <w:r w:rsidR="00AA1C30">
        <w:rPr>
          <w:rFonts w:ascii="Times New Roman" w:hAnsi="Times New Roman" w:cs="Times New Roman"/>
          <w:sz w:val="24"/>
          <w:szCs w:val="24"/>
        </w:rPr>
        <w:t>The proposed rulemaking would require 100% of the suspicious orders reports to be submitted online.</w:t>
      </w:r>
    </w:p>
    <w:p w:rsidRPr="009806B6" w:rsidR="00A93ACA" w:rsidP="00A93ACA" w:rsidRDefault="00A93ACA" w14:paraId="7A86EFD6"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Efforts to Identify Duplication:</w:t>
      </w:r>
    </w:p>
    <w:p w:rsidRPr="009806B6" w:rsidR="00733CCE" w:rsidP="00733CCE" w:rsidRDefault="00733CCE" w14:paraId="25ABEAF1" w14:textId="31BD5800">
      <w:pPr>
        <w:rPr>
          <w:rFonts w:ascii="Times New Roman" w:hAnsi="Times New Roman" w:cs="Times New Roman"/>
          <w:sz w:val="24"/>
          <w:szCs w:val="24"/>
        </w:rPr>
      </w:pPr>
      <w:r w:rsidRPr="009806B6">
        <w:rPr>
          <w:rFonts w:ascii="Times New Roman" w:hAnsi="Times New Roman" w:cs="Times New Roman"/>
          <w:sz w:val="24"/>
          <w:szCs w:val="24"/>
        </w:rPr>
        <w:t>DEA has made efforts to identify and prevent duplication of information.  The collection of this information is unique to DEA and is not duplicative.</w:t>
      </w:r>
    </w:p>
    <w:p w:rsidRPr="009806B6" w:rsidR="00A93ACA" w:rsidP="00A93ACA" w:rsidRDefault="00A93ACA" w14:paraId="4F60DF50"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Impact on Small Businesses or Entities:</w:t>
      </w:r>
    </w:p>
    <w:p w:rsidRPr="009806B6" w:rsidR="00A570CE" w:rsidP="0079319F" w:rsidRDefault="00515C18" w14:paraId="5263F001" w14:textId="564FAB1C">
      <w:pPr>
        <w:rPr>
          <w:rFonts w:ascii="Times New Roman" w:hAnsi="Times New Roman" w:cs="Times New Roman"/>
          <w:sz w:val="24"/>
          <w:szCs w:val="24"/>
        </w:rPr>
      </w:pPr>
      <w:r w:rsidRPr="009806B6">
        <w:rPr>
          <w:rFonts w:ascii="Times New Roman" w:hAnsi="Times New Roman" w:cs="Times New Roman"/>
          <w:sz w:val="24"/>
          <w:szCs w:val="24"/>
        </w:rPr>
        <w:t xml:space="preserve">In accordance with the Regulatory Flexibility Act (RFA), DEA evaluated the impact of this rule on small entities.  DEA’s evaluation of economic impact by size category indicates that the rule will not, if promulgated, have a significant economic impact on a substantial number of these small entities.  </w:t>
      </w:r>
    </w:p>
    <w:p w:rsidRPr="009806B6" w:rsidR="0079319F" w:rsidP="0079319F" w:rsidRDefault="00A570CE" w14:paraId="5EFB3E70" w14:textId="49642E62">
      <w:pPr>
        <w:rPr>
          <w:rFonts w:ascii="Times New Roman" w:hAnsi="Times New Roman" w:cs="Times New Roman"/>
          <w:sz w:val="24"/>
          <w:szCs w:val="24"/>
        </w:rPr>
      </w:pPr>
      <w:r w:rsidRPr="009806B6">
        <w:rPr>
          <w:rFonts w:ascii="Times New Roman" w:hAnsi="Times New Roman" w:cs="Times New Roman"/>
          <w:sz w:val="24"/>
          <w:szCs w:val="24"/>
        </w:rPr>
        <w:t>The RFA requires agencies to analyze options for regulatory relief of small entities unless it can certify that the rule will not have a significant impact on a substantial number of small entities.  For the purposes of the RFA, small entities include small businesses, nonprofit organizations, and small government jurisdictions.  DEA has analyzed the economic impact if each provision of this rule and estimates the rule will have minimal economic impact on affected persons, including small entities.</w:t>
      </w:r>
    </w:p>
    <w:p w:rsidRPr="009806B6" w:rsidR="00A93ACA" w:rsidP="00A93ACA" w:rsidRDefault="009D3285" w14:paraId="679733FD"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Consequences of Less Frequent Collection:</w:t>
      </w:r>
    </w:p>
    <w:p w:rsidRPr="009806B6" w:rsidR="00505137" w:rsidP="006D2F04" w:rsidRDefault="00505137" w14:paraId="2EB260EE" w14:textId="329F83C9">
      <w:pPr>
        <w:rPr>
          <w:rFonts w:ascii="Times New Roman" w:hAnsi="Times New Roman" w:cs="Times New Roman"/>
          <w:sz w:val="24"/>
          <w:szCs w:val="24"/>
        </w:rPr>
      </w:pPr>
      <w:r w:rsidRPr="009806B6">
        <w:rPr>
          <w:rFonts w:ascii="Times New Roman" w:hAnsi="Times New Roman" w:cs="Times New Roman"/>
          <w:sz w:val="24"/>
          <w:szCs w:val="24"/>
        </w:rPr>
        <w:t>Pursuant to the PDDA, registrants are required to submit a suspicious order report to DEA centralized database no later than seven calendar days after the order was received.</w:t>
      </w:r>
      <w:r w:rsidRPr="009806B6" w:rsidR="009C608A">
        <w:rPr>
          <w:rFonts w:ascii="Times New Roman" w:hAnsi="Times New Roman" w:cs="Times New Roman"/>
          <w:sz w:val="24"/>
          <w:szCs w:val="24"/>
        </w:rPr>
        <w:t xml:space="preserve">  If the collection were conducted less frequently, DEA would not have sufficient time </w:t>
      </w:r>
      <w:r w:rsidRPr="009806B6" w:rsidR="009C608A">
        <w:rPr>
          <w:rFonts w:ascii="Times New Roman" w:hAnsi="Times New Roman" w:cs="Times New Roman"/>
          <w:color w:val="000000"/>
          <w:sz w:val="24"/>
          <w:szCs w:val="24"/>
        </w:rPr>
        <w:t>to act and to promptly investigate potential diversion.</w:t>
      </w:r>
    </w:p>
    <w:p w:rsidRPr="009806B6" w:rsidR="009D3285" w:rsidP="00A93ACA" w:rsidRDefault="009D3285" w14:paraId="0C3D5325"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Special Circumstances Influencing Collection:</w:t>
      </w:r>
    </w:p>
    <w:p w:rsidRPr="009806B6" w:rsidR="00A570CE" w:rsidP="00A570CE" w:rsidRDefault="00A570CE" w14:paraId="27AB6D43" w14:textId="77777777">
      <w:pPr>
        <w:rPr>
          <w:rFonts w:ascii="Times New Roman" w:hAnsi="Times New Roman" w:cs="Times New Roman"/>
          <w:sz w:val="24"/>
          <w:szCs w:val="24"/>
        </w:rPr>
      </w:pPr>
      <w:r w:rsidRPr="009806B6">
        <w:rPr>
          <w:rFonts w:ascii="Times New Roman" w:hAnsi="Times New Roman" w:cs="Times New Roman"/>
          <w:sz w:val="24"/>
          <w:szCs w:val="24"/>
        </w:rPr>
        <w:t>There are no special circumstances applicable to this information collection.</w:t>
      </w:r>
    </w:p>
    <w:p w:rsidRPr="009806B6" w:rsidR="009D3285" w:rsidP="00A93ACA" w:rsidRDefault="009D3285" w14:paraId="768B6D5E"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lastRenderedPageBreak/>
        <w:t>Consultation with persons outside the Agency:</w:t>
      </w:r>
    </w:p>
    <w:p w:rsidRPr="009806B6" w:rsidR="00A570CE" w:rsidP="00A570CE" w:rsidRDefault="00A570CE" w14:paraId="5DEF9AAB" w14:textId="74595ACA">
      <w:pPr>
        <w:rPr>
          <w:rFonts w:ascii="Times New Roman" w:hAnsi="Times New Roman" w:cs="Times New Roman"/>
          <w:sz w:val="24"/>
          <w:szCs w:val="24"/>
        </w:rPr>
      </w:pPr>
      <w:r w:rsidRPr="009806B6">
        <w:rPr>
          <w:rFonts w:ascii="Times New Roman" w:hAnsi="Times New Roman" w:cs="Times New Roman"/>
          <w:sz w:val="24"/>
          <w:szCs w:val="24"/>
        </w:rPr>
        <w:t xml:space="preserve">Public comment </w:t>
      </w:r>
      <w:r w:rsidR="00557932">
        <w:rPr>
          <w:rFonts w:ascii="Times New Roman" w:hAnsi="Times New Roman" w:cs="Times New Roman"/>
          <w:sz w:val="24"/>
          <w:szCs w:val="24"/>
        </w:rPr>
        <w:t xml:space="preserve">is being </w:t>
      </w:r>
      <w:r w:rsidRPr="009806B6">
        <w:rPr>
          <w:rFonts w:ascii="Times New Roman" w:hAnsi="Times New Roman" w:cs="Times New Roman"/>
          <w:sz w:val="24"/>
          <w:szCs w:val="24"/>
        </w:rPr>
        <w:t xml:space="preserve">solicited in the </w:t>
      </w:r>
      <w:r w:rsidR="00557932">
        <w:rPr>
          <w:rFonts w:ascii="Times New Roman" w:hAnsi="Times New Roman" w:cs="Times New Roman"/>
          <w:sz w:val="24"/>
          <w:szCs w:val="24"/>
        </w:rPr>
        <w:t xml:space="preserve">“Suspicious Orders of Controlled Substances” </w:t>
      </w:r>
      <w:r w:rsidRPr="009806B6">
        <w:rPr>
          <w:rFonts w:ascii="Times New Roman" w:hAnsi="Times New Roman" w:cs="Times New Roman"/>
          <w:sz w:val="24"/>
          <w:szCs w:val="24"/>
        </w:rPr>
        <w:t>notice of proposed rulemaking (NPRM)</w:t>
      </w:r>
      <w:r w:rsidR="00557932">
        <w:rPr>
          <w:rFonts w:ascii="Times New Roman" w:hAnsi="Times New Roman" w:cs="Times New Roman"/>
          <w:sz w:val="24"/>
          <w:szCs w:val="24"/>
        </w:rPr>
        <w:t xml:space="preserve">, published in the </w:t>
      </w:r>
      <w:r w:rsidR="00557932">
        <w:rPr>
          <w:rFonts w:ascii="Times New Roman" w:hAnsi="Times New Roman" w:cs="Times New Roman"/>
          <w:i/>
          <w:sz w:val="24"/>
          <w:szCs w:val="24"/>
        </w:rPr>
        <w:t>Federal Register</w:t>
      </w:r>
      <w:r w:rsidR="00557932">
        <w:rPr>
          <w:rFonts w:ascii="Times New Roman" w:hAnsi="Times New Roman" w:cs="Times New Roman"/>
          <w:sz w:val="24"/>
          <w:szCs w:val="24"/>
        </w:rPr>
        <w:t xml:space="preserve"> at 85 FR 69282, on November 2, 2020</w:t>
      </w:r>
      <w:r w:rsidRPr="009806B6">
        <w:rPr>
          <w:rFonts w:ascii="Times New Roman" w:hAnsi="Times New Roman" w:cs="Times New Roman"/>
          <w:sz w:val="24"/>
          <w:szCs w:val="24"/>
        </w:rPr>
        <w:t xml:space="preserve">.  The NPRM </w:t>
      </w:r>
      <w:r w:rsidR="00557932">
        <w:rPr>
          <w:rFonts w:ascii="Times New Roman" w:hAnsi="Times New Roman" w:cs="Times New Roman"/>
          <w:sz w:val="24"/>
          <w:szCs w:val="24"/>
        </w:rPr>
        <w:t xml:space="preserve">has </w:t>
      </w:r>
      <w:r w:rsidRPr="009806B6">
        <w:rPr>
          <w:rFonts w:ascii="Times New Roman" w:hAnsi="Times New Roman" w:cs="Times New Roman"/>
          <w:sz w:val="24"/>
          <w:szCs w:val="24"/>
        </w:rPr>
        <w:t>a 60-day comment period.</w:t>
      </w:r>
    </w:p>
    <w:p w:rsidRPr="009806B6" w:rsidR="00A570CE" w:rsidP="00A570CE" w:rsidRDefault="00A570CE" w14:paraId="4C0D8523" w14:textId="2C8F7CD4">
      <w:pPr>
        <w:rPr>
          <w:rFonts w:ascii="Times New Roman" w:hAnsi="Times New Roman" w:cs="Times New Roman"/>
          <w:sz w:val="24"/>
          <w:szCs w:val="24"/>
        </w:rPr>
      </w:pPr>
      <w:r w:rsidRPr="009806B6">
        <w:rPr>
          <w:rFonts w:ascii="Times New Roman" w:hAnsi="Times New Roman" w:cs="Times New Roman"/>
          <w:sz w:val="24"/>
          <w:szCs w:val="24"/>
        </w:rPr>
        <w:t>DEA meets regularly with affected industry to discuss policies, programs, and regulations.  These meetings provide an open forum to discuss matters of mutual concern with representatives of those entities from whom information is obtained.</w:t>
      </w:r>
    </w:p>
    <w:p w:rsidRPr="009806B6" w:rsidR="009D3285" w:rsidP="00A93ACA" w:rsidRDefault="009D3285" w14:paraId="3DB96296"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Payment or Gift to Claimants:</w:t>
      </w:r>
    </w:p>
    <w:p w:rsidRPr="009806B6" w:rsidR="00515C18" w:rsidP="00515C18" w:rsidRDefault="00515C18" w14:paraId="0C07EA4A" w14:textId="77777777">
      <w:pPr>
        <w:rPr>
          <w:rFonts w:ascii="Times New Roman" w:hAnsi="Times New Roman" w:cs="Times New Roman"/>
          <w:sz w:val="24"/>
          <w:szCs w:val="24"/>
        </w:rPr>
      </w:pPr>
      <w:r w:rsidRPr="009806B6">
        <w:rPr>
          <w:rFonts w:ascii="Times New Roman" w:hAnsi="Times New Roman" w:cs="Times New Roman"/>
          <w:sz w:val="24"/>
          <w:szCs w:val="24"/>
        </w:rPr>
        <w:t xml:space="preserve">This collection of information does not propose to provide any payment or gift to respondents. </w:t>
      </w:r>
    </w:p>
    <w:p w:rsidRPr="009806B6" w:rsidR="009D3285" w:rsidP="00A93ACA" w:rsidRDefault="009D3285" w14:paraId="26B3CB89"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Assurance of Confidentiality:</w:t>
      </w:r>
    </w:p>
    <w:p w:rsidRPr="009806B6" w:rsidR="004C5503" w:rsidP="004C5503" w:rsidRDefault="004C5503" w14:paraId="5A941884" w14:textId="79FB5764">
      <w:pPr>
        <w:rPr>
          <w:rFonts w:ascii="Times New Roman" w:hAnsi="Times New Roman" w:cs="Times New Roman"/>
          <w:sz w:val="24"/>
          <w:szCs w:val="24"/>
        </w:rPr>
      </w:pPr>
      <w:r w:rsidRPr="009806B6">
        <w:rPr>
          <w:rFonts w:ascii="Times New Roman" w:hAnsi="Times New Roman" w:cs="Times New Roman"/>
          <w:sz w:val="24"/>
          <w:szCs w:val="24"/>
        </w:rPr>
        <w:t>Information requested in this collection may be considered confidential business information if marked as such in accordance with 28 CFR 16.8(c) and Exemption 4 of the Freedom of Information Act (FIOA).  Submitters who are required to furnish commercial or financial information to the government are protected from the competitive disadvantages that could result from disclosure of such information.  The information is protected by DEA through secure storage, limited access, and federal regulatory and DEA procedures.  In the event a FOIA request is made to obtain information that has been designated as confidential business information per 28 CFR 16.8(c) and Exemption 4</w:t>
      </w:r>
      <w:r w:rsidRPr="009806B6" w:rsidR="008E1EDA">
        <w:rPr>
          <w:rFonts w:ascii="Times New Roman" w:hAnsi="Times New Roman" w:cs="Times New Roman"/>
          <w:sz w:val="24"/>
          <w:szCs w:val="24"/>
        </w:rPr>
        <w:t xml:space="preserve"> of FOIA, DEA will give written notice to the submitter to allow an opportunity to object within a reasonable time prior to any disclosure by DEA.</w:t>
      </w:r>
    </w:p>
    <w:p w:rsidRPr="009806B6" w:rsidR="009D3285" w:rsidP="00A93ACA" w:rsidRDefault="009D3285" w14:paraId="7E7D604F"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Justification for Sensitive Questions:</w:t>
      </w:r>
    </w:p>
    <w:p w:rsidRPr="009806B6" w:rsidR="00515C18" w:rsidP="00515C18" w:rsidRDefault="00515C18" w14:paraId="2AE4A72B" w14:textId="77777777">
      <w:pPr>
        <w:rPr>
          <w:rFonts w:ascii="Times New Roman" w:hAnsi="Times New Roman" w:cs="Times New Roman"/>
          <w:sz w:val="24"/>
          <w:szCs w:val="24"/>
        </w:rPr>
      </w:pPr>
      <w:r w:rsidRPr="009806B6">
        <w:rPr>
          <w:rFonts w:ascii="Times New Roman" w:hAnsi="Times New Roman" w:cs="Times New Roman"/>
          <w:sz w:val="24"/>
          <w:szCs w:val="24"/>
        </w:rPr>
        <w:t>This collection of information does not ask any questions of a sensitive nature.</w:t>
      </w:r>
    </w:p>
    <w:p w:rsidRPr="009806B6" w:rsidR="009D3285" w:rsidP="00A93ACA" w:rsidRDefault="009D3285" w14:paraId="20EDE8D3" w14:textId="77777777">
      <w:pPr>
        <w:pStyle w:val="ListParagraph"/>
        <w:numPr>
          <w:ilvl w:val="0"/>
          <w:numId w:val="1"/>
        </w:numPr>
        <w:rPr>
          <w:rFonts w:ascii="Times New Roman" w:hAnsi="Times New Roman" w:cs="Times New Roman"/>
          <w:sz w:val="24"/>
          <w:szCs w:val="24"/>
          <w:u w:val="single"/>
        </w:rPr>
      </w:pPr>
      <w:r w:rsidRPr="009806B6">
        <w:rPr>
          <w:rFonts w:ascii="Times New Roman" w:hAnsi="Times New Roman" w:cs="Times New Roman"/>
          <w:sz w:val="24"/>
          <w:szCs w:val="24"/>
          <w:u w:val="single"/>
        </w:rPr>
        <w:t>Estimate of Hour Burden:</w:t>
      </w:r>
    </w:p>
    <w:p w:rsidR="009C7CB0" w:rsidP="002E6C54" w:rsidRDefault="007573F1" w14:paraId="12C2D75B" w14:textId="05B30D59">
      <w:pPr>
        <w:rPr>
          <w:rFonts w:ascii="Times New Roman" w:hAnsi="Times New Roman" w:cs="Times New Roman"/>
          <w:sz w:val="24"/>
          <w:szCs w:val="24"/>
        </w:rPr>
      </w:pPr>
      <w:r>
        <w:rPr>
          <w:rFonts w:ascii="Times New Roman" w:hAnsi="Times New Roman" w:cs="Times New Roman"/>
          <w:sz w:val="24"/>
          <w:szCs w:val="24"/>
        </w:rPr>
        <w:t xml:space="preserve">Below is an initial estimate of the estimate of hour burden and burden dollars.  The estimated figures will be updated </w:t>
      </w:r>
      <w:r w:rsidR="001B20B7">
        <w:rPr>
          <w:rFonts w:ascii="Times New Roman" w:hAnsi="Times New Roman" w:cs="Times New Roman"/>
          <w:sz w:val="24"/>
          <w:szCs w:val="24"/>
        </w:rPr>
        <w:t>based on</w:t>
      </w:r>
      <w:r>
        <w:rPr>
          <w:rFonts w:ascii="Times New Roman" w:hAnsi="Times New Roman" w:cs="Times New Roman"/>
          <w:sz w:val="24"/>
          <w:szCs w:val="24"/>
        </w:rPr>
        <w:t xml:space="preserve"> actuals for the next submission.</w:t>
      </w:r>
    </w:p>
    <w:tbl>
      <w:tblPr>
        <w:tblW w:w="7375" w:type="dxa"/>
        <w:tblLook w:val="04A0" w:firstRow="1" w:lastRow="0" w:firstColumn="1" w:lastColumn="0" w:noHBand="0" w:noVBand="1"/>
      </w:tblPr>
      <w:tblGrid>
        <w:gridCol w:w="1520"/>
        <w:gridCol w:w="1535"/>
        <w:gridCol w:w="1620"/>
        <w:gridCol w:w="1530"/>
        <w:gridCol w:w="1170"/>
      </w:tblGrid>
      <w:tr w:rsidRPr="009C7CB0" w:rsidR="009C7CB0" w:rsidTr="009C7CB0" w14:paraId="4D5A7162" w14:textId="77777777">
        <w:trPr>
          <w:trHeight w:val="780"/>
        </w:trPr>
        <w:tc>
          <w:tcPr>
            <w:tcW w:w="1520" w:type="dxa"/>
            <w:tcBorders>
              <w:top w:val="single" w:color="auto" w:sz="4" w:space="0"/>
              <w:left w:val="single" w:color="auto" w:sz="4" w:space="0"/>
              <w:bottom w:val="single" w:color="auto" w:sz="4" w:space="0"/>
              <w:right w:val="single" w:color="auto" w:sz="4" w:space="0"/>
            </w:tcBorders>
            <w:shd w:val="clear" w:color="000000" w:fill="BDD7EE"/>
            <w:noWrap/>
            <w:vAlign w:val="bottom"/>
            <w:hideMark/>
          </w:tcPr>
          <w:p w:rsidRPr="009C7CB0" w:rsidR="009C7CB0" w:rsidP="009C7CB0" w:rsidRDefault="009C7CB0" w14:paraId="2EC1BC36" w14:textId="77777777">
            <w:pPr>
              <w:spacing w:after="0" w:line="240" w:lineRule="auto"/>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Activity</w:t>
            </w:r>
          </w:p>
        </w:tc>
        <w:tc>
          <w:tcPr>
            <w:tcW w:w="1535" w:type="dxa"/>
            <w:tcBorders>
              <w:top w:val="single" w:color="auto" w:sz="4" w:space="0"/>
              <w:left w:val="nil"/>
              <w:bottom w:val="single" w:color="auto" w:sz="4" w:space="0"/>
              <w:right w:val="single" w:color="auto" w:sz="4" w:space="0"/>
            </w:tcBorders>
            <w:shd w:val="clear" w:color="000000" w:fill="BDD7EE"/>
            <w:vAlign w:val="center"/>
            <w:hideMark/>
          </w:tcPr>
          <w:p w:rsidRPr="009C7CB0" w:rsidR="009C7CB0" w:rsidP="009C7CB0" w:rsidRDefault="009C7CB0" w14:paraId="595E348A" w14:textId="77777777">
            <w:pPr>
              <w:spacing w:after="0" w:line="240" w:lineRule="auto"/>
              <w:jc w:val="center"/>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Number of Annual Respondents</w:t>
            </w:r>
          </w:p>
        </w:tc>
        <w:tc>
          <w:tcPr>
            <w:tcW w:w="1620" w:type="dxa"/>
            <w:tcBorders>
              <w:top w:val="single" w:color="auto" w:sz="4" w:space="0"/>
              <w:left w:val="nil"/>
              <w:bottom w:val="single" w:color="auto" w:sz="4" w:space="0"/>
              <w:right w:val="single" w:color="auto" w:sz="4" w:space="0"/>
            </w:tcBorders>
            <w:shd w:val="clear" w:color="000000" w:fill="BDD7EE"/>
            <w:vAlign w:val="center"/>
            <w:hideMark/>
          </w:tcPr>
          <w:p w:rsidRPr="009C7CB0" w:rsidR="009C7CB0" w:rsidP="009C7CB0" w:rsidRDefault="009C7CB0" w14:paraId="0E127292" w14:textId="77777777">
            <w:pPr>
              <w:spacing w:after="0" w:line="240" w:lineRule="auto"/>
              <w:jc w:val="center"/>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Number of Annual Responses</w:t>
            </w:r>
          </w:p>
        </w:tc>
        <w:tc>
          <w:tcPr>
            <w:tcW w:w="1530" w:type="dxa"/>
            <w:tcBorders>
              <w:top w:val="single" w:color="auto" w:sz="4" w:space="0"/>
              <w:left w:val="nil"/>
              <w:bottom w:val="single" w:color="auto" w:sz="4" w:space="0"/>
              <w:right w:val="single" w:color="auto" w:sz="4" w:space="0"/>
            </w:tcBorders>
            <w:shd w:val="clear" w:color="000000" w:fill="BDD7EE"/>
            <w:vAlign w:val="bottom"/>
            <w:hideMark/>
          </w:tcPr>
          <w:p w:rsidRPr="009C7CB0" w:rsidR="009C7CB0" w:rsidP="009C7CB0" w:rsidRDefault="009C7CB0" w14:paraId="74C1F5BF" w14:textId="77777777">
            <w:pPr>
              <w:spacing w:after="0" w:line="240" w:lineRule="auto"/>
              <w:jc w:val="center"/>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Average Time per Response (minutes)</w:t>
            </w:r>
          </w:p>
        </w:tc>
        <w:tc>
          <w:tcPr>
            <w:tcW w:w="1170" w:type="dxa"/>
            <w:tcBorders>
              <w:top w:val="single" w:color="auto" w:sz="4" w:space="0"/>
              <w:left w:val="nil"/>
              <w:bottom w:val="single" w:color="auto" w:sz="4" w:space="0"/>
              <w:right w:val="single" w:color="auto" w:sz="4" w:space="0"/>
            </w:tcBorders>
            <w:shd w:val="clear" w:color="000000" w:fill="BDD7EE"/>
            <w:vAlign w:val="bottom"/>
            <w:hideMark/>
          </w:tcPr>
          <w:p w:rsidRPr="009C7CB0" w:rsidR="009C7CB0" w:rsidP="009C7CB0" w:rsidRDefault="009C7CB0" w14:paraId="4FFD8EC1" w14:textId="77777777">
            <w:pPr>
              <w:spacing w:after="0" w:line="240" w:lineRule="auto"/>
              <w:jc w:val="center"/>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Total Annual Hours</w:t>
            </w:r>
          </w:p>
        </w:tc>
      </w:tr>
      <w:tr w:rsidRPr="009C7CB0" w:rsidR="009C7CB0" w:rsidTr="009C7CB0" w14:paraId="5B4EEF3F" w14:textId="77777777">
        <w:trPr>
          <w:trHeight w:val="300"/>
        </w:trPr>
        <w:tc>
          <w:tcPr>
            <w:tcW w:w="1520" w:type="dxa"/>
            <w:tcBorders>
              <w:top w:val="nil"/>
              <w:left w:val="single" w:color="auto" w:sz="4" w:space="0"/>
              <w:bottom w:val="single" w:color="auto" w:sz="4" w:space="0"/>
              <w:right w:val="single" w:color="auto" w:sz="4" w:space="0"/>
            </w:tcBorders>
            <w:shd w:val="clear" w:color="auto" w:fill="auto"/>
            <w:noWrap/>
            <w:vAlign w:val="bottom"/>
            <w:hideMark/>
          </w:tcPr>
          <w:p w:rsidRPr="009C7CB0" w:rsidR="009C7CB0" w:rsidP="009C7CB0" w:rsidRDefault="009C7CB0" w14:paraId="21BC8C54"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Suspicious Order</w:t>
            </w:r>
          </w:p>
        </w:tc>
        <w:tc>
          <w:tcPr>
            <w:tcW w:w="1535" w:type="dxa"/>
            <w:vMerge w:val="restart"/>
            <w:tcBorders>
              <w:top w:val="nil"/>
              <w:left w:val="single" w:color="auto" w:sz="4" w:space="0"/>
              <w:bottom w:val="nil"/>
              <w:right w:val="single" w:color="auto" w:sz="4" w:space="0"/>
            </w:tcBorders>
            <w:shd w:val="clear" w:color="auto" w:fill="auto"/>
            <w:noWrap/>
            <w:vAlign w:val="center"/>
            <w:hideMark/>
          </w:tcPr>
          <w:p w:rsidRPr="009C7CB0" w:rsidR="009C7CB0" w:rsidP="009C7CB0" w:rsidRDefault="009C7CB0" w14:paraId="5960302E" w14:textId="77777777">
            <w:pPr>
              <w:spacing w:after="0" w:line="240" w:lineRule="auto"/>
              <w:jc w:val="center"/>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100 </w:t>
            </w:r>
          </w:p>
        </w:tc>
        <w:tc>
          <w:tcPr>
            <w:tcW w:w="162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5A25415B"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67,768 </w:t>
            </w:r>
          </w:p>
        </w:tc>
        <w:tc>
          <w:tcPr>
            <w:tcW w:w="153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6249286F"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20 </w:t>
            </w:r>
          </w:p>
        </w:tc>
        <w:tc>
          <w:tcPr>
            <w:tcW w:w="117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2BA10524"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22,589 </w:t>
            </w:r>
          </w:p>
        </w:tc>
      </w:tr>
      <w:tr w:rsidRPr="009C7CB0" w:rsidR="009C7CB0" w:rsidTr="009C7CB0" w14:paraId="4086930E" w14:textId="77777777">
        <w:trPr>
          <w:trHeight w:val="300"/>
        </w:trPr>
        <w:tc>
          <w:tcPr>
            <w:tcW w:w="1520" w:type="dxa"/>
            <w:tcBorders>
              <w:top w:val="nil"/>
              <w:left w:val="single" w:color="auto" w:sz="4" w:space="0"/>
              <w:bottom w:val="single" w:color="auto" w:sz="4" w:space="0"/>
              <w:right w:val="single" w:color="auto" w:sz="4" w:space="0"/>
            </w:tcBorders>
            <w:shd w:val="clear" w:color="auto" w:fill="auto"/>
            <w:noWrap/>
            <w:vAlign w:val="bottom"/>
            <w:hideMark/>
          </w:tcPr>
          <w:p w:rsidRPr="009C7CB0" w:rsidR="009C7CB0" w:rsidP="009C7CB0" w:rsidRDefault="009C7CB0" w14:paraId="7E3D346D"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ORUSC</w:t>
            </w:r>
          </w:p>
        </w:tc>
        <w:tc>
          <w:tcPr>
            <w:tcW w:w="1535" w:type="dxa"/>
            <w:vMerge/>
            <w:tcBorders>
              <w:top w:val="nil"/>
              <w:left w:val="single" w:color="auto" w:sz="4" w:space="0"/>
              <w:bottom w:val="nil"/>
              <w:right w:val="single" w:color="auto" w:sz="4" w:space="0"/>
            </w:tcBorders>
            <w:vAlign w:val="center"/>
            <w:hideMark/>
          </w:tcPr>
          <w:p w:rsidRPr="009C7CB0" w:rsidR="009C7CB0" w:rsidP="009C7CB0" w:rsidRDefault="009C7CB0" w14:paraId="0D11330F" w14:textId="77777777">
            <w:pPr>
              <w:spacing w:after="0" w:line="240" w:lineRule="auto"/>
              <w:rPr>
                <w:rFonts w:ascii="Times New Roman" w:hAnsi="Times New Roman" w:eastAsia="Times New Roman" w:cs="Times New Roman"/>
                <w:color w:val="000000"/>
                <w:sz w:val="20"/>
                <w:szCs w:val="20"/>
              </w:rPr>
            </w:pPr>
          </w:p>
        </w:tc>
        <w:tc>
          <w:tcPr>
            <w:tcW w:w="162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67E08ADB"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271,072 </w:t>
            </w:r>
          </w:p>
        </w:tc>
        <w:tc>
          <w:tcPr>
            <w:tcW w:w="153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2C3BED8B"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15 </w:t>
            </w:r>
          </w:p>
        </w:tc>
        <w:tc>
          <w:tcPr>
            <w:tcW w:w="1170" w:type="dxa"/>
            <w:tcBorders>
              <w:top w:val="nil"/>
              <w:left w:val="nil"/>
              <w:bottom w:val="single" w:color="auto" w:sz="4" w:space="0"/>
              <w:right w:val="single" w:color="auto" w:sz="4" w:space="0"/>
            </w:tcBorders>
            <w:shd w:val="clear" w:color="auto" w:fill="auto"/>
            <w:noWrap/>
            <w:vAlign w:val="bottom"/>
            <w:hideMark/>
          </w:tcPr>
          <w:p w:rsidRPr="009C7CB0" w:rsidR="009C7CB0" w:rsidP="009C7CB0" w:rsidRDefault="009C7CB0" w14:paraId="1214BC40" w14:textId="77777777">
            <w:pPr>
              <w:spacing w:after="0" w:line="240" w:lineRule="auto"/>
              <w:rPr>
                <w:rFonts w:ascii="Times New Roman" w:hAnsi="Times New Roman" w:eastAsia="Times New Roman" w:cs="Times New Roman"/>
                <w:color w:val="000000"/>
                <w:sz w:val="20"/>
                <w:szCs w:val="20"/>
              </w:rPr>
            </w:pPr>
            <w:r w:rsidRPr="009C7CB0">
              <w:rPr>
                <w:rFonts w:ascii="Times New Roman" w:hAnsi="Times New Roman" w:eastAsia="Times New Roman" w:cs="Times New Roman"/>
                <w:color w:val="000000"/>
                <w:sz w:val="20"/>
                <w:szCs w:val="20"/>
              </w:rPr>
              <w:t xml:space="preserve">       67,768 </w:t>
            </w:r>
          </w:p>
        </w:tc>
      </w:tr>
      <w:tr w:rsidRPr="009C7CB0" w:rsidR="009C7CB0" w:rsidTr="009C7CB0" w14:paraId="4B1818D7" w14:textId="77777777">
        <w:trPr>
          <w:trHeight w:val="300"/>
        </w:trPr>
        <w:tc>
          <w:tcPr>
            <w:tcW w:w="1520" w:type="dxa"/>
            <w:tcBorders>
              <w:top w:val="nil"/>
              <w:left w:val="single" w:color="auto" w:sz="4" w:space="0"/>
              <w:bottom w:val="single" w:color="auto" w:sz="4" w:space="0"/>
              <w:right w:val="single" w:color="auto" w:sz="4" w:space="0"/>
            </w:tcBorders>
            <w:shd w:val="clear" w:color="000000" w:fill="BDD7EE"/>
            <w:noWrap/>
            <w:vAlign w:val="bottom"/>
            <w:hideMark/>
          </w:tcPr>
          <w:p w:rsidRPr="009C7CB0" w:rsidR="009C7CB0" w:rsidP="009C7CB0" w:rsidRDefault="009C7CB0" w14:paraId="05C45595" w14:textId="77777777">
            <w:pPr>
              <w:spacing w:after="0" w:line="240" w:lineRule="auto"/>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Total</w:t>
            </w:r>
          </w:p>
        </w:tc>
        <w:tc>
          <w:tcPr>
            <w:tcW w:w="1535" w:type="dxa"/>
            <w:tcBorders>
              <w:top w:val="single" w:color="auto" w:sz="4" w:space="0"/>
              <w:left w:val="nil"/>
              <w:bottom w:val="single" w:color="auto" w:sz="4" w:space="0"/>
              <w:right w:val="single" w:color="auto" w:sz="4" w:space="0"/>
            </w:tcBorders>
            <w:shd w:val="clear" w:color="000000" w:fill="BDD7EE"/>
            <w:noWrap/>
            <w:vAlign w:val="bottom"/>
            <w:hideMark/>
          </w:tcPr>
          <w:p w:rsidRPr="009C7CB0" w:rsidR="009C7CB0" w:rsidP="009C7CB0" w:rsidRDefault="009C7CB0" w14:paraId="5813F245" w14:textId="6117A1E6">
            <w:pPr>
              <w:spacing w:after="0" w:line="240" w:lineRule="auto"/>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 xml:space="preserve">                 </w:t>
            </w:r>
            <w:r>
              <w:rPr>
                <w:rFonts w:ascii="Times New Roman" w:hAnsi="Times New Roman" w:eastAsia="Times New Roman" w:cs="Times New Roman"/>
                <w:b/>
                <w:bCs/>
                <w:color w:val="000000"/>
                <w:sz w:val="20"/>
                <w:szCs w:val="20"/>
              </w:rPr>
              <w:t xml:space="preserve"> </w:t>
            </w:r>
            <w:r w:rsidRPr="009C7CB0">
              <w:rPr>
                <w:rFonts w:ascii="Times New Roman" w:hAnsi="Times New Roman" w:eastAsia="Times New Roman" w:cs="Times New Roman"/>
                <w:b/>
                <w:bCs/>
                <w:color w:val="000000"/>
                <w:sz w:val="20"/>
                <w:szCs w:val="20"/>
              </w:rPr>
              <w:t xml:space="preserve"> 100 </w:t>
            </w:r>
          </w:p>
        </w:tc>
        <w:tc>
          <w:tcPr>
            <w:tcW w:w="1620" w:type="dxa"/>
            <w:tcBorders>
              <w:top w:val="nil"/>
              <w:left w:val="nil"/>
              <w:bottom w:val="single" w:color="auto" w:sz="4" w:space="0"/>
              <w:right w:val="single" w:color="auto" w:sz="4" w:space="0"/>
            </w:tcBorders>
            <w:shd w:val="clear" w:color="000000" w:fill="BDD7EE"/>
            <w:noWrap/>
            <w:vAlign w:val="bottom"/>
            <w:hideMark/>
          </w:tcPr>
          <w:p w:rsidRPr="009C7CB0" w:rsidR="009C7CB0" w:rsidP="009C7CB0" w:rsidRDefault="009C7CB0" w14:paraId="1042234D" w14:textId="029CB426">
            <w:pPr>
              <w:spacing w:after="0" w:line="240" w:lineRule="auto"/>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 xml:space="preserve">         </w:t>
            </w:r>
            <w:r>
              <w:rPr>
                <w:rFonts w:ascii="Times New Roman" w:hAnsi="Times New Roman" w:eastAsia="Times New Roman" w:cs="Times New Roman"/>
                <w:b/>
                <w:bCs/>
                <w:color w:val="000000"/>
                <w:sz w:val="20"/>
                <w:szCs w:val="20"/>
              </w:rPr>
              <w:t xml:space="preserve">  </w:t>
            </w:r>
            <w:r w:rsidRPr="009C7CB0">
              <w:rPr>
                <w:rFonts w:ascii="Times New Roman" w:hAnsi="Times New Roman" w:eastAsia="Times New Roman" w:cs="Times New Roman"/>
                <w:b/>
                <w:bCs/>
                <w:color w:val="000000"/>
                <w:sz w:val="20"/>
                <w:szCs w:val="20"/>
              </w:rPr>
              <w:t xml:space="preserve">   338,840 </w:t>
            </w:r>
          </w:p>
        </w:tc>
        <w:tc>
          <w:tcPr>
            <w:tcW w:w="1530" w:type="dxa"/>
            <w:tcBorders>
              <w:top w:val="nil"/>
              <w:left w:val="nil"/>
              <w:bottom w:val="single" w:color="auto" w:sz="4" w:space="0"/>
              <w:right w:val="single" w:color="auto" w:sz="4" w:space="0"/>
            </w:tcBorders>
            <w:shd w:val="clear" w:color="000000" w:fill="BDD7EE"/>
            <w:noWrap/>
            <w:vAlign w:val="bottom"/>
            <w:hideMark/>
          </w:tcPr>
          <w:p w:rsidRPr="009C7CB0" w:rsidR="009C7CB0" w:rsidP="009C7CB0" w:rsidRDefault="009C7CB0" w14:paraId="5450F978" w14:textId="20532DA7">
            <w:pPr>
              <w:spacing w:after="0" w:line="240" w:lineRule="auto"/>
              <w:jc w:val="center"/>
              <w:rPr>
                <w:rFonts w:ascii="Times New Roman" w:hAnsi="Times New Roman" w:eastAsia="Times New Roman" w:cs="Times New Roman"/>
                <w:b/>
                <w:bCs/>
                <w:color w:val="000000"/>
                <w:sz w:val="20"/>
                <w:szCs w:val="20"/>
              </w:rPr>
            </w:pPr>
            <w:r>
              <w:rPr>
                <w:rFonts w:ascii="Times New Roman" w:hAnsi="Times New Roman" w:eastAsia="Times New Roman" w:cs="Times New Roman"/>
                <w:b/>
                <w:bCs/>
                <w:color w:val="000000"/>
                <w:sz w:val="20"/>
                <w:szCs w:val="20"/>
              </w:rPr>
              <w:t>N/A</w:t>
            </w:r>
          </w:p>
        </w:tc>
        <w:tc>
          <w:tcPr>
            <w:tcW w:w="1170" w:type="dxa"/>
            <w:tcBorders>
              <w:top w:val="nil"/>
              <w:left w:val="nil"/>
              <w:bottom w:val="single" w:color="auto" w:sz="4" w:space="0"/>
              <w:right w:val="single" w:color="auto" w:sz="4" w:space="0"/>
            </w:tcBorders>
            <w:shd w:val="clear" w:color="000000" w:fill="BDD7EE"/>
            <w:noWrap/>
            <w:vAlign w:val="bottom"/>
            <w:hideMark/>
          </w:tcPr>
          <w:p w:rsidRPr="009C7CB0" w:rsidR="009C7CB0" w:rsidP="009C7CB0" w:rsidRDefault="009C7CB0" w14:paraId="417F48C9" w14:textId="33BA9777">
            <w:pPr>
              <w:spacing w:after="0" w:line="240" w:lineRule="auto"/>
              <w:rPr>
                <w:rFonts w:ascii="Times New Roman" w:hAnsi="Times New Roman" w:eastAsia="Times New Roman" w:cs="Times New Roman"/>
                <w:b/>
                <w:bCs/>
                <w:color w:val="000000"/>
                <w:sz w:val="20"/>
                <w:szCs w:val="20"/>
              </w:rPr>
            </w:pPr>
            <w:r w:rsidRPr="009C7CB0">
              <w:rPr>
                <w:rFonts w:ascii="Times New Roman" w:hAnsi="Times New Roman" w:eastAsia="Times New Roman" w:cs="Times New Roman"/>
                <w:b/>
                <w:bCs/>
                <w:color w:val="000000"/>
                <w:sz w:val="20"/>
                <w:szCs w:val="20"/>
              </w:rPr>
              <w:t xml:space="preserve">    </w:t>
            </w:r>
            <w:r>
              <w:rPr>
                <w:rFonts w:ascii="Times New Roman" w:hAnsi="Times New Roman" w:eastAsia="Times New Roman" w:cs="Times New Roman"/>
                <w:b/>
                <w:bCs/>
                <w:color w:val="000000"/>
                <w:sz w:val="20"/>
                <w:szCs w:val="20"/>
              </w:rPr>
              <w:t xml:space="preserve">  </w:t>
            </w:r>
            <w:r w:rsidRPr="009C7CB0">
              <w:rPr>
                <w:rFonts w:ascii="Times New Roman" w:hAnsi="Times New Roman" w:eastAsia="Times New Roman" w:cs="Times New Roman"/>
                <w:b/>
                <w:bCs/>
                <w:color w:val="000000"/>
                <w:sz w:val="20"/>
                <w:szCs w:val="20"/>
              </w:rPr>
              <w:t xml:space="preserve"> 90,357 </w:t>
            </w:r>
          </w:p>
        </w:tc>
      </w:tr>
    </w:tbl>
    <w:p w:rsidR="009C7CB0" w:rsidP="002E6C54" w:rsidRDefault="009C7CB0" w14:paraId="5B4E8DDE" w14:textId="4182D120">
      <w:pPr>
        <w:rPr>
          <w:rFonts w:ascii="Times New Roman" w:hAnsi="Times New Roman" w:cs="Times New Roman"/>
          <w:sz w:val="24"/>
          <w:szCs w:val="24"/>
        </w:rPr>
      </w:pPr>
    </w:p>
    <w:p w:rsidR="009C7CB0" w:rsidP="002E6C54" w:rsidRDefault="009C7CB0" w14:paraId="529D922A" w14:textId="1241381F">
      <w:pPr>
        <w:rPr>
          <w:rFonts w:ascii="Times New Roman" w:hAnsi="Times New Roman" w:cs="Times New Roman"/>
          <w:sz w:val="24"/>
          <w:szCs w:val="24"/>
        </w:rPr>
      </w:pPr>
      <w:r>
        <w:rPr>
          <w:rFonts w:ascii="Times New Roman" w:hAnsi="Times New Roman" w:cs="Times New Roman"/>
          <w:sz w:val="24"/>
          <w:szCs w:val="24"/>
        </w:rPr>
        <w:t>Burden hours:</w:t>
      </w:r>
    </w:p>
    <w:p w:rsidR="009C7CB0" w:rsidP="009C7CB0" w:rsidRDefault="009C7CB0" w14:paraId="662BB5F2" w14:textId="57CC7FC5">
      <w:pPr>
        <w:ind w:left="720"/>
        <w:rPr>
          <w:rFonts w:ascii="Times New Roman" w:hAnsi="Times New Roman" w:cs="Times New Roman"/>
          <w:sz w:val="24"/>
          <w:szCs w:val="24"/>
        </w:rPr>
      </w:pPr>
      <w:r>
        <w:rPr>
          <w:rFonts w:ascii="Times New Roman" w:hAnsi="Times New Roman" w:cs="Times New Roman"/>
          <w:sz w:val="24"/>
          <w:szCs w:val="24"/>
        </w:rPr>
        <w:t>Total annual respondents:  100</w:t>
      </w:r>
    </w:p>
    <w:p w:rsidR="009C7CB0" w:rsidP="009C7CB0" w:rsidRDefault="009C7CB0" w14:paraId="143AF9F8" w14:textId="7EA19D33">
      <w:pPr>
        <w:ind w:left="720"/>
        <w:rPr>
          <w:rFonts w:ascii="Times New Roman" w:hAnsi="Times New Roman" w:cs="Times New Roman"/>
          <w:sz w:val="24"/>
          <w:szCs w:val="24"/>
        </w:rPr>
      </w:pPr>
      <w:r>
        <w:rPr>
          <w:rFonts w:ascii="Times New Roman" w:hAnsi="Times New Roman" w:cs="Times New Roman"/>
          <w:sz w:val="24"/>
          <w:szCs w:val="24"/>
        </w:rPr>
        <w:t>Frequency of response:  3,388.4 (as needed, calculated value)</w:t>
      </w:r>
    </w:p>
    <w:p w:rsidR="009C7CB0" w:rsidP="009C7CB0" w:rsidRDefault="009C7CB0" w14:paraId="00731C92" w14:textId="6D0CD167">
      <w:pPr>
        <w:ind w:left="720"/>
        <w:rPr>
          <w:rFonts w:ascii="Times New Roman" w:hAnsi="Times New Roman" w:cs="Times New Roman"/>
          <w:sz w:val="24"/>
          <w:szCs w:val="24"/>
        </w:rPr>
      </w:pPr>
      <w:r>
        <w:rPr>
          <w:rFonts w:ascii="Times New Roman" w:hAnsi="Times New Roman" w:cs="Times New Roman"/>
          <w:sz w:val="24"/>
          <w:szCs w:val="24"/>
        </w:rPr>
        <w:t>Total annual responses:  338,840</w:t>
      </w:r>
    </w:p>
    <w:p w:rsidR="009C7CB0" w:rsidP="009C7CB0" w:rsidRDefault="009C7CB0" w14:paraId="1FCA525B" w14:textId="3B526CC7">
      <w:pPr>
        <w:ind w:left="720"/>
        <w:rPr>
          <w:rFonts w:ascii="Times New Roman" w:hAnsi="Times New Roman" w:cs="Times New Roman"/>
          <w:sz w:val="24"/>
          <w:szCs w:val="24"/>
        </w:rPr>
      </w:pPr>
      <w:r>
        <w:rPr>
          <w:rFonts w:ascii="Times New Roman" w:hAnsi="Times New Roman" w:cs="Times New Roman"/>
          <w:sz w:val="24"/>
          <w:szCs w:val="24"/>
        </w:rPr>
        <w:lastRenderedPageBreak/>
        <w:t>Average burden per response (hour):  0.266667 (calculated)</w:t>
      </w:r>
    </w:p>
    <w:p w:rsidR="009C7CB0" w:rsidP="009C7CB0" w:rsidRDefault="009C7CB0" w14:paraId="1297DB5C" w14:textId="4F8D7D51">
      <w:pPr>
        <w:ind w:left="720"/>
        <w:rPr>
          <w:rFonts w:ascii="Times New Roman" w:hAnsi="Times New Roman" w:cs="Times New Roman"/>
          <w:sz w:val="24"/>
          <w:szCs w:val="24"/>
        </w:rPr>
      </w:pPr>
      <w:r>
        <w:rPr>
          <w:rFonts w:ascii="Times New Roman" w:hAnsi="Times New Roman" w:cs="Times New Roman"/>
          <w:sz w:val="24"/>
          <w:szCs w:val="24"/>
        </w:rPr>
        <w:t>Total annual burden (hours):  90,357</w:t>
      </w:r>
    </w:p>
    <w:p w:rsidR="009C7CB0" w:rsidP="002E6C54" w:rsidRDefault="009C7CB0" w14:paraId="7D42DFD7" w14:textId="77777777">
      <w:pPr>
        <w:rPr>
          <w:rFonts w:ascii="Times New Roman" w:hAnsi="Times New Roman" w:cs="Times New Roman"/>
          <w:sz w:val="24"/>
          <w:szCs w:val="24"/>
        </w:rPr>
      </w:pPr>
      <w:r>
        <w:rPr>
          <w:rFonts w:ascii="Times New Roman" w:hAnsi="Times New Roman" w:cs="Times New Roman"/>
          <w:sz w:val="24"/>
          <w:szCs w:val="24"/>
        </w:rPr>
        <w:t>Burden dollars:</w:t>
      </w:r>
    </w:p>
    <w:p w:rsidR="009C7CB0" w:rsidP="009C7CB0" w:rsidRDefault="009C7CB0" w14:paraId="283C64A1" w14:textId="1DA3E616">
      <w:pPr>
        <w:ind w:left="720"/>
        <w:rPr>
          <w:rFonts w:ascii="Times New Roman" w:hAnsi="Times New Roman" w:cs="Times New Roman"/>
          <w:sz w:val="24"/>
          <w:szCs w:val="24"/>
        </w:rPr>
      </w:pPr>
      <w:r>
        <w:rPr>
          <w:rFonts w:ascii="Times New Roman" w:hAnsi="Times New Roman" w:cs="Times New Roman"/>
          <w:sz w:val="24"/>
          <w:szCs w:val="24"/>
        </w:rPr>
        <w:t>Loaded hourly wages:  $52.46</w:t>
      </w:r>
      <w:r>
        <w:rPr>
          <w:rStyle w:val="FootnoteReference"/>
          <w:rFonts w:ascii="Times New Roman" w:hAnsi="Times New Roman" w:cs="Times New Roman"/>
          <w:sz w:val="24"/>
          <w:szCs w:val="24"/>
        </w:rPr>
        <w:footnoteReference w:id="1"/>
      </w:r>
    </w:p>
    <w:p w:rsidR="009C7CB0" w:rsidP="009C7CB0" w:rsidRDefault="009C7CB0" w14:paraId="1B9F4C42" w14:textId="6F6DBE06">
      <w:pPr>
        <w:ind w:left="720"/>
        <w:rPr>
          <w:rFonts w:ascii="Times New Roman" w:hAnsi="Times New Roman" w:cs="Times New Roman"/>
          <w:sz w:val="24"/>
          <w:szCs w:val="24"/>
        </w:rPr>
      </w:pPr>
      <w:r>
        <w:rPr>
          <w:rFonts w:ascii="Times New Roman" w:hAnsi="Times New Roman" w:cs="Times New Roman"/>
          <w:sz w:val="24"/>
          <w:szCs w:val="24"/>
        </w:rPr>
        <w:t>Burden dollars per response:  $13.99</w:t>
      </w:r>
    </w:p>
    <w:p w:rsidRPr="00651DC0" w:rsidR="009C7CB0" w:rsidP="002E6C54" w:rsidRDefault="009C7CB0" w14:paraId="067AD5B5" w14:textId="533B7533">
      <w:pPr>
        <w:rPr>
          <w:rFonts w:ascii="Times New Roman" w:hAnsi="Times New Roman" w:cs="Times New Roman"/>
          <w:sz w:val="24"/>
          <w:szCs w:val="24"/>
        </w:rPr>
      </w:pPr>
      <w:r>
        <w:rPr>
          <w:rFonts w:ascii="Times New Roman" w:hAnsi="Times New Roman" w:cs="Times New Roman"/>
          <w:sz w:val="24"/>
          <w:szCs w:val="24"/>
        </w:rPr>
        <w:tab/>
        <w:t>Total burden dollars:  $4,740,372</w:t>
      </w:r>
    </w:p>
    <w:p w:rsidRPr="00651DC0" w:rsidR="009D3285" w:rsidP="00A93ACA" w:rsidRDefault="009D3285" w14:paraId="362DF1CA" w14:textId="77777777">
      <w:pPr>
        <w:pStyle w:val="ListParagraph"/>
        <w:numPr>
          <w:ilvl w:val="0"/>
          <w:numId w:val="1"/>
        </w:numPr>
        <w:rPr>
          <w:rFonts w:ascii="Times New Roman" w:hAnsi="Times New Roman" w:cs="Times New Roman"/>
          <w:sz w:val="24"/>
          <w:szCs w:val="24"/>
          <w:u w:val="single"/>
        </w:rPr>
      </w:pPr>
      <w:r w:rsidRPr="00651DC0">
        <w:rPr>
          <w:rFonts w:ascii="Times New Roman" w:hAnsi="Times New Roman" w:cs="Times New Roman"/>
          <w:sz w:val="24"/>
          <w:szCs w:val="24"/>
          <w:u w:val="single"/>
        </w:rPr>
        <w:t>Estimate of Cost Burden:</w:t>
      </w:r>
    </w:p>
    <w:p w:rsidRPr="00651DC0" w:rsidR="00AB541C" w:rsidP="00AB541C" w:rsidRDefault="00AB541C" w14:paraId="1BA19F90" w14:textId="77777777">
      <w:pPr>
        <w:rPr>
          <w:rFonts w:ascii="Times New Roman" w:hAnsi="Times New Roman" w:cs="Times New Roman"/>
          <w:sz w:val="24"/>
          <w:szCs w:val="24"/>
        </w:rPr>
      </w:pPr>
      <w:r w:rsidRPr="00651DC0">
        <w:rPr>
          <w:rFonts w:ascii="Times New Roman" w:hAnsi="Times New Roman" w:cs="Times New Roman"/>
          <w:sz w:val="24"/>
          <w:szCs w:val="24"/>
        </w:rPr>
        <w:t>The estimated annual cost burden is zero.  Respondents are not estimated to incur any additional start-up cost or capital expenditure or additional operation and maintenance costs or purchase services as a result of this information collection.</w:t>
      </w:r>
    </w:p>
    <w:p w:rsidRPr="00651DC0" w:rsidR="000F2F55" w:rsidP="00557932" w:rsidRDefault="009D3285" w14:paraId="61A6B619" w14:textId="355DA94B">
      <w:pPr>
        <w:pStyle w:val="ListParagraph"/>
        <w:numPr>
          <w:ilvl w:val="0"/>
          <w:numId w:val="1"/>
        </w:numPr>
        <w:spacing w:after="0" w:line="480" w:lineRule="auto"/>
        <w:rPr>
          <w:rFonts w:ascii="Times New Roman" w:hAnsi="Times New Roman" w:cs="Times New Roman"/>
          <w:sz w:val="24"/>
          <w:szCs w:val="24"/>
          <w:u w:val="single"/>
        </w:rPr>
      </w:pPr>
      <w:r w:rsidRPr="00651DC0">
        <w:rPr>
          <w:rFonts w:ascii="Times New Roman" w:hAnsi="Times New Roman" w:cs="Times New Roman"/>
          <w:sz w:val="24"/>
          <w:szCs w:val="24"/>
          <w:u w:val="single"/>
        </w:rPr>
        <w:t>Estimated Annualized Costs to Federal Government:</w:t>
      </w:r>
    </w:p>
    <w:p w:rsidR="00AB54AF" w:rsidP="009C7CB0" w:rsidRDefault="00AB54AF" w14:paraId="1E6003F3" w14:textId="77777777">
      <w:pPr>
        <w:spacing w:line="240" w:lineRule="auto"/>
        <w:rPr>
          <w:rFonts w:ascii="Times New Roman" w:hAnsi="Times New Roman" w:cs="Times New Roman"/>
          <w:sz w:val="24"/>
          <w:szCs w:val="24"/>
        </w:rPr>
      </w:pPr>
      <w:r w:rsidRPr="00AB54AF">
        <w:rPr>
          <w:rFonts w:ascii="Times New Roman" w:hAnsi="Times New Roman" w:cs="Times New Roman"/>
          <w:sz w:val="24"/>
          <w:szCs w:val="24"/>
        </w:rPr>
        <w:t xml:space="preserve">There is no cost to the Federal government. </w:t>
      </w:r>
    </w:p>
    <w:p w:rsidRPr="009C7CB0" w:rsidR="009C7CB0" w:rsidP="00226526" w:rsidRDefault="009C7CB0" w14:paraId="1CD82E75" w14:textId="52D05BD6">
      <w:pPr>
        <w:contextualSpacing/>
        <w:rPr>
          <w:rFonts w:ascii="Times New Roman" w:hAnsi="Times New Roman" w:cs="Times New Roman"/>
          <w:sz w:val="24"/>
          <w:szCs w:val="24"/>
          <w:u w:val="single"/>
        </w:rPr>
      </w:pPr>
      <w:r w:rsidRPr="009C7CB0">
        <w:rPr>
          <w:rFonts w:ascii="Times New Roman" w:hAnsi="Times New Roman" w:cs="Times New Roman"/>
          <w:sz w:val="24"/>
          <w:szCs w:val="24"/>
        </w:rPr>
        <w:t>All costs are recovered from registrants through registration fees, as required by the CSA.  21 U.S.C. 886a.</w:t>
      </w:r>
    </w:p>
    <w:p w:rsidRPr="00651DC0" w:rsidR="009D3285" w:rsidP="00651DC0" w:rsidRDefault="009D3285" w14:paraId="32F5F31B" w14:textId="6CBB150B">
      <w:pPr>
        <w:pStyle w:val="ListParagraph"/>
        <w:numPr>
          <w:ilvl w:val="0"/>
          <w:numId w:val="1"/>
        </w:numPr>
        <w:rPr>
          <w:rFonts w:ascii="Times New Roman" w:hAnsi="Times New Roman" w:cs="Times New Roman"/>
          <w:sz w:val="24"/>
          <w:szCs w:val="24"/>
          <w:u w:val="single"/>
        </w:rPr>
      </w:pPr>
      <w:r w:rsidRPr="00651DC0">
        <w:rPr>
          <w:rFonts w:ascii="Times New Roman" w:hAnsi="Times New Roman" w:cs="Times New Roman"/>
          <w:sz w:val="24"/>
          <w:szCs w:val="24"/>
          <w:u w:val="single"/>
        </w:rPr>
        <w:t>Reasons for Change in Burden:</w:t>
      </w:r>
    </w:p>
    <w:p w:rsidRPr="009C7CB0" w:rsidR="009C7CB0" w:rsidP="00226526" w:rsidRDefault="009C7CB0" w14:paraId="0F6BFD76" w14:textId="2B0C0BE2">
      <w:pPr>
        <w:contextualSpacing/>
        <w:rPr>
          <w:rFonts w:ascii="Times New Roman" w:hAnsi="Times New Roman" w:cs="Times New Roman"/>
          <w:sz w:val="24"/>
          <w:szCs w:val="24"/>
          <w:u w:val="single"/>
        </w:rPr>
      </w:pPr>
      <w:r>
        <w:rPr>
          <w:rFonts w:ascii="Times New Roman" w:hAnsi="Times New Roman" w:cs="Times New Roman"/>
          <w:sz w:val="24"/>
          <w:szCs w:val="24"/>
        </w:rPr>
        <w:t>This is a new information collection request</w:t>
      </w:r>
      <w:r w:rsidRPr="009C7CB0">
        <w:rPr>
          <w:rFonts w:ascii="Times New Roman" w:hAnsi="Times New Roman" w:cs="Times New Roman"/>
          <w:sz w:val="24"/>
          <w:szCs w:val="24"/>
        </w:rPr>
        <w:t>.</w:t>
      </w:r>
      <w:r>
        <w:rPr>
          <w:rFonts w:ascii="Times New Roman" w:hAnsi="Times New Roman" w:cs="Times New Roman"/>
          <w:sz w:val="24"/>
          <w:szCs w:val="24"/>
        </w:rPr>
        <w:t xml:space="preserve">  Therefore, there is no change in burden.</w:t>
      </w:r>
    </w:p>
    <w:p w:rsidRPr="00226526" w:rsidR="009D3285" w:rsidP="00651DC0" w:rsidRDefault="009D3285" w14:paraId="207C2E73" w14:textId="2355034A">
      <w:pPr>
        <w:pStyle w:val="ListParagraph"/>
        <w:numPr>
          <w:ilvl w:val="0"/>
          <w:numId w:val="1"/>
        </w:numPr>
        <w:rPr>
          <w:rFonts w:ascii="Times New Roman" w:hAnsi="Times New Roman" w:cs="Times New Roman"/>
          <w:sz w:val="24"/>
          <w:szCs w:val="24"/>
          <w:u w:val="single"/>
        </w:rPr>
      </w:pPr>
      <w:r w:rsidRPr="00226526">
        <w:rPr>
          <w:rFonts w:ascii="Times New Roman" w:hAnsi="Times New Roman" w:cs="Times New Roman"/>
          <w:sz w:val="24"/>
          <w:szCs w:val="24"/>
          <w:u w:val="single"/>
        </w:rPr>
        <w:t>Plans for Publication:</w:t>
      </w:r>
    </w:p>
    <w:p w:rsidRPr="00226526" w:rsidR="00A35987" w:rsidP="00A35987" w:rsidRDefault="00A35987" w14:paraId="570EAADF" w14:textId="3A549595">
      <w:pPr>
        <w:rPr>
          <w:rFonts w:ascii="Times New Roman" w:hAnsi="Times New Roman" w:cs="Times New Roman"/>
          <w:sz w:val="24"/>
          <w:szCs w:val="24"/>
        </w:rPr>
      </w:pPr>
      <w:r w:rsidRPr="00226526">
        <w:rPr>
          <w:rFonts w:ascii="Times New Roman" w:hAnsi="Times New Roman" w:cs="Times New Roman"/>
          <w:sz w:val="24"/>
          <w:szCs w:val="24"/>
        </w:rPr>
        <w:t>DEA will not publish the results of the information collected.</w:t>
      </w:r>
    </w:p>
    <w:p w:rsidRPr="00226526" w:rsidR="009D3285" w:rsidP="00A93ACA" w:rsidRDefault="009D3285" w14:paraId="68BE1695" w14:textId="77777777">
      <w:pPr>
        <w:pStyle w:val="ListParagraph"/>
        <w:numPr>
          <w:ilvl w:val="0"/>
          <w:numId w:val="1"/>
        </w:numPr>
        <w:rPr>
          <w:rFonts w:ascii="Times New Roman" w:hAnsi="Times New Roman" w:cs="Times New Roman"/>
          <w:sz w:val="24"/>
          <w:szCs w:val="24"/>
          <w:u w:val="single"/>
        </w:rPr>
      </w:pPr>
      <w:r w:rsidRPr="00226526">
        <w:rPr>
          <w:rFonts w:ascii="Times New Roman" w:hAnsi="Times New Roman" w:cs="Times New Roman"/>
          <w:sz w:val="24"/>
          <w:szCs w:val="24"/>
          <w:u w:val="single"/>
        </w:rPr>
        <w:t>Expiration Date Approval:</w:t>
      </w:r>
    </w:p>
    <w:p w:rsidRPr="00226526" w:rsidR="008E1EDA" w:rsidP="008E1EDA" w:rsidRDefault="008E1EDA" w14:paraId="5F754FB5" w14:textId="59FB5184">
      <w:pPr>
        <w:jc w:val="both"/>
        <w:rPr>
          <w:rFonts w:ascii="Times New Roman" w:hAnsi="Times New Roman" w:cs="Times New Roman"/>
          <w:sz w:val="24"/>
          <w:szCs w:val="24"/>
        </w:rPr>
      </w:pPr>
      <w:r w:rsidRPr="00226526">
        <w:rPr>
          <w:rFonts w:ascii="Times New Roman" w:hAnsi="Times New Roman" w:cs="Times New Roman"/>
          <w:sz w:val="24"/>
          <w:szCs w:val="24"/>
        </w:rPr>
        <w:t>DEA does not object to OMB displaying the expiration date.</w:t>
      </w:r>
    </w:p>
    <w:p w:rsidRPr="00226526" w:rsidR="008E1EDA" w:rsidP="00A93ACA" w:rsidRDefault="008E1EDA" w14:paraId="327FBD14" w14:textId="77777777">
      <w:pPr>
        <w:pStyle w:val="ListParagraph"/>
        <w:numPr>
          <w:ilvl w:val="0"/>
          <w:numId w:val="1"/>
        </w:numPr>
        <w:rPr>
          <w:rFonts w:ascii="Times New Roman" w:hAnsi="Times New Roman" w:cs="Times New Roman"/>
          <w:sz w:val="24"/>
          <w:szCs w:val="24"/>
          <w:u w:val="single"/>
        </w:rPr>
      </w:pPr>
      <w:r w:rsidRPr="00226526">
        <w:rPr>
          <w:rFonts w:ascii="Times New Roman" w:hAnsi="Times New Roman" w:cs="Times New Roman"/>
          <w:sz w:val="24"/>
          <w:szCs w:val="24"/>
          <w:u w:val="single"/>
        </w:rPr>
        <w:t>Exceptions to the Certification Statement:</w:t>
      </w:r>
    </w:p>
    <w:p w:rsidRPr="00226526" w:rsidR="00855F17" w:rsidP="00855F17" w:rsidRDefault="00855F17" w14:paraId="69857870" w14:textId="19730D5F">
      <w:pPr>
        <w:rPr>
          <w:rFonts w:ascii="Times New Roman" w:hAnsi="Times New Roman" w:cs="Times New Roman"/>
          <w:sz w:val="24"/>
          <w:szCs w:val="24"/>
        </w:rPr>
      </w:pPr>
      <w:r w:rsidRPr="00226526">
        <w:rPr>
          <w:rFonts w:ascii="Times New Roman" w:hAnsi="Times New Roman" w:cs="Times New Roman"/>
          <w:sz w:val="24"/>
          <w:szCs w:val="24"/>
        </w:rPr>
        <w:t>DEA is not seeking an exception to the certification statement “Certification for Paperwork Reduction Act Submissions” for this collection of information.</w:t>
      </w:r>
    </w:p>
    <w:p w:rsidRPr="00226526" w:rsidR="00855F17" w:rsidP="00855F17" w:rsidRDefault="00855F17" w14:paraId="406A482A" w14:textId="77777777">
      <w:pPr>
        <w:jc w:val="both"/>
        <w:rPr>
          <w:rFonts w:ascii="Times New Roman" w:hAnsi="Times New Roman" w:cs="Times New Roman"/>
          <w:b/>
          <w:sz w:val="24"/>
          <w:szCs w:val="24"/>
        </w:rPr>
      </w:pPr>
    </w:p>
    <w:p w:rsidRPr="00226526" w:rsidR="00855F17" w:rsidP="00855F17" w:rsidRDefault="00855F17" w14:paraId="485F472D" w14:textId="77777777">
      <w:pPr>
        <w:jc w:val="both"/>
        <w:rPr>
          <w:rFonts w:ascii="Times New Roman" w:hAnsi="Times New Roman" w:cs="Times New Roman"/>
          <w:b/>
          <w:sz w:val="24"/>
          <w:szCs w:val="24"/>
        </w:rPr>
      </w:pPr>
    </w:p>
    <w:p w:rsidRPr="00226526" w:rsidR="00855F17" w:rsidP="00855F17" w:rsidRDefault="00855F17" w14:paraId="0A3A73F9" w14:textId="77777777">
      <w:pPr>
        <w:jc w:val="both"/>
        <w:rPr>
          <w:rFonts w:ascii="Times New Roman" w:hAnsi="Times New Roman" w:cs="Times New Roman"/>
          <w:b/>
          <w:sz w:val="24"/>
          <w:szCs w:val="24"/>
        </w:rPr>
      </w:pPr>
      <w:r w:rsidRPr="00226526">
        <w:rPr>
          <w:rFonts w:ascii="Times New Roman" w:hAnsi="Times New Roman" w:cs="Times New Roman"/>
          <w:b/>
          <w:sz w:val="24"/>
          <w:szCs w:val="24"/>
        </w:rPr>
        <w:lastRenderedPageBreak/>
        <w:t>Part B.  Statistical Methods</w:t>
      </w:r>
    </w:p>
    <w:p w:rsidRPr="00226526" w:rsidR="00855F17" w:rsidP="00855F17" w:rsidRDefault="00855F17" w14:paraId="7F7FDD23" w14:textId="6DD4B5DF">
      <w:pPr>
        <w:jc w:val="both"/>
        <w:rPr>
          <w:rFonts w:ascii="Times New Roman" w:hAnsi="Times New Roman" w:cs="Times New Roman"/>
          <w:sz w:val="24"/>
          <w:szCs w:val="24"/>
        </w:rPr>
      </w:pPr>
      <w:r w:rsidRPr="00226526">
        <w:rPr>
          <w:rFonts w:ascii="Times New Roman" w:hAnsi="Times New Roman" w:cs="Times New Roman"/>
          <w:sz w:val="24"/>
          <w:szCs w:val="24"/>
        </w:rPr>
        <w:t>DEA does not employ statistical methods in this information collection.</w:t>
      </w:r>
    </w:p>
    <w:p w:rsidRPr="00226526" w:rsidR="00855F17" w:rsidP="00855F17" w:rsidRDefault="00855F17" w14:paraId="67538511" w14:textId="77777777">
      <w:pPr>
        <w:rPr>
          <w:rFonts w:ascii="Times New Roman" w:hAnsi="Times New Roman" w:cs="Times New Roman"/>
          <w:b/>
          <w:sz w:val="24"/>
          <w:szCs w:val="24"/>
        </w:rPr>
      </w:pPr>
    </w:p>
    <w:p w:rsidRPr="00226526" w:rsidR="008E1EDA" w:rsidP="008E1EDA" w:rsidRDefault="008E1EDA" w14:paraId="0A24D909" w14:textId="77777777">
      <w:pPr>
        <w:rPr>
          <w:rFonts w:ascii="Times New Roman" w:hAnsi="Times New Roman" w:cs="Times New Roman"/>
          <w:sz w:val="24"/>
          <w:szCs w:val="24"/>
          <w:u w:val="single"/>
        </w:rPr>
      </w:pPr>
    </w:p>
    <w:sectPr w:rsidRPr="00226526" w:rsidR="008E1ED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F08B05" w14:textId="77777777" w:rsidR="002A6F6E" w:rsidRDefault="002A6F6E" w:rsidP="009C7CB0">
      <w:pPr>
        <w:spacing w:after="0" w:line="240" w:lineRule="auto"/>
      </w:pPr>
      <w:r>
        <w:separator/>
      </w:r>
    </w:p>
  </w:endnote>
  <w:endnote w:type="continuationSeparator" w:id="0">
    <w:p w14:paraId="49AD26BE" w14:textId="77777777" w:rsidR="002A6F6E" w:rsidRDefault="002A6F6E" w:rsidP="009C7C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70FFE33" w14:textId="77777777" w:rsidR="002A6F6E" w:rsidRDefault="002A6F6E" w:rsidP="009C7CB0">
      <w:pPr>
        <w:spacing w:after="0" w:line="240" w:lineRule="auto"/>
      </w:pPr>
      <w:r>
        <w:separator/>
      </w:r>
    </w:p>
  </w:footnote>
  <w:footnote w:type="continuationSeparator" w:id="0">
    <w:p w14:paraId="61C66758" w14:textId="77777777" w:rsidR="002A6F6E" w:rsidRDefault="002A6F6E" w:rsidP="009C7CB0">
      <w:pPr>
        <w:spacing w:after="0" w:line="240" w:lineRule="auto"/>
      </w:pPr>
      <w:r>
        <w:continuationSeparator/>
      </w:r>
    </w:p>
  </w:footnote>
  <w:footnote w:id="1">
    <w:p w14:paraId="33BEA931" w14:textId="665F87D3" w:rsidR="009C7CB0" w:rsidRPr="009C7CB0" w:rsidRDefault="009C7CB0" w:rsidP="009C7CB0">
      <w:pPr>
        <w:pStyle w:val="FootnoteText"/>
        <w:rPr>
          <w:rFonts w:ascii="Times New Roman" w:hAnsi="Times New Roman" w:cs="Times New Roman"/>
        </w:rPr>
      </w:pPr>
      <w:r w:rsidRPr="009C7CB0">
        <w:rPr>
          <w:rStyle w:val="FootnoteReference"/>
          <w:rFonts w:ascii="Times New Roman" w:hAnsi="Times New Roman" w:cs="Times New Roman"/>
        </w:rPr>
        <w:footnoteRef/>
      </w:r>
      <w:r w:rsidRPr="009C7CB0">
        <w:rPr>
          <w:rFonts w:ascii="Times New Roman" w:hAnsi="Times New Roman" w:cs="Times New Roman"/>
        </w:rPr>
        <w:t xml:space="preserve"> Compliance Officer’’ (SOC 13–1041, 2018 Standard Occupational Classification, https://www.bls.gov/soc/2018/major_groups.htm), in the ‘‘Merchant Wholesalers, Nondurable Goods (4242 and 4246 only)’’ industry.  The mean hourly wage for that position and industry according to the May 2018 National Occupational Employment and Wage Estimates United States (https://www.bls.gov/oes/current/oes_nat.htm) is $36.76.  Based on the BLS report, ‘‘Employer Costs for Employee Compensation—March 2019,’’ (ECEC) (https://www.bls.gov/news.release/pdf/ecec.pdf) an additional 42.7% load (for ‘‘private industry’’) is added to the wage rate to account for benefits.  $36.76 × 1.427 = $52.46.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0B7961"/>
    <w:multiLevelType w:val="hybridMultilevel"/>
    <w:tmpl w:val="290E81A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ACA"/>
    <w:rsid w:val="000119FD"/>
    <w:rsid w:val="000A32D7"/>
    <w:rsid w:val="000A5012"/>
    <w:rsid w:val="000D4863"/>
    <w:rsid w:val="000D719D"/>
    <w:rsid w:val="000F2F55"/>
    <w:rsid w:val="001B20B7"/>
    <w:rsid w:val="00226526"/>
    <w:rsid w:val="00253BB2"/>
    <w:rsid w:val="002A6F6E"/>
    <w:rsid w:val="002E6C54"/>
    <w:rsid w:val="003E22EF"/>
    <w:rsid w:val="00434C01"/>
    <w:rsid w:val="00481256"/>
    <w:rsid w:val="004C5503"/>
    <w:rsid w:val="004D657B"/>
    <w:rsid w:val="00505137"/>
    <w:rsid w:val="00515C18"/>
    <w:rsid w:val="00547379"/>
    <w:rsid w:val="00557932"/>
    <w:rsid w:val="0056472D"/>
    <w:rsid w:val="00587EB0"/>
    <w:rsid w:val="005A6616"/>
    <w:rsid w:val="005C3F71"/>
    <w:rsid w:val="005D472D"/>
    <w:rsid w:val="00651DC0"/>
    <w:rsid w:val="00660FE8"/>
    <w:rsid w:val="00665923"/>
    <w:rsid w:val="006D2F04"/>
    <w:rsid w:val="006D3161"/>
    <w:rsid w:val="00733CCE"/>
    <w:rsid w:val="00751CD5"/>
    <w:rsid w:val="007573F1"/>
    <w:rsid w:val="0079319F"/>
    <w:rsid w:val="00805949"/>
    <w:rsid w:val="00855F17"/>
    <w:rsid w:val="008E1EDA"/>
    <w:rsid w:val="009806B6"/>
    <w:rsid w:val="009C608A"/>
    <w:rsid w:val="009C6A55"/>
    <w:rsid w:val="009C7CB0"/>
    <w:rsid w:val="009D3285"/>
    <w:rsid w:val="00A35987"/>
    <w:rsid w:val="00A570CE"/>
    <w:rsid w:val="00A618A1"/>
    <w:rsid w:val="00A93ACA"/>
    <w:rsid w:val="00AA1C30"/>
    <w:rsid w:val="00AB541C"/>
    <w:rsid w:val="00AB54AF"/>
    <w:rsid w:val="00AE772D"/>
    <w:rsid w:val="00B13CD6"/>
    <w:rsid w:val="00B44D8E"/>
    <w:rsid w:val="00BC22EF"/>
    <w:rsid w:val="00C61E9F"/>
    <w:rsid w:val="00CD20F9"/>
    <w:rsid w:val="00D214C7"/>
    <w:rsid w:val="00D37698"/>
    <w:rsid w:val="00D42684"/>
    <w:rsid w:val="00DB2C52"/>
    <w:rsid w:val="00E00FBC"/>
    <w:rsid w:val="00E34CF3"/>
    <w:rsid w:val="00F3296E"/>
    <w:rsid w:val="00F6272D"/>
    <w:rsid w:val="00FA35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5393C"/>
  <w15:chartTrackingRefBased/>
  <w15:docId w15:val="{B103C204-E368-451E-B251-BD187B547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3ACA"/>
    <w:pPr>
      <w:ind w:left="720"/>
      <w:contextualSpacing/>
    </w:pPr>
  </w:style>
  <w:style w:type="table" w:styleId="TableGrid">
    <w:name w:val="Table Grid"/>
    <w:basedOn w:val="TableNormal"/>
    <w:uiPriority w:val="39"/>
    <w:rsid w:val="002E6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4C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4CF3"/>
    <w:rPr>
      <w:rFonts w:ascii="Segoe UI" w:hAnsi="Segoe UI" w:cs="Segoe UI"/>
      <w:sz w:val="18"/>
      <w:szCs w:val="18"/>
    </w:rPr>
  </w:style>
  <w:style w:type="character" w:styleId="CommentReference">
    <w:name w:val="annotation reference"/>
    <w:basedOn w:val="DefaultParagraphFont"/>
    <w:uiPriority w:val="99"/>
    <w:semiHidden/>
    <w:unhideWhenUsed/>
    <w:rsid w:val="00E34CF3"/>
    <w:rPr>
      <w:sz w:val="16"/>
      <w:szCs w:val="16"/>
    </w:rPr>
  </w:style>
  <w:style w:type="paragraph" w:styleId="CommentText">
    <w:name w:val="annotation text"/>
    <w:basedOn w:val="Normal"/>
    <w:link w:val="CommentTextChar"/>
    <w:uiPriority w:val="99"/>
    <w:semiHidden/>
    <w:unhideWhenUsed/>
    <w:rsid w:val="00E34CF3"/>
    <w:pPr>
      <w:spacing w:line="240" w:lineRule="auto"/>
    </w:pPr>
    <w:rPr>
      <w:sz w:val="20"/>
      <w:szCs w:val="20"/>
    </w:rPr>
  </w:style>
  <w:style w:type="character" w:customStyle="1" w:styleId="CommentTextChar">
    <w:name w:val="Comment Text Char"/>
    <w:basedOn w:val="DefaultParagraphFont"/>
    <w:link w:val="CommentText"/>
    <w:uiPriority w:val="99"/>
    <w:semiHidden/>
    <w:rsid w:val="00E34CF3"/>
    <w:rPr>
      <w:sz w:val="20"/>
      <w:szCs w:val="20"/>
    </w:rPr>
  </w:style>
  <w:style w:type="paragraph" w:styleId="CommentSubject">
    <w:name w:val="annotation subject"/>
    <w:basedOn w:val="CommentText"/>
    <w:next w:val="CommentText"/>
    <w:link w:val="CommentSubjectChar"/>
    <w:uiPriority w:val="99"/>
    <w:semiHidden/>
    <w:unhideWhenUsed/>
    <w:rsid w:val="00E34CF3"/>
    <w:rPr>
      <w:b/>
      <w:bCs/>
    </w:rPr>
  </w:style>
  <w:style w:type="character" w:customStyle="1" w:styleId="CommentSubjectChar">
    <w:name w:val="Comment Subject Char"/>
    <w:basedOn w:val="CommentTextChar"/>
    <w:link w:val="CommentSubject"/>
    <w:uiPriority w:val="99"/>
    <w:semiHidden/>
    <w:rsid w:val="00E34CF3"/>
    <w:rPr>
      <w:b/>
      <w:bCs/>
      <w:sz w:val="20"/>
      <w:szCs w:val="20"/>
    </w:rPr>
  </w:style>
  <w:style w:type="paragraph" w:styleId="Revision">
    <w:name w:val="Revision"/>
    <w:hidden/>
    <w:uiPriority w:val="99"/>
    <w:semiHidden/>
    <w:rsid w:val="00805949"/>
    <w:pPr>
      <w:spacing w:after="0" w:line="240" w:lineRule="auto"/>
    </w:pPr>
  </w:style>
  <w:style w:type="paragraph" w:styleId="FootnoteText">
    <w:name w:val="footnote text"/>
    <w:basedOn w:val="Normal"/>
    <w:link w:val="FootnoteTextChar"/>
    <w:uiPriority w:val="99"/>
    <w:semiHidden/>
    <w:unhideWhenUsed/>
    <w:rsid w:val="009C7CB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7CB0"/>
    <w:rPr>
      <w:sz w:val="20"/>
      <w:szCs w:val="20"/>
    </w:rPr>
  </w:style>
  <w:style w:type="character" w:styleId="FootnoteReference">
    <w:name w:val="footnote reference"/>
    <w:basedOn w:val="DefaultParagraphFont"/>
    <w:uiPriority w:val="99"/>
    <w:semiHidden/>
    <w:unhideWhenUsed/>
    <w:rsid w:val="009C7CB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96065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86D08035B467DA41A1DD2A04B3EC14BB" ma:contentTypeVersion="0" ma:contentTypeDescription="Create a new document." ma:contentTypeScope="" ma:versionID="86e7a288cddb1b1c98673c93c87bab14">
  <xsd:schema xmlns:xsd="http://www.w3.org/2001/XMLSchema" xmlns:xs="http://www.w3.org/2001/XMLSchema" xmlns:p="http://schemas.microsoft.com/office/2006/metadata/properties" targetNamespace="http://schemas.microsoft.com/office/2006/metadata/properties" ma:root="true" ma:fieldsID="b3f239a318a8435337186283e17b199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E069765-1348-4305-8DDA-9CD9CC47BA5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71CFAC-6E5B-4451-B0E6-C7D7685BDCA5}">
  <ds:schemaRefs>
    <ds:schemaRef ds:uri="http://schemas.microsoft.com/sharepoint/v3/contenttype/forms"/>
  </ds:schemaRefs>
</ds:datastoreItem>
</file>

<file path=customXml/itemProps3.xml><?xml version="1.0" encoding="utf-8"?>
<ds:datastoreItem xmlns:ds="http://schemas.openxmlformats.org/officeDocument/2006/customXml" ds:itemID="{5F2E16C7-FC86-4B06-A00D-6C11863D2247}">
  <ds:schemaRefs>
    <ds:schemaRef ds:uri="http://schemas.openxmlformats.org/officeDocument/2006/bibliography"/>
  </ds:schemaRefs>
</ds:datastoreItem>
</file>

<file path=customXml/itemProps4.xml><?xml version="1.0" encoding="utf-8"?>
<ds:datastoreItem xmlns:ds="http://schemas.openxmlformats.org/officeDocument/2006/customXml" ds:itemID="{002FB4BB-2E1D-4C20-8D34-7FD17EB67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5</Pages>
  <Words>1332</Words>
  <Characters>7599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DEA</Company>
  <LinksUpToDate>false</LinksUpToDate>
  <CharactersWithSpaces>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LaWanda A</dc:creator>
  <cp:keywords/>
  <dc:description/>
  <cp:lastModifiedBy>Microsoft Office User</cp:lastModifiedBy>
  <cp:revision>4</cp:revision>
  <dcterms:created xsi:type="dcterms:W3CDTF">2020-12-03T20:48:00Z</dcterms:created>
  <dcterms:modified xsi:type="dcterms:W3CDTF">2020-12-08T03:53:00Z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0x01010086D08035B467DA41A1DD2A04B3EC14BB</vt:lpwstr>
  </property>
</Properties>
</file>