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A47DA7" w:rsidR="001B7B8D" w:rsidP="001B7B8D" w:rsidRDefault="001B7B8D" w14:paraId="4C5A0100" w14:textId="77777777">
      <w:pPr>
        <w:tabs>
          <w:tab w:val="left" w:pos="720"/>
        </w:tabs>
        <w:ind w:left="720" w:hanging="1440"/>
        <w:jc w:val="center"/>
        <w:rPr>
          <w:b/>
          <w:bCs/>
        </w:rPr>
      </w:pPr>
      <w:r w:rsidRPr="00A47DA7">
        <w:rPr>
          <w:b/>
          <w:bCs/>
        </w:rPr>
        <w:t>SUPPORTING STATEMENT FOR</w:t>
      </w:r>
    </w:p>
    <w:p w:rsidRPr="00871CA6" w:rsidR="001B7B8D" w:rsidP="001B7B8D" w:rsidRDefault="001B7B8D" w14:paraId="08F46249" w14:textId="76F832FD">
      <w:pPr>
        <w:jc w:val="center"/>
        <w:rPr>
          <w:b/>
          <w:bCs/>
        </w:rPr>
      </w:pPr>
      <w:r>
        <w:rPr>
          <w:b/>
          <w:bCs/>
        </w:rPr>
        <w:t xml:space="preserve"> </w:t>
      </w:r>
      <w:r w:rsidRPr="004D5635">
        <w:rPr>
          <w:b/>
          <w:bCs/>
        </w:rPr>
        <w:t>Improving Investment Advice for Workers &amp; Retirees Prohibited Transaction Exemption</w:t>
      </w:r>
    </w:p>
    <w:p w:rsidR="001B7B8D" w:rsidP="001B7B8D" w:rsidRDefault="001B7B8D" w14:paraId="003AA118" w14:textId="77777777">
      <w:pPr>
        <w:jc w:val="center"/>
        <w:rPr>
          <w:b/>
          <w:bCs/>
        </w:rPr>
      </w:pPr>
    </w:p>
    <w:p w:rsidRPr="00871CA6" w:rsidR="001B7B8D" w:rsidP="001B7B8D" w:rsidRDefault="001B7B8D" w14:paraId="226B444B" w14:textId="2AC91BC2">
      <w:pPr>
        <w:jc w:val="center"/>
        <w:rPr>
          <w:b/>
          <w:bCs/>
        </w:rPr>
      </w:pPr>
      <w:r w:rsidRPr="00871CA6">
        <w:rPr>
          <w:b/>
          <w:bCs/>
        </w:rPr>
        <w:t>OMB</w:t>
      </w:r>
      <w:r>
        <w:rPr>
          <w:b/>
          <w:bCs/>
        </w:rPr>
        <w:t xml:space="preserve"> </w:t>
      </w:r>
      <w:r w:rsidRPr="00871CA6">
        <w:rPr>
          <w:b/>
          <w:bCs/>
        </w:rPr>
        <w:t xml:space="preserve">CONTROL NO. </w:t>
      </w:r>
      <w:r>
        <w:rPr>
          <w:b/>
          <w:bCs/>
        </w:rPr>
        <w:t>1210</w:t>
      </w:r>
      <w:r w:rsidRPr="00871CA6">
        <w:rPr>
          <w:b/>
          <w:bCs/>
        </w:rPr>
        <w:t>-</w:t>
      </w:r>
      <w:r>
        <w:rPr>
          <w:b/>
          <w:bCs/>
        </w:rPr>
        <w:t>0163</w:t>
      </w:r>
      <w:r w:rsidRPr="00871CA6">
        <w:rPr>
          <w:b/>
          <w:bCs/>
        </w:rPr>
        <w:t xml:space="preserve"> </w:t>
      </w:r>
    </w:p>
    <w:p w:rsidR="00FF2ECF" w:rsidP="00585DB6" w:rsidRDefault="00FF2ECF" w14:paraId="3966998C" w14:textId="52F5DDA2">
      <w:pPr>
        <w:pStyle w:val="Header"/>
        <w:tabs>
          <w:tab w:val="clear" w:pos="4320"/>
          <w:tab w:val="clear" w:pos="8640"/>
        </w:tabs>
        <w:contextualSpacing/>
      </w:pPr>
    </w:p>
    <w:p w:rsidR="00A3060A" w:rsidP="00A3060A" w:rsidRDefault="00A3060A" w14:paraId="4286DCA0" w14:textId="55B18883">
      <w:pPr>
        <w:rPr>
          <w:b/>
          <w:bCs/>
        </w:rPr>
      </w:pPr>
      <w:r w:rsidRPr="00B514A6">
        <w:rPr>
          <w:b/>
          <w:bCs/>
        </w:rPr>
        <w:t>This ICR seeks</w:t>
      </w:r>
      <w:r>
        <w:rPr>
          <w:b/>
          <w:bCs/>
        </w:rPr>
        <w:t xml:space="preserve"> for an </w:t>
      </w:r>
      <w:r w:rsidRPr="00B514A6">
        <w:rPr>
          <w:b/>
          <w:bCs/>
        </w:rPr>
        <w:t xml:space="preserve">approval of a new collection of information under OMB </w:t>
      </w:r>
      <w:r>
        <w:rPr>
          <w:b/>
          <w:bCs/>
        </w:rPr>
        <w:t>Control Number 1210–016</w:t>
      </w:r>
      <w:r>
        <w:rPr>
          <w:b/>
          <w:bCs/>
        </w:rPr>
        <w:t>3</w:t>
      </w:r>
      <w:bookmarkStart w:name="_GoBack" w:id="0"/>
      <w:bookmarkEnd w:id="0"/>
      <w:r w:rsidRPr="00B514A6">
        <w:rPr>
          <w:b/>
          <w:bCs/>
        </w:rPr>
        <w:t>.</w:t>
      </w:r>
    </w:p>
    <w:p w:rsidRPr="008823D6" w:rsidR="00AB50EA" w:rsidP="00585DB6" w:rsidRDefault="00AB50EA" w14:paraId="79AACD6F" w14:textId="77777777">
      <w:pPr>
        <w:contextualSpacing/>
      </w:pPr>
    </w:p>
    <w:p w:rsidRPr="008823D6" w:rsidR="00AB50EA" w:rsidP="00585DB6" w:rsidRDefault="00AB50EA" w14:paraId="28980799" w14:textId="77777777">
      <w:pPr>
        <w:pStyle w:val="Heading1"/>
        <w:contextualSpacing/>
      </w:pPr>
      <w:r w:rsidRPr="008823D6">
        <w:t>A.</w:t>
      </w:r>
      <w:r w:rsidRPr="008823D6">
        <w:tab/>
        <w:t>Justification</w:t>
      </w:r>
    </w:p>
    <w:p w:rsidRPr="008823D6" w:rsidR="00AB50EA" w:rsidP="00585DB6" w:rsidRDefault="00AB50EA" w14:paraId="6B683E30" w14:textId="77777777">
      <w:pPr>
        <w:contextualSpacing/>
      </w:pPr>
    </w:p>
    <w:p w:rsidRPr="002D303D" w:rsidR="00AB50EA" w:rsidP="00585DB6" w:rsidRDefault="00AB50EA" w14:paraId="1926ADD4" w14:textId="111BBD8D">
      <w:pPr>
        <w:numPr>
          <w:ilvl w:val="0"/>
          <w:numId w:val="1"/>
        </w:numPr>
        <w:tabs>
          <w:tab w:val="clear" w:pos="1080"/>
        </w:tabs>
        <w:ind w:left="720"/>
        <w:contextualSpacing/>
        <w:rPr>
          <w:b/>
          <w:i/>
          <w:iCs/>
        </w:rPr>
      </w:pPr>
      <w:r w:rsidRPr="002D303D">
        <w:rPr>
          <w:b/>
          <w:i/>
          <w:iCs/>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r w:rsidR="00916D38">
        <w:rPr>
          <w:b/>
          <w:i/>
          <w:iCs/>
        </w:rPr>
        <w:t xml:space="preserve"> </w:t>
      </w:r>
    </w:p>
    <w:p w:rsidRPr="008823D6" w:rsidR="00AB50EA" w:rsidP="00585DB6" w:rsidRDefault="00AB50EA" w14:paraId="7BE75130" w14:textId="77777777">
      <w:pPr>
        <w:ind w:left="360"/>
        <w:contextualSpacing/>
        <w:rPr>
          <w:i/>
          <w:iCs/>
        </w:rPr>
      </w:pPr>
    </w:p>
    <w:p w:rsidR="00683AF7" w:rsidP="00585DB6" w:rsidRDefault="00683AF7" w14:paraId="461226CC" w14:textId="4103213A">
      <w:pPr>
        <w:ind w:left="720"/>
        <w:contextualSpacing/>
        <w:rPr>
          <w:rFonts w:eastAsiaTheme="majorEastAsia"/>
        </w:rPr>
      </w:pPr>
      <w:r w:rsidRPr="00683AF7">
        <w:rPr>
          <w:rFonts w:eastAsiaTheme="majorEastAsia"/>
        </w:rPr>
        <w:t xml:space="preserve">The Secretary of Labor may grant and amend administrative exemptions from the prohibited transaction provisions of </w:t>
      </w:r>
      <w:r w:rsidR="006B4A2D">
        <w:rPr>
          <w:rFonts w:eastAsiaTheme="majorEastAsia"/>
        </w:rPr>
        <w:t xml:space="preserve">the </w:t>
      </w:r>
      <w:r w:rsidRPr="00683AF7">
        <w:rPr>
          <w:rFonts w:eastAsiaTheme="majorEastAsia"/>
        </w:rPr>
        <w:t>E</w:t>
      </w:r>
      <w:r w:rsidR="006B4A2D">
        <w:rPr>
          <w:rFonts w:eastAsiaTheme="majorEastAsia"/>
        </w:rPr>
        <w:t xml:space="preserve">mployee </w:t>
      </w:r>
      <w:r w:rsidRPr="00683AF7">
        <w:rPr>
          <w:rFonts w:eastAsiaTheme="majorEastAsia"/>
        </w:rPr>
        <w:t>R</w:t>
      </w:r>
      <w:r w:rsidR="006B4A2D">
        <w:rPr>
          <w:rFonts w:eastAsiaTheme="majorEastAsia"/>
        </w:rPr>
        <w:t xml:space="preserve">etirement </w:t>
      </w:r>
      <w:r w:rsidRPr="00683AF7">
        <w:rPr>
          <w:rFonts w:eastAsiaTheme="majorEastAsia"/>
        </w:rPr>
        <w:t>I</w:t>
      </w:r>
      <w:r w:rsidR="006B4A2D">
        <w:rPr>
          <w:rFonts w:eastAsiaTheme="majorEastAsia"/>
        </w:rPr>
        <w:t xml:space="preserve">ncome </w:t>
      </w:r>
      <w:r w:rsidRPr="00683AF7">
        <w:rPr>
          <w:rFonts w:eastAsiaTheme="majorEastAsia"/>
        </w:rPr>
        <w:t>S</w:t>
      </w:r>
      <w:r w:rsidR="00B649D8">
        <w:rPr>
          <w:rFonts w:eastAsiaTheme="majorEastAsia"/>
        </w:rPr>
        <w:t xml:space="preserve">ecurity </w:t>
      </w:r>
      <w:r w:rsidRPr="00683AF7">
        <w:rPr>
          <w:rFonts w:eastAsiaTheme="majorEastAsia"/>
        </w:rPr>
        <w:t>A</w:t>
      </w:r>
      <w:r w:rsidR="00B649D8">
        <w:rPr>
          <w:rFonts w:eastAsiaTheme="majorEastAsia"/>
        </w:rPr>
        <w:t>ct of 1974, as amended (ERISA)</w:t>
      </w:r>
      <w:r w:rsidRPr="00683AF7">
        <w:rPr>
          <w:rFonts w:eastAsiaTheme="majorEastAsia"/>
        </w:rPr>
        <w:t xml:space="preserve"> and the </w:t>
      </w:r>
      <w:r w:rsidR="00BD0FD2">
        <w:rPr>
          <w:rFonts w:eastAsiaTheme="majorEastAsia"/>
        </w:rPr>
        <w:t xml:space="preserve">Internal Revenue </w:t>
      </w:r>
      <w:r w:rsidRPr="00683AF7">
        <w:rPr>
          <w:rFonts w:eastAsiaTheme="majorEastAsia"/>
        </w:rPr>
        <w:t>Code</w:t>
      </w:r>
      <w:r w:rsidR="00BD0FD2">
        <w:rPr>
          <w:rFonts w:eastAsiaTheme="majorEastAsia"/>
        </w:rPr>
        <w:t xml:space="preserve"> of 1986, as amended (the Code)</w:t>
      </w:r>
      <w:r w:rsidRPr="00683AF7">
        <w:rPr>
          <w:rFonts w:eastAsiaTheme="majorEastAsia"/>
        </w:rPr>
        <w:t>.</w:t>
      </w:r>
      <w:r w:rsidRPr="00683AF7">
        <w:rPr>
          <w:rFonts w:eastAsiaTheme="majorEastAsia"/>
          <w:vertAlign w:val="superscript"/>
        </w:rPr>
        <w:footnoteReference w:id="2"/>
      </w:r>
      <w:r w:rsidRPr="00683AF7">
        <w:rPr>
          <w:rFonts w:eastAsiaTheme="majorEastAsia"/>
        </w:rPr>
        <w:t xml:space="preserve">  Before granting an exemption, the Department must find that the exemption is administratively feasible, in the interests of plans, their participants and beneficiaries and IRA owners, and protective of the rights of participants and beneficiaries of such plans and IRA owners.</w:t>
      </w:r>
    </w:p>
    <w:p w:rsidRPr="00683AF7" w:rsidR="00887486" w:rsidP="00585DB6" w:rsidRDefault="00887486" w14:paraId="301E8F07" w14:textId="77777777">
      <w:pPr>
        <w:ind w:left="720"/>
        <w:contextualSpacing/>
        <w:rPr>
          <w:rFonts w:eastAsiaTheme="majorEastAsia"/>
        </w:rPr>
      </w:pPr>
    </w:p>
    <w:p w:rsidR="006701CE" w:rsidP="00585DB6" w:rsidRDefault="00FD234C" w14:paraId="7422A0F6" w14:textId="63C1DFC7">
      <w:pPr>
        <w:ind w:left="720"/>
        <w:contextualSpacing/>
        <w:rPr>
          <w:rFonts w:eastAsiaTheme="majorEastAsia"/>
        </w:rPr>
      </w:pPr>
      <w:r>
        <w:rPr>
          <w:rFonts w:eastAsiaTheme="majorEastAsia"/>
        </w:rPr>
        <w:t xml:space="preserve">This </w:t>
      </w:r>
      <w:r w:rsidRPr="00156D69">
        <w:rPr>
          <w:rFonts w:eastAsiaTheme="majorEastAsia"/>
        </w:rPr>
        <w:t xml:space="preserve">class exemption </w:t>
      </w:r>
      <w:r w:rsidR="00F958B6">
        <w:rPr>
          <w:rFonts w:eastAsiaTheme="majorEastAsia"/>
        </w:rPr>
        <w:t xml:space="preserve">would </w:t>
      </w:r>
      <w:r>
        <w:rPr>
          <w:rFonts w:eastAsiaTheme="majorEastAsia"/>
        </w:rPr>
        <w:t xml:space="preserve">exempt </w:t>
      </w:r>
      <w:r w:rsidRPr="00156D69">
        <w:rPr>
          <w:rFonts w:eastAsiaTheme="majorEastAsia"/>
        </w:rPr>
        <w:t>certain transaction</w:t>
      </w:r>
      <w:r w:rsidR="00E573D5">
        <w:rPr>
          <w:rFonts w:eastAsiaTheme="majorEastAsia"/>
        </w:rPr>
        <w:t>s</w:t>
      </w:r>
      <w:r w:rsidR="006E137E">
        <w:rPr>
          <w:rFonts w:eastAsiaTheme="majorEastAsia"/>
        </w:rPr>
        <w:t xml:space="preserve"> from</w:t>
      </w:r>
      <w:r w:rsidRPr="00156D69">
        <w:rPr>
          <w:rFonts w:eastAsiaTheme="majorEastAsia"/>
        </w:rPr>
        <w:t xml:space="preserve"> restrictions of ERISA and the Code. </w:t>
      </w:r>
      <w:r>
        <w:rPr>
          <w:rFonts w:eastAsiaTheme="majorEastAsia"/>
        </w:rPr>
        <w:t xml:space="preserve"> </w:t>
      </w:r>
      <w:r w:rsidRPr="00156D69">
        <w:rPr>
          <w:rFonts w:eastAsiaTheme="majorEastAsia"/>
        </w:rPr>
        <w:t xml:space="preserve">The prohibited transaction provisions of ERISA and the Code generally prohibit fiduciaries with respect to employee benefit plans </w:t>
      </w:r>
      <w:r>
        <w:rPr>
          <w:rFonts w:eastAsiaTheme="majorEastAsia"/>
        </w:rPr>
        <w:t xml:space="preserve">(Plans) </w:t>
      </w:r>
      <w:r w:rsidRPr="00156D69">
        <w:rPr>
          <w:rFonts w:eastAsiaTheme="majorEastAsia"/>
        </w:rPr>
        <w:t xml:space="preserve">and individual retirement accounts and annuities (IRAs) from engaging in self-dealing and receiving compensation from third parties in connection with transactions involving </w:t>
      </w:r>
      <w:r>
        <w:rPr>
          <w:rFonts w:eastAsiaTheme="majorEastAsia"/>
        </w:rPr>
        <w:t>the P</w:t>
      </w:r>
      <w:r w:rsidRPr="00156D69">
        <w:rPr>
          <w:rFonts w:eastAsiaTheme="majorEastAsia"/>
        </w:rPr>
        <w:t xml:space="preserve">lans and IRAs, and from </w:t>
      </w:r>
      <w:r w:rsidRPr="00156D69">
        <w:t xml:space="preserve">purchasing and selling investments with the </w:t>
      </w:r>
      <w:r>
        <w:t>P</w:t>
      </w:r>
      <w:r w:rsidRPr="00156D69">
        <w:t>lans and IRAs when the fiduciaries are acting on behalf of their own accounts (principal transactions)</w:t>
      </w:r>
      <w:r w:rsidRPr="00156D69">
        <w:rPr>
          <w:rFonts w:eastAsiaTheme="majorEastAsia"/>
        </w:rPr>
        <w:t xml:space="preserve">. </w:t>
      </w:r>
      <w:r>
        <w:rPr>
          <w:rFonts w:eastAsiaTheme="majorEastAsia"/>
        </w:rPr>
        <w:t xml:space="preserve"> </w:t>
      </w:r>
      <w:r w:rsidRPr="00156D69">
        <w:rPr>
          <w:rFonts w:eastAsiaTheme="majorEastAsia"/>
        </w:rPr>
        <w:t>The exemption</w:t>
      </w:r>
      <w:r>
        <w:rPr>
          <w:rFonts w:eastAsiaTheme="majorEastAsia"/>
        </w:rPr>
        <w:t xml:space="preserve"> </w:t>
      </w:r>
      <w:r w:rsidRPr="00156D69">
        <w:rPr>
          <w:rFonts w:eastAsiaTheme="majorEastAsia"/>
        </w:rPr>
        <w:t>allow</w:t>
      </w:r>
      <w:r w:rsidR="00EA4A3A">
        <w:rPr>
          <w:rFonts w:eastAsiaTheme="majorEastAsia"/>
        </w:rPr>
        <w:t>s</w:t>
      </w:r>
      <w:r w:rsidRPr="00156D69">
        <w:rPr>
          <w:rFonts w:eastAsiaTheme="majorEastAsia"/>
        </w:rPr>
        <w:t xml:space="preserve"> investment advice fiduciaries to receive compensation and engage in principal transactions</w:t>
      </w:r>
      <w:r w:rsidR="00F46C02">
        <w:rPr>
          <w:rFonts w:eastAsiaTheme="majorEastAsia"/>
        </w:rPr>
        <w:t xml:space="preserve"> t</w:t>
      </w:r>
      <w:r w:rsidRPr="00156D69">
        <w:rPr>
          <w:rFonts w:eastAsiaTheme="majorEastAsia"/>
        </w:rPr>
        <w:t>hat would otherwise violate the prohibited transaction provisions</w:t>
      </w:r>
      <w:r>
        <w:rPr>
          <w:rFonts w:eastAsiaTheme="majorEastAsia"/>
        </w:rPr>
        <w:t xml:space="preserve"> of </w:t>
      </w:r>
      <w:r w:rsidRPr="00156D69">
        <w:rPr>
          <w:rFonts w:eastAsiaTheme="majorEastAsia"/>
        </w:rPr>
        <w:t xml:space="preserve">ERISA and </w:t>
      </w:r>
      <w:r>
        <w:rPr>
          <w:rFonts w:eastAsiaTheme="majorEastAsia"/>
        </w:rPr>
        <w:t xml:space="preserve">the </w:t>
      </w:r>
      <w:r w:rsidRPr="00156D69">
        <w:rPr>
          <w:rFonts w:eastAsiaTheme="majorEastAsia"/>
        </w:rPr>
        <w:t xml:space="preserve">Code. </w:t>
      </w:r>
      <w:r>
        <w:rPr>
          <w:rFonts w:eastAsiaTheme="majorEastAsia"/>
        </w:rPr>
        <w:t xml:space="preserve"> </w:t>
      </w:r>
      <w:r w:rsidR="00422DE3">
        <w:rPr>
          <w:rFonts w:eastAsiaTheme="majorEastAsia"/>
        </w:rPr>
        <w:t>This include</w:t>
      </w:r>
      <w:r w:rsidR="00EA4A3A">
        <w:rPr>
          <w:rFonts w:eastAsiaTheme="majorEastAsia"/>
        </w:rPr>
        <w:t>s</w:t>
      </w:r>
      <w:r w:rsidR="00422DE3">
        <w:rPr>
          <w:rFonts w:eastAsiaTheme="majorEastAsia"/>
        </w:rPr>
        <w:t xml:space="preserve"> compensation</w:t>
      </w:r>
      <w:r w:rsidRPr="00422DE3" w:rsidR="00422DE3">
        <w:rPr>
          <w:rFonts w:eastAsiaTheme="majorEastAsia"/>
        </w:rPr>
        <w:t xml:space="preserve"> </w:t>
      </w:r>
      <w:r w:rsidR="00422DE3">
        <w:rPr>
          <w:rFonts w:eastAsiaTheme="majorEastAsia"/>
        </w:rPr>
        <w:t xml:space="preserve">resulting from advice to roll over assets from a Plan to an IRA. </w:t>
      </w:r>
      <w:r w:rsidRPr="00156D69" w:rsidR="00422DE3">
        <w:rPr>
          <w:rFonts w:eastAsiaTheme="majorEastAsia"/>
        </w:rPr>
        <w:t xml:space="preserve"> </w:t>
      </w:r>
      <w:r w:rsidRPr="00156D69">
        <w:rPr>
          <w:rFonts w:eastAsiaTheme="majorEastAsia"/>
        </w:rPr>
        <w:t>The exemption appl</w:t>
      </w:r>
      <w:r w:rsidR="00EA4A3A">
        <w:rPr>
          <w:rFonts w:eastAsiaTheme="majorEastAsia"/>
        </w:rPr>
        <w:t>ies</w:t>
      </w:r>
      <w:r w:rsidRPr="00156D69">
        <w:rPr>
          <w:rFonts w:eastAsiaTheme="majorEastAsia"/>
        </w:rPr>
        <w:t xml:space="preserve"> to registered investment advisers</w:t>
      </w:r>
      <w:r w:rsidR="00C2627B">
        <w:rPr>
          <w:rFonts w:eastAsiaTheme="majorEastAsia"/>
        </w:rPr>
        <w:t xml:space="preserve"> (IAs)</w:t>
      </w:r>
      <w:r w:rsidRPr="00156D69">
        <w:rPr>
          <w:rFonts w:eastAsiaTheme="majorEastAsia"/>
        </w:rPr>
        <w:t>, broker</w:t>
      </w:r>
      <w:r w:rsidR="00C2627B">
        <w:rPr>
          <w:rFonts w:eastAsiaTheme="majorEastAsia"/>
        </w:rPr>
        <w:t xml:space="preserve"> </w:t>
      </w:r>
      <w:r w:rsidRPr="00156D69">
        <w:rPr>
          <w:rFonts w:eastAsiaTheme="majorEastAsia"/>
        </w:rPr>
        <w:t>dealers</w:t>
      </w:r>
      <w:r w:rsidR="00C2627B">
        <w:rPr>
          <w:rFonts w:eastAsiaTheme="majorEastAsia"/>
        </w:rPr>
        <w:t xml:space="preserve"> (BDs)</w:t>
      </w:r>
      <w:r w:rsidRPr="00156D69">
        <w:rPr>
          <w:rFonts w:eastAsiaTheme="majorEastAsia"/>
        </w:rPr>
        <w:t xml:space="preserve">, banks, insurance companies, and their </w:t>
      </w:r>
      <w:r>
        <w:rPr>
          <w:rFonts w:eastAsiaTheme="majorEastAsia"/>
        </w:rPr>
        <w:t xml:space="preserve">employees, </w:t>
      </w:r>
      <w:r w:rsidRPr="00156D69">
        <w:rPr>
          <w:rFonts w:eastAsiaTheme="majorEastAsia"/>
        </w:rPr>
        <w:t>agents</w:t>
      </w:r>
      <w:r>
        <w:rPr>
          <w:rFonts w:eastAsiaTheme="majorEastAsia"/>
        </w:rPr>
        <w:t>,</w:t>
      </w:r>
      <w:r w:rsidRPr="00156D69">
        <w:rPr>
          <w:rFonts w:eastAsiaTheme="majorEastAsia"/>
        </w:rPr>
        <w:t xml:space="preserve"> and representatives</w:t>
      </w:r>
      <w:r>
        <w:rPr>
          <w:rFonts w:eastAsiaTheme="majorEastAsia"/>
        </w:rPr>
        <w:t xml:space="preserve"> that are investment advice fiduciaries</w:t>
      </w:r>
      <w:r w:rsidRPr="00156D69">
        <w:rPr>
          <w:rFonts w:eastAsiaTheme="majorEastAsia"/>
        </w:rPr>
        <w:t xml:space="preserve">. </w:t>
      </w:r>
      <w:r>
        <w:rPr>
          <w:rFonts w:eastAsiaTheme="majorEastAsia"/>
        </w:rPr>
        <w:t xml:space="preserve"> </w:t>
      </w:r>
      <w:r w:rsidRPr="00156D69">
        <w:rPr>
          <w:rFonts w:eastAsiaTheme="majorEastAsia"/>
        </w:rPr>
        <w:t>The exemption include</w:t>
      </w:r>
      <w:r w:rsidR="00EA4A3A">
        <w:rPr>
          <w:rFonts w:eastAsiaTheme="majorEastAsia"/>
        </w:rPr>
        <w:t>s</w:t>
      </w:r>
      <w:r w:rsidRPr="00156D69">
        <w:rPr>
          <w:rFonts w:eastAsiaTheme="majorEastAsia"/>
        </w:rPr>
        <w:t xml:space="preserve"> protective conditions</w:t>
      </w:r>
      <w:r>
        <w:rPr>
          <w:rFonts w:eastAsiaTheme="majorEastAsia"/>
        </w:rPr>
        <w:t xml:space="preserve"> designed</w:t>
      </w:r>
      <w:r w:rsidRPr="00156D69">
        <w:rPr>
          <w:rFonts w:eastAsiaTheme="majorEastAsia"/>
        </w:rPr>
        <w:t xml:space="preserve"> to safeguard the interests of </w:t>
      </w:r>
      <w:r>
        <w:rPr>
          <w:rFonts w:eastAsiaTheme="majorEastAsia"/>
        </w:rPr>
        <w:t>P</w:t>
      </w:r>
      <w:r w:rsidRPr="00156D69">
        <w:rPr>
          <w:rFonts w:eastAsiaTheme="majorEastAsia"/>
        </w:rPr>
        <w:t>lans, participants and beneficiaries</w:t>
      </w:r>
      <w:r>
        <w:rPr>
          <w:rFonts w:eastAsiaTheme="majorEastAsia"/>
        </w:rPr>
        <w:t>,</w:t>
      </w:r>
      <w:r w:rsidRPr="00156D69">
        <w:rPr>
          <w:rFonts w:eastAsiaTheme="majorEastAsia"/>
        </w:rPr>
        <w:t xml:space="preserve"> and IRA owners. </w:t>
      </w:r>
      <w:r>
        <w:rPr>
          <w:rFonts w:eastAsiaTheme="majorEastAsia"/>
        </w:rPr>
        <w:t xml:space="preserve"> </w:t>
      </w:r>
      <w:r w:rsidRPr="00156D69">
        <w:rPr>
          <w:rFonts w:eastAsiaTheme="majorEastAsia"/>
        </w:rPr>
        <w:t xml:space="preserve">The </w:t>
      </w:r>
      <w:r>
        <w:rPr>
          <w:rFonts w:eastAsiaTheme="majorEastAsia"/>
        </w:rPr>
        <w:t>new class</w:t>
      </w:r>
      <w:r w:rsidRPr="00156D69">
        <w:rPr>
          <w:rFonts w:eastAsiaTheme="majorEastAsia"/>
        </w:rPr>
        <w:t xml:space="preserve"> exemption affect</w:t>
      </w:r>
      <w:r w:rsidR="00D97178">
        <w:rPr>
          <w:rFonts w:eastAsiaTheme="majorEastAsia"/>
        </w:rPr>
        <w:t>s</w:t>
      </w:r>
      <w:r w:rsidRPr="00156D69">
        <w:rPr>
          <w:rFonts w:eastAsiaTheme="majorEastAsia"/>
        </w:rPr>
        <w:t xml:space="preserve"> participants and beneficiaries of </w:t>
      </w:r>
      <w:r>
        <w:rPr>
          <w:rFonts w:eastAsiaTheme="majorEastAsia"/>
        </w:rPr>
        <w:t>P</w:t>
      </w:r>
      <w:r w:rsidRPr="00156D69">
        <w:rPr>
          <w:rFonts w:eastAsiaTheme="majorEastAsia"/>
        </w:rPr>
        <w:t xml:space="preserve">lans, IRA owners and fiduciaries with respect to such </w:t>
      </w:r>
      <w:r>
        <w:rPr>
          <w:rFonts w:eastAsiaTheme="majorEastAsia"/>
        </w:rPr>
        <w:t>P</w:t>
      </w:r>
      <w:r w:rsidRPr="00156D69">
        <w:rPr>
          <w:rFonts w:eastAsiaTheme="majorEastAsia"/>
        </w:rPr>
        <w:t>lans and IRAs.</w:t>
      </w:r>
    </w:p>
    <w:p w:rsidR="00887486" w:rsidP="00585DB6" w:rsidRDefault="00887486" w14:paraId="21FBECC0" w14:textId="77777777">
      <w:pPr>
        <w:ind w:left="720"/>
        <w:contextualSpacing/>
        <w:rPr>
          <w:rFonts w:eastAsiaTheme="minorHAnsi"/>
        </w:rPr>
      </w:pPr>
    </w:p>
    <w:p w:rsidR="00265255" w:rsidP="00585DB6" w:rsidRDefault="00265255" w14:paraId="59A6C3D3" w14:textId="4ADB9F2D">
      <w:pPr>
        <w:ind w:left="720"/>
        <w:contextualSpacing/>
        <w:rPr>
          <w:rFonts w:eastAsiaTheme="minorHAnsi"/>
        </w:rPr>
      </w:pPr>
      <w:r w:rsidRPr="00265255">
        <w:rPr>
          <w:rFonts w:eastAsiaTheme="minorHAnsi"/>
        </w:rPr>
        <w:lastRenderedPageBreak/>
        <w:t>Investment professionals typically receive compensation for services to retirement investors in the retail market through a variety of arrangements, which would typically violate the prohibited transaction rules applicable to plan fiduciaries.  These include commissions paid by the plan, participant or beneficiary, or IRA, or commissions, sales loads, 12b-1 fees, revenue sharing and other payments from third parties that provide investment products.  A fiduciary’s receipt of such payments generally violate</w:t>
      </w:r>
      <w:r w:rsidR="00D97178">
        <w:rPr>
          <w:rFonts w:eastAsiaTheme="minorHAnsi"/>
        </w:rPr>
        <w:t>s</w:t>
      </w:r>
      <w:r w:rsidRPr="00265255">
        <w:rPr>
          <w:rFonts w:eastAsiaTheme="minorHAnsi"/>
        </w:rPr>
        <w:t xml:space="preserve"> the prohibited transaction provisions of ERISA section </w:t>
      </w:r>
      <w:r w:rsidRPr="00156D69" w:rsidR="003E2F55">
        <w:t>406(a)(1)(A), (D</w:t>
      </w:r>
      <w:r w:rsidR="003E2F55">
        <w:t xml:space="preserve">), </w:t>
      </w:r>
      <w:r w:rsidRPr="00265255">
        <w:rPr>
          <w:rFonts w:eastAsiaTheme="minorHAnsi"/>
        </w:rPr>
        <w:t>406(b) and Code section 4975(c)(1)</w:t>
      </w:r>
      <w:r w:rsidR="003E2F55">
        <w:rPr>
          <w:rFonts w:eastAsiaTheme="minorHAnsi"/>
        </w:rPr>
        <w:t xml:space="preserve">(A), and (D), </w:t>
      </w:r>
      <w:r w:rsidRPr="00265255">
        <w:rPr>
          <w:rFonts w:eastAsiaTheme="minorHAnsi"/>
        </w:rPr>
        <w:t>(E) and (F) because the amount of the fiduciary’s compensation is affected by the use of its authority in providing investment advice, unless such payments meet the requirements of an exemption.</w:t>
      </w:r>
    </w:p>
    <w:p w:rsidR="00887486" w:rsidP="00585DB6" w:rsidRDefault="00887486" w14:paraId="6832135A" w14:textId="77777777">
      <w:pPr>
        <w:ind w:left="720"/>
        <w:contextualSpacing/>
      </w:pPr>
    </w:p>
    <w:p w:rsidR="00223BB8" w:rsidP="00585DB6" w:rsidRDefault="00C940A8" w14:paraId="4559CFC3" w14:textId="5348B487">
      <w:pPr>
        <w:ind w:left="720"/>
        <w:contextualSpacing/>
      </w:pPr>
      <w:r>
        <w:t xml:space="preserve">The information collection in </w:t>
      </w:r>
      <w:r w:rsidR="007635CD">
        <w:t xml:space="preserve">Section II(b) of the exemption </w:t>
      </w:r>
      <w:r w:rsidRPr="00104D1F" w:rsidR="007635CD">
        <w:t>require</w:t>
      </w:r>
      <w:r w:rsidR="00D97178">
        <w:t>s</w:t>
      </w:r>
      <w:r w:rsidRPr="00104D1F" w:rsidR="007635CD">
        <w:t xml:space="preserve"> </w:t>
      </w:r>
      <w:r w:rsidR="007635CD">
        <w:t>financial institution</w:t>
      </w:r>
      <w:r w:rsidRPr="00104D1F" w:rsidR="007635CD">
        <w:t xml:space="preserve">s to </w:t>
      </w:r>
      <w:r w:rsidRPr="00F36941" w:rsidR="007635CD">
        <w:t>acknowledg</w:t>
      </w:r>
      <w:r w:rsidR="007635CD">
        <w:t>e, in writing, their status as</w:t>
      </w:r>
      <w:r w:rsidRPr="00F36941" w:rsidR="007635CD">
        <w:t xml:space="preserve"> fiduciaries under </w:t>
      </w:r>
      <w:r w:rsidR="0045404C">
        <w:t xml:space="preserve">the </w:t>
      </w:r>
      <w:r w:rsidRPr="00F36941" w:rsidR="007635CD">
        <w:t>ERISA</w:t>
      </w:r>
      <w:r w:rsidR="0045404C">
        <w:t xml:space="preserve"> </w:t>
      </w:r>
      <w:r w:rsidRPr="00F36941" w:rsidR="007635CD">
        <w:t>and the</w:t>
      </w:r>
      <w:r w:rsidR="0045404C">
        <w:t xml:space="preserve"> Code</w:t>
      </w:r>
      <w:r w:rsidRPr="00F36941" w:rsidR="007635CD">
        <w:t>.</w:t>
      </w:r>
      <w:r w:rsidR="007635CD">
        <w:t xml:space="preserve">  In addition, t</w:t>
      </w:r>
      <w:r w:rsidRPr="0077758D" w:rsidR="007635CD">
        <w:t>he</w:t>
      </w:r>
      <w:r w:rsidR="007635CD">
        <w:t xml:space="preserve"> institutions </w:t>
      </w:r>
      <w:r w:rsidR="00D97178">
        <w:t>are</w:t>
      </w:r>
      <w:r w:rsidR="00F958B6">
        <w:t xml:space="preserve"> required to </w:t>
      </w:r>
      <w:r w:rsidR="007635CD">
        <w:t>furnish</w:t>
      </w:r>
      <w:r w:rsidRPr="0077758D" w:rsidR="007635CD">
        <w:t xml:space="preserve"> a written description of the services</w:t>
      </w:r>
      <w:r w:rsidR="00533EB1">
        <w:t xml:space="preserve"> to be provided and the financial institution’s and investment professional’s </w:t>
      </w:r>
      <w:r w:rsidRPr="0077758D" w:rsidR="007635CD">
        <w:t xml:space="preserve">material </w:t>
      </w:r>
      <w:r w:rsidR="007635CD">
        <w:t>c</w:t>
      </w:r>
      <w:r w:rsidRPr="0077758D" w:rsidR="007635CD">
        <w:t xml:space="preserve">onflicts of </w:t>
      </w:r>
      <w:r w:rsidR="007635CD">
        <w:t>i</w:t>
      </w:r>
      <w:r w:rsidRPr="0077758D" w:rsidR="007635CD">
        <w:t>nterest</w:t>
      </w:r>
      <w:r w:rsidR="00F958B6">
        <w:t xml:space="preserve"> that </w:t>
      </w:r>
      <w:r w:rsidR="00533EB1">
        <w:t>is</w:t>
      </w:r>
      <w:r w:rsidRPr="00C07380" w:rsidR="00533EB1">
        <w:t xml:space="preserve"> </w:t>
      </w:r>
      <w:r w:rsidRPr="00C07380" w:rsidR="00C07380">
        <w:t xml:space="preserve">accurate in all material respects.  Financial institutions </w:t>
      </w:r>
      <w:r w:rsidR="00D97178">
        <w:t>are</w:t>
      </w:r>
      <w:r w:rsidRPr="00C07380" w:rsidR="00F958B6">
        <w:t xml:space="preserve"> </w:t>
      </w:r>
      <w:r w:rsidRPr="00C07380" w:rsidR="00C07380">
        <w:t>generally required to provide the disclosure to each retirement investor once, but financial institutions may need to provide updated disclosures to ensure a</w:t>
      </w:r>
      <w:r w:rsidR="00C07380">
        <w:t xml:space="preserve">ccuracy.  </w:t>
      </w:r>
      <w:r w:rsidR="00AE18BD">
        <w:t>Most</w:t>
      </w:r>
      <w:r w:rsidR="00C2627B">
        <w:t xml:space="preserve"> IAs</w:t>
      </w:r>
      <w:r w:rsidRPr="00104D1F" w:rsidR="007635CD">
        <w:t xml:space="preserve"> already </w:t>
      </w:r>
      <w:r w:rsidR="007635CD">
        <w:t xml:space="preserve">disclose their status as a fiduciary and describe the types of services they offer in Form ADV.  </w:t>
      </w:r>
      <w:r w:rsidR="007516A1">
        <w:t xml:space="preserve">However, not all entities </w:t>
      </w:r>
      <w:r w:rsidR="00F958B6">
        <w:t>w</w:t>
      </w:r>
      <w:r w:rsidR="00D97178">
        <w:t>ill</w:t>
      </w:r>
      <w:r w:rsidR="007516A1">
        <w:t xml:space="preserve"> decide to rely on the exemption.  Some may instead rely on other existing exemptions that better align with their business models.</w:t>
      </w:r>
    </w:p>
    <w:p w:rsidRPr="00223BB8" w:rsidR="00F958B6" w:rsidP="00585DB6" w:rsidRDefault="00F958B6" w14:paraId="0DF6685E" w14:textId="77777777">
      <w:pPr>
        <w:ind w:left="720"/>
        <w:contextualSpacing/>
      </w:pPr>
    </w:p>
    <w:p w:rsidRPr="00F83337" w:rsidR="00F83337" w:rsidP="00585DB6" w:rsidRDefault="00F83337" w14:paraId="61CAD012" w14:textId="3DED5336">
      <w:pPr>
        <w:ind w:left="720"/>
        <w:contextualSpacing/>
        <w:rPr>
          <w:rFonts w:eastAsiaTheme="minorHAnsi"/>
        </w:rPr>
      </w:pPr>
      <w:r w:rsidRPr="00F83337">
        <w:rPr>
          <w:rFonts w:eastAsiaTheme="minorHAnsi"/>
        </w:rPr>
        <w:t>Section II(c)(1) of the PTE require</w:t>
      </w:r>
      <w:r w:rsidR="00D97178">
        <w:rPr>
          <w:rFonts w:eastAsiaTheme="minorHAnsi"/>
        </w:rPr>
        <w:t>s</w:t>
      </w:r>
      <w:r w:rsidRPr="00F83337">
        <w:rPr>
          <w:rFonts w:eastAsiaTheme="minorHAnsi"/>
        </w:rPr>
        <w:t xml:space="preserve"> financial institutions to establish, maintain, and enforce written policies and procedures designed to ensure that they and their investment professionals comply with the Impartial Conduct Standards.  Section II(c)(2) further require</w:t>
      </w:r>
      <w:r w:rsidR="00D97178">
        <w:rPr>
          <w:rFonts w:eastAsiaTheme="minorHAnsi"/>
        </w:rPr>
        <w:t>s</w:t>
      </w:r>
      <w:r w:rsidRPr="00F83337">
        <w:rPr>
          <w:rFonts w:eastAsiaTheme="minorHAnsi"/>
        </w:rPr>
        <w:t xml:space="preserve"> institutions</w:t>
      </w:r>
      <w:r w:rsidR="001307FB">
        <w:rPr>
          <w:rFonts w:eastAsiaTheme="minorHAnsi"/>
        </w:rPr>
        <w:t xml:space="preserve"> to</w:t>
      </w:r>
      <w:r w:rsidRPr="00F83337">
        <w:rPr>
          <w:rFonts w:eastAsiaTheme="minorHAnsi"/>
        </w:rPr>
        <w:t xml:space="preserve"> design the policies and procedures to mitigate conflicts of interest</w:t>
      </w:r>
      <w:r w:rsidR="00533EB1">
        <w:rPr>
          <w:rFonts w:eastAsiaTheme="minorHAnsi"/>
        </w:rPr>
        <w:t xml:space="preserve"> </w:t>
      </w:r>
      <w:r w:rsidR="00533EB1">
        <w:t xml:space="preserve">to the extent that </w:t>
      </w:r>
      <w:r w:rsidRPr="006336CD" w:rsidR="00533EB1">
        <w:t xml:space="preserve">a reasonable person reviewing the policies and procedures and incentive practices </w:t>
      </w:r>
      <w:r w:rsidR="00533EB1">
        <w:t xml:space="preserve">as a whole </w:t>
      </w:r>
      <w:r w:rsidRPr="006336CD" w:rsidR="00533EB1">
        <w:t>would conclude that</w:t>
      </w:r>
      <w:r w:rsidR="00533EB1">
        <w:t xml:space="preserve"> </w:t>
      </w:r>
      <w:r w:rsidRPr="006336CD" w:rsidR="00533EB1">
        <w:t xml:space="preserve">they do not create an incentive for a </w:t>
      </w:r>
      <w:r w:rsidR="00533EB1">
        <w:t>f</w:t>
      </w:r>
      <w:r w:rsidRPr="006336CD" w:rsidR="00533EB1">
        <w:t xml:space="preserve">inancial </w:t>
      </w:r>
      <w:r w:rsidR="00533EB1">
        <w:t>i</w:t>
      </w:r>
      <w:r w:rsidRPr="006336CD" w:rsidR="00533EB1">
        <w:t xml:space="preserve">nstitution or </w:t>
      </w:r>
      <w:r w:rsidR="00533EB1">
        <w:t>i</w:t>
      </w:r>
      <w:r w:rsidRPr="006336CD" w:rsidR="00533EB1">
        <w:t xml:space="preserve">nvestment </w:t>
      </w:r>
      <w:r w:rsidR="00533EB1">
        <w:t>p</w:t>
      </w:r>
      <w:r w:rsidRPr="006336CD" w:rsidR="00533EB1">
        <w:t xml:space="preserve">rofessional to place their interests ahead of the interest of the </w:t>
      </w:r>
      <w:r w:rsidR="00533EB1">
        <w:t>retirement i</w:t>
      </w:r>
      <w:r w:rsidRPr="006336CD" w:rsidR="00533EB1">
        <w:t>nvestor</w:t>
      </w:r>
      <w:r w:rsidRPr="00F83337">
        <w:rPr>
          <w:rFonts w:eastAsiaTheme="minorHAnsi"/>
        </w:rPr>
        <w:t xml:space="preserve">. </w:t>
      </w:r>
    </w:p>
    <w:p w:rsidR="00887486" w:rsidP="00585DB6" w:rsidRDefault="00887486" w14:paraId="3B166CDD" w14:textId="77777777">
      <w:pPr>
        <w:ind w:left="720"/>
        <w:contextualSpacing/>
        <w:rPr>
          <w:rFonts w:eastAsiaTheme="minorHAnsi"/>
        </w:rPr>
      </w:pPr>
    </w:p>
    <w:p w:rsidRPr="00F83337" w:rsidR="00F83337" w:rsidP="00585DB6" w:rsidRDefault="00F83337" w14:paraId="3C9D34A8" w14:textId="4761B0E0">
      <w:pPr>
        <w:ind w:left="720"/>
        <w:contextualSpacing/>
        <w:rPr>
          <w:rFonts w:eastAsiaTheme="minorHAnsi"/>
        </w:rPr>
      </w:pPr>
      <w:r w:rsidRPr="00F83337">
        <w:rPr>
          <w:rFonts w:eastAsiaTheme="minorHAnsi"/>
        </w:rPr>
        <w:t>Section II(c)(3) of the PTE require</w:t>
      </w:r>
      <w:r w:rsidR="00D97178">
        <w:rPr>
          <w:rFonts w:eastAsiaTheme="minorHAnsi"/>
        </w:rPr>
        <w:t>s</w:t>
      </w:r>
      <w:r w:rsidRPr="00F83337">
        <w:rPr>
          <w:rFonts w:eastAsiaTheme="minorHAnsi"/>
        </w:rPr>
        <w:t xml:space="preserve"> financial institutions to document the specific reasons </w:t>
      </w:r>
      <w:r w:rsidR="007759D5">
        <w:rPr>
          <w:rFonts w:eastAsiaTheme="minorHAnsi"/>
        </w:rPr>
        <w:t>that</w:t>
      </w:r>
      <w:r w:rsidRPr="00F83337">
        <w:rPr>
          <w:rFonts w:eastAsiaTheme="minorHAnsi"/>
        </w:rPr>
        <w:t xml:space="preserve"> any rollover recommendation is in the best interest of the retirement investor</w:t>
      </w:r>
      <w:r w:rsidR="007759D5">
        <w:rPr>
          <w:rFonts w:eastAsiaTheme="minorHAnsi"/>
        </w:rPr>
        <w:t xml:space="preserve">, and </w:t>
      </w:r>
      <w:r w:rsidR="00491483">
        <w:rPr>
          <w:rFonts w:eastAsiaTheme="minorHAnsi"/>
        </w:rPr>
        <w:t xml:space="preserve">the disclosure must be provided to the </w:t>
      </w:r>
      <w:r w:rsidR="007759D5">
        <w:rPr>
          <w:rFonts w:eastAsiaTheme="minorHAnsi"/>
        </w:rPr>
        <w:t>retirement investor</w:t>
      </w:r>
      <w:r w:rsidRPr="00F83337">
        <w:rPr>
          <w:rFonts w:eastAsiaTheme="minorHAnsi"/>
        </w:rPr>
        <w:t>.</w:t>
      </w:r>
    </w:p>
    <w:p w:rsidR="00887486" w:rsidP="00585DB6" w:rsidRDefault="00887486" w14:paraId="34CD3B53" w14:textId="77777777">
      <w:pPr>
        <w:ind w:left="720"/>
        <w:contextualSpacing/>
        <w:rPr>
          <w:rFonts w:eastAsiaTheme="minorHAnsi"/>
        </w:rPr>
      </w:pPr>
    </w:p>
    <w:p w:rsidR="00F83337" w:rsidP="00585DB6" w:rsidRDefault="00F83337" w14:paraId="75F9DD01" w14:textId="74F47763">
      <w:pPr>
        <w:ind w:left="720"/>
        <w:contextualSpacing/>
        <w:rPr>
          <w:rFonts w:eastAsiaTheme="minorHAnsi"/>
        </w:rPr>
      </w:pPr>
      <w:r w:rsidRPr="00F83337">
        <w:rPr>
          <w:rFonts w:eastAsiaTheme="minorHAnsi"/>
        </w:rPr>
        <w:t xml:space="preserve">Under Section II(d) of the PTE, financial institutions </w:t>
      </w:r>
      <w:r w:rsidR="00D97178">
        <w:rPr>
          <w:rFonts w:eastAsiaTheme="minorHAnsi"/>
        </w:rPr>
        <w:t>are</w:t>
      </w:r>
      <w:r w:rsidRPr="00F83337">
        <w:rPr>
          <w:rFonts w:eastAsiaTheme="minorHAnsi"/>
        </w:rPr>
        <w:t xml:space="preserve"> required to conduct an annual retrospective review that is reasonably designed to prevent violations of the PTE’s Impartial Conduct Standards and the institution’s own policies and procedures.  The methodology and results of the retrospective review </w:t>
      </w:r>
      <w:r w:rsidR="00502D62">
        <w:rPr>
          <w:rFonts w:eastAsiaTheme="minorHAnsi"/>
        </w:rPr>
        <w:t>must</w:t>
      </w:r>
      <w:r w:rsidRPr="00F83337">
        <w:rPr>
          <w:rFonts w:eastAsiaTheme="minorHAnsi"/>
        </w:rPr>
        <w:t xml:space="preserve"> be reduced to a written report that is provided to</w:t>
      </w:r>
      <w:r w:rsidR="00D903ED">
        <w:rPr>
          <w:rFonts w:eastAsiaTheme="minorHAnsi"/>
        </w:rPr>
        <w:t xml:space="preserve"> </w:t>
      </w:r>
      <w:r w:rsidRPr="00D903ED" w:rsidR="00D903ED">
        <w:rPr>
          <w:rFonts w:eastAsiaTheme="minorHAnsi"/>
        </w:rPr>
        <w:t>any of the following</w:t>
      </w:r>
      <w:r w:rsidR="00D903ED">
        <w:rPr>
          <w:rFonts w:eastAsiaTheme="minorHAnsi"/>
        </w:rPr>
        <w:t xml:space="preserve"> Senior Executive Officers</w:t>
      </w:r>
      <w:r w:rsidRPr="00D903ED" w:rsidR="00D903ED">
        <w:rPr>
          <w:rFonts w:eastAsiaTheme="minorHAnsi"/>
        </w:rPr>
        <w:t xml:space="preserve">: the chief compliance officer, the chief executive officer, president, chief financial officer, or one of the three most senior officers of the </w:t>
      </w:r>
      <w:r w:rsidR="006C2A7F">
        <w:rPr>
          <w:rFonts w:eastAsiaTheme="minorHAnsi"/>
        </w:rPr>
        <w:t>f</w:t>
      </w:r>
      <w:r w:rsidRPr="00D903ED" w:rsidR="00D903ED">
        <w:rPr>
          <w:rFonts w:eastAsiaTheme="minorHAnsi"/>
        </w:rPr>
        <w:t xml:space="preserve">inancial </w:t>
      </w:r>
      <w:r w:rsidR="006C2A7F">
        <w:rPr>
          <w:rFonts w:eastAsiaTheme="minorHAnsi"/>
        </w:rPr>
        <w:t>i</w:t>
      </w:r>
      <w:r w:rsidRPr="00D903ED" w:rsidR="00D903ED">
        <w:rPr>
          <w:rFonts w:eastAsiaTheme="minorHAnsi"/>
        </w:rPr>
        <w:t>nstitution</w:t>
      </w:r>
      <w:r w:rsidRPr="00F83337">
        <w:rPr>
          <w:rFonts w:eastAsiaTheme="minorHAnsi"/>
        </w:rPr>
        <w:t xml:space="preserve">.  The </w:t>
      </w:r>
      <w:r w:rsidR="00114877">
        <w:rPr>
          <w:rFonts w:eastAsiaTheme="minorHAnsi"/>
        </w:rPr>
        <w:t>certifying officer</w:t>
      </w:r>
      <w:r w:rsidRPr="00F83337">
        <w:rPr>
          <w:rFonts w:eastAsiaTheme="minorHAnsi"/>
        </w:rPr>
        <w:t xml:space="preserve"> </w:t>
      </w:r>
      <w:r w:rsidR="00D97178">
        <w:rPr>
          <w:rFonts w:eastAsiaTheme="minorHAnsi"/>
        </w:rPr>
        <w:t>is</w:t>
      </w:r>
      <w:r w:rsidRPr="00F83337">
        <w:rPr>
          <w:rFonts w:eastAsiaTheme="minorHAnsi"/>
        </w:rPr>
        <w:t xml:space="preserve"> required to certify that (1) the officer has reviewed the report of the retrospective review, and (2) the financial institution has in place policies and procedures prudently designed to achieve compliance with the conditions of the PTE, and (3) the financial institution has a prudent </w:t>
      </w:r>
      <w:r w:rsidRPr="00F83337">
        <w:rPr>
          <w:rFonts w:eastAsiaTheme="minorHAnsi"/>
        </w:rPr>
        <w:lastRenderedPageBreak/>
        <w:t>process for modifying such policies and procedures.  The process for modifying policies and procedures need</w:t>
      </w:r>
      <w:r w:rsidR="00D97178">
        <w:rPr>
          <w:rFonts w:eastAsiaTheme="minorHAnsi"/>
        </w:rPr>
        <w:t>s</w:t>
      </w:r>
      <w:r w:rsidRPr="00F83337">
        <w:rPr>
          <w:rFonts w:eastAsiaTheme="minorHAnsi"/>
        </w:rPr>
        <w:t xml:space="preserve"> to be responsive to business, regulatory, and legislative changes and events, and the </w:t>
      </w:r>
      <w:r w:rsidR="00D903ED">
        <w:rPr>
          <w:rFonts w:eastAsiaTheme="minorHAnsi"/>
        </w:rPr>
        <w:t xml:space="preserve">Senior Executive Officer in charge </w:t>
      </w:r>
      <w:r w:rsidR="00D97178">
        <w:rPr>
          <w:rFonts w:eastAsiaTheme="minorHAnsi"/>
        </w:rPr>
        <w:t>is</w:t>
      </w:r>
      <w:r w:rsidRPr="00F83337">
        <w:rPr>
          <w:rFonts w:eastAsiaTheme="minorHAnsi"/>
        </w:rPr>
        <w:t xml:space="preserve"> required to periodically test their effectiveness.  The review, report, and certification </w:t>
      </w:r>
      <w:r w:rsidR="00502D62">
        <w:rPr>
          <w:rFonts w:eastAsiaTheme="minorHAnsi"/>
        </w:rPr>
        <w:t>must</w:t>
      </w:r>
      <w:r w:rsidRPr="00F83337">
        <w:rPr>
          <w:rFonts w:eastAsiaTheme="minorHAnsi"/>
        </w:rPr>
        <w:t xml:space="preserve"> be completed no later than </w:t>
      </w:r>
      <w:r w:rsidR="00F958B6">
        <w:rPr>
          <w:rFonts w:eastAsiaTheme="minorHAnsi"/>
        </w:rPr>
        <w:t>six</w:t>
      </w:r>
      <w:r w:rsidRPr="00F83337">
        <w:rPr>
          <w:rFonts w:eastAsiaTheme="minorHAnsi"/>
        </w:rPr>
        <w:t xml:space="preserve"> months following the end of the period covered by the review.  The financial institution </w:t>
      </w:r>
      <w:r w:rsidR="00D97178">
        <w:rPr>
          <w:rFonts w:eastAsiaTheme="minorHAnsi"/>
        </w:rPr>
        <w:t>is</w:t>
      </w:r>
      <w:r w:rsidRPr="00F83337">
        <w:rPr>
          <w:rFonts w:eastAsiaTheme="minorHAnsi"/>
        </w:rPr>
        <w:t xml:space="preserve"> required to retain the report, certification, and supporting data for </w:t>
      </w:r>
      <w:r w:rsidR="00502D62">
        <w:rPr>
          <w:rFonts w:eastAsiaTheme="minorHAnsi"/>
        </w:rPr>
        <w:t>a period of</w:t>
      </w:r>
      <w:r w:rsidRPr="00F83337">
        <w:rPr>
          <w:rFonts w:eastAsiaTheme="minorHAnsi"/>
        </w:rPr>
        <w:t xml:space="preserve"> </w:t>
      </w:r>
      <w:r w:rsidR="00F958B6">
        <w:rPr>
          <w:rFonts w:eastAsiaTheme="minorHAnsi"/>
        </w:rPr>
        <w:t>six</w:t>
      </w:r>
      <w:r w:rsidRPr="00F83337">
        <w:rPr>
          <w:rFonts w:eastAsiaTheme="minorHAnsi"/>
        </w:rPr>
        <w:t xml:space="preserve"> years, and to make these items available to the Department within 10 business days</w:t>
      </w:r>
      <w:r w:rsidR="00533EB1">
        <w:rPr>
          <w:rFonts w:eastAsiaTheme="minorHAnsi"/>
        </w:rPr>
        <w:t xml:space="preserve"> of request</w:t>
      </w:r>
      <w:r w:rsidRPr="00F83337">
        <w:rPr>
          <w:rFonts w:eastAsiaTheme="minorHAnsi"/>
        </w:rPr>
        <w:t xml:space="preserve">. </w:t>
      </w:r>
    </w:p>
    <w:p w:rsidR="00F958B6" w:rsidP="00585DB6" w:rsidRDefault="00F958B6" w14:paraId="16C79300" w14:textId="067DF009">
      <w:pPr>
        <w:ind w:left="720"/>
        <w:contextualSpacing/>
        <w:rPr>
          <w:rFonts w:eastAsiaTheme="minorHAnsi"/>
        </w:rPr>
      </w:pPr>
    </w:p>
    <w:p w:rsidR="003A7B6C" w:rsidP="00585DB6" w:rsidRDefault="003A7B6C" w14:paraId="286E4D15" w14:textId="5329ABA8">
      <w:pPr>
        <w:ind w:left="720"/>
        <w:contextualSpacing/>
        <w:rPr>
          <w:rFonts w:eastAsiaTheme="minorHAnsi"/>
        </w:rPr>
      </w:pPr>
      <w:r w:rsidRPr="003A7B6C">
        <w:rPr>
          <w:rFonts w:eastAsiaTheme="minorHAnsi"/>
        </w:rPr>
        <w:t>Section II(e)</w:t>
      </w:r>
      <w:r>
        <w:rPr>
          <w:rFonts w:eastAsiaTheme="minorHAnsi"/>
        </w:rPr>
        <w:t xml:space="preserve"> </w:t>
      </w:r>
      <w:r w:rsidR="008C229C">
        <w:rPr>
          <w:rFonts w:eastAsiaTheme="minorHAnsi"/>
        </w:rPr>
        <w:t>of the PTE allows</w:t>
      </w:r>
      <w:r>
        <w:rPr>
          <w:rFonts w:eastAsiaTheme="minorHAnsi"/>
        </w:rPr>
        <w:t xml:space="preserve"> </w:t>
      </w:r>
      <w:r w:rsidR="00521A30">
        <w:rPr>
          <w:rFonts w:eastAsiaTheme="minorHAnsi"/>
        </w:rPr>
        <w:t>f</w:t>
      </w:r>
      <w:r w:rsidRPr="003A7B6C">
        <w:rPr>
          <w:rFonts w:eastAsiaTheme="minorHAnsi"/>
        </w:rPr>
        <w:t xml:space="preserve">inancial </w:t>
      </w:r>
      <w:r w:rsidR="00521A30">
        <w:rPr>
          <w:rFonts w:eastAsiaTheme="minorHAnsi"/>
        </w:rPr>
        <w:t>i</w:t>
      </w:r>
      <w:r w:rsidRPr="003A7B6C">
        <w:rPr>
          <w:rFonts w:eastAsiaTheme="minorHAnsi"/>
        </w:rPr>
        <w:t xml:space="preserve">nstitutions to correct certain violations of the exemption.  </w:t>
      </w:r>
      <w:r>
        <w:rPr>
          <w:rFonts w:eastAsiaTheme="minorHAnsi"/>
        </w:rPr>
        <w:t xml:space="preserve">Under this section, </w:t>
      </w:r>
      <w:r w:rsidRPr="003A7B6C">
        <w:rPr>
          <w:rFonts w:eastAsiaTheme="minorHAnsi"/>
        </w:rPr>
        <w:t xml:space="preserve"> a non-exempt prohibited transaction</w:t>
      </w:r>
      <w:r w:rsidR="00533EB1">
        <w:rPr>
          <w:rFonts w:eastAsiaTheme="minorHAnsi"/>
        </w:rPr>
        <w:t xml:space="preserve"> will not occur</w:t>
      </w:r>
      <w:r w:rsidRPr="003A7B6C">
        <w:rPr>
          <w:rFonts w:eastAsiaTheme="minorHAnsi"/>
        </w:rPr>
        <w:t xml:space="preserve"> due to a violation of the exemption’s conditions, provided: </w:t>
      </w:r>
      <w:r w:rsidRPr="00230CEC" w:rsidR="00230CEC">
        <w:rPr>
          <w:rFonts w:eastAsiaTheme="minorHAnsi"/>
        </w:rPr>
        <w:t xml:space="preserve">(1) either the violation did not result in investment losses to the </w:t>
      </w:r>
      <w:r w:rsidR="00521A30">
        <w:rPr>
          <w:rFonts w:eastAsiaTheme="minorHAnsi"/>
        </w:rPr>
        <w:t>r</w:t>
      </w:r>
      <w:r w:rsidRPr="00230CEC" w:rsidR="00230CEC">
        <w:rPr>
          <w:rFonts w:eastAsiaTheme="minorHAnsi"/>
        </w:rPr>
        <w:t xml:space="preserve">etirement </w:t>
      </w:r>
      <w:r w:rsidR="00521A30">
        <w:rPr>
          <w:rFonts w:eastAsiaTheme="minorHAnsi"/>
        </w:rPr>
        <w:t>i</w:t>
      </w:r>
      <w:r w:rsidRPr="00230CEC" w:rsidR="00230CEC">
        <w:rPr>
          <w:rFonts w:eastAsiaTheme="minorHAnsi"/>
        </w:rPr>
        <w:t xml:space="preserve">nvestor or the </w:t>
      </w:r>
      <w:r w:rsidR="00521A30">
        <w:rPr>
          <w:rFonts w:eastAsiaTheme="minorHAnsi"/>
        </w:rPr>
        <w:t>f</w:t>
      </w:r>
      <w:r w:rsidRPr="00230CEC" w:rsidR="00230CEC">
        <w:rPr>
          <w:rFonts w:eastAsiaTheme="minorHAnsi"/>
        </w:rPr>
        <w:t xml:space="preserve">inancial </w:t>
      </w:r>
      <w:r w:rsidR="00521A30">
        <w:rPr>
          <w:rFonts w:eastAsiaTheme="minorHAnsi"/>
        </w:rPr>
        <w:t>i</w:t>
      </w:r>
      <w:r w:rsidRPr="00230CEC" w:rsidR="00230CEC">
        <w:rPr>
          <w:rFonts w:eastAsiaTheme="minorHAnsi"/>
        </w:rPr>
        <w:t xml:space="preserve">nstitution made the </w:t>
      </w:r>
      <w:r w:rsidR="00521A30">
        <w:rPr>
          <w:rFonts w:eastAsiaTheme="minorHAnsi"/>
        </w:rPr>
        <w:t>r</w:t>
      </w:r>
      <w:r w:rsidRPr="00230CEC" w:rsidR="00230CEC">
        <w:rPr>
          <w:rFonts w:eastAsiaTheme="minorHAnsi"/>
        </w:rPr>
        <w:t xml:space="preserve">etirement </w:t>
      </w:r>
      <w:r w:rsidR="00521A30">
        <w:rPr>
          <w:rFonts w:eastAsiaTheme="minorHAnsi"/>
        </w:rPr>
        <w:t>i</w:t>
      </w:r>
      <w:r w:rsidRPr="00230CEC" w:rsidR="00230CEC">
        <w:rPr>
          <w:rFonts w:eastAsiaTheme="minorHAnsi"/>
        </w:rPr>
        <w:t xml:space="preserve">nvestor whole for any resulting losses; (2) the </w:t>
      </w:r>
      <w:r w:rsidR="00521A30">
        <w:rPr>
          <w:rFonts w:eastAsiaTheme="minorHAnsi"/>
        </w:rPr>
        <w:t>f</w:t>
      </w:r>
      <w:r w:rsidRPr="00230CEC" w:rsidR="00230CEC">
        <w:rPr>
          <w:rFonts w:eastAsiaTheme="minorHAnsi"/>
        </w:rPr>
        <w:t xml:space="preserve">inancial </w:t>
      </w:r>
      <w:r w:rsidR="00521A30">
        <w:rPr>
          <w:rFonts w:eastAsiaTheme="minorHAnsi"/>
        </w:rPr>
        <w:t>i</w:t>
      </w:r>
      <w:r w:rsidRPr="00230CEC" w:rsidR="00230CEC">
        <w:rPr>
          <w:rFonts w:eastAsiaTheme="minorHAnsi"/>
        </w:rPr>
        <w:t xml:space="preserve">nstitution corrects the violation and notifies the Department of the violation and the correction via email to IIAWR@dol.gov within 30 days of correction; (3) the correction occurs no later than 90 days  after the </w:t>
      </w:r>
      <w:r w:rsidR="00521A30">
        <w:rPr>
          <w:rFonts w:eastAsiaTheme="minorHAnsi"/>
        </w:rPr>
        <w:t>f</w:t>
      </w:r>
      <w:r w:rsidRPr="00230CEC" w:rsidR="00230CEC">
        <w:rPr>
          <w:rFonts w:eastAsiaTheme="minorHAnsi"/>
        </w:rPr>
        <w:t xml:space="preserve">inancial </w:t>
      </w:r>
      <w:r w:rsidR="00521A30">
        <w:rPr>
          <w:rFonts w:eastAsiaTheme="minorHAnsi"/>
        </w:rPr>
        <w:t>i</w:t>
      </w:r>
      <w:r w:rsidRPr="00230CEC" w:rsidR="00230CEC">
        <w:rPr>
          <w:rFonts w:eastAsiaTheme="minorHAnsi"/>
        </w:rPr>
        <w:t xml:space="preserve">nstitution learned of the violation or reasonably should have learned of the violation; and (4) the </w:t>
      </w:r>
      <w:r w:rsidR="00521A30">
        <w:rPr>
          <w:rFonts w:eastAsiaTheme="minorHAnsi"/>
        </w:rPr>
        <w:t>f</w:t>
      </w:r>
      <w:r w:rsidRPr="00230CEC" w:rsidR="00230CEC">
        <w:rPr>
          <w:rFonts w:eastAsiaTheme="minorHAnsi"/>
        </w:rPr>
        <w:t xml:space="preserve">inancial </w:t>
      </w:r>
      <w:r w:rsidR="00521A30">
        <w:rPr>
          <w:rFonts w:eastAsiaTheme="minorHAnsi"/>
        </w:rPr>
        <w:t>i</w:t>
      </w:r>
      <w:r w:rsidRPr="00230CEC" w:rsidR="00230CEC">
        <w:rPr>
          <w:rFonts w:eastAsiaTheme="minorHAnsi"/>
        </w:rPr>
        <w:t xml:space="preserve">nstitution notifies the person(s) responsible for conducting the retrospective review during the applicable review cycle and the violation and correction is specifically set forth in the written report of the retrospective review required under subsection II(d)(2).  </w:t>
      </w:r>
    </w:p>
    <w:p w:rsidRPr="00F83337" w:rsidR="003A7B6C" w:rsidP="00585DB6" w:rsidRDefault="003A7B6C" w14:paraId="2BC0AB97" w14:textId="77777777">
      <w:pPr>
        <w:ind w:left="720"/>
        <w:contextualSpacing/>
        <w:rPr>
          <w:rFonts w:eastAsiaTheme="minorHAnsi"/>
        </w:rPr>
      </w:pPr>
    </w:p>
    <w:p w:rsidR="00E470FD" w:rsidP="00585DB6" w:rsidRDefault="00E470FD" w14:paraId="112643EF" w14:textId="418D14F1">
      <w:pPr>
        <w:ind w:left="720"/>
        <w:contextualSpacing/>
        <w:rPr>
          <w:rFonts w:eastAsiaTheme="minorHAnsi"/>
        </w:rPr>
      </w:pPr>
      <w:r w:rsidRPr="00E470FD">
        <w:rPr>
          <w:rFonts w:eastAsiaTheme="minorHAnsi"/>
        </w:rPr>
        <w:t>Section IV of the exemption require</w:t>
      </w:r>
      <w:r w:rsidR="00D97460">
        <w:rPr>
          <w:rFonts w:eastAsiaTheme="minorHAnsi"/>
        </w:rPr>
        <w:t>s</w:t>
      </w:r>
      <w:r w:rsidRPr="00E470FD">
        <w:rPr>
          <w:rFonts w:eastAsiaTheme="minorHAnsi"/>
        </w:rPr>
        <w:t xml:space="preserve"> financial institutions to maintain records demonstrating compliance with the exemption for </w:t>
      </w:r>
      <w:r w:rsidR="00F958B6">
        <w:rPr>
          <w:rFonts w:eastAsiaTheme="minorHAnsi"/>
        </w:rPr>
        <w:t>six</w:t>
      </w:r>
      <w:r w:rsidRPr="00E470FD">
        <w:rPr>
          <w:rFonts w:eastAsiaTheme="minorHAnsi"/>
        </w:rPr>
        <w:t xml:space="preserve"> years.  The institutions </w:t>
      </w:r>
      <w:r w:rsidR="00D97460">
        <w:rPr>
          <w:rFonts w:eastAsiaTheme="minorHAnsi"/>
        </w:rPr>
        <w:t>are</w:t>
      </w:r>
      <w:r w:rsidRPr="00E470FD">
        <w:rPr>
          <w:rFonts w:eastAsiaTheme="minorHAnsi"/>
        </w:rPr>
        <w:t xml:space="preserve"> also required to make records available</w:t>
      </w:r>
      <w:r w:rsidRPr="00C373C2" w:rsidR="00D97460">
        <w:t>, to the extent permitted by law, to any authorized employee of the Department</w:t>
      </w:r>
      <w:r w:rsidR="00D97460">
        <w:t xml:space="preserve"> or the Department of the Treasury</w:t>
      </w:r>
      <w:r w:rsidRPr="00E470FD">
        <w:rPr>
          <w:rFonts w:eastAsiaTheme="minorHAnsi"/>
        </w:rPr>
        <w:t xml:space="preserve">.  Recordkeeping requirements in section IV are generally consistent with </w:t>
      </w:r>
      <w:r w:rsidR="00F958B6">
        <w:rPr>
          <w:rFonts w:eastAsiaTheme="minorHAnsi"/>
        </w:rPr>
        <w:t xml:space="preserve">Securities and Exchange </w:t>
      </w:r>
      <w:r w:rsidR="00526670">
        <w:rPr>
          <w:rFonts w:eastAsiaTheme="minorHAnsi"/>
        </w:rPr>
        <w:t>Commission</w:t>
      </w:r>
      <w:r w:rsidR="00F958B6">
        <w:rPr>
          <w:rFonts w:eastAsiaTheme="minorHAnsi"/>
        </w:rPr>
        <w:t xml:space="preserve"> (</w:t>
      </w:r>
      <w:r w:rsidRPr="00E470FD">
        <w:rPr>
          <w:rFonts w:eastAsiaTheme="minorHAnsi"/>
        </w:rPr>
        <w:t>SEC</w:t>
      </w:r>
      <w:r w:rsidR="00F958B6">
        <w:rPr>
          <w:rFonts w:eastAsiaTheme="minorHAnsi"/>
        </w:rPr>
        <w:t>)</w:t>
      </w:r>
      <w:r w:rsidRPr="00E470FD">
        <w:rPr>
          <w:rFonts w:eastAsiaTheme="minorHAnsi"/>
        </w:rPr>
        <w:t xml:space="preserve"> and </w:t>
      </w:r>
      <w:r w:rsidR="00F958B6">
        <w:rPr>
          <w:rFonts w:eastAsiaTheme="minorHAnsi"/>
        </w:rPr>
        <w:t>Financial Institution Regulatory Authority (</w:t>
      </w:r>
      <w:r w:rsidRPr="00E470FD">
        <w:rPr>
          <w:rFonts w:eastAsiaTheme="minorHAnsi"/>
        </w:rPr>
        <w:t>FINRA</w:t>
      </w:r>
      <w:r w:rsidR="00F958B6">
        <w:rPr>
          <w:rFonts w:eastAsiaTheme="minorHAnsi"/>
        </w:rPr>
        <w:t>) requirements</w:t>
      </w:r>
      <w:r w:rsidRPr="00E470FD">
        <w:rPr>
          <w:rFonts w:eastAsiaTheme="minorHAnsi"/>
        </w:rPr>
        <w:t>.</w:t>
      </w:r>
      <w:r w:rsidRPr="00E470FD">
        <w:rPr>
          <w:rFonts w:eastAsiaTheme="minorHAnsi"/>
          <w:vertAlign w:val="superscript"/>
        </w:rPr>
        <w:footnoteReference w:id="3"/>
      </w:r>
      <w:r w:rsidRPr="00E470FD">
        <w:rPr>
          <w:rFonts w:eastAsiaTheme="minorHAnsi"/>
        </w:rPr>
        <w:t xml:space="preserve">  In addition, the recordkeeping requirements correspond to the </w:t>
      </w:r>
      <w:r w:rsidR="00F958B6">
        <w:rPr>
          <w:rFonts w:eastAsiaTheme="minorHAnsi"/>
        </w:rPr>
        <w:t>six</w:t>
      </w:r>
      <w:r w:rsidRPr="00E470FD">
        <w:rPr>
          <w:rFonts w:eastAsiaTheme="minorHAnsi"/>
        </w:rPr>
        <w:t xml:space="preserve">-year </w:t>
      </w:r>
      <w:r w:rsidR="00FC2E68">
        <w:rPr>
          <w:rFonts w:eastAsiaTheme="minorHAnsi"/>
        </w:rPr>
        <w:t>period</w:t>
      </w:r>
      <w:r w:rsidRPr="00E470FD">
        <w:rPr>
          <w:rFonts w:eastAsiaTheme="minorHAnsi"/>
        </w:rPr>
        <w:t xml:space="preserve"> in section 413 of ERISA.  The Department understands that many firms already maintain records, as required in section IV, as part of their regular business practices.  </w:t>
      </w:r>
      <w:r w:rsidRPr="00E470FD" w:rsidR="00526670">
        <w:rPr>
          <w:rFonts w:eastAsiaTheme="minorHAnsi"/>
        </w:rPr>
        <w:t xml:space="preserve">  </w:t>
      </w:r>
    </w:p>
    <w:p w:rsidRPr="00E470FD" w:rsidR="00887486" w:rsidP="00585DB6" w:rsidRDefault="00887486" w14:paraId="375C6407" w14:textId="77777777">
      <w:pPr>
        <w:ind w:left="720"/>
        <w:contextualSpacing/>
        <w:rPr>
          <w:rFonts w:eastAsiaTheme="minorHAnsi"/>
        </w:rPr>
      </w:pPr>
    </w:p>
    <w:p w:rsidRPr="00B56B3F" w:rsidR="00B56B3F" w:rsidP="00585DB6" w:rsidRDefault="00B56B3F" w14:paraId="2E3CBB1F" w14:textId="77777777">
      <w:pPr>
        <w:pStyle w:val="ListParagraph"/>
        <w:numPr>
          <w:ilvl w:val="0"/>
          <w:numId w:val="1"/>
        </w:numPr>
        <w:tabs>
          <w:tab w:val="clear" w:pos="1080"/>
        </w:tabs>
        <w:ind w:left="720"/>
        <w:rPr>
          <w:b/>
          <w:i/>
          <w:iCs/>
        </w:rPr>
      </w:pPr>
      <w:r w:rsidRPr="00B56B3F">
        <w:rPr>
          <w:b/>
          <w:i/>
          <w:iCs/>
        </w:rPr>
        <w:t>Indicate how, by whom, and for what purpose the information is to be used.  Except for a new collection, indicate the actual use the agency has made of the information received from the collection.</w:t>
      </w:r>
    </w:p>
    <w:p w:rsidR="005F7BF9" w:rsidDel="005F7BF9" w:rsidP="00585DB6" w:rsidRDefault="005F7BF9" w14:paraId="60102763" w14:textId="77777777">
      <w:pPr>
        <w:contextualSpacing/>
        <w:rPr>
          <w:rFonts w:eastAsiaTheme="majorEastAsia"/>
        </w:rPr>
      </w:pPr>
    </w:p>
    <w:p w:rsidRPr="005F2453" w:rsidR="005F7BF9" w:rsidP="00585DB6" w:rsidRDefault="005E7BD1" w14:paraId="7BD3EC94" w14:textId="5159EC40">
      <w:pPr>
        <w:ind w:left="720"/>
        <w:contextualSpacing/>
        <w:rPr>
          <w:rFonts w:eastAsiaTheme="majorEastAsia"/>
        </w:rPr>
      </w:pPr>
      <w:r>
        <w:rPr>
          <w:rFonts w:eastAsiaTheme="majorEastAsia"/>
        </w:rPr>
        <w:t>The information</w:t>
      </w:r>
      <w:r w:rsidR="00934F5E">
        <w:rPr>
          <w:rFonts w:eastAsiaTheme="majorEastAsia"/>
        </w:rPr>
        <w:t xml:space="preserve"> that </w:t>
      </w:r>
      <w:r w:rsidR="00EC6C37">
        <w:rPr>
          <w:rFonts w:eastAsiaTheme="majorEastAsia"/>
        </w:rPr>
        <w:t xml:space="preserve">investment </w:t>
      </w:r>
      <w:r w:rsidR="00934F5E">
        <w:rPr>
          <w:rFonts w:eastAsiaTheme="majorEastAsia"/>
        </w:rPr>
        <w:t xml:space="preserve">advice fiduciaries </w:t>
      </w:r>
      <w:r w:rsidR="00D97460">
        <w:rPr>
          <w:rFonts w:eastAsiaTheme="majorEastAsia"/>
        </w:rPr>
        <w:t>are</w:t>
      </w:r>
      <w:r w:rsidR="00934F5E">
        <w:rPr>
          <w:rFonts w:eastAsiaTheme="majorEastAsia"/>
        </w:rPr>
        <w:t xml:space="preserve"> required to</w:t>
      </w:r>
      <w:r w:rsidR="005F7BF9">
        <w:rPr>
          <w:rFonts w:eastAsiaTheme="majorEastAsia"/>
        </w:rPr>
        <w:t xml:space="preserve"> produce under the</w:t>
      </w:r>
      <w:r w:rsidR="007D05F0">
        <w:rPr>
          <w:rFonts w:eastAsiaTheme="majorEastAsia"/>
        </w:rPr>
        <w:t xml:space="preserve"> </w:t>
      </w:r>
      <w:r w:rsidR="005F7BF9">
        <w:rPr>
          <w:rFonts w:eastAsiaTheme="majorEastAsia"/>
        </w:rPr>
        <w:t xml:space="preserve">exemption </w:t>
      </w:r>
      <w:r w:rsidR="007019F2">
        <w:rPr>
          <w:rFonts w:eastAsiaTheme="majorEastAsia"/>
        </w:rPr>
        <w:t>create</w:t>
      </w:r>
      <w:r w:rsidR="00D97460">
        <w:rPr>
          <w:rFonts w:eastAsiaTheme="majorEastAsia"/>
        </w:rPr>
        <w:t>s</w:t>
      </w:r>
      <w:r w:rsidR="007019F2">
        <w:rPr>
          <w:rFonts w:eastAsiaTheme="majorEastAsia"/>
        </w:rPr>
        <w:t xml:space="preserve"> </w:t>
      </w:r>
      <w:r w:rsidR="00934F5E">
        <w:rPr>
          <w:rFonts w:eastAsiaTheme="majorEastAsia"/>
        </w:rPr>
        <w:t>protective conditions designed to safeguard the interest of Plans, participants</w:t>
      </w:r>
      <w:r w:rsidR="00F65903">
        <w:rPr>
          <w:rFonts w:eastAsiaTheme="majorEastAsia"/>
        </w:rPr>
        <w:t>, beneficiaries, and IRA owners.</w:t>
      </w:r>
      <w:r w:rsidR="005F7BF9">
        <w:rPr>
          <w:rFonts w:eastAsiaTheme="majorEastAsia"/>
        </w:rPr>
        <w:t xml:space="preserve">  </w:t>
      </w:r>
      <w:r w:rsidR="005F7BF9">
        <w:t xml:space="preserve">These requirements also provide plan </w:t>
      </w:r>
      <w:r w:rsidR="005F7BF9">
        <w:lastRenderedPageBreak/>
        <w:t>participants with needed information to help them understand services offered and the related conflicts of interests associated with those conflicts.</w:t>
      </w:r>
    </w:p>
    <w:p w:rsidR="00020A6D" w:rsidP="00585DB6" w:rsidRDefault="00020A6D" w14:paraId="01272CA7" w14:textId="77777777">
      <w:pPr>
        <w:ind w:left="720"/>
        <w:contextualSpacing/>
      </w:pPr>
    </w:p>
    <w:p w:rsidR="005F2453" w:rsidP="00585DB6" w:rsidRDefault="000F482D" w14:paraId="15EC1F38" w14:textId="259382DA">
      <w:pPr>
        <w:ind w:left="720"/>
        <w:contextualSpacing/>
        <w:rPr>
          <w:color w:val="000000" w:themeColor="text1"/>
        </w:rPr>
      </w:pPr>
      <w:r>
        <w:rPr>
          <w:rFonts w:eastAsiaTheme="majorEastAsia"/>
        </w:rPr>
        <w:t>To qualify for the exemption, investment advice fiduciaries (i.e.</w:t>
      </w:r>
      <w:r w:rsidRPr="00156D69" w:rsidR="00020A6D">
        <w:rPr>
          <w:rFonts w:eastAsiaTheme="majorEastAsia"/>
        </w:rPr>
        <w:t xml:space="preserve"> registered </w:t>
      </w:r>
      <w:r w:rsidR="00C2627B">
        <w:rPr>
          <w:rFonts w:eastAsiaTheme="majorEastAsia"/>
        </w:rPr>
        <w:t>IAs</w:t>
      </w:r>
      <w:r w:rsidRPr="00156D69" w:rsidR="00020A6D">
        <w:rPr>
          <w:rFonts w:eastAsiaTheme="majorEastAsia"/>
        </w:rPr>
        <w:t xml:space="preserve">, </w:t>
      </w:r>
      <w:r w:rsidR="00C2627B">
        <w:rPr>
          <w:rFonts w:eastAsiaTheme="majorEastAsia"/>
        </w:rPr>
        <w:t>BDs</w:t>
      </w:r>
      <w:r w:rsidRPr="00156D69" w:rsidR="00020A6D">
        <w:rPr>
          <w:rFonts w:eastAsiaTheme="majorEastAsia"/>
        </w:rPr>
        <w:t xml:space="preserve">, banks, </w:t>
      </w:r>
      <w:r>
        <w:rPr>
          <w:rFonts w:eastAsiaTheme="majorEastAsia"/>
        </w:rPr>
        <w:t xml:space="preserve">and </w:t>
      </w:r>
      <w:r w:rsidRPr="00156D69" w:rsidR="00020A6D">
        <w:rPr>
          <w:rFonts w:eastAsiaTheme="majorEastAsia"/>
        </w:rPr>
        <w:t>insurance companies</w:t>
      </w:r>
      <w:r w:rsidR="002137F1">
        <w:rPr>
          <w:rFonts w:eastAsiaTheme="majorEastAsia"/>
        </w:rPr>
        <w:t xml:space="preserve">) </w:t>
      </w:r>
      <w:r w:rsidR="002053A1">
        <w:rPr>
          <w:rFonts w:eastAsiaTheme="majorEastAsia"/>
        </w:rPr>
        <w:t>are</w:t>
      </w:r>
      <w:r w:rsidR="002137F1">
        <w:rPr>
          <w:rFonts w:eastAsiaTheme="majorEastAsia"/>
        </w:rPr>
        <w:t xml:space="preserve"> required </w:t>
      </w:r>
      <w:r w:rsidR="00884739">
        <w:rPr>
          <w:rFonts w:eastAsiaTheme="majorEastAsia"/>
        </w:rPr>
        <w:t>to</w:t>
      </w:r>
      <w:r w:rsidR="003A77EE">
        <w:rPr>
          <w:rFonts w:eastAsiaTheme="majorEastAsia"/>
        </w:rPr>
        <w:t>:</w:t>
      </w:r>
      <w:r w:rsidR="00884739">
        <w:rPr>
          <w:rFonts w:eastAsiaTheme="majorEastAsia"/>
        </w:rPr>
        <w:t xml:space="preserve"> </w:t>
      </w:r>
    </w:p>
    <w:p w:rsidRPr="005F2453" w:rsidR="005F2453" w:rsidP="00585DB6" w:rsidRDefault="00884739" w14:paraId="72E8EDDF" w14:textId="2C766761">
      <w:pPr>
        <w:pStyle w:val="ListParagraph"/>
        <w:numPr>
          <w:ilvl w:val="0"/>
          <w:numId w:val="6"/>
        </w:numPr>
        <w:ind w:left="1260" w:hanging="540"/>
        <w:rPr>
          <w:rFonts w:eastAsiaTheme="majorEastAsia"/>
        </w:rPr>
      </w:pPr>
      <w:r w:rsidRPr="005F2453">
        <w:rPr>
          <w:color w:val="000000" w:themeColor="text1"/>
        </w:rPr>
        <w:t xml:space="preserve">make disclosures to </w:t>
      </w:r>
      <w:r w:rsidR="00156F47">
        <w:rPr>
          <w:color w:val="000000" w:themeColor="text1"/>
        </w:rPr>
        <w:t>inform</w:t>
      </w:r>
      <w:r w:rsidRPr="005F2453">
        <w:rPr>
          <w:color w:val="000000" w:themeColor="text1"/>
        </w:rPr>
        <w:t xml:space="preserve"> retirement investors</w:t>
      </w:r>
      <w:r w:rsidR="005F2453">
        <w:rPr>
          <w:color w:val="000000" w:themeColor="text1"/>
        </w:rPr>
        <w:t xml:space="preserve"> </w:t>
      </w:r>
      <w:r w:rsidR="005E7BD1">
        <w:rPr>
          <w:color w:val="000000" w:themeColor="text1"/>
        </w:rPr>
        <w:t>of</w:t>
      </w:r>
      <w:r w:rsidR="005F2453">
        <w:rPr>
          <w:color w:val="000000" w:themeColor="text1"/>
        </w:rPr>
        <w:t xml:space="preserve"> their fiduciary status, services offered, and material conflicts of interest;</w:t>
      </w:r>
      <w:r w:rsidRPr="005F2453">
        <w:rPr>
          <w:color w:val="000000" w:themeColor="text1"/>
        </w:rPr>
        <w:t xml:space="preserve"> </w:t>
      </w:r>
    </w:p>
    <w:p w:rsidRPr="005F2453" w:rsidR="005F2453" w:rsidP="00585DB6" w:rsidRDefault="005F2453" w14:paraId="4C023C1E" w14:textId="77777777">
      <w:pPr>
        <w:pStyle w:val="ListParagraph"/>
        <w:numPr>
          <w:ilvl w:val="0"/>
          <w:numId w:val="6"/>
        </w:numPr>
        <w:ind w:left="1260" w:hanging="540"/>
        <w:rPr>
          <w:rFonts w:eastAsiaTheme="majorEastAsia"/>
        </w:rPr>
      </w:pPr>
      <w:r w:rsidRPr="00E05322">
        <w:rPr>
          <w:color w:val="000000" w:themeColor="text1"/>
        </w:rPr>
        <w:t>establish, maintain</w:t>
      </w:r>
      <w:r>
        <w:rPr>
          <w:color w:val="000000" w:themeColor="text1"/>
        </w:rPr>
        <w:t>,</w:t>
      </w:r>
      <w:r w:rsidRPr="00E05322">
        <w:rPr>
          <w:color w:val="000000" w:themeColor="text1"/>
        </w:rPr>
        <w:t xml:space="preserve"> and enforce written policies and procedures designed to ensure that they and their </w:t>
      </w:r>
      <w:r>
        <w:rPr>
          <w:color w:val="000000" w:themeColor="text1"/>
        </w:rPr>
        <w:t>investment professional</w:t>
      </w:r>
      <w:r w:rsidRPr="00E05322">
        <w:rPr>
          <w:color w:val="000000" w:themeColor="text1"/>
        </w:rPr>
        <w:t>s comply with the Impartial Conduct Standards</w:t>
      </w:r>
      <w:r>
        <w:rPr>
          <w:color w:val="000000" w:themeColor="text1"/>
        </w:rPr>
        <w:t>;</w:t>
      </w:r>
    </w:p>
    <w:p w:rsidRPr="0026314F" w:rsidR="0026314F" w:rsidP="00585DB6" w:rsidRDefault="0026314F" w14:paraId="372C1089" w14:textId="6F13CDD3">
      <w:pPr>
        <w:pStyle w:val="ListParagraph"/>
        <w:numPr>
          <w:ilvl w:val="0"/>
          <w:numId w:val="6"/>
        </w:numPr>
        <w:ind w:left="1260" w:hanging="540"/>
        <w:rPr>
          <w:rFonts w:eastAsiaTheme="majorEastAsia"/>
        </w:rPr>
      </w:pPr>
      <w:r w:rsidRPr="00E05322">
        <w:rPr>
          <w:color w:val="000000" w:themeColor="text1"/>
        </w:rPr>
        <w:t xml:space="preserve">document the specific reasons </w:t>
      </w:r>
      <w:r>
        <w:rPr>
          <w:color w:val="000000" w:themeColor="text1"/>
        </w:rPr>
        <w:t>for</w:t>
      </w:r>
      <w:r w:rsidRPr="00E05322">
        <w:rPr>
          <w:color w:val="000000" w:themeColor="text1"/>
        </w:rPr>
        <w:t xml:space="preserve"> any </w:t>
      </w:r>
      <w:r>
        <w:rPr>
          <w:color w:val="000000" w:themeColor="text1"/>
        </w:rPr>
        <w:t xml:space="preserve">rollover </w:t>
      </w:r>
      <w:r w:rsidRPr="00E05322">
        <w:rPr>
          <w:color w:val="000000" w:themeColor="text1"/>
        </w:rPr>
        <w:t>recommendation</w:t>
      </w:r>
      <w:r>
        <w:rPr>
          <w:color w:val="000000" w:themeColor="text1"/>
        </w:rPr>
        <w:t xml:space="preserve"> and show that the rollover</w:t>
      </w:r>
      <w:r w:rsidRPr="00E05322">
        <w:rPr>
          <w:color w:val="000000" w:themeColor="text1"/>
        </w:rPr>
        <w:t xml:space="preserve"> is in the </w:t>
      </w:r>
      <w:r>
        <w:rPr>
          <w:color w:val="000000" w:themeColor="text1"/>
        </w:rPr>
        <w:t>b</w:t>
      </w:r>
      <w:r w:rsidRPr="00E05322">
        <w:rPr>
          <w:color w:val="000000" w:themeColor="text1"/>
        </w:rPr>
        <w:t xml:space="preserve">est </w:t>
      </w:r>
      <w:r>
        <w:rPr>
          <w:color w:val="000000" w:themeColor="text1"/>
        </w:rPr>
        <w:t>i</w:t>
      </w:r>
      <w:r w:rsidRPr="00E05322">
        <w:rPr>
          <w:color w:val="000000" w:themeColor="text1"/>
        </w:rPr>
        <w:t xml:space="preserve">nterest of the </w:t>
      </w:r>
      <w:r>
        <w:rPr>
          <w:color w:val="000000" w:themeColor="text1"/>
        </w:rPr>
        <w:t>retirement investor</w:t>
      </w:r>
      <w:r w:rsidR="00CC373A">
        <w:rPr>
          <w:color w:val="000000" w:themeColor="text1"/>
        </w:rPr>
        <w:t xml:space="preserve"> and provide the documentation to the retirement investor</w:t>
      </w:r>
      <w:r>
        <w:rPr>
          <w:color w:val="000000" w:themeColor="text1"/>
        </w:rPr>
        <w:t>;</w:t>
      </w:r>
    </w:p>
    <w:p w:rsidRPr="000A3876" w:rsidR="000A3876" w:rsidP="00585DB6" w:rsidRDefault="000A3876" w14:paraId="1C339DF1" w14:textId="270FA6FC">
      <w:pPr>
        <w:pStyle w:val="ListParagraph"/>
        <w:numPr>
          <w:ilvl w:val="0"/>
          <w:numId w:val="6"/>
        </w:numPr>
        <w:ind w:left="1260" w:hanging="540"/>
        <w:rPr>
          <w:rFonts w:eastAsiaTheme="majorEastAsia"/>
        </w:rPr>
      </w:pPr>
      <w:r w:rsidRPr="00E05322">
        <w:rPr>
          <w:color w:val="000000" w:themeColor="text1"/>
        </w:rPr>
        <w:t>conduct a</w:t>
      </w:r>
      <w:r>
        <w:rPr>
          <w:color w:val="000000" w:themeColor="text1"/>
        </w:rPr>
        <w:t>n annual</w:t>
      </w:r>
      <w:r w:rsidRPr="00E05322">
        <w:rPr>
          <w:color w:val="000000" w:themeColor="text1"/>
        </w:rPr>
        <w:t xml:space="preserve"> retrospective review that is reasonably designed to prevent violations of the PTE’s Impartial Conduct Standards and the </w:t>
      </w:r>
      <w:r>
        <w:rPr>
          <w:color w:val="000000" w:themeColor="text1"/>
        </w:rPr>
        <w:t>institution</w:t>
      </w:r>
      <w:r w:rsidRPr="00E05322">
        <w:rPr>
          <w:color w:val="000000" w:themeColor="text1"/>
        </w:rPr>
        <w:t xml:space="preserve">’s </w:t>
      </w:r>
      <w:r>
        <w:rPr>
          <w:color w:val="000000" w:themeColor="text1"/>
        </w:rPr>
        <w:t xml:space="preserve">own </w:t>
      </w:r>
      <w:r w:rsidRPr="00E05322">
        <w:rPr>
          <w:color w:val="000000" w:themeColor="text1"/>
        </w:rPr>
        <w:t>policies and procedures</w:t>
      </w:r>
      <w:r>
        <w:rPr>
          <w:color w:val="000000" w:themeColor="text1"/>
        </w:rPr>
        <w:t>; and</w:t>
      </w:r>
    </w:p>
    <w:p w:rsidRPr="00585DB6" w:rsidR="004034C5" w:rsidP="00585DB6" w:rsidRDefault="00884739" w14:paraId="2F53778D" w14:textId="421BBA55">
      <w:pPr>
        <w:pStyle w:val="ListParagraph"/>
        <w:numPr>
          <w:ilvl w:val="0"/>
          <w:numId w:val="6"/>
        </w:numPr>
        <w:ind w:left="1260" w:hanging="540"/>
        <w:rPr>
          <w:rFonts w:eastAsiaTheme="majorEastAsia"/>
        </w:rPr>
      </w:pPr>
      <w:r w:rsidRPr="005F2453">
        <w:rPr>
          <w:color w:val="000000" w:themeColor="text1"/>
        </w:rPr>
        <w:t xml:space="preserve">maintain records </w:t>
      </w:r>
      <w:r w:rsidRPr="00156D69" w:rsidR="005F7BF9">
        <w:t>so that parties relying on an exemption can demonstrate, and the Department can verify, compliance with the conditions of the exemption</w:t>
      </w:r>
      <w:r w:rsidRPr="005F2453">
        <w:rPr>
          <w:color w:val="000000" w:themeColor="text1"/>
        </w:rPr>
        <w:t xml:space="preserve">.  </w:t>
      </w:r>
    </w:p>
    <w:p w:rsidR="00E511BE" w:rsidP="00585DB6" w:rsidRDefault="00E511BE" w14:paraId="64BECF54" w14:textId="28197800">
      <w:pPr>
        <w:contextualSpacing/>
      </w:pPr>
    </w:p>
    <w:p w:rsidRPr="00E511BE" w:rsidR="00E511BE" w:rsidP="00585DB6" w:rsidRDefault="00E511BE" w14:paraId="741D7296" w14:textId="301B545C">
      <w:pPr>
        <w:pStyle w:val="ListParagraph"/>
        <w:numPr>
          <w:ilvl w:val="0"/>
          <w:numId w:val="1"/>
        </w:numPr>
        <w:tabs>
          <w:tab w:val="clear" w:pos="1080"/>
        </w:tabs>
        <w:ind w:left="720"/>
      </w:pPr>
      <w:r w:rsidRPr="00E511BE">
        <w:rPr>
          <w:b/>
          <w:i/>
          <w:iCs/>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for using information technology to reduce burden.</w:t>
      </w:r>
    </w:p>
    <w:p w:rsidRPr="00E511BE" w:rsidR="00F27260" w:rsidRDefault="00F27260" w14:paraId="17D7B7E8" w14:textId="77777777">
      <w:pPr>
        <w:pStyle w:val="ListParagraph"/>
        <w:ind w:left="1080"/>
      </w:pPr>
    </w:p>
    <w:p w:rsidR="00D3037D" w:rsidP="00585DB6" w:rsidRDefault="00723DE0" w14:paraId="49D88F22" w14:textId="47FDD699">
      <w:pPr>
        <w:ind w:left="720"/>
        <w:contextualSpacing/>
      </w:pPr>
      <w:r>
        <w:t>The exemption</w:t>
      </w:r>
      <w:r w:rsidR="00172E08">
        <w:t xml:space="preserve"> assumes that 92</w:t>
      </w:r>
      <w:r>
        <w:t xml:space="preserve"> percent of </w:t>
      </w:r>
      <w:r w:rsidR="00C70F1F">
        <w:t xml:space="preserve">required </w:t>
      </w:r>
      <w:r w:rsidR="004F5569">
        <w:t>disclosures</w:t>
      </w:r>
      <w:r>
        <w:t xml:space="preserve"> </w:t>
      </w:r>
      <w:r w:rsidR="00F958B6">
        <w:t>w</w:t>
      </w:r>
      <w:r w:rsidR="002053A1">
        <w:t>ill</w:t>
      </w:r>
      <w:r w:rsidR="00F958B6">
        <w:t xml:space="preserve"> </w:t>
      </w:r>
      <w:r>
        <w:t>be sent electronically</w:t>
      </w:r>
      <w:r w:rsidR="004F5569">
        <w:t>,</w:t>
      </w:r>
      <w:r w:rsidR="00266DFD">
        <w:rPr>
          <w:rStyle w:val="FootnoteReference"/>
        </w:rPr>
        <w:footnoteReference w:id="4"/>
      </w:r>
      <w:r w:rsidRPr="00104D1F" w:rsidR="00266DFD">
        <w:t xml:space="preserve"> </w:t>
      </w:r>
      <w:r w:rsidR="004F5569">
        <w:t xml:space="preserve">which the Department assumes </w:t>
      </w:r>
      <w:r w:rsidR="00F958B6">
        <w:t>w</w:t>
      </w:r>
      <w:r w:rsidR="002053A1">
        <w:t>ill</w:t>
      </w:r>
      <w:r w:rsidRPr="00D3037D" w:rsidR="00F958B6">
        <w:t xml:space="preserve"> </w:t>
      </w:r>
      <w:r w:rsidRPr="00D3037D" w:rsidR="00D3037D">
        <w:t xml:space="preserve">be distributed </w:t>
      </w:r>
      <w:r w:rsidR="007A5A82">
        <w:t>through</w:t>
      </w:r>
      <w:r w:rsidRPr="00D3037D" w:rsidR="007A5A82">
        <w:t xml:space="preserve"> </w:t>
      </w:r>
      <w:r w:rsidRPr="00D3037D" w:rsidR="00D3037D">
        <w:t>means already used by respondents in the normal co</w:t>
      </w:r>
      <w:r w:rsidR="004F5569">
        <w:t>urse of business.  T</w:t>
      </w:r>
      <w:r w:rsidRPr="00D3037D" w:rsidR="00D3037D">
        <w:t>h</w:t>
      </w:r>
      <w:r w:rsidR="002053A1">
        <w:t>us, th</w:t>
      </w:r>
      <w:r w:rsidRPr="00D3037D" w:rsidR="00D3037D">
        <w:t xml:space="preserve">e </w:t>
      </w:r>
      <w:r w:rsidR="00F958B6">
        <w:t xml:space="preserve">Department assumes that the </w:t>
      </w:r>
      <w:r w:rsidRPr="00D3037D" w:rsidR="00D3037D">
        <w:t xml:space="preserve">costs arising from electronic </w:t>
      </w:r>
      <w:r w:rsidR="00D3037D">
        <w:t xml:space="preserve">distribution </w:t>
      </w:r>
      <w:r w:rsidR="00F958B6">
        <w:t>w</w:t>
      </w:r>
      <w:r w:rsidR="002053A1">
        <w:t>ill</w:t>
      </w:r>
      <w:r w:rsidR="00F958B6">
        <w:t xml:space="preserve"> be</w:t>
      </w:r>
      <w:r w:rsidR="004F5569">
        <w:t xml:space="preserve"> negligible</w:t>
      </w:r>
      <w:r w:rsidR="00D3037D">
        <w:t xml:space="preserve">.  </w:t>
      </w:r>
    </w:p>
    <w:p w:rsidR="000561B6" w:rsidP="00585DB6" w:rsidRDefault="000561B6" w14:paraId="1CA36809" w14:textId="77777777">
      <w:pPr>
        <w:ind w:left="720"/>
        <w:contextualSpacing/>
      </w:pPr>
    </w:p>
    <w:p w:rsidR="00D3037D" w:rsidP="00585DB6" w:rsidRDefault="00D3037D" w14:paraId="2E7EE86B" w14:textId="77777777">
      <w:pPr>
        <w:ind w:left="360"/>
        <w:contextualSpacing/>
      </w:pPr>
    </w:p>
    <w:p w:rsidRPr="008823D6" w:rsidR="00617A8B" w:rsidP="00585DB6" w:rsidRDefault="00617A8B" w14:paraId="5532F279" w14:textId="4CF0EB65">
      <w:pPr>
        <w:numPr>
          <w:ilvl w:val="0"/>
          <w:numId w:val="1"/>
        </w:numPr>
        <w:tabs>
          <w:tab w:val="clear" w:pos="1080"/>
        </w:tabs>
        <w:ind w:left="720"/>
        <w:contextualSpacing/>
        <w:rPr>
          <w:b/>
          <w:i/>
          <w:iCs/>
        </w:rPr>
      </w:pPr>
      <w:r w:rsidRPr="008823D6">
        <w:rPr>
          <w:b/>
          <w:i/>
          <w:iCs/>
        </w:rPr>
        <w:t>Describe efforts to identify duplication.  Show specifically why similar information already available cannot be used or modified for use for the purposes described in Item 2 above.</w:t>
      </w:r>
    </w:p>
    <w:p w:rsidRPr="005F7BF9" w:rsidR="005F7BF9" w:rsidP="00585DB6" w:rsidRDefault="005F7BF9" w14:paraId="7935F89C" w14:textId="77777777">
      <w:pPr>
        <w:ind w:left="720"/>
        <w:contextualSpacing/>
      </w:pPr>
    </w:p>
    <w:p w:rsidR="005F7BF9" w:rsidP="00585DB6" w:rsidRDefault="00C85794" w14:paraId="14F25501" w14:textId="12DA2D32">
      <w:pPr>
        <w:ind w:left="720"/>
        <w:contextualSpacing/>
      </w:pPr>
      <w:r>
        <w:t xml:space="preserve"> </w:t>
      </w:r>
      <w:r w:rsidR="00AC7D9C">
        <w:t>T</w:t>
      </w:r>
      <w:r w:rsidR="00F958B6">
        <w:t xml:space="preserve">he </w:t>
      </w:r>
      <w:r w:rsidRPr="003E27D8">
        <w:rPr>
          <w:rFonts w:eastAsia="Calibri"/>
        </w:rPr>
        <w:t xml:space="preserve">ERISA and Code rules governing advice on the investment of retirement assets overlap with SEC rules that govern the conduct of IAs and BDs who advise retail investors.  The Department considered conduct standards set by other regulators, such as SEC, NAIC, and FINRA, in developing the exemption, with the goal of avoiding overlapping or duplicative requirements.  </w:t>
      </w:r>
      <w:r w:rsidRPr="005F7BF9" w:rsidR="005F7BF9">
        <w:t>To the extent the requirements overlap, compliance with the other disclosure or recordkeeping requirements can be used to satisfy the exemption conditions</w:t>
      </w:r>
      <w:r w:rsidR="004646D6">
        <w:rPr>
          <w:rFonts w:eastAsia="Calibri"/>
        </w:rPr>
        <w:t xml:space="preserve">, provided the conditions are satisfied. </w:t>
      </w:r>
      <w:r w:rsidR="008731A3">
        <w:t xml:space="preserve"> In this regard, </w:t>
      </w:r>
      <w:r w:rsidR="008731A3">
        <w:lastRenderedPageBreak/>
        <w:t>there is no duplicate requirements because entities are able to satisfy the requirements of both this exemption and of the other applicable laws.</w:t>
      </w:r>
    </w:p>
    <w:p w:rsidR="000E1A9D" w:rsidP="00585DB6" w:rsidRDefault="000E1A9D" w14:paraId="435E7B07" w14:textId="77777777">
      <w:pPr>
        <w:ind w:left="360"/>
        <w:contextualSpacing/>
      </w:pPr>
    </w:p>
    <w:p w:rsidRPr="008823D6" w:rsidR="000E1A9D" w:rsidP="00585DB6" w:rsidRDefault="00617A8B" w14:paraId="40D4216D" w14:textId="77777777">
      <w:pPr>
        <w:numPr>
          <w:ilvl w:val="0"/>
          <w:numId w:val="1"/>
        </w:numPr>
        <w:tabs>
          <w:tab w:val="clear" w:pos="1080"/>
        </w:tabs>
        <w:ind w:left="720"/>
        <w:contextualSpacing/>
        <w:rPr>
          <w:b/>
          <w:i/>
          <w:iCs/>
        </w:rPr>
      </w:pPr>
      <w:r w:rsidRPr="008823D6">
        <w:t xml:space="preserve"> </w:t>
      </w:r>
      <w:r w:rsidRPr="008823D6" w:rsidR="000E1A9D">
        <w:rPr>
          <w:b/>
          <w:i/>
          <w:iCs/>
        </w:rPr>
        <w:t>If the collection of information impacts small businesses or other small entities, describe any methods used to minimize burden.</w:t>
      </w:r>
    </w:p>
    <w:p w:rsidR="00617A8B" w:rsidP="00585DB6" w:rsidRDefault="00617A8B" w14:paraId="222708F1" w14:textId="25133355">
      <w:pPr>
        <w:ind w:left="360"/>
        <w:contextualSpacing/>
      </w:pPr>
    </w:p>
    <w:p w:rsidR="000E1A9D" w:rsidP="00585DB6" w:rsidRDefault="001A6D29" w14:paraId="6CA50A75" w14:textId="63CA8A26">
      <w:pPr>
        <w:ind w:left="720"/>
        <w:contextualSpacing/>
      </w:pPr>
      <w:r>
        <w:t>It is necessary for the information collection to apply equally to large and small entities to ensure that participants and beneficiaries and IRA owners are protected when their plans and IRAs engage in transactions that otherwise would be prohibited under ERISA and the Code.  However, b</w:t>
      </w:r>
      <w:r w:rsidRPr="00104D1F" w:rsidR="00285D4E">
        <w:t>ecause smaller entities generally have less complex business practices and arrangements</w:t>
      </w:r>
      <w:r w:rsidR="00285D4E">
        <w:t xml:space="preserve"> than their larger counterparts</w:t>
      </w:r>
      <w:r w:rsidRPr="00104D1F" w:rsidR="00285D4E">
        <w:t xml:space="preserve">, </w:t>
      </w:r>
      <w:r w:rsidR="00285D4E">
        <w:t>it</w:t>
      </w:r>
      <w:r w:rsidRPr="00104D1F" w:rsidR="00285D4E">
        <w:t xml:space="preserve"> </w:t>
      </w:r>
      <w:r w:rsidR="00285D4E">
        <w:t xml:space="preserve">likely </w:t>
      </w:r>
      <w:r w:rsidR="0012486A">
        <w:t xml:space="preserve">will </w:t>
      </w:r>
      <w:r w:rsidR="00285D4E">
        <w:t>cost</w:t>
      </w:r>
      <w:r w:rsidRPr="00104D1F" w:rsidR="00285D4E">
        <w:t xml:space="preserve"> less </w:t>
      </w:r>
      <w:r w:rsidR="00285D4E">
        <w:t xml:space="preserve">for them </w:t>
      </w:r>
      <w:r w:rsidRPr="00104D1F" w:rsidR="00285D4E">
        <w:t>to comply with the exemption.</w:t>
      </w:r>
    </w:p>
    <w:p w:rsidR="002D303D" w:rsidP="00585DB6" w:rsidRDefault="002D303D" w14:paraId="70583CB7" w14:textId="77777777">
      <w:pPr>
        <w:ind w:left="360"/>
        <w:contextualSpacing/>
      </w:pPr>
    </w:p>
    <w:p w:rsidRPr="00263354" w:rsidR="00E76A5A" w:rsidP="00585DB6" w:rsidRDefault="00E76A5A" w14:paraId="44E549EA" w14:textId="586EF859">
      <w:pPr>
        <w:numPr>
          <w:ilvl w:val="0"/>
          <w:numId w:val="1"/>
        </w:numPr>
        <w:tabs>
          <w:tab w:val="clear" w:pos="1080"/>
        </w:tabs>
        <w:ind w:left="720"/>
        <w:contextualSpacing/>
        <w:rPr>
          <w:b/>
          <w:i/>
          <w:iCs/>
        </w:rPr>
      </w:pPr>
      <w:r w:rsidRPr="008823D6">
        <w:rPr>
          <w:b/>
          <w:i/>
          <w:iCs/>
        </w:rPr>
        <w:t>Describe the consequence to federal program or policy activities if the collection is not conducted or is conducted less frequently, as well as any technical or legal obstacles to reducing burden.</w:t>
      </w:r>
    </w:p>
    <w:p w:rsidR="005A55CF" w:rsidP="00263354" w:rsidRDefault="005A55CF" w14:paraId="0E84D343" w14:textId="77777777">
      <w:pPr>
        <w:contextualSpacing/>
      </w:pPr>
    </w:p>
    <w:p w:rsidR="00D93691" w:rsidP="00585DB6" w:rsidRDefault="00D93691" w14:paraId="1A3DA390" w14:textId="410C7420">
      <w:pPr>
        <w:ind w:left="720"/>
        <w:contextualSpacing/>
      </w:pPr>
      <w:r>
        <w:t>The</w:t>
      </w:r>
      <w:r w:rsidRPr="001C70AA" w:rsidR="001C70AA">
        <w:t xml:space="preserve"> </w:t>
      </w:r>
      <w:r w:rsidR="001C70AA">
        <w:t>disclosures</w:t>
      </w:r>
      <w:r>
        <w:t xml:space="preserve">, </w:t>
      </w:r>
      <w:r w:rsidR="00526670">
        <w:t>policies</w:t>
      </w:r>
      <w:r>
        <w:t xml:space="preserve"> and procedures, </w:t>
      </w:r>
      <w:r w:rsidR="001C70AA">
        <w:t xml:space="preserve">annual review reports and certifications, </w:t>
      </w:r>
      <w:r>
        <w:t xml:space="preserve">and recordkeeping </w:t>
      </w:r>
      <w:r w:rsidR="00317A2F">
        <w:t xml:space="preserve">information collection </w:t>
      </w:r>
      <w:r>
        <w:t xml:space="preserve">requirements are necessary </w:t>
      </w:r>
      <w:r w:rsidR="00317A2F">
        <w:t xml:space="preserve">for the Department to conduct, because otherwise the Department could not </w:t>
      </w:r>
      <w:r>
        <w:t xml:space="preserve">ensure that the exemption </w:t>
      </w:r>
      <w:r w:rsidR="00317A2F">
        <w:t xml:space="preserve">conditions are </w:t>
      </w:r>
      <w:r>
        <w:t xml:space="preserve">protective of the rights of </w:t>
      </w:r>
      <w:r w:rsidR="00C36C55">
        <w:t xml:space="preserve">Plan </w:t>
      </w:r>
      <w:r>
        <w:t>participants and beneficiaries</w:t>
      </w:r>
      <w:r w:rsidR="00C36C55">
        <w:t xml:space="preserve"> and IRA owners,</w:t>
      </w:r>
      <w:r>
        <w:t xml:space="preserve"> as required </w:t>
      </w:r>
      <w:r w:rsidR="00317A2F">
        <w:t xml:space="preserve">by </w:t>
      </w:r>
      <w:r>
        <w:t>ERISA section 408(a) and Code section 4975(c)(2).</w:t>
      </w:r>
    </w:p>
    <w:p w:rsidR="002D6175" w:rsidP="00585DB6" w:rsidRDefault="002D6175" w14:paraId="5A469462" w14:textId="60B755C2">
      <w:pPr>
        <w:ind w:left="360"/>
        <w:contextualSpacing/>
      </w:pPr>
    </w:p>
    <w:p w:rsidRPr="008823D6" w:rsidR="002D6175" w:rsidP="00585DB6" w:rsidRDefault="002D6175" w14:paraId="06B4DD15" w14:textId="77777777">
      <w:pPr>
        <w:numPr>
          <w:ilvl w:val="0"/>
          <w:numId w:val="1"/>
        </w:numPr>
        <w:tabs>
          <w:tab w:val="clear" w:pos="1080"/>
        </w:tabs>
        <w:ind w:left="720"/>
        <w:contextualSpacing/>
        <w:rPr>
          <w:b/>
          <w:i/>
          <w:iCs/>
        </w:rPr>
      </w:pPr>
      <w:r w:rsidRPr="008823D6">
        <w:rPr>
          <w:b/>
          <w:i/>
          <w:iCs/>
        </w:rPr>
        <w:t>Explain any special circumstances that would cause an information collection to be conducted in a manner:</w:t>
      </w:r>
    </w:p>
    <w:p w:rsidRPr="008823D6" w:rsidR="002D6175" w:rsidP="00585DB6" w:rsidRDefault="002D6175" w14:paraId="6392324A" w14:textId="77777777">
      <w:pPr>
        <w:numPr>
          <w:ilvl w:val="1"/>
          <w:numId w:val="1"/>
        </w:numPr>
        <w:tabs>
          <w:tab w:val="clear" w:pos="1440"/>
        </w:tabs>
        <w:ind w:left="1080"/>
        <w:contextualSpacing/>
        <w:rPr>
          <w:b/>
          <w:i/>
          <w:iCs/>
        </w:rPr>
      </w:pPr>
      <w:r w:rsidRPr="008823D6">
        <w:rPr>
          <w:b/>
          <w:i/>
          <w:iCs/>
        </w:rPr>
        <w:t>Requiring respondents to report information to the agency more often than quarterly;</w:t>
      </w:r>
    </w:p>
    <w:p w:rsidRPr="008823D6" w:rsidR="002D6175" w:rsidP="00585DB6" w:rsidRDefault="002D6175" w14:paraId="7AA01B8B" w14:textId="77777777">
      <w:pPr>
        <w:numPr>
          <w:ilvl w:val="1"/>
          <w:numId w:val="1"/>
        </w:numPr>
        <w:tabs>
          <w:tab w:val="clear" w:pos="1440"/>
        </w:tabs>
        <w:ind w:left="1080"/>
        <w:contextualSpacing/>
        <w:rPr>
          <w:b/>
          <w:i/>
          <w:iCs/>
        </w:rPr>
      </w:pPr>
      <w:r w:rsidRPr="008823D6">
        <w:rPr>
          <w:b/>
          <w:i/>
          <w:iCs/>
        </w:rPr>
        <w:t>Requiring respondents to prepare a written response to a collection of information in fewer than 30 days after receipt of it;</w:t>
      </w:r>
    </w:p>
    <w:p w:rsidRPr="008823D6" w:rsidR="002D6175" w:rsidP="00585DB6" w:rsidRDefault="002D6175" w14:paraId="6B4D9B74" w14:textId="77777777">
      <w:pPr>
        <w:numPr>
          <w:ilvl w:val="1"/>
          <w:numId w:val="1"/>
        </w:numPr>
        <w:tabs>
          <w:tab w:val="clear" w:pos="1440"/>
        </w:tabs>
        <w:ind w:left="1080"/>
        <w:contextualSpacing/>
        <w:rPr>
          <w:b/>
          <w:i/>
          <w:iCs/>
        </w:rPr>
      </w:pPr>
      <w:r w:rsidRPr="008823D6">
        <w:rPr>
          <w:b/>
          <w:i/>
          <w:iCs/>
        </w:rPr>
        <w:t>Requiring respondents to submit more than an original and two copies of any document;</w:t>
      </w:r>
    </w:p>
    <w:p w:rsidRPr="008823D6" w:rsidR="002D6175" w:rsidP="00CA7FCF" w:rsidRDefault="002D6175" w14:paraId="1B51AA01" w14:textId="77777777">
      <w:pPr>
        <w:numPr>
          <w:ilvl w:val="1"/>
          <w:numId w:val="1"/>
        </w:numPr>
        <w:tabs>
          <w:tab w:val="clear" w:pos="1440"/>
        </w:tabs>
        <w:ind w:left="1080"/>
        <w:contextualSpacing/>
        <w:rPr>
          <w:b/>
          <w:i/>
          <w:iCs/>
        </w:rPr>
      </w:pPr>
      <w:r w:rsidRPr="008823D6">
        <w:rPr>
          <w:b/>
          <w:i/>
          <w:iCs/>
        </w:rPr>
        <w:t>Requiring respondents to retain records, other than health, medical, government contract, grant-in-aid, or tax records for more than three years;</w:t>
      </w:r>
    </w:p>
    <w:p w:rsidRPr="008823D6" w:rsidR="002D6175" w:rsidP="00CA7FCF" w:rsidRDefault="002D6175" w14:paraId="26F39B64" w14:textId="77777777">
      <w:pPr>
        <w:numPr>
          <w:ilvl w:val="1"/>
          <w:numId w:val="1"/>
        </w:numPr>
        <w:tabs>
          <w:tab w:val="clear" w:pos="1440"/>
        </w:tabs>
        <w:ind w:left="1080"/>
        <w:contextualSpacing/>
        <w:rPr>
          <w:b/>
          <w:i/>
          <w:iCs/>
        </w:rPr>
      </w:pPr>
      <w:r w:rsidRPr="008823D6">
        <w:rPr>
          <w:b/>
          <w:i/>
          <w:iCs/>
        </w:rPr>
        <w:t>In connection with a statistical survey, that is not designed to produce valid and reliable result that can be generalized to the universe of study;</w:t>
      </w:r>
    </w:p>
    <w:p w:rsidRPr="008823D6" w:rsidR="002D6175" w:rsidP="00CA7FCF" w:rsidRDefault="002D6175" w14:paraId="6A9D198D" w14:textId="77777777">
      <w:pPr>
        <w:numPr>
          <w:ilvl w:val="1"/>
          <w:numId w:val="1"/>
        </w:numPr>
        <w:tabs>
          <w:tab w:val="clear" w:pos="1440"/>
        </w:tabs>
        <w:ind w:left="1080"/>
        <w:contextualSpacing/>
        <w:rPr>
          <w:b/>
          <w:i/>
          <w:iCs/>
        </w:rPr>
      </w:pPr>
      <w:r w:rsidRPr="008823D6">
        <w:rPr>
          <w:b/>
          <w:i/>
          <w:iCs/>
        </w:rPr>
        <w:t>Requiring the use of a statistical data classification that has not been reviewed and approved by OMB;</w:t>
      </w:r>
    </w:p>
    <w:p w:rsidRPr="008823D6" w:rsidR="002D6175" w:rsidP="00CA7FCF" w:rsidRDefault="002D6175" w14:paraId="27EA2857" w14:textId="77777777">
      <w:pPr>
        <w:numPr>
          <w:ilvl w:val="1"/>
          <w:numId w:val="1"/>
        </w:numPr>
        <w:tabs>
          <w:tab w:val="clear" w:pos="1440"/>
        </w:tabs>
        <w:ind w:left="1080"/>
        <w:contextualSpacing/>
        <w:rPr>
          <w:b/>
          <w:i/>
          <w:iCs/>
        </w:rPr>
      </w:pPr>
      <w:r w:rsidRPr="008823D6">
        <w:rPr>
          <w:b/>
          <w:i/>
          <w:iCs/>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8823D6" w:rsidR="002D6175" w:rsidP="00CA7FCF" w:rsidRDefault="002D6175" w14:paraId="5D1A5D95" w14:textId="77777777">
      <w:pPr>
        <w:numPr>
          <w:ilvl w:val="1"/>
          <w:numId w:val="1"/>
        </w:numPr>
        <w:tabs>
          <w:tab w:val="clear" w:pos="1440"/>
        </w:tabs>
        <w:ind w:left="1080"/>
        <w:contextualSpacing/>
        <w:rPr>
          <w:b/>
          <w:i/>
          <w:iCs/>
        </w:rPr>
      </w:pPr>
      <w:r w:rsidRPr="008823D6">
        <w:rPr>
          <w:b/>
          <w:i/>
          <w:iCs/>
        </w:rPr>
        <w:t>Requiring respondents to submit proprietary trade secret, or other confidential information unless the agency can demonstrate that it has instituted procedures to protect the information’s confidentiality to the extent permitted by law.</w:t>
      </w:r>
    </w:p>
    <w:p w:rsidR="002D6175" w:rsidP="00CA7FCF" w:rsidRDefault="002D6175" w14:paraId="7C7BCD50" w14:textId="5784FE03">
      <w:pPr>
        <w:ind w:left="360"/>
        <w:contextualSpacing/>
      </w:pPr>
    </w:p>
    <w:p w:rsidR="00146EFB" w:rsidP="00CA7FCF" w:rsidRDefault="00146EFB" w14:paraId="7232E468" w14:textId="19350345">
      <w:pPr>
        <w:ind w:left="720"/>
        <w:contextualSpacing/>
      </w:pPr>
      <w:r>
        <w:lastRenderedPageBreak/>
        <w:t xml:space="preserve">Because this exemption is granted under section 408(a) of ERISA and section 4975(c)(2) of the Code, the exclusion from the </w:t>
      </w:r>
      <w:r w:rsidR="00526670">
        <w:t>three-year</w:t>
      </w:r>
      <w:r>
        <w:t xml:space="preserve"> guideline for record retention set forth in 5 CFR 1320.5 is applicable.  Furthermore, as a result of statutory recordkeeping requirements in ERISA, the Code, and other federal laws, </w:t>
      </w:r>
      <w:r w:rsidR="00421E99">
        <w:t xml:space="preserve">financial institutions </w:t>
      </w:r>
      <w:r>
        <w:t>th</w:t>
      </w:r>
      <w:r w:rsidR="00421E99">
        <w:t>at rely on t</w:t>
      </w:r>
      <w:r>
        <w:t>his exemption, for the most part, have adopted six-year recordkeeping as standard business practice in order to satisfy those separate recordkeeping requirements.</w:t>
      </w:r>
    </w:p>
    <w:p w:rsidR="002D6175" w:rsidP="00CA7FCF" w:rsidRDefault="002D6175" w14:paraId="24118D9C" w14:textId="35463BB3">
      <w:pPr>
        <w:ind w:left="360"/>
        <w:contextualSpacing/>
      </w:pPr>
    </w:p>
    <w:p w:rsidRPr="00601E48" w:rsidR="00601E48" w:rsidP="00585DB6" w:rsidRDefault="00601E48" w14:paraId="381C4596" w14:textId="42025FED">
      <w:pPr>
        <w:numPr>
          <w:ilvl w:val="0"/>
          <w:numId w:val="1"/>
        </w:numPr>
        <w:tabs>
          <w:tab w:val="clear" w:pos="1080"/>
        </w:tabs>
        <w:ind w:left="720"/>
        <w:contextualSpacing/>
        <w:rPr>
          <w:b/>
          <w:i/>
          <w:iCs/>
        </w:rPr>
      </w:pPr>
      <w:r w:rsidRPr="00601E48">
        <w:rPr>
          <w:b/>
          <w:i/>
          <w:iCs/>
        </w:rPr>
        <w:t xml:space="preserve">If applicable, provide a copy and identify the date and page number of publication in the </w:t>
      </w:r>
      <w:r w:rsidRPr="00601E48">
        <w:rPr>
          <w:b/>
          <w:i/>
          <w:iCs/>
          <w:u w:val="single"/>
        </w:rPr>
        <w:t xml:space="preserve">Federal Register </w:t>
      </w:r>
      <w:r w:rsidRPr="00601E48">
        <w:rPr>
          <w:b/>
          <w:i/>
          <w:iCs/>
        </w:rPr>
        <w:t>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601E48" w:rsidR="00601E48" w:rsidP="00585DB6" w:rsidRDefault="00601E48" w14:paraId="7026E8CD" w14:textId="77777777">
      <w:pPr>
        <w:ind w:left="720"/>
        <w:contextualSpacing/>
        <w:rPr>
          <w:b/>
          <w:i/>
          <w:iCs/>
        </w:rPr>
      </w:pPr>
    </w:p>
    <w:p w:rsidRPr="00601E48" w:rsidR="00601E48" w:rsidP="00585DB6" w:rsidRDefault="00601E48" w14:paraId="00E7BC4B" w14:textId="77777777">
      <w:pPr>
        <w:ind w:left="720"/>
        <w:contextualSpacing/>
        <w:rPr>
          <w:b/>
          <w:i/>
          <w:iCs/>
        </w:rPr>
      </w:pPr>
      <w:r w:rsidRPr="00601E48">
        <w:rPr>
          <w:b/>
          <w:i/>
          <w:iCs/>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rsidRPr="00601E48" w:rsidR="00601E48" w:rsidP="00585DB6" w:rsidRDefault="00601E48" w14:paraId="0F05C4B9" w14:textId="77777777">
      <w:pPr>
        <w:ind w:left="720"/>
        <w:contextualSpacing/>
        <w:rPr>
          <w:b/>
          <w:i/>
          <w:iCs/>
        </w:rPr>
      </w:pPr>
    </w:p>
    <w:p w:rsidR="00601E48" w:rsidP="00585DB6" w:rsidRDefault="00601E48" w14:paraId="1E1FB8D4" w14:textId="6B58984A">
      <w:pPr>
        <w:ind w:left="720"/>
        <w:contextualSpacing/>
        <w:rPr>
          <w:b/>
          <w:i/>
        </w:rPr>
      </w:pPr>
      <w:r w:rsidRPr="00601E48">
        <w:rPr>
          <w:b/>
          <w:i/>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601E48" w:rsidP="00585DB6" w:rsidRDefault="00601E48" w14:paraId="40D739BB" w14:textId="1BCE95AD">
      <w:pPr>
        <w:contextualSpacing/>
        <w:rPr>
          <w:b/>
          <w:i/>
        </w:rPr>
      </w:pPr>
    </w:p>
    <w:p w:rsidRPr="00B42BD6" w:rsidR="00B42BD6" w:rsidP="00B42BD6" w:rsidRDefault="00B42BD6" w14:paraId="2BCABAF8" w14:textId="2DDF05B0">
      <w:pPr>
        <w:ind w:left="720"/>
        <w:rPr>
          <w:bCs/>
        </w:rPr>
      </w:pPr>
      <w:r w:rsidRPr="00B42BD6">
        <w:rPr>
          <w:bCs/>
        </w:rPr>
        <w:t>The notification of proposed class exemption provided the public with thirty days to comment on the information collections contained therein and was published notice on Ju</w:t>
      </w:r>
      <w:r w:rsidR="00C750B7">
        <w:rPr>
          <w:bCs/>
        </w:rPr>
        <w:t>ly</w:t>
      </w:r>
      <w:r w:rsidRPr="00B42BD6">
        <w:rPr>
          <w:bCs/>
        </w:rPr>
        <w:t xml:space="preserve"> </w:t>
      </w:r>
      <w:r w:rsidR="00C750B7">
        <w:rPr>
          <w:bCs/>
        </w:rPr>
        <w:t>7</w:t>
      </w:r>
      <w:r w:rsidRPr="00B42BD6">
        <w:rPr>
          <w:bCs/>
        </w:rPr>
        <w:t xml:space="preserve">, 2020 (85 FR 40834). </w:t>
      </w:r>
      <w:r w:rsidR="005A518E">
        <w:rPr>
          <w:bCs/>
        </w:rPr>
        <w:t xml:space="preserve"> </w:t>
      </w:r>
      <w:r w:rsidRPr="00B42BD6">
        <w:rPr>
          <w:bCs/>
        </w:rPr>
        <w:t xml:space="preserve">In response to the proposed </w:t>
      </w:r>
      <w:r w:rsidR="00C750B7">
        <w:rPr>
          <w:bCs/>
        </w:rPr>
        <w:t>exemption</w:t>
      </w:r>
      <w:r w:rsidRPr="00B42BD6">
        <w:rPr>
          <w:bCs/>
        </w:rPr>
        <w:t xml:space="preserve">, the Department </w:t>
      </w:r>
      <w:r w:rsidR="001179A6">
        <w:rPr>
          <w:bCs/>
        </w:rPr>
        <w:t xml:space="preserve">held a virtual public hearing on September 4, 2020, and </w:t>
      </w:r>
      <w:r w:rsidRPr="00B42BD6">
        <w:rPr>
          <w:bCs/>
        </w:rPr>
        <w:t xml:space="preserve">received 106 comment letters. These comment letters represented the views of, among others, financial institutions, employers, </w:t>
      </w:r>
      <w:r w:rsidR="00C750B7">
        <w:rPr>
          <w:bCs/>
        </w:rPr>
        <w:t>worker</w:t>
      </w:r>
      <w:r w:rsidRPr="00B42BD6">
        <w:rPr>
          <w:bCs/>
        </w:rPr>
        <w:t xml:space="preserve">s, and service providers to pension benefit plans.  An extensive discussion of and the Departments’ responses to those comments are contained in the preamble accompanying the final </w:t>
      </w:r>
      <w:r w:rsidR="00C750B7">
        <w:rPr>
          <w:bCs/>
        </w:rPr>
        <w:t>exemption</w:t>
      </w:r>
      <w:r w:rsidRPr="00B42BD6">
        <w:rPr>
          <w:bCs/>
        </w:rPr>
        <w:t xml:space="preserve">.  The comments can be found at: </w:t>
      </w:r>
      <w:hyperlink w:history="1" r:id="rId11">
        <w:r w:rsidRPr="00B42BD6">
          <w:rPr>
            <w:rStyle w:val="Hyperlink"/>
            <w:bCs/>
          </w:rPr>
          <w:t>https://www.</w:t>
        </w:r>
        <w:r w:rsidRPr="00B42BD6">
          <w:rPr>
            <w:rStyle w:val="Hyperlink"/>
          </w:rPr>
          <w:t xml:space="preserve"> </w:t>
        </w:r>
        <w:r w:rsidRPr="00B42BD6">
          <w:rPr>
            <w:rStyle w:val="Hyperlink"/>
            <w:bCs/>
          </w:rPr>
          <w:t>https://www.dol.gov/agencies/ebsa/laws-and-regulations/rules-and-regulations/public-comments/1210-ZA29</w:t>
        </w:r>
      </w:hyperlink>
      <w:r w:rsidRPr="00B42BD6">
        <w:rPr>
          <w:bCs/>
        </w:rPr>
        <w:t>.</w:t>
      </w:r>
    </w:p>
    <w:p w:rsidR="00396341" w:rsidP="00824921" w:rsidRDefault="00396341" w14:paraId="622A478C" w14:textId="4CE1801E">
      <w:pPr>
        <w:ind w:left="720"/>
        <w:rPr>
          <w:bCs/>
        </w:rPr>
      </w:pPr>
    </w:p>
    <w:p w:rsidR="007B64BA" w:rsidP="00824921" w:rsidRDefault="00396341" w14:paraId="31439CBA" w14:textId="0C533C1D">
      <w:pPr>
        <w:ind w:left="720"/>
      </w:pPr>
      <w:r w:rsidRPr="00396341">
        <w:rPr>
          <w:bCs/>
        </w:rPr>
        <w:t>The Department sought comments in the propos</w:t>
      </w:r>
      <w:r w:rsidR="00EC6848">
        <w:rPr>
          <w:bCs/>
        </w:rPr>
        <w:t>al</w:t>
      </w:r>
      <w:r w:rsidRPr="00396341">
        <w:rPr>
          <w:bCs/>
        </w:rPr>
        <w:t xml:space="preserve"> on the costs associated with the required disclosures.  In response, a commenter argued that the associated hourly wage of a legal professional used in the Department’s cost estimate did not correspond to that of a compliance counselor.  </w:t>
      </w:r>
      <w:r w:rsidR="00D0461A">
        <w:rPr>
          <w:bCs/>
        </w:rPr>
        <w:t xml:space="preserve">This </w:t>
      </w:r>
      <w:r w:rsidRPr="00FF4ACD" w:rsidR="00D0461A">
        <w:t xml:space="preserve">commenter </w:t>
      </w:r>
      <w:r w:rsidR="00D0461A">
        <w:t xml:space="preserve">further asserted </w:t>
      </w:r>
      <w:r w:rsidRPr="00FF4ACD" w:rsidR="00D0461A">
        <w:t xml:space="preserve">that the wage suggested the Department believed such compliance activities would be handled by junior attorneys, rather than more senior compliance counsel. </w:t>
      </w:r>
      <w:r w:rsidR="0073542B">
        <w:t xml:space="preserve"> </w:t>
      </w:r>
      <w:r w:rsidR="00D0461A">
        <w:t>I</w:t>
      </w:r>
      <w:r w:rsidRPr="00FF4ACD" w:rsidR="00D0461A">
        <w:t xml:space="preserve">n the proposal, the Department applied an hourly rate for compliance attorneys based on the U.S. Bureau of Labor Statistics’ </w:t>
      </w:r>
      <w:r w:rsidRPr="00FF4ACD" w:rsidR="00D0461A">
        <w:lastRenderedPageBreak/>
        <w:t>average attorney hourly rate.</w:t>
      </w:r>
      <w:r w:rsidRPr="00FF4ACD" w:rsidR="00D0461A">
        <w:rPr>
          <w:vertAlign w:val="superscript"/>
        </w:rPr>
        <w:footnoteReference w:id="5"/>
      </w:r>
      <w:r w:rsidRPr="00FF4ACD" w:rsidR="00D0461A">
        <w:t xml:space="preserve">  </w:t>
      </w:r>
      <w:r w:rsidR="00EC6848">
        <w:t>I</w:t>
      </w:r>
      <w:r w:rsidR="00A7034D">
        <w:t>n response to this commenter</w:t>
      </w:r>
      <w:r w:rsidR="00F023CF">
        <w:t>,</w:t>
      </w:r>
      <w:r w:rsidR="00A7034D">
        <w:t xml:space="preserve"> </w:t>
      </w:r>
      <w:r w:rsidR="00C05C99">
        <w:t xml:space="preserve">for the cost estimation in the final exemption, </w:t>
      </w:r>
      <w:r w:rsidR="00A7034D">
        <w:rPr>
          <w:bCs/>
        </w:rPr>
        <w:t xml:space="preserve">the Department </w:t>
      </w:r>
      <w:r w:rsidR="00F023CF">
        <w:rPr>
          <w:bCs/>
        </w:rPr>
        <w:t>increased</w:t>
      </w:r>
      <w:r w:rsidR="00A7034D">
        <w:rPr>
          <w:bCs/>
        </w:rPr>
        <w:t xml:space="preserve"> its</w:t>
      </w:r>
      <w:r w:rsidRPr="00396341" w:rsidR="00A7034D">
        <w:rPr>
          <w:bCs/>
        </w:rPr>
        <w:t xml:space="preserve"> legal professional’s hourly labor rate </w:t>
      </w:r>
      <w:r w:rsidR="007B6DDC">
        <w:rPr>
          <w:bCs/>
        </w:rPr>
        <w:t>from $138.41</w:t>
      </w:r>
      <w:r w:rsidRPr="00B42BD6" w:rsidR="007B6DDC">
        <w:rPr>
          <w:bCs/>
        </w:rPr>
        <w:t xml:space="preserve"> to</w:t>
      </w:r>
      <w:r w:rsidR="007B6DDC">
        <w:rPr>
          <w:bCs/>
        </w:rPr>
        <w:t xml:space="preserve"> </w:t>
      </w:r>
      <w:r w:rsidRPr="00984410" w:rsidR="007B6DDC">
        <w:rPr>
          <w:bCs/>
        </w:rPr>
        <w:t>$365.39</w:t>
      </w:r>
      <w:r w:rsidR="007B6DDC">
        <w:rPr>
          <w:bCs/>
        </w:rPr>
        <w:t xml:space="preserve"> </w:t>
      </w:r>
      <w:r w:rsidRPr="00396341" w:rsidR="00A7034D">
        <w:rPr>
          <w:bCs/>
        </w:rPr>
        <w:t>to reflect the typical compensation of those who provide such services to Financial Institutions.</w:t>
      </w:r>
      <w:r w:rsidR="002F1174">
        <w:rPr>
          <w:rStyle w:val="FootnoteReference"/>
          <w:bCs/>
        </w:rPr>
        <w:footnoteReference w:id="6"/>
      </w:r>
      <w:r w:rsidRPr="00B42BD6" w:rsidR="002F1174">
        <w:rPr>
          <w:bCs/>
        </w:rPr>
        <w:t xml:space="preserve"> </w:t>
      </w:r>
      <w:r w:rsidRPr="00396341" w:rsidR="00A7034D">
        <w:rPr>
          <w:bCs/>
        </w:rPr>
        <w:t xml:space="preserve"> </w:t>
      </w:r>
      <w:r w:rsidRPr="00396341">
        <w:rPr>
          <w:bCs/>
        </w:rPr>
        <w:t xml:space="preserve">The Department </w:t>
      </w:r>
      <w:r w:rsidR="00C05C99">
        <w:rPr>
          <w:bCs/>
        </w:rPr>
        <w:t>mad</w:t>
      </w:r>
      <w:r w:rsidR="000D2F74">
        <w:rPr>
          <w:bCs/>
        </w:rPr>
        <w:t>e</w:t>
      </w:r>
      <w:r w:rsidR="00C05C99">
        <w:rPr>
          <w:bCs/>
        </w:rPr>
        <w:t xml:space="preserve"> this adjustment </w:t>
      </w:r>
      <w:r w:rsidR="0012486A">
        <w:rPr>
          <w:bCs/>
        </w:rPr>
        <w:t>to</w:t>
      </w:r>
      <w:r w:rsidR="00EC6848">
        <w:rPr>
          <w:bCs/>
        </w:rPr>
        <w:t xml:space="preserve"> </w:t>
      </w:r>
      <w:r w:rsidRPr="00396341">
        <w:rPr>
          <w:bCs/>
        </w:rPr>
        <w:t>acknowledge</w:t>
      </w:r>
      <w:r w:rsidR="000D2F74">
        <w:rPr>
          <w:bCs/>
        </w:rPr>
        <w:t xml:space="preserve"> it is</w:t>
      </w:r>
      <w:r w:rsidRPr="00396341">
        <w:rPr>
          <w:bCs/>
        </w:rPr>
        <w:t xml:space="preserve"> importan</w:t>
      </w:r>
      <w:r w:rsidR="000D2F74">
        <w:rPr>
          <w:bCs/>
        </w:rPr>
        <w:t>t</w:t>
      </w:r>
      <w:r w:rsidRPr="00396341">
        <w:rPr>
          <w:bCs/>
        </w:rPr>
        <w:t xml:space="preserve"> </w:t>
      </w:r>
      <w:r w:rsidR="000D2F74">
        <w:rPr>
          <w:bCs/>
        </w:rPr>
        <w:t>to</w:t>
      </w:r>
      <w:r w:rsidRPr="00396341">
        <w:rPr>
          <w:bCs/>
        </w:rPr>
        <w:t xml:space="preserve"> tak</w:t>
      </w:r>
      <w:r w:rsidR="000D2F74">
        <w:rPr>
          <w:bCs/>
        </w:rPr>
        <w:t>e</w:t>
      </w:r>
      <w:r w:rsidRPr="00396341">
        <w:rPr>
          <w:bCs/>
        </w:rPr>
        <w:t xml:space="preserve"> into account the level of experience and specialization of legal professionals in charge of compliance testing. </w:t>
      </w:r>
      <w:r w:rsidR="0073542B">
        <w:rPr>
          <w:bCs/>
        </w:rPr>
        <w:t xml:space="preserve"> </w:t>
      </w:r>
      <w:r w:rsidR="00EC6848">
        <w:t>Therefore</w:t>
      </w:r>
      <w:r w:rsidRPr="00FF4ACD">
        <w:t>, the Department’s new cost burden analys</w:t>
      </w:r>
      <w:r w:rsidR="00EC6848">
        <w:t>e</w:t>
      </w:r>
      <w:r w:rsidRPr="00FF4ACD">
        <w:t>s reflect the hourly wage of senior compliance attorneys in the financial services sector.</w:t>
      </w:r>
      <w:r w:rsidRPr="00FF4ACD">
        <w:rPr>
          <w:vertAlign w:val="superscript"/>
        </w:rPr>
        <w:footnoteReference w:id="7"/>
      </w:r>
      <w:r w:rsidRPr="00FF4ACD">
        <w:t xml:space="preserve">  </w:t>
      </w:r>
    </w:p>
    <w:p w:rsidR="007B64BA" w:rsidP="00824921" w:rsidRDefault="007B64BA" w14:paraId="0068A147" w14:textId="77777777">
      <w:pPr>
        <w:ind w:left="720"/>
      </w:pPr>
    </w:p>
    <w:p w:rsidRPr="00824921" w:rsidR="00B42BD6" w:rsidP="00824921" w:rsidRDefault="00B42BD6" w14:paraId="59C22BF9" w14:textId="7035CC2B">
      <w:pPr>
        <w:ind w:left="720"/>
        <w:rPr>
          <w:bCs/>
        </w:rPr>
      </w:pPr>
      <w:r w:rsidRPr="00B42BD6">
        <w:t xml:space="preserve">Similarly, one commenter mentioned that Financial Institutions would likely revise their </w:t>
      </w:r>
      <w:r w:rsidR="001C70AA">
        <w:t xml:space="preserve">annual </w:t>
      </w:r>
      <w:r w:rsidRPr="00B42BD6">
        <w:t xml:space="preserve">retrospective review reports to fully comply with the exemption, even if they already produce the reports to comply with other regulators or to voluntarily improve their compliance system.  The Department accepted this comment too and incorporated </w:t>
      </w:r>
      <w:r w:rsidR="0012486A">
        <w:t xml:space="preserve">it </w:t>
      </w:r>
      <w:r w:rsidRPr="00B42BD6">
        <w:t>in its compliance cost estimates</w:t>
      </w:r>
      <w:r w:rsidR="001C70AA">
        <w:t>.</w:t>
      </w:r>
      <w:r w:rsidRPr="00B42BD6">
        <w:t xml:space="preserve"> </w:t>
      </w:r>
      <w:r w:rsidR="0073542B">
        <w:t xml:space="preserve"> </w:t>
      </w:r>
      <w:r w:rsidR="001C70AA">
        <w:t xml:space="preserve">Thus, </w:t>
      </w:r>
      <w:r w:rsidR="0012486A">
        <w:t xml:space="preserve">the </w:t>
      </w:r>
      <w:r w:rsidRPr="00B42BD6">
        <w:t xml:space="preserve">potential burden increases on </w:t>
      </w:r>
      <w:r w:rsidRPr="001C70AA">
        <w:rPr>
          <w:i/>
        </w:rPr>
        <w:t>all</w:t>
      </w:r>
      <w:r w:rsidRPr="00B42BD6">
        <w:t xml:space="preserve"> entities relying on this exemption, regardless of whether they already </w:t>
      </w:r>
      <w:r w:rsidR="00A9081A">
        <w:t>produce</w:t>
      </w:r>
      <w:r w:rsidR="007B64BA">
        <w:t xml:space="preserve"> </w:t>
      </w:r>
      <w:r w:rsidR="001C70AA">
        <w:t xml:space="preserve">annual </w:t>
      </w:r>
      <w:r w:rsidR="007B64BA">
        <w:t xml:space="preserve">retrospective reviews </w:t>
      </w:r>
      <w:r w:rsidRPr="00B42BD6">
        <w:t xml:space="preserve">reports.  </w:t>
      </w:r>
    </w:p>
    <w:p w:rsidRPr="00B42BD6" w:rsidR="00B42BD6" w:rsidP="00B42BD6" w:rsidRDefault="00B42BD6" w14:paraId="55C90567" w14:textId="6A830D40">
      <w:pPr>
        <w:ind w:left="720"/>
        <w:rPr>
          <w:bCs/>
        </w:rPr>
      </w:pPr>
    </w:p>
    <w:p w:rsidRPr="00B42BD6" w:rsidR="00B42BD6" w:rsidP="00B42BD6" w:rsidRDefault="00B42BD6" w14:paraId="1BE122F4" w14:textId="486E5412">
      <w:pPr>
        <w:ind w:left="720"/>
        <w:rPr>
          <w:bCs/>
        </w:rPr>
      </w:pPr>
      <w:r w:rsidRPr="00B42BD6">
        <w:rPr>
          <w:bCs/>
        </w:rPr>
        <w:t xml:space="preserve">One commenter stated that the Department’s expectation </w:t>
      </w:r>
      <w:r w:rsidR="0012486A">
        <w:rPr>
          <w:bCs/>
        </w:rPr>
        <w:t xml:space="preserve">that </w:t>
      </w:r>
      <w:r w:rsidRPr="00B42BD6">
        <w:rPr>
          <w:bCs/>
        </w:rPr>
        <w:t xml:space="preserve">many </w:t>
      </w:r>
      <w:r w:rsidR="00D25B21">
        <w:rPr>
          <w:bCs/>
        </w:rPr>
        <w:t>f</w:t>
      </w:r>
      <w:r w:rsidRPr="00B42BD6">
        <w:rPr>
          <w:bCs/>
        </w:rPr>
        <w:t xml:space="preserve">inancial </w:t>
      </w:r>
      <w:r w:rsidR="00D25B21">
        <w:rPr>
          <w:bCs/>
        </w:rPr>
        <w:t>i</w:t>
      </w:r>
      <w:r w:rsidRPr="00B42BD6">
        <w:rPr>
          <w:bCs/>
        </w:rPr>
        <w:t xml:space="preserve">nstitutions already document significant decisions, like rollovers, was not realistic.  However, a report commissioned by this commenter found that slightly more than half (52 percent) of asset management firms implementing Regulation Best Interest </w:t>
      </w:r>
      <w:r w:rsidR="007B64BA">
        <w:rPr>
          <w:bCs/>
        </w:rPr>
        <w:t xml:space="preserve">established internal policies and procedures that </w:t>
      </w:r>
      <w:r w:rsidRPr="00B42BD6">
        <w:rPr>
          <w:bCs/>
        </w:rPr>
        <w:t>require their financial service professionals to document rollover recommendations.  About half require documentation on all recommendations, while 56 percent require documentation for specific product recommendations, such as mutual funds and variable annuities.</w:t>
      </w:r>
      <w:r w:rsidR="001F1E53">
        <w:rPr>
          <w:rStyle w:val="FootnoteReference"/>
          <w:bCs/>
        </w:rPr>
        <w:footnoteReference w:id="8"/>
      </w:r>
      <w:r w:rsidRPr="00B42BD6">
        <w:rPr>
          <w:bCs/>
        </w:rPr>
        <w:t xml:space="preserve">  Since Regulation Best Interest is now in effect, the </w:t>
      </w:r>
      <w:r w:rsidRPr="00B42BD6">
        <w:rPr>
          <w:bCs/>
        </w:rPr>
        <w:lastRenderedPageBreak/>
        <w:t xml:space="preserve">Department expects that these </w:t>
      </w:r>
      <w:r w:rsidR="00D25B21">
        <w:rPr>
          <w:bCs/>
        </w:rPr>
        <w:t>f</w:t>
      </w:r>
      <w:r w:rsidRPr="00B42BD6">
        <w:rPr>
          <w:bCs/>
        </w:rPr>
        <w:t xml:space="preserve">inancial </w:t>
      </w:r>
      <w:r w:rsidR="00D25B21">
        <w:rPr>
          <w:bCs/>
        </w:rPr>
        <w:t>i</w:t>
      </w:r>
      <w:r w:rsidRPr="00B42BD6">
        <w:rPr>
          <w:bCs/>
        </w:rPr>
        <w:t xml:space="preserve">nstitutions already are implementing these policies and procedures.  Therefore, the Department assumes that 52 percent of </w:t>
      </w:r>
      <w:r w:rsidR="00D25B21">
        <w:rPr>
          <w:bCs/>
        </w:rPr>
        <w:t>f</w:t>
      </w:r>
      <w:r w:rsidRPr="00B42BD6">
        <w:rPr>
          <w:bCs/>
        </w:rPr>
        <w:t xml:space="preserve">inancial </w:t>
      </w:r>
      <w:r w:rsidR="00D25B21">
        <w:rPr>
          <w:bCs/>
        </w:rPr>
        <w:t>i</w:t>
      </w:r>
      <w:r w:rsidRPr="00B42BD6">
        <w:rPr>
          <w:bCs/>
        </w:rPr>
        <w:t>nstitutions already require documentation for rollover recommendations, and thus will face no more than a</w:t>
      </w:r>
      <w:r w:rsidR="00B714D5">
        <w:rPr>
          <w:bCs/>
        </w:rPr>
        <w:t xml:space="preserve"> nominal</w:t>
      </w:r>
      <w:r w:rsidRPr="00B42BD6">
        <w:rPr>
          <w:bCs/>
        </w:rPr>
        <w:t xml:space="preserve"> burden increase.  The remaining 48 percent will face a larger burden increase to implement new documentation procedures for rollover recommendations. </w:t>
      </w:r>
    </w:p>
    <w:p w:rsidRPr="00B42BD6" w:rsidR="00B42BD6" w:rsidP="00B42BD6" w:rsidRDefault="00B42BD6" w14:paraId="270698A6" w14:textId="77777777">
      <w:pPr>
        <w:ind w:left="720"/>
      </w:pPr>
    </w:p>
    <w:p w:rsidRPr="00B42BD6" w:rsidR="00B42BD6" w:rsidP="00B42BD6" w:rsidRDefault="00B42BD6" w14:paraId="431AE003" w14:textId="34BD05E1">
      <w:pPr>
        <w:ind w:left="720"/>
        <w:rPr>
          <w:bCs/>
        </w:rPr>
      </w:pPr>
      <w:r w:rsidRPr="00B42BD6">
        <w:rPr>
          <w:bCs/>
        </w:rPr>
        <w:t xml:space="preserve">In addition, </w:t>
      </w:r>
      <w:r w:rsidR="00B714D5">
        <w:rPr>
          <w:bCs/>
        </w:rPr>
        <w:t xml:space="preserve">in the proposal, </w:t>
      </w:r>
      <w:r w:rsidRPr="00B42BD6">
        <w:rPr>
          <w:bCs/>
        </w:rPr>
        <w:t>the Department invited comments about financial services professionals’ practices related to documenting rollover recommendations, particularly whether financial services professionals often use a form with a list of common reasons for rollovers and how long, on average, it would take for a financial services professional to document a rollover recommendation.  One commenter stated that the Department’s estimate</w:t>
      </w:r>
      <w:r w:rsidR="00A9081A">
        <w:rPr>
          <w:bCs/>
        </w:rPr>
        <w:t>d</w:t>
      </w:r>
      <w:r w:rsidRPr="00B42BD6">
        <w:rPr>
          <w:bCs/>
        </w:rPr>
        <w:t xml:space="preserve"> </w:t>
      </w:r>
      <w:r w:rsidR="00A9081A">
        <w:rPr>
          <w:bCs/>
        </w:rPr>
        <w:t xml:space="preserve">burden hour </w:t>
      </w:r>
      <w:r w:rsidRPr="00B42BD6">
        <w:rPr>
          <w:bCs/>
        </w:rPr>
        <w:t xml:space="preserve">was ambitious but reasonable, particularly for firms using compliance software to automate this process.  This commenter, however, pointed out that the Department did not take into account the cost associated with purchasing compliance software.  According to this commenter, the Department’s low </w:t>
      </w:r>
      <w:r w:rsidR="00A9081A">
        <w:rPr>
          <w:bCs/>
        </w:rPr>
        <w:t xml:space="preserve">cost </w:t>
      </w:r>
      <w:r w:rsidRPr="00B42BD6">
        <w:rPr>
          <w:bCs/>
        </w:rPr>
        <w:t>estimate for documenting rollovers suggests that hasty and superficial analysis would satisfy this requirement.  The Department disagrees with this claim.  As explained in the proposal, the Department did not expect this requirement to create an undue burden for the following reasons: (1) financial services professionals generally seek and gather information on investor profiles in accordance with other regulators’ rules; and (2) as a best practice, financial professionals often discuss the basis for their recommendations and associated risks with their clients.</w:t>
      </w:r>
      <w:r w:rsidRPr="00B42BD6">
        <w:rPr>
          <w:bCs/>
          <w:vertAlign w:val="superscript"/>
        </w:rPr>
        <w:footnoteReference w:id="9"/>
      </w:r>
      <w:r w:rsidRPr="00B42BD6">
        <w:rPr>
          <w:bCs/>
        </w:rPr>
        <w:t xml:space="preserve">  Because financial professionals already collect relevant information and discuss the basis for certain recommendations with clients, document</w:t>
      </w:r>
      <w:r w:rsidR="005E06FE">
        <w:rPr>
          <w:bCs/>
        </w:rPr>
        <w:t>ing</w:t>
      </w:r>
      <w:r w:rsidRPr="00B42BD6">
        <w:rPr>
          <w:bCs/>
        </w:rPr>
        <w:t xml:space="preserve"> such information with respect to rollover recommendations</w:t>
      </w:r>
      <w:r w:rsidR="005E06FE">
        <w:rPr>
          <w:bCs/>
        </w:rPr>
        <w:t xml:space="preserve"> would add only incremental burden</w:t>
      </w:r>
      <w:r w:rsidRPr="00B42BD6">
        <w:rPr>
          <w:bCs/>
        </w:rPr>
        <w:t xml:space="preserve">.  </w:t>
      </w:r>
      <w:r w:rsidR="00643053">
        <w:rPr>
          <w:bCs/>
        </w:rPr>
        <w:t xml:space="preserve">Furthermore, </w:t>
      </w:r>
      <w:r w:rsidR="00643053">
        <w:t>a recent report indicated that</w:t>
      </w:r>
      <w:r w:rsidRPr="00FF4ACD" w:rsidR="00643053">
        <w:t xml:space="preserve"> approximately three out of four firms surveyed would change their technology in response to</w:t>
      </w:r>
      <w:r w:rsidR="00643053">
        <w:t xml:space="preserve"> </w:t>
      </w:r>
      <w:r w:rsidRPr="00FF4ACD" w:rsidR="00643053">
        <w:t>Regulation Best Interest before it became effective.</w:t>
      </w:r>
      <w:r w:rsidR="00643053">
        <w:rPr>
          <w:rStyle w:val="FootnoteReference"/>
        </w:rPr>
        <w:footnoteReference w:id="10"/>
      </w:r>
      <w:r w:rsidRPr="00FF4ACD" w:rsidR="00643053">
        <w:t xml:space="preserve">  </w:t>
      </w:r>
      <w:r w:rsidR="005E06FE">
        <w:t xml:space="preserve">This suggests that most </w:t>
      </w:r>
      <w:r w:rsidR="00F54A1D">
        <w:t>f</w:t>
      </w:r>
      <w:r w:rsidR="005E06FE">
        <w:t xml:space="preserve">inancial </w:t>
      </w:r>
      <w:r w:rsidR="00F54A1D">
        <w:t>i</w:t>
      </w:r>
      <w:r w:rsidR="005E06FE">
        <w:t xml:space="preserve">nstitutions </w:t>
      </w:r>
      <w:r w:rsidR="00D2634C">
        <w:t xml:space="preserve">likely </w:t>
      </w:r>
      <w:r w:rsidR="005E06FE">
        <w:t xml:space="preserve">enhanced their technology </w:t>
      </w:r>
      <w:r w:rsidR="00D2634C">
        <w:t xml:space="preserve">recently </w:t>
      </w:r>
      <w:r w:rsidR="005E06FE">
        <w:t>to comply with other regulat</w:t>
      </w:r>
      <w:r w:rsidR="00D2634C">
        <w:t>or’s rule</w:t>
      </w:r>
      <w:r w:rsidR="005E06FE">
        <w:t xml:space="preserve">. </w:t>
      </w:r>
      <w:r w:rsidRPr="00FF4ACD" w:rsidR="00643053">
        <w:t xml:space="preserve">Some </w:t>
      </w:r>
      <w:r w:rsidR="00F54A1D">
        <w:t>f</w:t>
      </w:r>
      <w:r w:rsidRPr="00FF4ACD" w:rsidR="00643053">
        <w:t xml:space="preserve">inancial </w:t>
      </w:r>
      <w:r w:rsidR="00F54A1D">
        <w:t>i</w:t>
      </w:r>
      <w:r w:rsidRPr="00FF4ACD" w:rsidR="00643053">
        <w:t xml:space="preserve">nstitutions might have elected not to enhance their technologies in the wake of Regulation Best Interest because they recently updated their technology capabilities or decided to rely more on manual processes.  This implies that most </w:t>
      </w:r>
      <w:r w:rsidR="00F54A1D">
        <w:t>f</w:t>
      </w:r>
      <w:r w:rsidRPr="00FF4ACD" w:rsidR="00643053">
        <w:t xml:space="preserve">inancial </w:t>
      </w:r>
      <w:r w:rsidR="00F54A1D">
        <w:t>i</w:t>
      </w:r>
      <w:r w:rsidRPr="00FF4ACD" w:rsidR="00643053">
        <w:t xml:space="preserve">nstitutions are not likely to incur large technological costs, such as purchasing compliance software to comply with this exemption.  Therefore, the Department assumes </w:t>
      </w:r>
      <w:r w:rsidR="00F54A1D">
        <w:t>f</w:t>
      </w:r>
      <w:r w:rsidRPr="00FF4ACD" w:rsidR="00643053">
        <w:t xml:space="preserve">inancial </w:t>
      </w:r>
      <w:r w:rsidR="00F54A1D">
        <w:t>i</w:t>
      </w:r>
      <w:r w:rsidRPr="00FF4ACD" w:rsidR="00643053">
        <w:t xml:space="preserve">nstitutions that have not enhanced technology capabilities for </w:t>
      </w:r>
      <w:r w:rsidR="0012486A">
        <w:t>an</w:t>
      </w:r>
      <w:r w:rsidRPr="00FF4ACD" w:rsidR="00643053">
        <w:t xml:space="preserve">other regulator’s rule will </w:t>
      </w:r>
      <w:r w:rsidR="0012486A">
        <w:t>adopt</w:t>
      </w:r>
      <w:r w:rsidRPr="00FF4ACD" w:rsidR="00643053">
        <w:t xml:space="preserve"> a mixed approach, combining current technology solutions with </w:t>
      </w:r>
      <w:r w:rsidR="00D2634C">
        <w:t xml:space="preserve">increased </w:t>
      </w:r>
      <w:r w:rsidRPr="00FF4ACD" w:rsidR="00643053">
        <w:t>manual processes.</w:t>
      </w:r>
      <w:r w:rsidR="00D2634C">
        <w:rPr>
          <w:rStyle w:val="FootnoteReference"/>
        </w:rPr>
        <w:footnoteReference w:id="11"/>
      </w:r>
    </w:p>
    <w:p w:rsidRPr="00B42BD6" w:rsidR="00B42BD6" w:rsidP="00B42BD6" w:rsidRDefault="00B42BD6" w14:paraId="653C0D54" w14:textId="198F2CC9">
      <w:pPr>
        <w:ind w:left="720"/>
      </w:pPr>
    </w:p>
    <w:p w:rsidR="00DE0E9D" w:rsidP="00585DB6" w:rsidRDefault="00DE0E9D" w14:paraId="337DADC8" w14:textId="7780969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contextualSpacing/>
      </w:pPr>
    </w:p>
    <w:p w:rsidRPr="008823D6" w:rsidR="009612B9" w:rsidP="00585DB6" w:rsidRDefault="009612B9" w14:paraId="14A715DC" w14:textId="77777777">
      <w:pPr>
        <w:pStyle w:val="BodyTextIndent"/>
        <w:widowControl/>
        <w:numPr>
          <w:ilvl w:val="0"/>
          <w:numId w:val="1"/>
        </w:numPr>
        <w:tabs>
          <w:tab w:val="clear" w:pos="-1440"/>
          <w:tab w:val="clear" w:pos="1080"/>
        </w:tabs>
        <w:autoSpaceDE/>
        <w:autoSpaceDN/>
        <w:adjustRightInd/>
        <w:ind w:left="720"/>
        <w:contextualSpacing/>
        <w:rPr>
          <w:b/>
        </w:rPr>
      </w:pPr>
      <w:r w:rsidRPr="008823D6">
        <w:rPr>
          <w:b/>
        </w:rPr>
        <w:lastRenderedPageBreak/>
        <w:t>Explain any decision to provide any payment or gift to respondents, other than remuneration of contractors or grantees.</w:t>
      </w:r>
    </w:p>
    <w:p w:rsidR="00DE0E9D" w:rsidP="00585DB6" w:rsidRDefault="00DE0E9D" w14:paraId="1B1DFCE5" w14:textId="68FE4E0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contextualSpacing/>
      </w:pPr>
    </w:p>
    <w:p w:rsidRPr="009612B9" w:rsidR="009612B9" w:rsidP="00585DB6" w:rsidRDefault="009612B9" w14:paraId="17754E22" w14:textId="77777777">
      <w:pPr>
        <w:autoSpaceDE w:val="0"/>
        <w:autoSpaceDN w:val="0"/>
        <w:adjustRightInd w:val="0"/>
        <w:ind w:left="720"/>
        <w:contextualSpacing/>
      </w:pPr>
      <w:r w:rsidRPr="009612B9">
        <w:t>No payments or gifts are provided to respondents.</w:t>
      </w:r>
    </w:p>
    <w:p w:rsidR="009612B9" w:rsidP="00585DB6" w:rsidRDefault="009612B9" w14:paraId="7F04F3E1" w14:textId="0A431A0A">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contextualSpacing/>
      </w:pPr>
    </w:p>
    <w:p w:rsidRPr="008823D6" w:rsidR="009612B9" w:rsidP="00585DB6" w:rsidRDefault="009612B9" w14:paraId="76A5EFA6" w14:textId="77777777">
      <w:pPr>
        <w:pStyle w:val="BodyTextIndent"/>
        <w:widowControl/>
        <w:numPr>
          <w:ilvl w:val="0"/>
          <w:numId w:val="1"/>
        </w:numPr>
        <w:tabs>
          <w:tab w:val="clear" w:pos="-1440"/>
          <w:tab w:val="clear" w:pos="1080"/>
        </w:tabs>
        <w:autoSpaceDE/>
        <w:autoSpaceDN/>
        <w:adjustRightInd/>
        <w:ind w:left="720"/>
        <w:contextualSpacing/>
        <w:rPr>
          <w:b/>
        </w:rPr>
      </w:pPr>
      <w:r w:rsidRPr="008823D6">
        <w:rPr>
          <w:b/>
        </w:rPr>
        <w:t>Describe any assurance of confidentiality provided to respondents and the basis for the assurance in statute, regulation, or agency policy.</w:t>
      </w:r>
    </w:p>
    <w:p w:rsidR="009612B9" w:rsidP="00585DB6" w:rsidRDefault="009612B9" w14:paraId="4B4AA123" w14:textId="56E7BA6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contextualSpacing/>
      </w:pPr>
    </w:p>
    <w:p w:rsidR="009612B9" w:rsidP="00585DB6" w:rsidRDefault="009612B9" w14:paraId="36CA89AF" w14:textId="110582AE">
      <w:pPr>
        <w:widowControl w:val="0"/>
        <w:autoSpaceDE w:val="0"/>
        <w:autoSpaceDN w:val="0"/>
        <w:adjustRightInd w:val="0"/>
        <w:ind w:left="720"/>
        <w:contextualSpacing/>
      </w:pPr>
      <w:r>
        <w:t xml:space="preserve">None. </w:t>
      </w:r>
      <w:r w:rsidR="003C3AEE">
        <w:t xml:space="preserve"> </w:t>
      </w:r>
    </w:p>
    <w:p w:rsidR="00A06284" w:rsidP="00585DB6" w:rsidRDefault="00A06284" w14:paraId="1668318F" w14:textId="77777777">
      <w:pPr>
        <w:widowControl w:val="0"/>
        <w:autoSpaceDE w:val="0"/>
        <w:autoSpaceDN w:val="0"/>
        <w:adjustRightInd w:val="0"/>
        <w:ind w:left="720"/>
        <w:contextualSpacing/>
      </w:pPr>
    </w:p>
    <w:p w:rsidR="00A06284" w:rsidP="00585DB6" w:rsidRDefault="00A06284" w14:paraId="2A0C226C" w14:textId="3641E85B">
      <w:pPr>
        <w:pStyle w:val="BodyTextIndent"/>
        <w:widowControl/>
        <w:numPr>
          <w:ilvl w:val="0"/>
          <w:numId w:val="1"/>
        </w:numPr>
        <w:tabs>
          <w:tab w:val="clear" w:pos="-1440"/>
          <w:tab w:val="clear" w:pos="1080"/>
        </w:tabs>
        <w:autoSpaceDE/>
        <w:autoSpaceDN/>
        <w:adjustRightInd/>
        <w:ind w:left="720"/>
        <w:contextualSpacing/>
        <w:rPr>
          <w:b/>
        </w:rPr>
      </w:pPr>
      <w:r w:rsidRPr="008823D6">
        <w:rPr>
          <w:b/>
        </w:rPr>
        <w:t>Provide additional justification for any questions of a sensitive nature, such as sexual behavior and attitudes, religious beliefs, and other matters that are commonly considered</w:t>
      </w:r>
      <w:r w:rsidRPr="008823D6">
        <w:t xml:space="preserve"> </w:t>
      </w:r>
      <w:r w:rsidRPr="008823D6">
        <w:rPr>
          <w:b/>
        </w:rPr>
        <w:t>private.  This justification should include the reasons why the agency considers the questions necessary, the specific uses to be made of the information, the explanation to be given to person from whom the information is requested, and any steps to be taken to obtain their consent.</w:t>
      </w:r>
    </w:p>
    <w:p w:rsidR="00A06284" w:rsidP="00585DB6" w:rsidRDefault="00A06284" w14:paraId="703ACBDE" w14:textId="77777777">
      <w:pPr>
        <w:ind w:left="360"/>
        <w:contextualSpacing/>
      </w:pPr>
    </w:p>
    <w:p w:rsidR="00A06284" w:rsidP="00585DB6" w:rsidRDefault="00A06284" w14:paraId="0C9BE680" w14:textId="39D242D6">
      <w:pPr>
        <w:ind w:left="720"/>
        <w:contextualSpacing/>
      </w:pPr>
      <w:r w:rsidRPr="00B8639F">
        <w:t>There are no questions of a sensitive nature</w:t>
      </w:r>
      <w:r w:rsidR="00266227">
        <w:t>; therefore, no additional justification is necessary.</w:t>
      </w:r>
      <w:r>
        <w:t xml:space="preserve"> </w:t>
      </w:r>
    </w:p>
    <w:p w:rsidR="008C4059" w:rsidP="00585DB6" w:rsidRDefault="008C4059" w14:paraId="7F4AEFA3" w14:textId="78D84762">
      <w:pPr>
        <w:contextualSpacing/>
      </w:pPr>
    </w:p>
    <w:p w:rsidRPr="00B6795A" w:rsidR="008C4059" w:rsidP="00585DB6" w:rsidRDefault="008C4059" w14:paraId="594B764D" w14:textId="34FD7B3C">
      <w:pPr>
        <w:pStyle w:val="BodyTextIndent"/>
        <w:widowControl/>
        <w:numPr>
          <w:ilvl w:val="0"/>
          <w:numId w:val="1"/>
        </w:numPr>
        <w:tabs>
          <w:tab w:val="clear" w:pos="-1440"/>
          <w:tab w:val="clear" w:pos="1080"/>
        </w:tabs>
        <w:autoSpaceDE/>
        <w:autoSpaceDN/>
        <w:adjustRightInd/>
        <w:ind w:left="720"/>
        <w:contextualSpacing/>
        <w:rPr>
          <w:b/>
          <w:i/>
        </w:rPr>
      </w:pPr>
      <w:r w:rsidRPr="00B6795A">
        <w:rPr>
          <w:b/>
          <w:i/>
        </w:rPr>
        <w:t>Provide estimates of the hour burden of the collection of information.  The statement should:</w:t>
      </w:r>
    </w:p>
    <w:p w:rsidRPr="00B6795A" w:rsidR="009431AA" w:rsidP="00585DB6" w:rsidRDefault="009431AA" w14:paraId="7B6D69EF" w14:textId="77777777">
      <w:pPr>
        <w:pStyle w:val="BodyTextIndent"/>
        <w:widowControl/>
        <w:tabs>
          <w:tab w:val="clear" w:pos="-1440"/>
        </w:tabs>
        <w:autoSpaceDE/>
        <w:autoSpaceDN/>
        <w:adjustRightInd/>
        <w:ind w:left="1080"/>
        <w:contextualSpacing/>
        <w:rPr>
          <w:b/>
          <w:i/>
        </w:rPr>
      </w:pPr>
    </w:p>
    <w:p w:rsidRPr="00B6795A" w:rsidR="008C4059" w:rsidP="00585DB6" w:rsidRDefault="008C4059" w14:paraId="3F064675" w14:textId="125BA5F0">
      <w:pPr>
        <w:pStyle w:val="BodyTextIndent"/>
        <w:widowControl/>
        <w:numPr>
          <w:ilvl w:val="1"/>
          <w:numId w:val="1"/>
        </w:numPr>
        <w:tabs>
          <w:tab w:val="clear" w:pos="-1440"/>
          <w:tab w:val="clear" w:pos="1440"/>
        </w:tabs>
        <w:autoSpaceDE/>
        <w:autoSpaceDN/>
        <w:adjustRightInd/>
        <w:ind w:left="1080"/>
        <w:contextualSpacing/>
        <w:rPr>
          <w:b/>
          <w:i/>
        </w:rPr>
      </w:pPr>
      <w:r w:rsidRPr="00B6795A">
        <w:rPr>
          <w:b/>
          <w:i/>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 in activity, size, or complexity, show the range of estimated hour burden, and explain the reasons for the variance.  Generally, estimates should not include burden hours for customary and usual business practices.</w:t>
      </w:r>
    </w:p>
    <w:p w:rsidRPr="00B6795A" w:rsidR="009431AA" w:rsidP="00585DB6" w:rsidRDefault="009431AA" w14:paraId="60F9A63A" w14:textId="77777777">
      <w:pPr>
        <w:pStyle w:val="BodyTextIndent"/>
        <w:widowControl/>
        <w:tabs>
          <w:tab w:val="clear" w:pos="-1440"/>
        </w:tabs>
        <w:autoSpaceDE/>
        <w:autoSpaceDN/>
        <w:adjustRightInd/>
        <w:ind w:left="1080"/>
        <w:contextualSpacing/>
        <w:rPr>
          <w:b/>
          <w:i/>
        </w:rPr>
      </w:pPr>
    </w:p>
    <w:p w:rsidRPr="00B6795A" w:rsidR="009431AA" w:rsidP="00585DB6" w:rsidRDefault="009431AA" w14:paraId="7030DA3E" w14:textId="52D04282">
      <w:pPr>
        <w:pStyle w:val="BodyTextIndent"/>
        <w:widowControl/>
        <w:numPr>
          <w:ilvl w:val="1"/>
          <w:numId w:val="1"/>
        </w:numPr>
        <w:tabs>
          <w:tab w:val="clear" w:pos="-1440"/>
          <w:tab w:val="clear" w:pos="1440"/>
        </w:tabs>
        <w:autoSpaceDE/>
        <w:autoSpaceDN/>
        <w:adjustRightInd/>
        <w:ind w:left="1080"/>
        <w:contextualSpacing/>
        <w:rPr>
          <w:b/>
          <w:i/>
        </w:rPr>
      </w:pPr>
      <w:r w:rsidRPr="00B6795A">
        <w:rPr>
          <w:b/>
          <w:i/>
          <w:iCs/>
        </w:rPr>
        <w:t>If this request for approval covers more than one form, provide separate hour burden estimates for each form and aggregate the hour burdens.</w:t>
      </w:r>
    </w:p>
    <w:p w:rsidRPr="00B6795A" w:rsidR="009431AA" w:rsidP="00585DB6" w:rsidRDefault="009431AA" w14:paraId="1A946998" w14:textId="77777777">
      <w:pPr>
        <w:pStyle w:val="BodyTextIndent"/>
        <w:widowControl/>
        <w:tabs>
          <w:tab w:val="clear" w:pos="-1440"/>
        </w:tabs>
        <w:autoSpaceDE/>
        <w:autoSpaceDN/>
        <w:adjustRightInd/>
        <w:ind w:left="1080"/>
        <w:contextualSpacing/>
        <w:rPr>
          <w:b/>
          <w:i/>
        </w:rPr>
      </w:pPr>
    </w:p>
    <w:p w:rsidRPr="00B6795A" w:rsidR="008C4059" w:rsidP="00585DB6" w:rsidRDefault="008C4059" w14:paraId="6EC9D237" w14:textId="77777777">
      <w:pPr>
        <w:pStyle w:val="BodyTextIndent"/>
        <w:widowControl/>
        <w:numPr>
          <w:ilvl w:val="1"/>
          <w:numId w:val="1"/>
        </w:numPr>
        <w:tabs>
          <w:tab w:val="clear" w:pos="-1440"/>
          <w:tab w:val="clear" w:pos="1440"/>
        </w:tabs>
        <w:autoSpaceDE/>
        <w:autoSpaceDN/>
        <w:adjustRightInd/>
        <w:ind w:left="1080"/>
        <w:contextualSpacing/>
        <w:rPr>
          <w:b/>
          <w:i/>
        </w:rPr>
      </w:pPr>
      <w:r w:rsidRPr="00B6795A">
        <w:rPr>
          <w:b/>
          <w:i/>
        </w:rPr>
        <w:t>Provide estimates of annualized cost to respondents for the hour burdens for collection of information, identifying and using appropriate wage rate categories.  The cost of contracting out or paying outside parties for information collection activities should not be included here.</w:t>
      </w:r>
    </w:p>
    <w:p w:rsidR="00D36812" w:rsidP="00585DB6" w:rsidRDefault="00D36812" w14:paraId="10A38A20" w14:textId="77777777">
      <w:pPr>
        <w:pStyle w:val="BodyTextIndent"/>
        <w:contextualSpacing/>
      </w:pPr>
    </w:p>
    <w:p w:rsidR="00AD3A21" w:rsidP="00585DB6" w:rsidRDefault="00AD3A21" w14:paraId="2A6A8FAC" w14:textId="31176154">
      <w:pPr>
        <w:pStyle w:val="BodyTextIndent"/>
        <w:contextualSpacing/>
        <w:rPr>
          <w:color w:val="000000" w:themeColor="text1"/>
        </w:rPr>
      </w:pPr>
      <w:r>
        <w:rPr>
          <w:color w:val="000000" w:themeColor="text1"/>
        </w:rPr>
        <w:t xml:space="preserve">The Department estimates that </w:t>
      </w:r>
      <w:r w:rsidRPr="00BE5D59">
        <w:rPr>
          <w:color w:val="000000" w:themeColor="text1"/>
        </w:rPr>
        <w:t xml:space="preserve">11,782 financial institutions </w:t>
      </w:r>
      <w:r w:rsidR="00266227">
        <w:rPr>
          <w:color w:val="000000" w:themeColor="text1"/>
        </w:rPr>
        <w:t xml:space="preserve">would rely </w:t>
      </w:r>
      <w:r w:rsidR="00526670">
        <w:rPr>
          <w:color w:val="000000" w:themeColor="text1"/>
        </w:rPr>
        <w:t xml:space="preserve">on </w:t>
      </w:r>
      <w:r w:rsidRPr="00BE5D59" w:rsidR="00526670">
        <w:rPr>
          <w:color w:val="000000" w:themeColor="text1"/>
        </w:rPr>
        <w:t>the</w:t>
      </w:r>
      <w:r w:rsidRPr="00BE5D59">
        <w:rPr>
          <w:color w:val="000000" w:themeColor="text1"/>
        </w:rPr>
        <w:t xml:space="preserve"> </w:t>
      </w:r>
      <w:r w:rsidR="003467DC">
        <w:rPr>
          <w:color w:val="000000" w:themeColor="text1"/>
        </w:rPr>
        <w:t>exemption</w:t>
      </w:r>
      <w:r w:rsidRPr="00BE5D59">
        <w:rPr>
          <w:color w:val="000000" w:themeColor="text1"/>
        </w:rPr>
        <w:t xml:space="preserve">, </w:t>
      </w:r>
      <w:r w:rsidRPr="00BE5D59">
        <w:rPr>
          <w:color w:val="000000" w:themeColor="text1"/>
        </w:rPr>
        <w:lastRenderedPageBreak/>
        <w:t xml:space="preserve">including </w:t>
      </w:r>
      <w:r w:rsidRPr="00BE5D59">
        <w:t xml:space="preserve">1,957 </w:t>
      </w:r>
      <w:r w:rsidR="00643EF4">
        <w:t>BDs</w:t>
      </w:r>
      <w:r w:rsidRPr="0036091B">
        <w:t>,</w:t>
      </w:r>
      <w:r w:rsidRPr="00BE5D59">
        <w:rPr>
          <w:rStyle w:val="FootnoteReference"/>
        </w:rPr>
        <w:footnoteReference w:id="12"/>
      </w:r>
      <w:r w:rsidRPr="00BE5D59">
        <w:t xml:space="preserve"> 6,729 SEC-registered </w:t>
      </w:r>
      <w:r w:rsidRPr="00BE5D59" w:rsidR="00AE18BD">
        <w:t>investment</w:t>
      </w:r>
      <w:r w:rsidR="00872E79">
        <w:t xml:space="preserve"> </w:t>
      </w:r>
      <w:r w:rsidRPr="00BE5D59" w:rsidR="00AE18BD">
        <w:t>advise</w:t>
      </w:r>
      <w:r w:rsidRPr="0036091B" w:rsidR="00E013EA">
        <w:t>r</w:t>
      </w:r>
      <w:r w:rsidRPr="0036091B">
        <w:t>s,</w:t>
      </w:r>
      <w:r w:rsidRPr="00BE5D59">
        <w:rPr>
          <w:rStyle w:val="FootnoteReference"/>
        </w:rPr>
        <w:footnoteReference w:id="13"/>
      </w:r>
      <w:r w:rsidRPr="00BE5D59">
        <w:t xml:space="preserve"> 2,710 state-registered </w:t>
      </w:r>
      <w:r w:rsidR="00643EF4">
        <w:t>IAs</w:t>
      </w:r>
      <w:r w:rsidRPr="0036091B">
        <w:t>,</w:t>
      </w:r>
      <w:r w:rsidRPr="00BE5D59">
        <w:rPr>
          <w:rStyle w:val="FootnoteReference"/>
        </w:rPr>
        <w:footnoteReference w:id="14"/>
      </w:r>
      <w:r w:rsidRPr="00BE5D59">
        <w:t xml:space="preserve"> and 386 insurers</w:t>
      </w:r>
      <w:r>
        <w:t>.</w:t>
      </w:r>
      <w:r>
        <w:rPr>
          <w:rStyle w:val="FootnoteReference"/>
        </w:rPr>
        <w:footnoteReference w:id="15"/>
      </w:r>
      <w:r>
        <w:rPr>
          <w:color w:val="000000" w:themeColor="text1"/>
        </w:rPr>
        <w:t xml:space="preserve">  </w:t>
      </w:r>
      <w:r w:rsidR="00C32DB0">
        <w:rPr>
          <w:color w:val="000000" w:themeColor="text1"/>
        </w:rPr>
        <w:t xml:space="preserve">As the Department believes that </w:t>
      </w:r>
      <w:r w:rsidR="00090A79">
        <w:rPr>
          <w:color w:val="000000" w:themeColor="text1"/>
        </w:rPr>
        <w:t xml:space="preserve">referrals by banks are not likely to constitute fiduciary investment advice within the meaning of the exemption, banks are not considered in this analysis.  </w:t>
      </w:r>
      <w:r>
        <w:rPr>
          <w:color w:val="000000" w:themeColor="text1"/>
        </w:rPr>
        <w:t xml:space="preserve">The Department assumes that financial institutions </w:t>
      </w:r>
      <w:r w:rsidR="005473C9">
        <w:rPr>
          <w:color w:val="000000" w:themeColor="text1"/>
        </w:rPr>
        <w:t xml:space="preserve">will </w:t>
      </w:r>
      <w:r>
        <w:rPr>
          <w:color w:val="000000" w:themeColor="text1"/>
        </w:rPr>
        <w:t xml:space="preserve">use the </w:t>
      </w:r>
      <w:r w:rsidR="003467DC">
        <w:rPr>
          <w:color w:val="000000" w:themeColor="text1"/>
        </w:rPr>
        <w:t>exemption</w:t>
      </w:r>
      <w:r>
        <w:rPr>
          <w:color w:val="000000" w:themeColor="text1"/>
        </w:rPr>
        <w:t xml:space="preserve"> in conjunction with transactions involving nearly all of their clients that are defined benefits plans, defined contribution plants, and IRA holders.</w:t>
      </w:r>
      <w:r w:rsidRPr="00E05322">
        <w:rPr>
          <w:rStyle w:val="FootnoteReference"/>
          <w:color w:val="000000" w:themeColor="text1"/>
        </w:rPr>
        <w:footnoteReference w:id="16"/>
      </w:r>
    </w:p>
    <w:p w:rsidR="00890247" w:rsidP="00585DB6" w:rsidRDefault="00890247" w14:paraId="03ABC9E7" w14:textId="706D4455">
      <w:pPr>
        <w:pStyle w:val="BodyTextIndent"/>
        <w:contextualSpacing/>
        <w:rPr>
          <w:color w:val="000000" w:themeColor="text1"/>
        </w:rPr>
      </w:pPr>
    </w:p>
    <w:p w:rsidR="00890247" w:rsidP="00585DB6" w:rsidRDefault="00890247" w14:paraId="2AE37188" w14:textId="77EA5A6C">
      <w:pPr>
        <w:pStyle w:val="BodyTextIndent"/>
        <w:contextualSpacing/>
        <w:rPr>
          <w:color w:val="000000" w:themeColor="text1"/>
        </w:rPr>
      </w:pPr>
      <w:r>
        <w:rPr>
          <w:color w:val="000000" w:themeColor="text1"/>
        </w:rPr>
        <w:t>The Department also assumes that financial institutions</w:t>
      </w:r>
      <w:r w:rsidR="006A1F97">
        <w:rPr>
          <w:color w:val="000000" w:themeColor="text1"/>
        </w:rPr>
        <w:t xml:space="preserve"> </w:t>
      </w:r>
      <w:r>
        <w:rPr>
          <w:color w:val="000000" w:themeColor="text1"/>
        </w:rPr>
        <w:t xml:space="preserve">use existing in-house resources to prepare the disclosures, policies and procedures, rollover documentation, and retrospective reviews and to maintain the recordkeeping systems necessary to meet the requirements of the </w:t>
      </w:r>
      <w:r w:rsidR="003467DC">
        <w:rPr>
          <w:color w:val="000000" w:themeColor="text1"/>
        </w:rPr>
        <w:t>exemption</w:t>
      </w:r>
      <w:r>
        <w:rPr>
          <w:color w:val="000000" w:themeColor="text1"/>
        </w:rPr>
        <w:t>.</w:t>
      </w:r>
    </w:p>
    <w:p w:rsidR="00E013EA" w:rsidP="00585DB6" w:rsidRDefault="00E013EA" w14:paraId="53CB0EE0" w14:textId="0C7783EF">
      <w:pPr>
        <w:pStyle w:val="BodyTextIndent"/>
        <w:contextualSpacing/>
        <w:rPr>
          <w:color w:val="000000" w:themeColor="text1"/>
        </w:rPr>
      </w:pPr>
    </w:p>
    <w:p w:rsidR="008A3527" w:rsidP="00585DB6" w:rsidRDefault="008A3527" w14:paraId="600D306E" w14:textId="5D9F6533">
      <w:pPr>
        <w:pStyle w:val="BodyTextIndent"/>
        <w:contextualSpacing/>
      </w:pPr>
      <w:r w:rsidRPr="00FF2C01">
        <w:t xml:space="preserve">The Department estimates that </w:t>
      </w:r>
      <w:r>
        <w:t>1,755,959 retirement investors</w:t>
      </w:r>
      <w:r w:rsidRPr="00FF2C01">
        <w:t xml:space="preserve"> have relationships with </w:t>
      </w:r>
      <w:r>
        <w:t>financial institution</w:t>
      </w:r>
      <w:r w:rsidRPr="00FF2C01">
        <w:t xml:space="preserve">s and are likely to engage in transactions covered under this </w:t>
      </w:r>
      <w:r>
        <w:t>exemption</w:t>
      </w:r>
      <w:r w:rsidRPr="00FF2C01">
        <w:t>.</w:t>
      </w:r>
      <w:r>
        <w:rPr>
          <w:rStyle w:val="FootnoteReference"/>
        </w:rPr>
        <w:footnoteReference w:id="17"/>
      </w:r>
      <w:r>
        <w:t xml:space="preserve"> Th</w:t>
      </w:r>
      <w:r w:rsidR="00CD3D8E">
        <w:t>erefore</w:t>
      </w:r>
      <w:r w:rsidR="00EE26A2">
        <w:t>,</w:t>
      </w:r>
      <w:r>
        <w:t xml:space="preserve"> these 1,755,959 retirement investors will </w:t>
      </w:r>
      <w:r w:rsidR="00CD3D8E">
        <w:t xml:space="preserve">likely </w:t>
      </w:r>
      <w:r>
        <w:t xml:space="preserve">receive </w:t>
      </w:r>
      <w:r w:rsidR="00A23BC9">
        <w:t xml:space="preserve">1 </w:t>
      </w:r>
      <w:r w:rsidR="00CD3D8E">
        <w:t xml:space="preserve">required </w:t>
      </w:r>
      <w:r>
        <w:t xml:space="preserve">disclosure from </w:t>
      </w:r>
      <w:r w:rsidR="00A23BC9">
        <w:t xml:space="preserve">one of the </w:t>
      </w:r>
      <w:r>
        <w:t>11,782 financial institu</w:t>
      </w:r>
      <w:r w:rsidR="00CD3D8E">
        <w:t>tions, which results in</w:t>
      </w:r>
      <w:r w:rsidR="00A23BC9">
        <w:t xml:space="preserve"> an average of</w:t>
      </w:r>
      <w:r w:rsidR="00CD3D8E">
        <w:t xml:space="preserve"> 14</w:t>
      </w:r>
      <w:r w:rsidR="00711322">
        <w:t>9</w:t>
      </w:r>
      <w:r w:rsidR="00CD3D8E">
        <w:t xml:space="preserve"> disclosures per financial institution.</w:t>
      </w:r>
      <w:r w:rsidR="00711322">
        <w:rPr>
          <w:rStyle w:val="FootnoteReference"/>
        </w:rPr>
        <w:footnoteReference w:id="18"/>
      </w:r>
      <w:r w:rsidR="00CD3D8E">
        <w:t xml:space="preserve">  </w:t>
      </w:r>
    </w:p>
    <w:p w:rsidR="008A3527" w:rsidP="00585DB6" w:rsidRDefault="008A3527" w14:paraId="4F062BCF" w14:textId="77777777">
      <w:pPr>
        <w:pStyle w:val="BodyTextIndent"/>
        <w:contextualSpacing/>
        <w:rPr>
          <w:color w:val="000000" w:themeColor="text1"/>
        </w:rPr>
      </w:pPr>
    </w:p>
    <w:p w:rsidRPr="00890247" w:rsidR="00E013EA" w:rsidP="00585DB6" w:rsidRDefault="00090A79" w14:paraId="032DBCF4" w14:textId="0538463B">
      <w:pPr>
        <w:pStyle w:val="BodyTextIndent"/>
        <w:contextualSpacing/>
        <w:rPr>
          <w:i/>
          <w:color w:val="000000" w:themeColor="text1"/>
          <w:u w:val="single"/>
        </w:rPr>
      </w:pPr>
      <w:r>
        <w:rPr>
          <w:i/>
          <w:color w:val="000000" w:themeColor="text1"/>
          <w:u w:val="single"/>
        </w:rPr>
        <w:t xml:space="preserve">Costs Associated with </w:t>
      </w:r>
      <w:r w:rsidRPr="00890247" w:rsidR="00E013EA">
        <w:rPr>
          <w:i/>
          <w:color w:val="000000" w:themeColor="text1"/>
          <w:u w:val="single"/>
        </w:rPr>
        <w:t>Disclosures</w:t>
      </w:r>
    </w:p>
    <w:p w:rsidR="00E013EA" w:rsidP="00585DB6" w:rsidRDefault="00E013EA" w14:paraId="0FFA2D2B" w14:textId="0BA38F8F">
      <w:pPr>
        <w:pStyle w:val="BodyTextIndent"/>
        <w:contextualSpacing/>
        <w:rPr>
          <w:color w:val="000000" w:themeColor="text1"/>
          <w:u w:val="single"/>
        </w:rPr>
      </w:pPr>
    </w:p>
    <w:p w:rsidR="00E013EA" w:rsidP="001179A6" w:rsidRDefault="00890247" w14:paraId="1CC718A0" w14:textId="30F5A6E3">
      <w:pPr>
        <w:widowControl w:val="0"/>
        <w:ind w:left="720"/>
        <w:rPr>
          <w:color w:val="000000" w:themeColor="text1"/>
        </w:rPr>
      </w:pPr>
      <w:r w:rsidRPr="00E05322">
        <w:rPr>
          <w:color w:val="000000" w:themeColor="text1"/>
        </w:rPr>
        <w:t xml:space="preserve">Section II(b) of the </w:t>
      </w:r>
      <w:r w:rsidR="003467DC">
        <w:rPr>
          <w:color w:val="000000" w:themeColor="text1"/>
        </w:rPr>
        <w:t>exemption</w:t>
      </w:r>
      <w:r w:rsidRPr="00E05322">
        <w:rPr>
          <w:color w:val="000000" w:themeColor="text1"/>
        </w:rPr>
        <w:t xml:space="preserve"> would require </w:t>
      </w:r>
      <w:r>
        <w:rPr>
          <w:color w:val="000000" w:themeColor="text1"/>
        </w:rPr>
        <w:t>financial institution</w:t>
      </w:r>
      <w:r w:rsidRPr="00E05322">
        <w:rPr>
          <w:color w:val="000000" w:themeColor="text1"/>
        </w:rPr>
        <w:t xml:space="preserve">s to furnish </w:t>
      </w:r>
      <w:r>
        <w:rPr>
          <w:color w:val="000000" w:themeColor="text1"/>
        </w:rPr>
        <w:t>retirement investor</w:t>
      </w:r>
      <w:r w:rsidRPr="00E05322">
        <w:rPr>
          <w:color w:val="000000" w:themeColor="text1"/>
        </w:rPr>
        <w:t xml:space="preserve">s with a disclosure </w:t>
      </w:r>
      <w:r w:rsidR="005473C9">
        <w:rPr>
          <w:color w:val="000000" w:themeColor="text1"/>
        </w:rPr>
        <w:t>before</w:t>
      </w:r>
      <w:r w:rsidRPr="00E05322">
        <w:rPr>
          <w:color w:val="000000" w:themeColor="text1"/>
        </w:rPr>
        <w:t xml:space="preserve"> engaging in a covered transaction.  Section II(b)(1)  require</w:t>
      </w:r>
      <w:r w:rsidR="003467DC">
        <w:rPr>
          <w:color w:val="000000" w:themeColor="text1"/>
        </w:rPr>
        <w:t>s</w:t>
      </w:r>
      <w:r w:rsidRPr="00E05322">
        <w:rPr>
          <w:color w:val="000000" w:themeColor="text1"/>
        </w:rPr>
        <w:t xml:space="preserve"> </w:t>
      </w:r>
      <w:r>
        <w:rPr>
          <w:color w:val="000000" w:themeColor="text1"/>
        </w:rPr>
        <w:t>financial institutions</w:t>
      </w:r>
      <w:r w:rsidRPr="00E05322">
        <w:rPr>
          <w:color w:val="000000" w:themeColor="text1"/>
        </w:rPr>
        <w:t xml:space="preserve"> to acknowledg</w:t>
      </w:r>
      <w:r>
        <w:rPr>
          <w:color w:val="000000" w:themeColor="text1"/>
        </w:rPr>
        <w:t>e in writing</w:t>
      </w:r>
      <w:r w:rsidRPr="00E05322">
        <w:rPr>
          <w:color w:val="000000" w:themeColor="text1"/>
        </w:rPr>
        <w:t xml:space="preserve"> that the </w:t>
      </w:r>
      <w:r>
        <w:rPr>
          <w:color w:val="000000" w:themeColor="text1"/>
        </w:rPr>
        <w:t>institution</w:t>
      </w:r>
      <w:r w:rsidRPr="00E05322">
        <w:rPr>
          <w:color w:val="000000" w:themeColor="text1"/>
        </w:rPr>
        <w:t xml:space="preserve"> and its </w:t>
      </w:r>
      <w:r>
        <w:rPr>
          <w:color w:val="000000" w:themeColor="text1"/>
        </w:rPr>
        <w:t>investment professional</w:t>
      </w:r>
      <w:r w:rsidRPr="00E05322">
        <w:rPr>
          <w:color w:val="000000" w:themeColor="text1"/>
        </w:rPr>
        <w:t xml:space="preserve">s are fiduciaries under ERISA and the Code, with respect to any </w:t>
      </w:r>
      <w:r w:rsidRPr="00E05322">
        <w:rPr>
          <w:color w:val="000000" w:themeColor="text1"/>
        </w:rPr>
        <w:lastRenderedPageBreak/>
        <w:t xml:space="preserve">investment advice provided to the </w:t>
      </w:r>
      <w:r>
        <w:rPr>
          <w:color w:val="000000" w:themeColor="text1"/>
        </w:rPr>
        <w:t>retirement investors</w:t>
      </w:r>
      <w:r w:rsidRPr="00E05322">
        <w:rPr>
          <w:color w:val="000000" w:themeColor="text1"/>
        </w:rPr>
        <w:t>.  Section II(b)(2)  require</w:t>
      </w:r>
      <w:r w:rsidR="00EB396A">
        <w:rPr>
          <w:color w:val="000000" w:themeColor="text1"/>
        </w:rPr>
        <w:t>s</w:t>
      </w:r>
      <w:r w:rsidRPr="00E05322">
        <w:rPr>
          <w:color w:val="000000" w:themeColor="text1"/>
        </w:rPr>
        <w:t xml:space="preserve"> </w:t>
      </w:r>
      <w:r>
        <w:rPr>
          <w:color w:val="000000" w:themeColor="text1"/>
        </w:rPr>
        <w:t>financial institutions</w:t>
      </w:r>
      <w:r w:rsidRPr="00E05322">
        <w:rPr>
          <w:color w:val="000000" w:themeColor="text1"/>
        </w:rPr>
        <w:t xml:space="preserve"> to provide a written description of the services </w:t>
      </w:r>
      <w:r w:rsidR="002A2A5D">
        <w:rPr>
          <w:color w:val="000000" w:themeColor="text1"/>
        </w:rPr>
        <w:t>to be</w:t>
      </w:r>
      <w:r w:rsidRPr="00E05322" w:rsidR="002A2A5D">
        <w:rPr>
          <w:color w:val="000000" w:themeColor="text1"/>
        </w:rPr>
        <w:t xml:space="preserve"> </w:t>
      </w:r>
      <w:r w:rsidRPr="00E05322">
        <w:rPr>
          <w:color w:val="000000" w:themeColor="text1"/>
        </w:rPr>
        <w:t>provide</w:t>
      </w:r>
      <w:r w:rsidR="002A2A5D">
        <w:rPr>
          <w:color w:val="000000" w:themeColor="text1"/>
        </w:rPr>
        <w:t>d</w:t>
      </w:r>
      <w:r w:rsidRPr="00E05322">
        <w:rPr>
          <w:color w:val="000000" w:themeColor="text1"/>
        </w:rPr>
        <w:t xml:space="preserve"> and </w:t>
      </w:r>
      <w:r w:rsidR="002A2A5D">
        <w:t xml:space="preserve">the financial institution’s and investment professional’s </w:t>
      </w:r>
      <w:r w:rsidRPr="00E05322">
        <w:rPr>
          <w:color w:val="000000" w:themeColor="text1"/>
        </w:rPr>
        <w:t>material conflicts of interest.</w:t>
      </w:r>
      <w:r>
        <w:rPr>
          <w:color w:val="000000" w:themeColor="text1"/>
        </w:rPr>
        <w:t xml:space="preserve"> </w:t>
      </w:r>
      <w:r w:rsidR="001179A6">
        <w:rPr>
          <w:color w:val="000000" w:themeColor="text1"/>
        </w:rPr>
        <w:t>Section II(b)(3) of the exemption requires f</w:t>
      </w:r>
      <w:r w:rsidR="001179A6">
        <w:t>inancial i</w:t>
      </w:r>
      <w:r w:rsidRPr="00E9618A" w:rsidR="001179A6">
        <w:t xml:space="preserve">nstitution </w:t>
      </w:r>
      <w:r w:rsidR="001179A6">
        <w:t xml:space="preserve">to </w:t>
      </w:r>
      <w:r w:rsidRPr="00E9618A" w:rsidR="001179A6">
        <w:t xml:space="preserve">document </w:t>
      </w:r>
      <w:r w:rsidRPr="00C40434" w:rsidR="001179A6">
        <w:t>the</w:t>
      </w:r>
      <w:r w:rsidRPr="00E9618A" w:rsidR="001179A6">
        <w:t xml:space="preserve"> specific reasons any recommendation to roll </w:t>
      </w:r>
      <w:r w:rsidR="001179A6">
        <w:t>over assets from</w:t>
      </w:r>
      <w:r w:rsidRPr="00E9618A" w:rsidR="001179A6">
        <w:t xml:space="preserve"> a </w:t>
      </w:r>
      <w:bookmarkStart w:name="_Hlk43734895" w:id="1"/>
      <w:r w:rsidR="001179A6">
        <w:t>P</w:t>
      </w:r>
      <w:r w:rsidRPr="00E9618A" w:rsidR="001179A6">
        <w:t xml:space="preserve">lan to another </w:t>
      </w:r>
      <w:r w:rsidR="001179A6">
        <w:t xml:space="preserve">Plan or an </w:t>
      </w:r>
      <w:r w:rsidRPr="00E9618A" w:rsidR="001179A6">
        <w:t>IRA</w:t>
      </w:r>
      <w:r w:rsidR="001179A6">
        <w:rPr>
          <w:rStyle w:val="CommentReference"/>
        </w:rPr>
        <w:t xml:space="preserve">, </w:t>
      </w:r>
      <w:r w:rsidR="001179A6">
        <w:t xml:space="preserve">from an IRA to a Plan, from an IRA to another IRA, </w:t>
      </w:r>
      <w:bookmarkEnd w:id="1"/>
      <w:r w:rsidRPr="00E9618A" w:rsidR="001179A6">
        <w:t>or from one type of account to another (e.g., from a commission-based account to a fee-based account) is in the Best Interes</w:t>
      </w:r>
      <w:r w:rsidR="001179A6">
        <w:t xml:space="preserve">t of the Retirement Investor. </w:t>
      </w:r>
      <w:r>
        <w:rPr>
          <w:color w:val="000000" w:themeColor="text1"/>
        </w:rPr>
        <w:t xml:space="preserve"> Financial institutions</w:t>
      </w:r>
      <w:r w:rsidRPr="00E05322">
        <w:rPr>
          <w:color w:val="000000" w:themeColor="text1"/>
        </w:rPr>
        <w:t xml:space="preserve"> </w:t>
      </w:r>
      <w:r w:rsidR="00EB396A">
        <w:rPr>
          <w:color w:val="000000" w:themeColor="text1"/>
        </w:rPr>
        <w:t xml:space="preserve">are </w:t>
      </w:r>
      <w:r w:rsidRPr="00E05322">
        <w:rPr>
          <w:color w:val="000000" w:themeColor="text1"/>
        </w:rPr>
        <w:t xml:space="preserve">generally required </w:t>
      </w:r>
      <w:r>
        <w:rPr>
          <w:color w:val="000000" w:themeColor="text1"/>
        </w:rPr>
        <w:t>to provide the disclosure to</w:t>
      </w:r>
      <w:r w:rsidRPr="00E05322">
        <w:rPr>
          <w:color w:val="000000" w:themeColor="text1"/>
        </w:rPr>
        <w:t xml:space="preserve"> each </w:t>
      </w:r>
      <w:r>
        <w:rPr>
          <w:color w:val="000000" w:themeColor="text1"/>
        </w:rPr>
        <w:t>retirement investor once</w:t>
      </w:r>
      <w:r w:rsidRPr="00E05322">
        <w:rPr>
          <w:color w:val="000000" w:themeColor="text1"/>
        </w:rPr>
        <w:t xml:space="preserve">, </w:t>
      </w:r>
      <w:r>
        <w:rPr>
          <w:color w:val="000000" w:themeColor="text1"/>
        </w:rPr>
        <w:t>but</w:t>
      </w:r>
      <w:r w:rsidRPr="00E05322">
        <w:rPr>
          <w:color w:val="000000" w:themeColor="text1"/>
        </w:rPr>
        <w:t xml:space="preserve"> </w:t>
      </w:r>
      <w:r>
        <w:rPr>
          <w:color w:val="000000" w:themeColor="text1"/>
        </w:rPr>
        <w:t>financial institution</w:t>
      </w:r>
      <w:r w:rsidRPr="00E05322">
        <w:rPr>
          <w:color w:val="000000" w:themeColor="text1"/>
        </w:rPr>
        <w:t>s may need to provide updated disclosures to ensure accuracy.</w:t>
      </w:r>
    </w:p>
    <w:p w:rsidR="00890247" w:rsidP="00585DB6" w:rsidRDefault="00890247" w14:paraId="189A197B" w14:textId="6AD04B2A">
      <w:pPr>
        <w:pStyle w:val="BodyTextIndent"/>
        <w:contextualSpacing/>
        <w:rPr>
          <w:color w:val="000000" w:themeColor="text1"/>
        </w:rPr>
      </w:pPr>
    </w:p>
    <w:p w:rsidR="00D47830" w:rsidP="00585DB6" w:rsidRDefault="00090A79" w14:paraId="79A9F5F2" w14:textId="4795651B">
      <w:pPr>
        <w:pStyle w:val="BodyTextIndent"/>
        <w:contextualSpacing/>
        <w:rPr>
          <w:color w:val="000000" w:themeColor="text1"/>
        </w:rPr>
      </w:pPr>
      <w:r>
        <w:rPr>
          <w:color w:val="000000" w:themeColor="text1"/>
        </w:rPr>
        <w:t xml:space="preserve">While </w:t>
      </w:r>
      <w:r w:rsidR="00EB396A">
        <w:rPr>
          <w:color w:val="000000" w:themeColor="text1"/>
        </w:rPr>
        <w:t xml:space="preserve">some </w:t>
      </w:r>
      <w:r>
        <w:rPr>
          <w:color w:val="000000" w:themeColor="text1"/>
        </w:rPr>
        <w:t xml:space="preserve">financial institutions may choose to use </w:t>
      </w:r>
      <w:r w:rsidR="00EB396A">
        <w:rPr>
          <w:color w:val="000000" w:themeColor="text1"/>
        </w:rPr>
        <w:t>other existing</w:t>
      </w:r>
      <w:r>
        <w:rPr>
          <w:color w:val="000000" w:themeColor="text1"/>
        </w:rPr>
        <w:t xml:space="preserve"> exemption</w:t>
      </w:r>
      <w:r w:rsidR="00EB396A">
        <w:rPr>
          <w:color w:val="000000" w:themeColor="text1"/>
        </w:rPr>
        <w:t>s instead of this exemption</w:t>
      </w:r>
      <w:r>
        <w:rPr>
          <w:color w:val="000000" w:themeColor="text1"/>
        </w:rPr>
        <w:t xml:space="preserve">, the Department assumes that all eligible entities </w:t>
      </w:r>
      <w:r w:rsidR="00EB396A">
        <w:rPr>
          <w:color w:val="000000" w:themeColor="text1"/>
        </w:rPr>
        <w:t>rely on the exemption</w:t>
      </w:r>
      <w:r>
        <w:rPr>
          <w:color w:val="000000" w:themeColor="text1"/>
        </w:rPr>
        <w:t xml:space="preserve"> for the purposes of cost estimation.  </w:t>
      </w:r>
      <w:r w:rsidR="00067CBD">
        <w:rPr>
          <w:color w:val="000000" w:themeColor="text1"/>
        </w:rPr>
        <w:t>Therefore, e</w:t>
      </w:r>
      <w:r w:rsidR="00890247">
        <w:rPr>
          <w:color w:val="000000" w:themeColor="text1"/>
        </w:rPr>
        <w:t xml:space="preserve">ach of the </w:t>
      </w:r>
      <w:r w:rsidRPr="00BE5D59" w:rsidR="00890247">
        <w:rPr>
          <w:color w:val="000000" w:themeColor="text1"/>
        </w:rPr>
        <w:t>estimated 11,782 financial</w:t>
      </w:r>
      <w:r w:rsidR="00890247">
        <w:rPr>
          <w:color w:val="000000" w:themeColor="text1"/>
        </w:rPr>
        <w:t xml:space="preserve"> institutions </w:t>
      </w:r>
      <w:r w:rsidR="00CB2225">
        <w:rPr>
          <w:color w:val="000000" w:themeColor="text1"/>
        </w:rPr>
        <w:t>is</w:t>
      </w:r>
      <w:r w:rsidR="00067CBD">
        <w:rPr>
          <w:color w:val="000000" w:themeColor="text1"/>
        </w:rPr>
        <w:t xml:space="preserve"> assumed to </w:t>
      </w:r>
      <w:r w:rsidR="005C7B08">
        <w:rPr>
          <w:color w:val="000000" w:themeColor="text1"/>
        </w:rPr>
        <w:t>develop and distribute</w:t>
      </w:r>
      <w:r w:rsidR="004832FE">
        <w:rPr>
          <w:color w:val="000000" w:themeColor="text1"/>
        </w:rPr>
        <w:t xml:space="preserve"> </w:t>
      </w:r>
      <w:r w:rsidR="005C7B08">
        <w:rPr>
          <w:color w:val="000000" w:themeColor="text1"/>
        </w:rPr>
        <w:t xml:space="preserve">required </w:t>
      </w:r>
      <w:r w:rsidR="004832FE">
        <w:rPr>
          <w:color w:val="000000" w:themeColor="text1"/>
        </w:rPr>
        <w:t>disclosure</w:t>
      </w:r>
      <w:r w:rsidR="005C7B08">
        <w:rPr>
          <w:color w:val="000000" w:themeColor="text1"/>
        </w:rPr>
        <w:t>s</w:t>
      </w:r>
      <w:r w:rsidR="004832FE">
        <w:rPr>
          <w:color w:val="000000" w:themeColor="text1"/>
        </w:rPr>
        <w:t xml:space="preserve">.  </w:t>
      </w:r>
    </w:p>
    <w:p w:rsidR="00872E79" w:rsidP="00585DB6" w:rsidRDefault="00872E79" w14:paraId="6702E6D5" w14:textId="77777777">
      <w:pPr>
        <w:pStyle w:val="BodyTextIndent"/>
        <w:contextualSpacing/>
      </w:pPr>
    </w:p>
    <w:p w:rsidR="00D47830" w:rsidP="00585DB6" w:rsidRDefault="00872E79" w14:paraId="7ACE7F19" w14:textId="1F94C9AB">
      <w:pPr>
        <w:pStyle w:val="BodyTextIndent"/>
        <w:contextualSpacing/>
      </w:pPr>
      <w:r>
        <w:t>T</w:t>
      </w:r>
      <w:r w:rsidR="00890247">
        <w:t xml:space="preserve">he Department estimates </w:t>
      </w:r>
      <w:r w:rsidRPr="0036091B" w:rsidR="00890247">
        <w:t xml:space="preserve">that </w:t>
      </w:r>
      <w:r w:rsidR="005C7B08">
        <w:t>develop</w:t>
      </w:r>
      <w:r w:rsidRPr="0036091B" w:rsidR="00890247">
        <w:t>ing a disclosure indicating fiduciary status take</w:t>
      </w:r>
      <w:r w:rsidR="00067CBD">
        <w:t>s</w:t>
      </w:r>
      <w:r w:rsidRPr="0036091B" w:rsidR="00890247">
        <w:t xml:space="preserve"> a legal professional between</w:t>
      </w:r>
      <w:r w:rsidR="005473C9">
        <w:t xml:space="preserve"> five</w:t>
      </w:r>
      <w:r w:rsidRPr="0036091B" w:rsidR="00890247">
        <w:t xml:space="preserve"> and 30 minutes, depending on the nature of the business,</w:t>
      </w:r>
      <w:r w:rsidRPr="0036091B" w:rsidR="00890247">
        <w:rPr>
          <w:rStyle w:val="FootnoteReference"/>
        </w:rPr>
        <w:footnoteReference w:id="19"/>
      </w:r>
      <w:r w:rsidRPr="0036091B" w:rsidR="00890247">
        <w:t xml:space="preserve"> resulting in an hour burden of 1,599</w:t>
      </w:r>
      <w:r w:rsidRPr="0036091B" w:rsidR="00FC355D">
        <w:t>.</w:t>
      </w:r>
      <w:r w:rsidRPr="0036091B" w:rsidR="00890247">
        <w:rPr>
          <w:rStyle w:val="FootnoteReference"/>
        </w:rPr>
        <w:footnoteReference w:id="20"/>
      </w:r>
      <w:r w:rsidRPr="0036091B" w:rsidR="00FC355D">
        <w:t xml:space="preserve">  Assuming an hourly wage rate for a legal professional of $</w:t>
      </w:r>
      <w:r w:rsidR="00540B7A">
        <w:t>365</w:t>
      </w:r>
      <w:r w:rsidRPr="0036091B" w:rsidR="00FC355D">
        <w:t>.</w:t>
      </w:r>
      <w:r w:rsidR="00540B7A">
        <w:t>39</w:t>
      </w:r>
      <w:r w:rsidRPr="0036091B" w:rsidR="00FC355D">
        <w:t>,</w:t>
      </w:r>
      <w:r w:rsidRPr="0036091B" w:rsidR="00FC355D">
        <w:rPr>
          <w:rStyle w:val="FootnoteReference"/>
          <w:color w:val="000000" w:themeColor="text1"/>
        </w:rPr>
        <w:footnoteReference w:id="21"/>
      </w:r>
      <w:r w:rsidRPr="0036091B" w:rsidR="00FC355D">
        <w:rPr>
          <w:color w:val="000000" w:themeColor="text1"/>
        </w:rPr>
        <w:t> </w:t>
      </w:r>
      <w:r w:rsidRPr="0036091B" w:rsidR="00FC355D">
        <w:t>the estimated cost burden is</w:t>
      </w:r>
      <w:r w:rsidRPr="0036091B" w:rsidR="00890247">
        <w:t xml:space="preserve"> $</w:t>
      </w:r>
      <w:r w:rsidR="00540B7A">
        <w:t>584</w:t>
      </w:r>
      <w:r w:rsidRPr="0036091B" w:rsidR="00890247">
        <w:t>,</w:t>
      </w:r>
      <w:r w:rsidR="002F0B5A">
        <w:t>130</w:t>
      </w:r>
      <w:r w:rsidRPr="0036091B" w:rsidR="00890247">
        <w:t>.</w:t>
      </w:r>
      <w:r w:rsidRPr="0036091B" w:rsidR="00890247">
        <w:rPr>
          <w:rStyle w:val="FootnoteReference"/>
        </w:rPr>
        <w:footnoteReference w:id="22"/>
      </w:r>
      <w:r w:rsidR="00890247">
        <w:t xml:space="preserve">  </w:t>
      </w:r>
    </w:p>
    <w:p w:rsidR="00D47830" w:rsidP="00585DB6" w:rsidRDefault="00D47830" w14:paraId="1CDF2971" w14:textId="77777777">
      <w:pPr>
        <w:pStyle w:val="BodyTextIndent"/>
        <w:contextualSpacing/>
      </w:pPr>
    </w:p>
    <w:p w:rsidRPr="004832FE" w:rsidR="004832FE" w:rsidP="00585DB6" w:rsidRDefault="005C7B08" w14:paraId="51A319B4" w14:textId="24DB70B9">
      <w:pPr>
        <w:pStyle w:val="BodyTextIndent"/>
        <w:contextualSpacing/>
        <w:rPr>
          <w:color w:val="000000" w:themeColor="text1"/>
        </w:rPr>
      </w:pPr>
      <w:r>
        <w:t>Developing</w:t>
      </w:r>
      <w:r w:rsidR="004832FE">
        <w:t xml:space="preserve"> a disclosure identifying services provided and conflicts of interest take</w:t>
      </w:r>
      <w:r w:rsidR="00067CBD">
        <w:t>s</w:t>
      </w:r>
      <w:r w:rsidR="004832FE">
        <w:t xml:space="preserve"> a legal professional an estimat</w:t>
      </w:r>
      <w:r w:rsidRPr="00050EC0" w:rsidR="004832FE">
        <w:t xml:space="preserve">ed </w:t>
      </w:r>
      <w:r w:rsidR="005473C9">
        <w:t>five</w:t>
      </w:r>
      <w:r w:rsidRPr="00050EC0" w:rsidR="004832FE">
        <w:t xml:space="preserve"> </w:t>
      </w:r>
      <w:r w:rsidRPr="00585DB6" w:rsidR="0036091B">
        <w:t xml:space="preserve">minutes </w:t>
      </w:r>
      <w:r w:rsidRPr="00050EC0" w:rsidR="004832FE">
        <w:t xml:space="preserve">to </w:t>
      </w:r>
      <w:r w:rsidR="005473C9">
        <w:t>five</w:t>
      </w:r>
      <w:r w:rsidRPr="00585DB6" w:rsidR="0036091B">
        <w:t xml:space="preserve"> hours</w:t>
      </w:r>
      <w:r w:rsidRPr="00050EC0" w:rsidR="004832FE">
        <w:t>, depending on the nature of the business,</w:t>
      </w:r>
      <w:r w:rsidRPr="00050EC0" w:rsidR="004832FE">
        <w:rPr>
          <w:rStyle w:val="FootnoteReference"/>
        </w:rPr>
        <w:footnoteReference w:id="23"/>
      </w:r>
      <w:r w:rsidRPr="00050EC0" w:rsidR="004832FE">
        <w:t xml:space="preserve"> resulting in an hour burden of </w:t>
      </w:r>
      <w:r w:rsidRPr="00050EC0" w:rsidR="0036091B">
        <w:t>3,691</w:t>
      </w:r>
      <w:r w:rsidRPr="00050EC0" w:rsidR="00FC355D">
        <w:t>.</w:t>
      </w:r>
      <w:r w:rsidRPr="00050EC0" w:rsidR="004832FE">
        <w:rPr>
          <w:rStyle w:val="FootnoteReference"/>
        </w:rPr>
        <w:footnoteReference w:id="24"/>
      </w:r>
      <w:r w:rsidRPr="00050EC0" w:rsidR="004832FE">
        <w:t xml:space="preserve"> </w:t>
      </w:r>
      <w:r w:rsidR="00872E79">
        <w:t xml:space="preserve"> </w:t>
      </w:r>
      <w:r w:rsidRPr="00050EC0" w:rsidR="00FC355D">
        <w:t xml:space="preserve">Assuming an hourly wage rate for a </w:t>
      </w:r>
      <w:r w:rsidRPr="00050EC0" w:rsidR="00FC355D">
        <w:lastRenderedPageBreak/>
        <w:t>legal professional of $</w:t>
      </w:r>
      <w:r w:rsidR="00046019">
        <w:t>365</w:t>
      </w:r>
      <w:r w:rsidRPr="00050EC0" w:rsidR="00FC355D">
        <w:t>.</w:t>
      </w:r>
      <w:r w:rsidR="00046019">
        <w:t>39</w:t>
      </w:r>
      <w:r w:rsidRPr="00050EC0" w:rsidR="00FC355D">
        <w:t>,</w:t>
      </w:r>
      <w:r w:rsidRPr="00050EC0" w:rsidR="00FC355D">
        <w:rPr>
          <w:rStyle w:val="FootnoteReference"/>
          <w:color w:val="000000" w:themeColor="text1"/>
        </w:rPr>
        <w:footnoteReference w:id="25"/>
      </w:r>
      <w:r w:rsidRPr="00050EC0" w:rsidR="00FC355D">
        <w:rPr>
          <w:color w:val="000000" w:themeColor="text1"/>
        </w:rPr>
        <w:t> </w:t>
      </w:r>
      <w:r w:rsidRPr="00050EC0" w:rsidR="00FC355D">
        <w:t xml:space="preserve"> the estimated cost burden is </w:t>
      </w:r>
      <w:r w:rsidRPr="00442257" w:rsidR="004832FE">
        <w:t>$</w:t>
      </w:r>
      <w:r w:rsidR="00046019">
        <w:t>1,348</w:t>
      </w:r>
      <w:r w:rsidRPr="00442257" w:rsidR="0036091B">
        <w:t>,</w:t>
      </w:r>
      <w:r w:rsidR="00046019">
        <w:t>6</w:t>
      </w:r>
      <w:r w:rsidR="002F0B5A">
        <w:t>28</w:t>
      </w:r>
      <w:r w:rsidR="004832FE">
        <w:t>.</w:t>
      </w:r>
      <w:r w:rsidR="004832FE">
        <w:rPr>
          <w:rStyle w:val="FootnoteReference"/>
        </w:rPr>
        <w:footnoteReference w:id="26"/>
      </w:r>
    </w:p>
    <w:p w:rsidRPr="00E013EA" w:rsidR="00890247" w:rsidP="00585DB6" w:rsidRDefault="00890247" w14:paraId="446113A9" w14:textId="5B3C0EC3">
      <w:pPr>
        <w:pStyle w:val="BodyTextIndent"/>
        <w:contextualSpacing/>
        <w:rPr>
          <w:color w:val="000000" w:themeColor="text1"/>
          <w:u w:val="single"/>
        </w:rPr>
      </w:pPr>
    </w:p>
    <w:p w:rsidR="009431AA" w:rsidP="00585DB6" w:rsidRDefault="002367F0" w14:paraId="5486C83B" w14:textId="385CBDC8">
      <w:pPr>
        <w:pStyle w:val="BodyTextIndent"/>
        <w:contextualSpacing/>
      </w:pPr>
      <w:r w:rsidRPr="00FF2C01">
        <w:t xml:space="preserve">The Department estimates that approximately 1.8 million </w:t>
      </w:r>
      <w:r>
        <w:t>retirement investors</w:t>
      </w:r>
      <w:r w:rsidRPr="00FF2C01">
        <w:t xml:space="preserve"> have relationships with </w:t>
      </w:r>
      <w:r>
        <w:t>financial institution</w:t>
      </w:r>
      <w:r w:rsidRPr="00FF2C01">
        <w:t xml:space="preserve">s and are likely to engage in transactions covered under this </w:t>
      </w:r>
      <w:r w:rsidR="00067CBD">
        <w:t>exemption</w:t>
      </w:r>
      <w:r w:rsidRPr="00FF2C01">
        <w:t>.</w:t>
      </w:r>
      <w:r w:rsidR="005473C9">
        <w:rPr>
          <w:rStyle w:val="FootnoteReference"/>
        </w:rPr>
        <w:footnoteReference w:id="27"/>
      </w:r>
      <w:r>
        <w:t xml:space="preserve">  Of </w:t>
      </w:r>
      <w:r w:rsidRPr="00050EC0">
        <w:t>these 1.8 million retirement investors, it is assumed that 8.1 percent</w:t>
      </w:r>
      <w:r w:rsidRPr="00050EC0">
        <w:rPr>
          <w:rStyle w:val="FootnoteReference"/>
        </w:rPr>
        <w:footnoteReference w:id="28"/>
      </w:r>
      <w:r w:rsidRPr="00050EC0">
        <w:t>, or 14</w:t>
      </w:r>
      <w:r w:rsidR="002F0B5A">
        <w:t>1</w:t>
      </w:r>
      <w:r w:rsidRPr="00050EC0">
        <w:t>,</w:t>
      </w:r>
      <w:r w:rsidR="002F0B5A">
        <w:t>636</w:t>
      </w:r>
      <w:r w:rsidRPr="00050EC0">
        <w:t xml:space="preserve"> retirement investors, w</w:t>
      </w:r>
      <w:r w:rsidR="00067CBD">
        <w:t>ill</w:t>
      </w:r>
      <w:r w:rsidRPr="00050EC0">
        <w:t xml:space="preserve"> receive paper disclosures.  Distributing paper disclosures is estimated</w:t>
      </w:r>
      <w:r w:rsidRPr="00442257" w:rsidR="00FC355D">
        <w:t xml:space="preserve"> to take</w:t>
      </w:r>
      <w:r w:rsidRPr="00442257">
        <w:t xml:space="preserve"> clerical </w:t>
      </w:r>
      <w:r w:rsidRPr="00442257" w:rsidR="00FC355D">
        <w:t>personnel</w:t>
      </w:r>
      <w:r w:rsidRPr="00442257">
        <w:t xml:space="preserve"> 1 minute per disclosure, resulting in an hourly burden of 2,</w:t>
      </w:r>
      <w:r w:rsidR="002F0B5A">
        <w:t>361</w:t>
      </w:r>
      <w:r w:rsidRPr="00050EC0" w:rsidR="00FC355D">
        <w:t>.</w:t>
      </w:r>
      <w:r w:rsidRPr="00050EC0">
        <w:rPr>
          <w:rStyle w:val="FootnoteReference"/>
        </w:rPr>
        <w:footnoteReference w:id="29"/>
      </w:r>
      <w:r w:rsidRPr="00050EC0">
        <w:t xml:space="preserve"> </w:t>
      </w:r>
      <w:r w:rsidRPr="00050EC0" w:rsidR="00FC355D">
        <w:t xml:space="preserve"> Assuming an hourly wage rate for clerical personnel of $6</w:t>
      </w:r>
      <w:r w:rsidR="00124802">
        <w:t>4</w:t>
      </w:r>
      <w:r w:rsidRPr="00050EC0" w:rsidR="00FC355D">
        <w:t>.</w:t>
      </w:r>
      <w:r w:rsidR="00124802">
        <w:t>11</w:t>
      </w:r>
      <w:r w:rsidRPr="00050EC0" w:rsidR="00FC355D">
        <w:t>,</w:t>
      </w:r>
      <w:r w:rsidRPr="00050EC0" w:rsidR="00FC355D">
        <w:rPr>
          <w:rStyle w:val="FootnoteReference"/>
          <w:color w:val="000000" w:themeColor="text1"/>
        </w:rPr>
        <w:footnoteReference w:id="30"/>
      </w:r>
      <w:r w:rsidRPr="00050EC0" w:rsidR="00FC355D">
        <w:rPr>
          <w:color w:val="000000" w:themeColor="text1"/>
        </w:rPr>
        <w:t> </w:t>
      </w:r>
      <w:r w:rsidRPr="00050EC0" w:rsidR="00FC355D">
        <w:t xml:space="preserve">the estimated cost burden is </w:t>
      </w:r>
      <w:r w:rsidRPr="00050EC0">
        <w:t>$15</w:t>
      </w:r>
      <w:r w:rsidR="002F0B5A">
        <w:t>1</w:t>
      </w:r>
      <w:r w:rsidRPr="00050EC0">
        <w:t>,</w:t>
      </w:r>
      <w:r w:rsidR="002F0B5A">
        <w:t>341</w:t>
      </w:r>
      <w:r w:rsidRPr="00050EC0">
        <w:t>.</w:t>
      </w:r>
      <w:r w:rsidRPr="00050EC0">
        <w:rPr>
          <w:rStyle w:val="FootnoteReference"/>
        </w:rPr>
        <w:footnoteReference w:id="31"/>
      </w:r>
    </w:p>
    <w:p w:rsidR="00FC355D" w:rsidP="00585DB6" w:rsidRDefault="00FC355D" w14:paraId="4F1C1022" w14:textId="77777777">
      <w:pPr>
        <w:pStyle w:val="BodyTextIndent"/>
        <w:contextualSpacing/>
      </w:pPr>
    </w:p>
    <w:p w:rsidR="000447B6" w:rsidP="00585DB6" w:rsidRDefault="0040673E" w14:paraId="6EE817C8" w14:textId="56701963">
      <w:pPr>
        <w:pStyle w:val="BodyTextIndent"/>
        <w:contextualSpacing/>
        <w:rPr>
          <w:color w:val="000000" w:themeColor="text1"/>
        </w:rPr>
      </w:pPr>
      <w:r>
        <w:rPr>
          <w:i/>
          <w:color w:val="000000" w:themeColor="text1"/>
          <w:u w:val="single"/>
        </w:rPr>
        <w:t xml:space="preserve">Costs Associated with </w:t>
      </w:r>
      <w:r w:rsidR="000447B6">
        <w:rPr>
          <w:i/>
          <w:color w:val="000000" w:themeColor="text1"/>
          <w:u w:val="single"/>
        </w:rPr>
        <w:t>Written Policies and Procedures</w:t>
      </w:r>
    </w:p>
    <w:p w:rsidR="000447B6" w:rsidP="00585DB6" w:rsidRDefault="000447B6" w14:paraId="330E6901" w14:textId="303411CF">
      <w:pPr>
        <w:pStyle w:val="BodyTextIndent"/>
        <w:contextualSpacing/>
        <w:rPr>
          <w:color w:val="000000" w:themeColor="text1"/>
        </w:rPr>
      </w:pPr>
    </w:p>
    <w:p w:rsidR="000447B6" w:rsidP="00585DB6" w:rsidRDefault="000447B6" w14:paraId="589C1088" w14:textId="2901196F">
      <w:pPr>
        <w:pStyle w:val="BodyTextIndent"/>
        <w:contextualSpacing/>
        <w:rPr>
          <w:color w:val="000000" w:themeColor="text1"/>
        </w:rPr>
      </w:pPr>
      <w:r w:rsidRPr="00E05322">
        <w:rPr>
          <w:color w:val="000000" w:themeColor="text1"/>
        </w:rPr>
        <w:t xml:space="preserve">Section II(c)(1) of the </w:t>
      </w:r>
      <w:r w:rsidR="00067CBD">
        <w:rPr>
          <w:color w:val="000000" w:themeColor="text1"/>
        </w:rPr>
        <w:t>exemption</w:t>
      </w:r>
      <w:r w:rsidRPr="00E05322">
        <w:rPr>
          <w:color w:val="000000" w:themeColor="text1"/>
        </w:rPr>
        <w:t xml:space="preserve">  require</w:t>
      </w:r>
      <w:r w:rsidR="00067CBD">
        <w:rPr>
          <w:color w:val="000000" w:themeColor="text1"/>
        </w:rPr>
        <w:t>s</w:t>
      </w:r>
      <w:r w:rsidRPr="00E05322">
        <w:rPr>
          <w:color w:val="000000" w:themeColor="text1"/>
        </w:rPr>
        <w:t xml:space="preserve"> </w:t>
      </w:r>
      <w:r>
        <w:rPr>
          <w:color w:val="000000" w:themeColor="text1"/>
        </w:rPr>
        <w:t>financial institution</w:t>
      </w:r>
      <w:r w:rsidRPr="00E05322">
        <w:rPr>
          <w:color w:val="000000" w:themeColor="text1"/>
        </w:rPr>
        <w:t>s to establish, maintain</w:t>
      </w:r>
      <w:r>
        <w:rPr>
          <w:color w:val="000000" w:themeColor="text1"/>
        </w:rPr>
        <w:t>,</w:t>
      </w:r>
      <w:r w:rsidRPr="00E05322">
        <w:rPr>
          <w:color w:val="000000" w:themeColor="text1"/>
        </w:rPr>
        <w:t xml:space="preserve"> and enforce written policies and procedures designed to ensure that they and their </w:t>
      </w:r>
      <w:r>
        <w:rPr>
          <w:color w:val="000000" w:themeColor="text1"/>
        </w:rPr>
        <w:t>investment professional</w:t>
      </w:r>
      <w:r w:rsidRPr="00E05322">
        <w:rPr>
          <w:color w:val="000000" w:themeColor="text1"/>
        </w:rPr>
        <w:t xml:space="preserve">s comply with the Impartial Conduct Standards.  </w:t>
      </w:r>
      <w:r w:rsidRPr="00715701">
        <w:rPr>
          <w:color w:val="000000" w:themeColor="text1"/>
        </w:rPr>
        <w:t>Section II(c)(2)  further require</w:t>
      </w:r>
      <w:r w:rsidR="00067CBD">
        <w:rPr>
          <w:color w:val="000000" w:themeColor="text1"/>
        </w:rPr>
        <w:t>s</w:t>
      </w:r>
      <w:r w:rsidRPr="00715701">
        <w:rPr>
          <w:color w:val="000000" w:themeColor="text1"/>
        </w:rPr>
        <w:t xml:space="preserve"> </w:t>
      </w:r>
      <w:r w:rsidR="008B6D71">
        <w:rPr>
          <w:color w:val="000000" w:themeColor="text1"/>
        </w:rPr>
        <w:t xml:space="preserve">financial </w:t>
      </w:r>
      <w:r>
        <w:rPr>
          <w:color w:val="000000" w:themeColor="text1"/>
        </w:rPr>
        <w:t xml:space="preserve">institutions </w:t>
      </w:r>
      <w:r w:rsidR="008B6D71">
        <w:rPr>
          <w:color w:val="000000" w:themeColor="text1"/>
        </w:rPr>
        <w:t xml:space="preserve">to </w:t>
      </w:r>
      <w:r>
        <w:rPr>
          <w:color w:val="000000" w:themeColor="text1"/>
        </w:rPr>
        <w:t>design the</w:t>
      </w:r>
      <w:r w:rsidR="008B6D71">
        <w:rPr>
          <w:color w:val="000000" w:themeColor="text1"/>
        </w:rPr>
        <w:t>ir</w:t>
      </w:r>
      <w:r>
        <w:rPr>
          <w:color w:val="000000" w:themeColor="text1"/>
        </w:rPr>
        <w:t xml:space="preserve"> </w:t>
      </w:r>
      <w:r w:rsidRPr="00715701">
        <w:rPr>
          <w:color w:val="000000" w:themeColor="text1"/>
        </w:rPr>
        <w:t xml:space="preserve">policies and procedures </w:t>
      </w:r>
      <w:r>
        <w:rPr>
          <w:color w:val="000000" w:themeColor="text1"/>
        </w:rPr>
        <w:t xml:space="preserve">to </w:t>
      </w:r>
      <w:r w:rsidRPr="00715701">
        <w:rPr>
          <w:color w:val="000000" w:themeColor="text1"/>
        </w:rPr>
        <w:t>mitigate conflicts of interest</w:t>
      </w:r>
      <w:r w:rsidR="001E75E9">
        <w:rPr>
          <w:color w:val="000000" w:themeColor="text1"/>
        </w:rPr>
        <w:t xml:space="preserve"> </w:t>
      </w:r>
      <w:r w:rsidR="001E75E9">
        <w:t xml:space="preserve">to the extent that </w:t>
      </w:r>
      <w:r w:rsidRPr="006336CD" w:rsidR="001E75E9">
        <w:t xml:space="preserve">a reasonable person reviewing the policies and procedures and incentive practices </w:t>
      </w:r>
      <w:r w:rsidR="001E75E9">
        <w:t xml:space="preserve">as a whole </w:t>
      </w:r>
      <w:r w:rsidRPr="006336CD" w:rsidR="001E75E9">
        <w:t>would conclude that</w:t>
      </w:r>
      <w:r w:rsidR="001E75E9">
        <w:t xml:space="preserve"> </w:t>
      </w:r>
      <w:r w:rsidRPr="006336CD" w:rsidR="001E75E9">
        <w:t>they do</w:t>
      </w:r>
      <w:r w:rsidR="001E75E9">
        <w:t xml:space="preserve"> not create an incentive for a financial institution or i</w:t>
      </w:r>
      <w:r w:rsidRPr="006336CD" w:rsidR="001E75E9">
        <w:t xml:space="preserve">nvestment </w:t>
      </w:r>
      <w:r w:rsidR="001E75E9">
        <w:t>p</w:t>
      </w:r>
      <w:r w:rsidRPr="006336CD" w:rsidR="001E75E9">
        <w:t>rofessional to place their interests ahead of the</w:t>
      </w:r>
      <w:r w:rsidR="001E75E9">
        <w:t xml:space="preserve"> interest of the retirement i</w:t>
      </w:r>
      <w:r w:rsidRPr="006336CD" w:rsidR="001E75E9">
        <w:t>nvestor</w:t>
      </w:r>
      <w:r w:rsidRPr="00E05322">
        <w:rPr>
          <w:color w:val="000000" w:themeColor="text1"/>
        </w:rPr>
        <w:t>.</w:t>
      </w:r>
    </w:p>
    <w:p w:rsidR="000447B6" w:rsidP="00585DB6" w:rsidRDefault="000447B6" w14:paraId="1842ADA6" w14:textId="2522750F">
      <w:pPr>
        <w:pStyle w:val="BodyTextIndent"/>
        <w:contextualSpacing/>
        <w:rPr>
          <w:color w:val="000000" w:themeColor="text1"/>
        </w:rPr>
      </w:pPr>
    </w:p>
    <w:p w:rsidR="000447B6" w:rsidP="00585DB6" w:rsidRDefault="000447B6" w14:paraId="23C36288" w14:textId="4D3FD933">
      <w:pPr>
        <w:pStyle w:val="BodyTextIndent"/>
        <w:contextualSpacing/>
      </w:pPr>
      <w:r>
        <w:t>The Department estimates that establishing, maintaining, and enforcing written policies and procedures to ensure compliance with the Impartial Conduct Standards take</w:t>
      </w:r>
      <w:r w:rsidR="00067CBD">
        <w:t>s</w:t>
      </w:r>
      <w:r>
        <w:t xml:space="preserve"> a legal professional, at each of the 11,782 financial institutions, </w:t>
      </w:r>
      <w:r w:rsidRPr="00A214B0">
        <w:t>between 15 minutes and 10</w:t>
      </w:r>
      <w:r>
        <w:t xml:space="preserve"> hours, depending on the nature of the business.</w:t>
      </w:r>
      <w:r>
        <w:rPr>
          <w:rStyle w:val="FootnoteReference"/>
        </w:rPr>
        <w:footnoteReference w:id="32"/>
      </w:r>
      <w:r>
        <w:t xml:space="preserve">  This results in an </w:t>
      </w:r>
      <w:r w:rsidRPr="00A214B0">
        <w:t>hour burden of 12,023</w:t>
      </w:r>
      <w:r w:rsidRPr="00A214B0" w:rsidR="00C04874">
        <w:t>.</w:t>
      </w:r>
      <w:r w:rsidRPr="00A214B0">
        <w:rPr>
          <w:rStyle w:val="FootnoteReference"/>
        </w:rPr>
        <w:footnoteReference w:id="33"/>
      </w:r>
      <w:r w:rsidRPr="00A214B0" w:rsidR="00C04874">
        <w:t xml:space="preserve">  Assuming an hourly wage rate for a legal professional of $</w:t>
      </w:r>
      <w:r w:rsidR="00AC5FD8">
        <w:t>365.39</w:t>
      </w:r>
      <w:r w:rsidRPr="00A214B0" w:rsidR="00C04874">
        <w:t>,</w:t>
      </w:r>
      <w:r w:rsidRPr="00A214B0" w:rsidR="00C04874">
        <w:rPr>
          <w:rStyle w:val="FootnoteReference"/>
          <w:color w:val="000000" w:themeColor="text1"/>
        </w:rPr>
        <w:footnoteReference w:id="34"/>
      </w:r>
      <w:r w:rsidRPr="00A214B0" w:rsidR="00C04874">
        <w:rPr>
          <w:color w:val="000000" w:themeColor="text1"/>
        </w:rPr>
        <w:t> </w:t>
      </w:r>
      <w:r w:rsidRPr="00A214B0" w:rsidR="00C04874">
        <w:t xml:space="preserve">the estimated cost burden </w:t>
      </w:r>
      <w:r w:rsidR="00266227">
        <w:t>would be</w:t>
      </w:r>
      <w:r w:rsidRPr="00A214B0" w:rsidR="00266227">
        <w:t xml:space="preserve"> </w:t>
      </w:r>
      <w:r w:rsidRPr="00A214B0">
        <w:t>$</w:t>
      </w:r>
      <w:r w:rsidR="00AC5FD8">
        <w:t>4</w:t>
      </w:r>
      <w:r w:rsidRPr="00A214B0">
        <w:t>,</w:t>
      </w:r>
      <w:r w:rsidR="00AC5FD8">
        <w:t>393</w:t>
      </w:r>
      <w:r w:rsidRPr="00A214B0">
        <w:t>,</w:t>
      </w:r>
      <w:r w:rsidR="00AC5FD8">
        <w:t>0</w:t>
      </w:r>
      <w:r w:rsidR="00BD65FE">
        <w:t>11</w:t>
      </w:r>
      <w:r w:rsidRPr="00A214B0">
        <w:t>.</w:t>
      </w:r>
      <w:r w:rsidRPr="00A214B0">
        <w:rPr>
          <w:rStyle w:val="FootnoteReference"/>
        </w:rPr>
        <w:footnoteReference w:id="35"/>
      </w:r>
    </w:p>
    <w:p w:rsidR="000447B6" w:rsidP="00585DB6" w:rsidRDefault="000447B6" w14:paraId="55D7ED21" w14:textId="689E2CC7">
      <w:pPr>
        <w:pStyle w:val="BodyTextIndent"/>
        <w:contextualSpacing/>
      </w:pPr>
    </w:p>
    <w:p w:rsidR="000447B6" w:rsidP="00585DB6" w:rsidRDefault="00334CC0" w14:paraId="1728C8CE" w14:textId="5E3A9434">
      <w:pPr>
        <w:pStyle w:val="BodyTextIndent"/>
        <w:contextualSpacing/>
        <w:rPr>
          <w:i/>
          <w:u w:val="single"/>
        </w:rPr>
      </w:pPr>
      <w:r>
        <w:rPr>
          <w:i/>
          <w:u w:val="single"/>
        </w:rPr>
        <w:t xml:space="preserve">Costs Associated with </w:t>
      </w:r>
      <w:r w:rsidR="000447B6">
        <w:rPr>
          <w:i/>
          <w:u w:val="single"/>
        </w:rPr>
        <w:t>Rollover Documentation</w:t>
      </w:r>
    </w:p>
    <w:p w:rsidR="000447B6" w:rsidP="00585DB6" w:rsidRDefault="000447B6" w14:paraId="2823652D" w14:textId="1D8F8BE4">
      <w:pPr>
        <w:pStyle w:val="BodyTextIndent"/>
        <w:contextualSpacing/>
        <w:rPr>
          <w:i/>
          <w:u w:val="single"/>
        </w:rPr>
      </w:pPr>
    </w:p>
    <w:p w:rsidR="00773986" w:rsidP="00585DB6" w:rsidRDefault="00773986" w14:paraId="4A53BDA0" w14:textId="6789346F">
      <w:pPr>
        <w:ind w:left="720"/>
        <w:contextualSpacing/>
        <w:textAlignment w:val="baseline"/>
        <w:rPr>
          <w:color w:val="000000" w:themeColor="text1"/>
        </w:rPr>
      </w:pPr>
      <w:r w:rsidRPr="00E05322">
        <w:rPr>
          <w:color w:val="000000" w:themeColor="text1"/>
        </w:rPr>
        <w:t xml:space="preserve">Section II(c)(3) of the </w:t>
      </w:r>
      <w:r w:rsidR="00067CBD">
        <w:rPr>
          <w:color w:val="000000" w:themeColor="text1"/>
        </w:rPr>
        <w:t>exemption</w:t>
      </w:r>
      <w:r w:rsidRPr="00E05322">
        <w:rPr>
          <w:color w:val="000000" w:themeColor="text1"/>
        </w:rPr>
        <w:t xml:space="preserve"> require</w:t>
      </w:r>
      <w:r w:rsidR="00067CBD">
        <w:rPr>
          <w:color w:val="000000" w:themeColor="text1"/>
        </w:rPr>
        <w:t>s</w:t>
      </w:r>
      <w:r w:rsidRPr="00E05322">
        <w:rPr>
          <w:color w:val="000000" w:themeColor="text1"/>
        </w:rPr>
        <w:t xml:space="preserve"> </w:t>
      </w:r>
      <w:r>
        <w:rPr>
          <w:color w:val="000000" w:themeColor="text1"/>
        </w:rPr>
        <w:t>financial institution</w:t>
      </w:r>
      <w:r w:rsidRPr="00E05322">
        <w:rPr>
          <w:color w:val="000000" w:themeColor="text1"/>
        </w:rPr>
        <w:t xml:space="preserve">s to document the specific reasons </w:t>
      </w:r>
      <w:r>
        <w:rPr>
          <w:color w:val="000000" w:themeColor="text1"/>
        </w:rPr>
        <w:t>for</w:t>
      </w:r>
      <w:r w:rsidRPr="00E05322">
        <w:rPr>
          <w:color w:val="000000" w:themeColor="text1"/>
        </w:rPr>
        <w:t xml:space="preserve"> any </w:t>
      </w:r>
      <w:r>
        <w:rPr>
          <w:color w:val="000000" w:themeColor="text1"/>
        </w:rPr>
        <w:t xml:space="preserve">rollover </w:t>
      </w:r>
      <w:r w:rsidRPr="00E05322">
        <w:rPr>
          <w:color w:val="000000" w:themeColor="text1"/>
        </w:rPr>
        <w:t>recommendation</w:t>
      </w:r>
      <w:r>
        <w:rPr>
          <w:color w:val="000000" w:themeColor="text1"/>
        </w:rPr>
        <w:t xml:space="preserve"> and </w:t>
      </w:r>
      <w:r w:rsidR="001E75E9">
        <w:rPr>
          <w:color w:val="000000" w:themeColor="text1"/>
        </w:rPr>
        <w:t xml:space="preserve">provide </w:t>
      </w:r>
      <w:r>
        <w:rPr>
          <w:color w:val="000000" w:themeColor="text1"/>
        </w:rPr>
        <w:t>that the rollover</w:t>
      </w:r>
      <w:r w:rsidRPr="00E05322">
        <w:rPr>
          <w:color w:val="000000" w:themeColor="text1"/>
        </w:rPr>
        <w:t xml:space="preserve"> is in the </w:t>
      </w:r>
      <w:r>
        <w:rPr>
          <w:color w:val="000000" w:themeColor="text1"/>
        </w:rPr>
        <w:t>b</w:t>
      </w:r>
      <w:r w:rsidRPr="00E05322">
        <w:rPr>
          <w:color w:val="000000" w:themeColor="text1"/>
        </w:rPr>
        <w:t xml:space="preserve">est </w:t>
      </w:r>
      <w:r>
        <w:rPr>
          <w:color w:val="000000" w:themeColor="text1"/>
        </w:rPr>
        <w:t>i</w:t>
      </w:r>
      <w:r w:rsidRPr="00E05322">
        <w:rPr>
          <w:color w:val="000000" w:themeColor="text1"/>
        </w:rPr>
        <w:t xml:space="preserve">nterest of the </w:t>
      </w:r>
      <w:r>
        <w:rPr>
          <w:color w:val="000000" w:themeColor="text1"/>
        </w:rPr>
        <w:t>retirement investor</w:t>
      </w:r>
      <w:r w:rsidRPr="00E05322">
        <w:rPr>
          <w:color w:val="000000" w:themeColor="text1"/>
        </w:rPr>
        <w:t>.</w:t>
      </w:r>
    </w:p>
    <w:p w:rsidR="00773986" w:rsidP="00585DB6" w:rsidRDefault="00773986" w14:paraId="4EA17494" w14:textId="18D5ED68">
      <w:pPr>
        <w:ind w:left="720"/>
        <w:contextualSpacing/>
        <w:textAlignment w:val="baseline"/>
        <w:rPr>
          <w:color w:val="000000" w:themeColor="text1"/>
        </w:rPr>
      </w:pPr>
    </w:p>
    <w:p w:rsidRPr="00A409FC" w:rsidR="00773986" w:rsidP="00585DB6" w:rsidRDefault="00773986" w14:paraId="62017A3B" w14:textId="3C90FD63">
      <w:pPr>
        <w:ind w:left="720"/>
        <w:contextualSpacing/>
        <w:textAlignment w:val="baseline"/>
        <w:rPr>
          <w:color w:val="000000" w:themeColor="text1"/>
        </w:rPr>
      </w:pPr>
      <w:r>
        <w:rPr>
          <w:color w:val="000000" w:themeColor="text1"/>
        </w:rPr>
        <w:t xml:space="preserve">The Department estimates </w:t>
      </w:r>
      <w:r w:rsidRPr="00591B59">
        <w:rPr>
          <w:color w:val="000000" w:themeColor="text1"/>
        </w:rPr>
        <w:t>that 1.8 million</w:t>
      </w:r>
      <w:r>
        <w:rPr>
          <w:color w:val="000000" w:themeColor="text1"/>
        </w:rPr>
        <w:t xml:space="preserve"> </w:t>
      </w:r>
      <w:r w:rsidR="00BD65FE">
        <w:rPr>
          <w:color w:val="000000" w:themeColor="text1"/>
        </w:rPr>
        <w:t>defined contribution</w:t>
      </w:r>
      <w:r>
        <w:rPr>
          <w:color w:val="000000" w:themeColor="text1"/>
        </w:rPr>
        <w:t xml:space="preserve"> plan accounts</w:t>
      </w:r>
      <w:r>
        <w:rPr>
          <w:rStyle w:val="FootnoteReference"/>
          <w:color w:val="000000" w:themeColor="text1"/>
        </w:rPr>
        <w:footnoteReference w:id="36"/>
      </w:r>
      <w:r>
        <w:rPr>
          <w:color w:val="000000" w:themeColor="text1"/>
        </w:rPr>
        <w:t xml:space="preserve"> </w:t>
      </w:r>
      <w:r w:rsidR="00067CBD">
        <w:rPr>
          <w:color w:val="000000" w:themeColor="text1"/>
        </w:rPr>
        <w:t>a</w:t>
      </w:r>
      <w:r>
        <w:rPr>
          <w:color w:val="000000" w:themeColor="text1"/>
        </w:rPr>
        <w:t xml:space="preserve">re rolled into IRAs in accordance with advice from a </w:t>
      </w:r>
      <w:r w:rsidRPr="005F7BF9">
        <w:rPr>
          <w:color w:val="000000" w:themeColor="text1"/>
        </w:rPr>
        <w:t>financial professional</w:t>
      </w:r>
      <w:r w:rsidRPr="005F7BF9" w:rsidR="00A214B0">
        <w:rPr>
          <w:color w:val="000000" w:themeColor="text1"/>
        </w:rPr>
        <w:t xml:space="preserve">.  Of those 1.8 million </w:t>
      </w:r>
      <w:r w:rsidRPr="005F7BF9" w:rsidR="00A214B0">
        <w:rPr>
          <w:color w:val="000000" w:themeColor="text1"/>
        </w:rPr>
        <w:lastRenderedPageBreak/>
        <w:t xml:space="preserve">retirement plan accounts, </w:t>
      </w:r>
      <w:r w:rsidRPr="00C04F73" w:rsidR="00591B59">
        <w:t xml:space="preserve">the Department assumes that </w:t>
      </w:r>
      <w:r w:rsidRPr="00585DB6" w:rsidR="008F5344">
        <w:t>approximately two-thi</w:t>
      </w:r>
      <w:r w:rsidRPr="005F7BF9" w:rsidR="00591B59">
        <w:t>r</w:t>
      </w:r>
      <w:r w:rsidRPr="00585DB6" w:rsidR="008F5344">
        <w:t>ds</w:t>
      </w:r>
      <w:r w:rsidRPr="00585DB6" w:rsidR="008F5344">
        <w:rPr>
          <w:rStyle w:val="FootnoteReference"/>
        </w:rPr>
        <w:footnoteReference w:id="37"/>
      </w:r>
      <w:r w:rsidRPr="005F7BF9" w:rsidR="00591B59">
        <w:t xml:space="preserve"> of</w:t>
      </w:r>
      <w:r w:rsidRPr="00C04F73" w:rsidR="00591B59">
        <w:t xml:space="preserve"> rollovers involv</w:t>
      </w:r>
      <w:r w:rsidR="005E3C17">
        <w:t>e</w:t>
      </w:r>
      <w:r w:rsidRPr="00C04F73" w:rsidR="00591B59">
        <w:t xml:space="preserve"> financial services professionals who </w:t>
      </w:r>
      <w:r w:rsidR="00112E3B">
        <w:t xml:space="preserve">act in a </w:t>
      </w:r>
      <w:r w:rsidRPr="00C04F73" w:rsidR="00591B59">
        <w:t>fiduciar</w:t>
      </w:r>
      <w:r w:rsidR="00112E3B">
        <w:t>y</w:t>
      </w:r>
      <w:r w:rsidRPr="00C04F73" w:rsidR="00591B59">
        <w:t xml:space="preserve"> </w:t>
      </w:r>
      <w:r w:rsidR="00112E3B">
        <w:t xml:space="preserve">capacity </w:t>
      </w:r>
      <w:r w:rsidRPr="00C04F73" w:rsidR="00591B59">
        <w:t>under the five-part test.</w:t>
      </w:r>
      <w:r w:rsidRPr="00C04F73">
        <w:rPr>
          <w:color w:val="000000" w:themeColor="text1"/>
        </w:rPr>
        <w:t xml:space="preserve">  Further, the Department estimates that documenting each rollover recommendation </w:t>
      </w:r>
      <w:r w:rsidRPr="00C04F73" w:rsidR="00AE18BD">
        <w:rPr>
          <w:color w:val="000000" w:themeColor="text1"/>
        </w:rPr>
        <w:t>take</w:t>
      </w:r>
      <w:r w:rsidR="00067CBD">
        <w:rPr>
          <w:color w:val="000000" w:themeColor="text1"/>
        </w:rPr>
        <w:t>s</w:t>
      </w:r>
      <w:r w:rsidRPr="00C04F73" w:rsidR="00AE18BD">
        <w:rPr>
          <w:color w:val="000000" w:themeColor="text1"/>
        </w:rPr>
        <w:t xml:space="preserve"> a personal financial advise</w:t>
      </w:r>
      <w:r w:rsidRPr="00C04F73">
        <w:rPr>
          <w:color w:val="000000" w:themeColor="text1"/>
        </w:rPr>
        <w:t xml:space="preserve">r </w:t>
      </w:r>
      <w:r w:rsidR="00C92B45">
        <w:rPr>
          <w:color w:val="000000" w:themeColor="text1"/>
        </w:rPr>
        <w:t>between 30</w:t>
      </w:r>
      <w:r w:rsidRPr="00C04F73">
        <w:rPr>
          <w:color w:val="000000" w:themeColor="text1"/>
        </w:rPr>
        <w:t xml:space="preserve"> minutes</w:t>
      </w:r>
      <w:r w:rsidR="00C92B45">
        <w:rPr>
          <w:color w:val="000000" w:themeColor="text1"/>
        </w:rPr>
        <w:t xml:space="preserve"> and 5 minutes depending on their financial institutions’ policies to comply with other regulators’ rules</w:t>
      </w:r>
      <w:r w:rsidRPr="00C04F73">
        <w:rPr>
          <w:color w:val="000000" w:themeColor="text1"/>
        </w:rPr>
        <w:t xml:space="preserve">, resulting in </w:t>
      </w:r>
      <w:r w:rsidR="00C92B45">
        <w:rPr>
          <w:color w:val="000000" w:themeColor="text1"/>
        </w:rPr>
        <w:t>335</w:t>
      </w:r>
      <w:r w:rsidRPr="00C04F73" w:rsidR="008F5344">
        <w:rPr>
          <w:color w:val="000000" w:themeColor="text1"/>
        </w:rPr>
        <w:t>,</w:t>
      </w:r>
      <w:r w:rsidR="00C92B45">
        <w:rPr>
          <w:color w:val="000000" w:themeColor="text1"/>
        </w:rPr>
        <w:t>330</w:t>
      </w:r>
      <w:r w:rsidRPr="005F7BF9">
        <w:rPr>
          <w:rStyle w:val="FootnoteReference"/>
          <w:color w:val="000000" w:themeColor="text1"/>
        </w:rPr>
        <w:footnoteReference w:id="38"/>
      </w:r>
      <w:r w:rsidRPr="005F7BF9">
        <w:rPr>
          <w:color w:val="000000" w:themeColor="text1"/>
        </w:rPr>
        <w:t xml:space="preserve"> burden hours</w:t>
      </w:r>
      <w:r w:rsidRPr="005F7BF9" w:rsidR="00C04874">
        <w:rPr>
          <w:color w:val="000000" w:themeColor="text1"/>
        </w:rPr>
        <w:t>.  Assuming an hourly wage rate</w:t>
      </w:r>
      <w:r w:rsidRPr="00C04F73" w:rsidR="00AE18BD">
        <w:rPr>
          <w:color w:val="000000" w:themeColor="text1"/>
        </w:rPr>
        <w:t xml:space="preserve"> for a personal financial advise</w:t>
      </w:r>
      <w:r w:rsidRPr="00C04F73" w:rsidR="00C04874">
        <w:rPr>
          <w:color w:val="000000" w:themeColor="text1"/>
        </w:rPr>
        <w:t>r of</w:t>
      </w:r>
      <w:r w:rsidRPr="00C04F73" w:rsidR="003F5714">
        <w:rPr>
          <w:color w:val="000000" w:themeColor="text1"/>
        </w:rPr>
        <w:t xml:space="preserve"> </w:t>
      </w:r>
      <w:r w:rsidRPr="00C04F73" w:rsidR="00C04874">
        <w:rPr>
          <w:color w:val="000000" w:themeColor="text1"/>
        </w:rPr>
        <w:t>$1</w:t>
      </w:r>
      <w:r w:rsidRPr="00C04F73" w:rsidR="00D705E1">
        <w:rPr>
          <w:color w:val="000000" w:themeColor="text1"/>
        </w:rPr>
        <w:t>94.77</w:t>
      </w:r>
      <w:r w:rsidRPr="00C04F73" w:rsidR="00C04874">
        <w:rPr>
          <w:color w:val="000000" w:themeColor="text1"/>
        </w:rPr>
        <w:t>,</w:t>
      </w:r>
      <w:r w:rsidRPr="005F7BF9" w:rsidR="00C04874">
        <w:rPr>
          <w:rStyle w:val="FootnoteReference"/>
          <w:color w:val="000000" w:themeColor="text1"/>
        </w:rPr>
        <w:footnoteReference w:id="39"/>
      </w:r>
      <w:r w:rsidRPr="005F7BF9" w:rsidR="00C04874">
        <w:rPr>
          <w:color w:val="000000" w:themeColor="text1"/>
        </w:rPr>
        <w:t>  the cost burden</w:t>
      </w:r>
      <w:r w:rsidR="00266227">
        <w:rPr>
          <w:color w:val="000000" w:themeColor="text1"/>
        </w:rPr>
        <w:t xml:space="preserve"> </w:t>
      </w:r>
      <w:r w:rsidR="00C92B45">
        <w:rPr>
          <w:color w:val="000000" w:themeColor="text1"/>
        </w:rPr>
        <w:t>is estimated</w:t>
      </w:r>
      <w:r w:rsidRPr="005F7BF9" w:rsidR="00C04874">
        <w:rPr>
          <w:color w:val="000000" w:themeColor="text1"/>
        </w:rPr>
        <w:t xml:space="preserve"> </w:t>
      </w:r>
      <w:r w:rsidRPr="005F7BF9">
        <w:rPr>
          <w:color w:val="000000" w:themeColor="text1"/>
        </w:rPr>
        <w:t>$</w:t>
      </w:r>
      <w:r w:rsidR="00C92B45">
        <w:rPr>
          <w:color w:val="000000" w:themeColor="text1"/>
        </w:rPr>
        <w:t>65</w:t>
      </w:r>
      <w:r w:rsidRPr="00C04F73" w:rsidR="008F5344">
        <w:rPr>
          <w:color w:val="000000" w:themeColor="text1"/>
        </w:rPr>
        <w:t>,</w:t>
      </w:r>
      <w:r w:rsidR="00C92B45">
        <w:rPr>
          <w:color w:val="000000" w:themeColor="text1"/>
        </w:rPr>
        <w:t>313</w:t>
      </w:r>
      <w:r w:rsidRPr="00C04F73" w:rsidR="008F5344">
        <w:rPr>
          <w:color w:val="000000" w:themeColor="text1"/>
        </w:rPr>
        <w:t>,</w:t>
      </w:r>
      <w:r w:rsidR="00C92B45">
        <w:rPr>
          <w:color w:val="000000" w:themeColor="text1"/>
        </w:rPr>
        <w:t>770</w:t>
      </w:r>
      <w:r w:rsidRPr="00C04F73">
        <w:rPr>
          <w:color w:val="000000" w:themeColor="text1"/>
        </w:rPr>
        <w:t>.</w:t>
      </w:r>
      <w:r w:rsidRPr="005F7BF9">
        <w:rPr>
          <w:rStyle w:val="FootnoteReference"/>
          <w:color w:val="000000" w:themeColor="text1"/>
        </w:rPr>
        <w:footnoteReference w:id="40"/>
      </w:r>
    </w:p>
    <w:p w:rsidR="00897214" w:rsidP="00585DB6" w:rsidRDefault="00897214" w14:paraId="4820EEDA" w14:textId="77777777">
      <w:pPr>
        <w:pStyle w:val="BodyTextIndent"/>
        <w:contextualSpacing/>
        <w:rPr>
          <w:i/>
          <w:u w:val="single"/>
        </w:rPr>
      </w:pPr>
    </w:p>
    <w:p w:rsidR="00773986" w:rsidP="00585DB6" w:rsidRDefault="003F5714" w14:paraId="247138EA" w14:textId="72CF4924">
      <w:pPr>
        <w:pStyle w:val="BodyTextIndent"/>
        <w:contextualSpacing/>
        <w:rPr>
          <w:i/>
          <w:u w:val="single"/>
        </w:rPr>
      </w:pPr>
      <w:r>
        <w:rPr>
          <w:i/>
          <w:u w:val="single"/>
        </w:rPr>
        <w:t xml:space="preserve">Costs Associated with </w:t>
      </w:r>
      <w:r w:rsidR="00773986">
        <w:rPr>
          <w:i/>
          <w:u w:val="single"/>
        </w:rPr>
        <w:t xml:space="preserve">Annual </w:t>
      </w:r>
      <w:r>
        <w:rPr>
          <w:i/>
          <w:u w:val="single"/>
        </w:rPr>
        <w:t xml:space="preserve">Report of </w:t>
      </w:r>
      <w:r w:rsidR="00773986">
        <w:rPr>
          <w:i/>
          <w:u w:val="single"/>
        </w:rPr>
        <w:t>Retrospective Review</w:t>
      </w:r>
    </w:p>
    <w:p w:rsidRPr="00E05322" w:rsidR="00773986" w:rsidP="00585DB6" w:rsidRDefault="00773986" w14:paraId="794B50C3" w14:textId="77777777">
      <w:pPr>
        <w:ind w:left="720"/>
        <w:contextualSpacing/>
        <w:textAlignment w:val="baseline"/>
        <w:rPr>
          <w:color w:val="000000" w:themeColor="text1"/>
        </w:rPr>
      </w:pPr>
    </w:p>
    <w:p w:rsidR="00773986" w:rsidP="00585DB6" w:rsidRDefault="00773986" w14:paraId="099E824A" w14:textId="231CE1DA">
      <w:pPr>
        <w:ind w:left="720"/>
        <w:contextualSpacing/>
        <w:textAlignment w:val="baseline"/>
        <w:rPr>
          <w:color w:val="000000" w:themeColor="text1"/>
        </w:rPr>
      </w:pPr>
      <w:r w:rsidRPr="00E05322">
        <w:rPr>
          <w:color w:val="000000" w:themeColor="text1"/>
        </w:rPr>
        <w:t xml:space="preserve">Under Section II(d) of the </w:t>
      </w:r>
      <w:r w:rsidR="00C92B45">
        <w:rPr>
          <w:color w:val="000000" w:themeColor="text1"/>
        </w:rPr>
        <w:t>exemption</w:t>
      </w:r>
      <w:r w:rsidRPr="00E05322">
        <w:rPr>
          <w:color w:val="000000" w:themeColor="text1"/>
        </w:rPr>
        <w:t xml:space="preserve">, </w:t>
      </w:r>
      <w:r>
        <w:rPr>
          <w:color w:val="000000" w:themeColor="text1"/>
        </w:rPr>
        <w:t>financial institution</w:t>
      </w:r>
      <w:r w:rsidRPr="00E05322">
        <w:rPr>
          <w:color w:val="000000" w:themeColor="text1"/>
        </w:rPr>
        <w:t xml:space="preserve">s </w:t>
      </w:r>
      <w:r w:rsidR="00C92B45">
        <w:rPr>
          <w:color w:val="000000" w:themeColor="text1"/>
        </w:rPr>
        <w:t>are</w:t>
      </w:r>
      <w:r w:rsidRPr="00E05322">
        <w:rPr>
          <w:color w:val="000000" w:themeColor="text1"/>
        </w:rPr>
        <w:t xml:space="preserve"> required to conduct a</w:t>
      </w:r>
      <w:r>
        <w:rPr>
          <w:color w:val="000000" w:themeColor="text1"/>
        </w:rPr>
        <w:t>n annual</w:t>
      </w:r>
      <w:r w:rsidRPr="00E05322">
        <w:rPr>
          <w:color w:val="000000" w:themeColor="text1"/>
        </w:rPr>
        <w:t xml:space="preserve"> retrospective review that is reasonably designed to </w:t>
      </w:r>
      <w:r w:rsidR="00A461BE">
        <w:rPr>
          <w:color w:val="000000" w:themeColor="text1"/>
        </w:rPr>
        <w:t xml:space="preserve">assist the </w:t>
      </w:r>
      <w:r w:rsidR="00645E77">
        <w:rPr>
          <w:color w:val="000000" w:themeColor="text1"/>
        </w:rPr>
        <w:t>f</w:t>
      </w:r>
      <w:r w:rsidR="00A461BE">
        <w:rPr>
          <w:color w:val="000000" w:themeColor="text1"/>
        </w:rPr>
        <w:t xml:space="preserve">inancial </w:t>
      </w:r>
      <w:r w:rsidR="00645E77">
        <w:rPr>
          <w:color w:val="000000" w:themeColor="text1"/>
        </w:rPr>
        <w:t>i</w:t>
      </w:r>
      <w:r w:rsidR="00A461BE">
        <w:rPr>
          <w:color w:val="000000" w:themeColor="text1"/>
        </w:rPr>
        <w:t xml:space="preserve">nstitution in detecting and </w:t>
      </w:r>
      <w:r w:rsidRPr="00E05322">
        <w:rPr>
          <w:color w:val="000000" w:themeColor="text1"/>
        </w:rPr>
        <w:t>prevent</w:t>
      </w:r>
      <w:r w:rsidR="00A461BE">
        <w:rPr>
          <w:color w:val="000000" w:themeColor="text1"/>
        </w:rPr>
        <w:t>ing</w:t>
      </w:r>
      <w:r w:rsidRPr="00E05322">
        <w:rPr>
          <w:color w:val="000000" w:themeColor="text1"/>
        </w:rPr>
        <w:t xml:space="preserve"> violations of</w:t>
      </w:r>
      <w:r w:rsidR="00A461BE">
        <w:rPr>
          <w:color w:val="000000" w:themeColor="text1"/>
        </w:rPr>
        <w:t>, and achieving compliance with the</w:t>
      </w:r>
      <w:r w:rsidRPr="00E05322">
        <w:rPr>
          <w:color w:val="000000" w:themeColor="text1"/>
        </w:rPr>
        <w:t xml:space="preserve"> Impartial Conduct Standards and the </w:t>
      </w:r>
      <w:r>
        <w:rPr>
          <w:color w:val="000000" w:themeColor="text1"/>
        </w:rPr>
        <w:t>institution</w:t>
      </w:r>
      <w:r w:rsidRPr="00E05322">
        <w:rPr>
          <w:color w:val="000000" w:themeColor="text1"/>
        </w:rPr>
        <w:t xml:space="preserve">’s </w:t>
      </w:r>
      <w:r>
        <w:rPr>
          <w:color w:val="000000" w:themeColor="text1"/>
        </w:rPr>
        <w:t xml:space="preserve">own </w:t>
      </w:r>
      <w:r w:rsidRPr="00E05322">
        <w:rPr>
          <w:color w:val="000000" w:themeColor="text1"/>
        </w:rPr>
        <w:t>policies and procedures</w:t>
      </w:r>
      <w:r w:rsidR="00A461BE">
        <w:rPr>
          <w:color w:val="000000" w:themeColor="text1"/>
        </w:rPr>
        <w:t xml:space="preserve"> governing compliance with the exemption</w:t>
      </w:r>
      <w:r w:rsidRPr="00E05322">
        <w:rPr>
          <w:color w:val="000000" w:themeColor="text1"/>
        </w:rPr>
        <w:t xml:space="preserve">.  The methodology and results of the retrospective review </w:t>
      </w:r>
      <w:r w:rsidR="00C92B45">
        <w:rPr>
          <w:color w:val="000000" w:themeColor="text1"/>
        </w:rPr>
        <w:t xml:space="preserve">must </w:t>
      </w:r>
      <w:r w:rsidRPr="00E05322">
        <w:rPr>
          <w:color w:val="000000" w:themeColor="text1"/>
        </w:rPr>
        <w:t xml:space="preserve">be reduced to a written report that is provided to </w:t>
      </w:r>
      <w:r w:rsidR="00645E77">
        <w:rPr>
          <w:color w:val="000000" w:themeColor="text1"/>
        </w:rPr>
        <w:t>a</w:t>
      </w:r>
      <w:r w:rsidRPr="00E05322" w:rsidR="00645E77">
        <w:rPr>
          <w:color w:val="000000" w:themeColor="text1"/>
        </w:rPr>
        <w:t xml:space="preserve"> </w:t>
      </w:r>
      <w:r w:rsidR="00C92B45">
        <w:rPr>
          <w:color w:val="000000" w:themeColor="text1"/>
        </w:rPr>
        <w:t>Senior Executive Officer</w:t>
      </w:r>
      <w:r w:rsidRPr="00E05322">
        <w:rPr>
          <w:color w:val="000000" w:themeColor="text1"/>
        </w:rPr>
        <w:t xml:space="preserve">.  </w:t>
      </w:r>
    </w:p>
    <w:p w:rsidRPr="00D17271" w:rsidR="003F202C" w:rsidP="00585DB6" w:rsidRDefault="003F202C" w14:paraId="4FD47CB8" w14:textId="77777777">
      <w:pPr>
        <w:ind w:left="720"/>
        <w:contextualSpacing/>
        <w:textAlignment w:val="baseline"/>
        <w:rPr>
          <w:color w:val="000000" w:themeColor="text1"/>
        </w:rPr>
      </w:pPr>
    </w:p>
    <w:p w:rsidR="00442257" w:rsidP="00585DB6" w:rsidRDefault="00E84E94" w14:paraId="2DFDB25C" w14:textId="5B8E2929">
      <w:pPr>
        <w:autoSpaceDE w:val="0"/>
        <w:autoSpaceDN w:val="0"/>
        <w:adjustRightInd w:val="0"/>
        <w:ind w:left="720"/>
        <w:contextualSpacing/>
      </w:pPr>
      <w:r>
        <w:t xml:space="preserve">The Department estimates that of the </w:t>
      </w:r>
      <w:r w:rsidRPr="005D0379">
        <w:t xml:space="preserve">estimated 11,782 financial institutions affected by the </w:t>
      </w:r>
      <w:r w:rsidR="000104AD">
        <w:t>exemption</w:t>
      </w:r>
      <w:r w:rsidRPr="005D0379">
        <w:t xml:space="preserve">, only </w:t>
      </w:r>
      <w:r w:rsidR="006112B0">
        <w:t>794</w:t>
      </w:r>
      <w:r w:rsidRPr="005D0379">
        <w:t xml:space="preserve"> do not c</w:t>
      </w:r>
      <w:r>
        <w:t xml:space="preserve">urrently meet </w:t>
      </w:r>
      <w:r w:rsidRPr="00FC2F28">
        <w:t xml:space="preserve">the internal retrospective review requirement.  </w:t>
      </w:r>
    </w:p>
    <w:p w:rsidR="00442257" w:rsidP="00585DB6" w:rsidRDefault="00442257" w14:paraId="496852C6" w14:textId="77777777">
      <w:pPr>
        <w:autoSpaceDE w:val="0"/>
        <w:autoSpaceDN w:val="0"/>
        <w:adjustRightInd w:val="0"/>
        <w:ind w:left="720"/>
        <w:contextualSpacing/>
      </w:pPr>
    </w:p>
    <w:p w:rsidR="00442257" w:rsidP="00585DB6" w:rsidRDefault="00442257" w14:paraId="277B311D" w14:textId="2A8CE97B">
      <w:pPr>
        <w:autoSpaceDE w:val="0"/>
        <w:autoSpaceDN w:val="0"/>
        <w:adjustRightInd w:val="0"/>
        <w:ind w:left="720"/>
        <w:contextualSpacing/>
      </w:pPr>
      <w:r>
        <w:t>A</w:t>
      </w:r>
      <w:r w:rsidR="00E84E94">
        <w:t>s</w:t>
      </w:r>
      <w:r w:rsidRPr="00FC2F28" w:rsidR="00E84E94">
        <w:t xml:space="preserve"> per FINRA Rule 3110</w:t>
      </w:r>
      <w:r w:rsidR="005473C9">
        <w:t>,</w:t>
      </w:r>
      <w:r w:rsidRPr="00FC2F28" w:rsidR="00E84E94">
        <w:rPr>
          <w:vertAlign w:val="superscript"/>
        </w:rPr>
        <w:footnoteReference w:id="41"/>
      </w:r>
      <w:r w:rsidRPr="00FC2F28" w:rsidR="00E84E94">
        <w:t xml:space="preserve"> FINRA Rule 3120</w:t>
      </w:r>
      <w:r w:rsidR="005473C9">
        <w:t>,</w:t>
      </w:r>
      <w:r w:rsidRPr="00FC2F28" w:rsidR="00E84E94">
        <w:rPr>
          <w:vertAlign w:val="superscript"/>
        </w:rPr>
        <w:footnoteReference w:id="42"/>
      </w:r>
      <w:r w:rsidRPr="00FC2F28" w:rsidR="00E84E94">
        <w:t xml:space="preserve"> and FINRA Rule 3130</w:t>
      </w:r>
      <w:r w:rsidR="00D72067">
        <w:t>,</w:t>
      </w:r>
      <w:r w:rsidRPr="00FC2F28" w:rsidR="00E84E94">
        <w:rPr>
          <w:vertAlign w:val="superscript"/>
        </w:rPr>
        <w:footnoteReference w:id="43"/>
      </w:r>
      <w:r w:rsidRPr="00FC2F28" w:rsidR="00E84E94">
        <w:t xml:space="preserve"> </w:t>
      </w:r>
      <w:r w:rsidR="00643EF4">
        <w:t>BDs</w:t>
      </w:r>
      <w:r w:rsidRPr="00FC2F28" w:rsidR="00E84E94">
        <w:t xml:space="preserve"> </w:t>
      </w:r>
      <w:r>
        <w:t xml:space="preserve">are likely already held to a standard similar to that of the retrospective review requirements </w:t>
      </w:r>
      <w:r>
        <w:lastRenderedPageBreak/>
        <w:t xml:space="preserve">of this exemption.  Accordingly, in this analysis, the Department assumes that </w:t>
      </w:r>
      <w:r w:rsidR="00643EF4">
        <w:t>BDs</w:t>
      </w:r>
      <w:r>
        <w:t xml:space="preserve"> incur minimal costs to meet this requirement</w:t>
      </w:r>
      <w:r w:rsidR="00E84E94">
        <w:t xml:space="preserve">.  </w:t>
      </w:r>
      <w:r w:rsidR="005D0379">
        <w:t xml:space="preserve">The Department </w:t>
      </w:r>
      <w:r w:rsidR="00E84402">
        <w:t>assume</w:t>
      </w:r>
      <w:r w:rsidR="005D0379">
        <w:t xml:space="preserve">s that </w:t>
      </w:r>
      <w:r w:rsidR="00FC7196">
        <w:t xml:space="preserve">one percent of affected </w:t>
      </w:r>
      <w:r w:rsidR="00643EF4">
        <w:t>BDs</w:t>
      </w:r>
      <w:r w:rsidR="00FC7196">
        <w:t xml:space="preserve">, or 20 </w:t>
      </w:r>
      <w:r w:rsidR="00643EF4">
        <w:t>BDs</w:t>
      </w:r>
      <w:r w:rsidR="00FC7196">
        <w:t xml:space="preserve">, </w:t>
      </w:r>
      <w:r w:rsidR="00266227">
        <w:t xml:space="preserve">would </w:t>
      </w:r>
      <w:r w:rsidR="00FC7196">
        <w:t>incur costs to meet the audit report requirement.</w:t>
      </w:r>
    </w:p>
    <w:p w:rsidR="00442257" w:rsidP="00585DB6" w:rsidRDefault="00442257" w14:paraId="231C9A73" w14:textId="77777777">
      <w:pPr>
        <w:autoSpaceDE w:val="0"/>
        <w:autoSpaceDN w:val="0"/>
        <w:adjustRightInd w:val="0"/>
        <w:ind w:left="720"/>
        <w:contextualSpacing/>
      </w:pPr>
    </w:p>
    <w:p w:rsidR="00E84E94" w:rsidP="00585DB6" w:rsidRDefault="00E84E94" w14:paraId="6B32D409" w14:textId="26113A52">
      <w:pPr>
        <w:autoSpaceDE w:val="0"/>
        <w:autoSpaceDN w:val="0"/>
        <w:adjustRightInd w:val="0"/>
        <w:ind w:left="720"/>
        <w:contextualSpacing/>
      </w:pPr>
      <w:r>
        <w:t xml:space="preserve">In 2018, the Investment Adviser Association estimated that 92 percent of SEC-registered IAs </w:t>
      </w:r>
      <w:r w:rsidRPr="00104D1F">
        <w:t>voluntarily provide an annual compliance program review report to senior management.</w:t>
      </w:r>
      <w:r w:rsidRPr="00104D1F">
        <w:rPr>
          <w:vertAlign w:val="superscript"/>
        </w:rPr>
        <w:footnoteReference w:id="44"/>
      </w:r>
      <w:r>
        <w:t xml:space="preserve">  T</w:t>
      </w:r>
      <w:r w:rsidRPr="00104D1F">
        <w:t>he</w:t>
      </w:r>
      <w:r w:rsidR="00E84402">
        <w:t>refore, the</w:t>
      </w:r>
      <w:r w:rsidRPr="00104D1F">
        <w:t xml:space="preserve"> Department estimates </w:t>
      </w:r>
      <w:r>
        <w:t xml:space="preserve">that </w:t>
      </w:r>
      <w:r w:rsidRPr="00104D1F">
        <w:t xml:space="preserve">only </w:t>
      </w:r>
      <w:r w:rsidR="00D72067">
        <w:t>eight</w:t>
      </w:r>
      <w:r w:rsidRPr="00104D1F">
        <w:t xml:space="preserve"> percent</w:t>
      </w:r>
      <w:r>
        <w:t xml:space="preserve">, </w:t>
      </w:r>
      <w:r w:rsidRPr="00442257">
        <w:t>or 538,</w:t>
      </w:r>
      <w:r w:rsidRPr="00442257">
        <w:rPr>
          <w:rStyle w:val="FootnoteReference"/>
        </w:rPr>
        <w:footnoteReference w:id="45"/>
      </w:r>
      <w:r w:rsidRPr="00104D1F">
        <w:t xml:space="preserve"> of </w:t>
      </w:r>
      <w:r>
        <w:t>SEC-registered IA</w:t>
      </w:r>
      <w:r w:rsidRPr="00104D1F">
        <w:t xml:space="preserve">s </w:t>
      </w:r>
      <w:r>
        <w:t xml:space="preserve">advising retirement plans </w:t>
      </w:r>
      <w:r w:rsidRPr="00104D1F">
        <w:t xml:space="preserve">incur costs associated with producing a </w:t>
      </w:r>
      <w:r>
        <w:t>retrospective</w:t>
      </w:r>
      <w:r w:rsidRPr="00104D1F">
        <w:t xml:space="preserve"> review report</w:t>
      </w:r>
      <w:r>
        <w:t>.</w:t>
      </w:r>
      <w:r w:rsidRPr="00104D1F">
        <w:t xml:space="preserve">  Due to </w:t>
      </w:r>
      <w:r>
        <w:t xml:space="preserve">lack of </w:t>
      </w:r>
      <w:r w:rsidRPr="00104D1F">
        <w:t xml:space="preserve">data, the Department </w:t>
      </w:r>
      <w:r>
        <w:t xml:space="preserve">assumes that state-registered IAs exhibit similar retrospective review patterns and estimates that </w:t>
      </w:r>
      <w:r w:rsidR="00D72067">
        <w:t>eight</w:t>
      </w:r>
      <w:r>
        <w:t xml:space="preserve"> </w:t>
      </w:r>
      <w:r w:rsidRPr="00442257">
        <w:t>percent, or 217,</w:t>
      </w:r>
      <w:r w:rsidRPr="00442257">
        <w:rPr>
          <w:rStyle w:val="FootnoteReference"/>
        </w:rPr>
        <w:footnoteReference w:id="46"/>
      </w:r>
      <w:r w:rsidRPr="00442257">
        <w:t xml:space="preserve"> of state-registered IAs also incur costs associated with producing</w:t>
      </w:r>
      <w:r w:rsidRPr="00104D1F">
        <w:t xml:space="preserve"> a </w:t>
      </w:r>
      <w:r>
        <w:t>retrospective</w:t>
      </w:r>
      <w:r w:rsidRPr="00104D1F">
        <w:t xml:space="preserve"> review report</w:t>
      </w:r>
      <w:r>
        <w:t xml:space="preserve">.  The Department assumes </w:t>
      </w:r>
      <w:r w:rsidRPr="00442257">
        <w:t xml:space="preserve">that </w:t>
      </w:r>
      <w:r w:rsidR="00FC7196">
        <w:t xml:space="preserve">five percent of affected </w:t>
      </w:r>
      <w:r w:rsidR="006A247F">
        <w:t>insurers</w:t>
      </w:r>
      <w:r w:rsidR="00FC7196">
        <w:t xml:space="preserve"> or 20</w:t>
      </w:r>
      <w:r>
        <w:t xml:space="preserve"> incur costs associated with producing a retrospective review report.</w:t>
      </w:r>
      <w:r w:rsidR="00D0408C">
        <w:rPr>
          <w:rStyle w:val="FootnoteReference"/>
        </w:rPr>
        <w:footnoteReference w:id="47"/>
      </w:r>
    </w:p>
    <w:p w:rsidR="00887486" w:rsidP="00585DB6" w:rsidRDefault="00887486" w14:paraId="0996AD4C" w14:textId="77777777">
      <w:pPr>
        <w:autoSpaceDE w:val="0"/>
        <w:autoSpaceDN w:val="0"/>
        <w:adjustRightInd w:val="0"/>
        <w:ind w:left="720"/>
        <w:contextualSpacing/>
      </w:pPr>
    </w:p>
    <w:p w:rsidR="00FC7196" w:rsidP="00585DB6" w:rsidRDefault="00B52A00" w14:paraId="7C54D954" w14:textId="697F7D54">
      <w:pPr>
        <w:autoSpaceDE w:val="0"/>
        <w:autoSpaceDN w:val="0"/>
        <w:adjustRightInd w:val="0"/>
        <w:ind w:left="720"/>
        <w:contextualSpacing/>
      </w:pPr>
      <w:r>
        <w:t>As SEC-registered IA</w:t>
      </w:r>
      <w:r w:rsidRPr="00104D1F">
        <w:t xml:space="preserve">s are already subject to </w:t>
      </w:r>
      <w:r>
        <w:t xml:space="preserve">SEC </w:t>
      </w:r>
      <w:r w:rsidRPr="00104D1F">
        <w:t>Rule 206(4)-7</w:t>
      </w:r>
      <w:r>
        <w:t xml:space="preserve"> and insurers in many states are already subject to</w:t>
      </w:r>
      <w:r w:rsidR="00CA48FD">
        <w:t xml:space="preserve"> similar requirements</w:t>
      </w:r>
      <w:r w:rsidRPr="00104D1F">
        <w:t>,</w:t>
      </w:r>
      <w:r w:rsidRPr="00104D1F">
        <w:rPr>
          <w:vertAlign w:val="superscript"/>
        </w:rPr>
        <w:footnoteReference w:id="48"/>
      </w:r>
      <w:r w:rsidRPr="00104D1F">
        <w:t xml:space="preserve"> </w:t>
      </w:r>
      <w:r>
        <w:t>t</w:t>
      </w:r>
      <w:r w:rsidRPr="00104D1F">
        <w:t xml:space="preserve">he </w:t>
      </w:r>
      <w:r>
        <w:t xml:space="preserve">Department assumes these </w:t>
      </w:r>
      <w:r w:rsidR="00FC7196">
        <w:t xml:space="preserve">entities </w:t>
      </w:r>
      <w:r w:rsidRPr="00104D1F">
        <w:t xml:space="preserve">incur </w:t>
      </w:r>
      <w:r>
        <w:t>minimal</w:t>
      </w:r>
      <w:r w:rsidRPr="00104D1F">
        <w:t xml:space="preserve"> costs to </w:t>
      </w:r>
      <w:r>
        <w:t xml:space="preserve">satisfy </w:t>
      </w:r>
      <w:r w:rsidRPr="00104D1F">
        <w:t xml:space="preserve">the conditions related to </w:t>
      </w:r>
      <w:r>
        <w:t xml:space="preserve">this </w:t>
      </w:r>
      <w:r w:rsidRPr="00104D1F">
        <w:t xml:space="preserve">requirement.  </w:t>
      </w:r>
    </w:p>
    <w:p w:rsidR="00FC7196" w:rsidP="00585DB6" w:rsidRDefault="00FC7196" w14:paraId="052DBD64" w14:textId="77777777">
      <w:pPr>
        <w:autoSpaceDE w:val="0"/>
        <w:autoSpaceDN w:val="0"/>
        <w:adjustRightInd w:val="0"/>
        <w:ind w:left="720"/>
        <w:contextualSpacing/>
      </w:pPr>
    </w:p>
    <w:p w:rsidRPr="0018528A" w:rsidR="00B52A00" w:rsidP="00585DB6" w:rsidRDefault="00FC7196" w14:paraId="1B06033C" w14:textId="67425DFD">
      <w:pPr>
        <w:autoSpaceDE w:val="0"/>
        <w:autoSpaceDN w:val="0"/>
        <w:adjustRightInd w:val="0"/>
        <w:ind w:left="720"/>
        <w:contextualSpacing/>
      </w:pPr>
      <w:r>
        <w:lastRenderedPageBreak/>
        <w:t xml:space="preserve">The Department estimates it </w:t>
      </w:r>
      <w:r w:rsidR="00B52A00">
        <w:t>take</w:t>
      </w:r>
      <w:r w:rsidR="00D0408C">
        <w:t>s</w:t>
      </w:r>
      <w:r w:rsidR="00B52A00">
        <w:t xml:space="preserve"> a legal </w:t>
      </w:r>
      <w:r w:rsidRPr="00442257" w:rsidR="00B52A00">
        <w:t xml:space="preserve">professional </w:t>
      </w:r>
      <w:r w:rsidR="00266227">
        <w:t>five</w:t>
      </w:r>
      <w:r w:rsidRPr="00442257" w:rsidR="00B52A00">
        <w:t xml:space="preserve"> hours for small firms and 10 hours</w:t>
      </w:r>
      <w:r w:rsidR="00B52A00">
        <w:t xml:space="preserve"> for large firms</w:t>
      </w:r>
      <w:r w:rsidR="009F1595">
        <w:t xml:space="preserve"> to produce the reports</w:t>
      </w:r>
      <w:r w:rsidR="00B52A00">
        <w:t xml:space="preserve">.  </w:t>
      </w:r>
      <w:r w:rsidRPr="0018528A" w:rsidR="00B52A00">
        <w:t xml:space="preserve">This results in an hour burden of </w:t>
      </w:r>
      <w:r w:rsidRPr="00585DB6" w:rsidR="00442257">
        <w:t>7,</w:t>
      </w:r>
      <w:r w:rsidR="009F1595">
        <w:t>032</w:t>
      </w:r>
      <w:r w:rsidRPr="0018528A" w:rsidR="00B52A00">
        <w:rPr>
          <w:rStyle w:val="FootnoteReference"/>
        </w:rPr>
        <w:footnoteReference w:id="49"/>
      </w:r>
      <w:r w:rsidRPr="0018528A" w:rsidR="00B52A00">
        <w:t xml:space="preserve"> and an equivalent cost burden of $</w:t>
      </w:r>
      <w:r w:rsidR="00E14707">
        <w:t>2,569</w:t>
      </w:r>
      <w:r w:rsidR="009F1595">
        <w:t>,</w:t>
      </w:r>
      <w:r w:rsidR="00E5023D">
        <w:t>337</w:t>
      </w:r>
      <w:r w:rsidRPr="0018528A" w:rsidR="00B52A00">
        <w:t>.</w:t>
      </w:r>
      <w:r w:rsidRPr="0018528A" w:rsidR="00B52A00">
        <w:rPr>
          <w:rStyle w:val="FootnoteReference"/>
        </w:rPr>
        <w:footnoteReference w:id="50"/>
      </w:r>
    </w:p>
    <w:p w:rsidRPr="0018528A" w:rsidR="00B52A00" w:rsidP="00585DB6" w:rsidRDefault="00B52A00" w14:paraId="222F28CC" w14:textId="77777777">
      <w:pPr>
        <w:autoSpaceDE w:val="0"/>
        <w:autoSpaceDN w:val="0"/>
        <w:adjustRightInd w:val="0"/>
        <w:ind w:left="720"/>
        <w:contextualSpacing/>
      </w:pPr>
    </w:p>
    <w:p w:rsidRPr="0018528A" w:rsidR="00D50912" w:rsidP="00D50912" w:rsidRDefault="00B52A00" w14:paraId="77E877B3" w14:textId="18EBEFC8">
      <w:pPr>
        <w:autoSpaceDE w:val="0"/>
        <w:autoSpaceDN w:val="0"/>
        <w:adjustRightInd w:val="0"/>
        <w:ind w:left="720"/>
        <w:contextualSpacing/>
      </w:pPr>
      <w:r w:rsidRPr="0018528A">
        <w:t xml:space="preserve">In addition to conducting the audit and producing a report, the Department estimates that </w:t>
      </w:r>
      <w:r w:rsidR="00246290">
        <w:t>of the</w:t>
      </w:r>
      <w:r w:rsidRPr="0018528A" w:rsidR="00246290">
        <w:t xml:space="preserve"> </w:t>
      </w:r>
      <w:r w:rsidRPr="0018528A">
        <w:t>11,782 financial institutions</w:t>
      </w:r>
      <w:r w:rsidR="00246290">
        <w:t xml:space="preserve"> affected by the exemption, 9,845</w:t>
      </w:r>
      <w:r w:rsidR="00246290">
        <w:rPr>
          <w:rStyle w:val="FootnoteReference"/>
        </w:rPr>
        <w:footnoteReference w:id="51"/>
      </w:r>
      <w:r w:rsidRPr="0018528A">
        <w:t xml:space="preserve"> </w:t>
      </w:r>
      <w:r w:rsidR="00CA48FD">
        <w:t>would incur costs</w:t>
      </w:r>
      <w:r w:rsidRPr="0018528A" w:rsidR="00CA48FD">
        <w:t xml:space="preserve"> </w:t>
      </w:r>
      <w:r w:rsidRPr="0018528A">
        <w:t xml:space="preserve">to review the report and certify the exemption.  This is estimated to take a financial </w:t>
      </w:r>
      <w:r w:rsidR="00D50912">
        <w:t>manager</w:t>
      </w:r>
      <w:r w:rsidRPr="0018528A">
        <w:t xml:space="preserve"> </w:t>
      </w:r>
      <w:r w:rsidR="00B25795">
        <w:t>two</w:t>
      </w:r>
      <w:r w:rsidR="00E5023D">
        <w:t xml:space="preserve"> hours</w:t>
      </w:r>
      <w:r w:rsidRPr="0018528A">
        <w:t xml:space="preserve"> for small firms and </w:t>
      </w:r>
      <w:r w:rsidR="00D72067">
        <w:t>four</w:t>
      </w:r>
      <w:r w:rsidR="00E5023D">
        <w:t xml:space="preserve"> hours</w:t>
      </w:r>
      <w:r w:rsidRPr="0018528A">
        <w:t xml:space="preserve"> for large firms, depending on the nature of the business.  This results in an hour burden of </w:t>
      </w:r>
      <w:r w:rsidRPr="00E5023D" w:rsidR="00E5023D">
        <w:t>34,718</w:t>
      </w:r>
      <w:r w:rsidRPr="0018528A">
        <w:rPr>
          <w:rStyle w:val="FootnoteReference"/>
        </w:rPr>
        <w:footnoteReference w:id="52"/>
      </w:r>
      <w:r w:rsidRPr="0018528A">
        <w:t xml:space="preserve"> and an equivalent cost burden of $</w:t>
      </w:r>
      <w:r w:rsidRPr="00E5023D" w:rsidR="00E5023D">
        <w:t>5,750,451</w:t>
      </w:r>
      <w:r w:rsidR="00B42302">
        <w:t>.</w:t>
      </w:r>
      <w:r w:rsidR="00B36F1B">
        <w:t xml:space="preserve"> </w:t>
      </w:r>
      <w:r w:rsidR="00B25795">
        <w:t xml:space="preserve"> </w:t>
      </w:r>
      <w:r w:rsidR="001B08EB">
        <w:t>Further</w:t>
      </w:r>
      <w:r w:rsidR="00B25795">
        <w:t xml:space="preserve">, </w:t>
      </w:r>
      <w:r w:rsidRPr="00B25795" w:rsidR="00B25795">
        <w:t xml:space="preserve">the Department estimates </w:t>
      </w:r>
      <w:r w:rsidR="001B08EB">
        <w:t xml:space="preserve">that </w:t>
      </w:r>
      <w:r w:rsidR="000104AD">
        <w:t xml:space="preserve">the </w:t>
      </w:r>
      <w:r w:rsidRPr="000104AD" w:rsidR="000104AD">
        <w:t xml:space="preserve">11,782 financial institutions affected by the exemption </w:t>
      </w:r>
      <w:r w:rsidRPr="00B25795" w:rsidR="00B25795">
        <w:t xml:space="preserve">need to </w:t>
      </w:r>
      <w:r w:rsidR="00D50912">
        <w:t>make additions or modifications</w:t>
      </w:r>
      <w:r w:rsidRPr="00B25795" w:rsidR="00B25795">
        <w:t xml:space="preserve"> </w:t>
      </w:r>
      <w:r w:rsidR="00D50912">
        <w:t xml:space="preserve">to </w:t>
      </w:r>
      <w:r w:rsidRPr="00B25795" w:rsidR="00B25795">
        <w:t>the</w:t>
      </w:r>
      <w:r w:rsidR="00D50912">
        <w:t>ir</w:t>
      </w:r>
      <w:r w:rsidRPr="00B25795" w:rsidR="00B25795">
        <w:t xml:space="preserve"> </w:t>
      </w:r>
      <w:r w:rsidR="000104AD">
        <w:t>report</w:t>
      </w:r>
      <w:r w:rsidR="00D50912">
        <w:t>s to fully comply with the exemption</w:t>
      </w:r>
      <w:r w:rsidR="000104AD">
        <w:t>.</w:t>
      </w:r>
      <w:r w:rsidR="00D50912">
        <w:t xml:space="preserve">  This is estimated to take a legal professional one hour for small firms and two hours for large firms. This results in an hour burden of 20,727</w:t>
      </w:r>
      <w:r w:rsidR="00D50912">
        <w:rPr>
          <w:rStyle w:val="FootnoteReference"/>
        </w:rPr>
        <w:footnoteReference w:id="53"/>
      </w:r>
      <w:r w:rsidR="00D50912">
        <w:t xml:space="preserve"> and an equivalent cost burden of $7</w:t>
      </w:r>
      <w:r w:rsidR="00EF32AA">
        <w:t>,</w:t>
      </w:r>
      <w:r w:rsidR="00D50912">
        <w:t>573</w:t>
      </w:r>
      <w:r w:rsidR="00EF32AA">
        <w:t>,</w:t>
      </w:r>
      <w:r w:rsidR="00D50912">
        <w:t>614.</w:t>
      </w:r>
      <w:r w:rsidRPr="0018528A" w:rsidR="00D50912">
        <w:rPr>
          <w:rStyle w:val="FootnoteReference"/>
        </w:rPr>
        <w:footnoteReference w:id="54"/>
      </w:r>
    </w:p>
    <w:p w:rsidR="00B52A00" w:rsidP="00585DB6" w:rsidRDefault="00D50912" w14:paraId="50B6DF20" w14:textId="3C6B23D4">
      <w:pPr>
        <w:autoSpaceDE w:val="0"/>
        <w:autoSpaceDN w:val="0"/>
        <w:adjustRightInd w:val="0"/>
        <w:ind w:left="720"/>
        <w:contextualSpacing/>
      </w:pPr>
      <w:r>
        <w:t xml:space="preserve"> </w:t>
      </w:r>
    </w:p>
    <w:p w:rsidR="00B52A00" w:rsidP="00585DB6" w:rsidRDefault="00B52A00" w14:paraId="48031253" w14:textId="2441C1C1">
      <w:pPr>
        <w:ind w:left="720"/>
        <w:contextualSpacing/>
        <w:textAlignment w:val="baseline"/>
        <w:rPr>
          <w:color w:val="000000" w:themeColor="text1"/>
        </w:rPr>
      </w:pPr>
    </w:p>
    <w:p w:rsidR="001E3507" w:rsidP="00585DB6" w:rsidRDefault="001E3507" w14:paraId="214F0C83" w14:textId="16FE11D5">
      <w:pPr>
        <w:pStyle w:val="BodyTextIndent"/>
        <w:contextualSpacing/>
        <w:rPr>
          <w:i/>
          <w:u w:val="single"/>
        </w:rPr>
      </w:pPr>
      <w:r>
        <w:rPr>
          <w:i/>
          <w:u w:val="single"/>
        </w:rPr>
        <w:t>Summary</w:t>
      </w:r>
    </w:p>
    <w:p w:rsidR="001E3507" w:rsidP="00585DB6" w:rsidRDefault="001E3507" w14:paraId="49FB9FD6" w14:textId="77777777">
      <w:pPr>
        <w:ind w:left="720"/>
        <w:contextualSpacing/>
        <w:textAlignment w:val="baseline"/>
        <w:rPr>
          <w:color w:val="000000" w:themeColor="text1"/>
        </w:rPr>
      </w:pPr>
    </w:p>
    <w:p w:rsidR="001E3507" w:rsidP="00585DB6" w:rsidRDefault="008A655B" w14:paraId="6BDBFFD4" w14:textId="5C666CA5">
      <w:pPr>
        <w:ind w:left="720"/>
        <w:contextualSpacing/>
        <w:textAlignment w:val="baseline"/>
        <w:rPr>
          <w:color w:val="000000" w:themeColor="text1"/>
        </w:rPr>
      </w:pPr>
      <w:r w:rsidRPr="00CD5C1C">
        <w:rPr>
          <w:color w:val="000000" w:themeColor="text1"/>
        </w:rPr>
        <w:t xml:space="preserve">As seen in the tables below, the </w:t>
      </w:r>
      <w:r w:rsidR="00266227">
        <w:rPr>
          <w:color w:val="000000" w:themeColor="text1"/>
        </w:rPr>
        <w:t xml:space="preserve">Department estimates that the </w:t>
      </w:r>
      <w:r w:rsidRPr="00CD5C1C">
        <w:rPr>
          <w:color w:val="000000" w:themeColor="text1"/>
        </w:rPr>
        <w:t>overall burden associa</w:t>
      </w:r>
      <w:r w:rsidRPr="00CD5C1C" w:rsidR="008E089E">
        <w:rPr>
          <w:color w:val="000000" w:themeColor="text1"/>
        </w:rPr>
        <w:t xml:space="preserve">ted with this exemption </w:t>
      </w:r>
      <w:r w:rsidR="00266227">
        <w:rPr>
          <w:color w:val="000000" w:themeColor="text1"/>
        </w:rPr>
        <w:t xml:space="preserve">would </w:t>
      </w:r>
      <w:r w:rsidRPr="00CD5C1C" w:rsidR="008E089E">
        <w:rPr>
          <w:color w:val="000000" w:themeColor="text1"/>
        </w:rPr>
        <w:t xml:space="preserve">total </w:t>
      </w:r>
      <w:r w:rsidR="00EF32AA">
        <w:rPr>
          <w:color w:val="000000" w:themeColor="text1"/>
        </w:rPr>
        <w:t>417</w:t>
      </w:r>
      <w:r w:rsidR="00B25A10">
        <w:rPr>
          <w:color w:val="000000" w:themeColor="text1"/>
        </w:rPr>
        <w:t>,</w:t>
      </w:r>
      <w:r w:rsidR="00EF32AA">
        <w:rPr>
          <w:color w:val="000000" w:themeColor="text1"/>
        </w:rPr>
        <w:t>480</w:t>
      </w:r>
      <w:r w:rsidRPr="00CD5C1C">
        <w:rPr>
          <w:color w:val="000000" w:themeColor="text1"/>
        </w:rPr>
        <w:t xml:space="preserve"> hours during the first year and </w:t>
      </w:r>
      <w:r w:rsidR="00EF32AA">
        <w:rPr>
          <w:color w:val="000000" w:themeColor="text1"/>
        </w:rPr>
        <w:t>393</w:t>
      </w:r>
      <w:r w:rsidR="00B25A10">
        <w:rPr>
          <w:color w:val="000000" w:themeColor="text1"/>
        </w:rPr>
        <w:t>,</w:t>
      </w:r>
      <w:r w:rsidR="00EF32AA">
        <w:rPr>
          <w:color w:val="000000" w:themeColor="text1"/>
        </w:rPr>
        <w:t>1</w:t>
      </w:r>
      <w:r w:rsidR="009F3BB9">
        <w:rPr>
          <w:color w:val="000000" w:themeColor="text1"/>
        </w:rPr>
        <w:t>3</w:t>
      </w:r>
      <w:r w:rsidR="00EF32AA">
        <w:rPr>
          <w:color w:val="000000" w:themeColor="text1"/>
        </w:rPr>
        <w:t>6</w:t>
      </w:r>
      <w:r w:rsidRPr="00CD5C1C">
        <w:rPr>
          <w:color w:val="000000" w:themeColor="text1"/>
        </w:rPr>
        <w:t xml:space="preserve"> hours in subsequent years</w:t>
      </w:r>
      <w:r w:rsidRPr="00CD5C1C" w:rsidR="0092037C">
        <w:rPr>
          <w:color w:val="000000" w:themeColor="text1"/>
        </w:rPr>
        <w:t>.</w:t>
      </w:r>
      <w:r w:rsidRPr="00CD5C1C" w:rsidR="008E089E">
        <w:rPr>
          <w:color w:val="000000" w:themeColor="text1"/>
        </w:rPr>
        <w:t xml:space="preserve">  The equivalent costs </w:t>
      </w:r>
      <w:r w:rsidR="00266227">
        <w:rPr>
          <w:color w:val="000000" w:themeColor="text1"/>
        </w:rPr>
        <w:t>would total</w:t>
      </w:r>
      <w:r w:rsidRPr="00CD5C1C" w:rsidR="00266227">
        <w:rPr>
          <w:color w:val="000000" w:themeColor="text1"/>
        </w:rPr>
        <w:t xml:space="preserve"> </w:t>
      </w:r>
      <w:r w:rsidRPr="00CD5C1C" w:rsidR="006A23BE">
        <w:rPr>
          <w:color w:val="000000" w:themeColor="text1"/>
        </w:rPr>
        <w:t>$</w:t>
      </w:r>
      <w:r w:rsidR="00EF32AA">
        <w:rPr>
          <w:color w:val="000000" w:themeColor="text1"/>
        </w:rPr>
        <w:t>87.7</w:t>
      </w:r>
      <w:r w:rsidRPr="00CD5C1C" w:rsidR="006A23BE">
        <w:rPr>
          <w:color w:val="000000" w:themeColor="text1"/>
        </w:rPr>
        <w:t xml:space="preserve"> million</w:t>
      </w:r>
      <w:r w:rsidRPr="00CD5C1C" w:rsidR="0092037C">
        <w:rPr>
          <w:color w:val="000000" w:themeColor="text1"/>
        </w:rPr>
        <w:t xml:space="preserve"> during the </w:t>
      </w:r>
      <w:r w:rsidRPr="00CD5C1C" w:rsidR="006A23BE">
        <w:rPr>
          <w:color w:val="000000" w:themeColor="text1"/>
        </w:rPr>
        <w:t>first year and $</w:t>
      </w:r>
      <w:r w:rsidR="00EF32AA">
        <w:rPr>
          <w:color w:val="000000" w:themeColor="text1"/>
        </w:rPr>
        <w:t>78</w:t>
      </w:r>
      <w:r w:rsidR="009F3BB9">
        <w:rPr>
          <w:color w:val="000000" w:themeColor="text1"/>
        </w:rPr>
        <w:t>.</w:t>
      </w:r>
      <w:r w:rsidR="00EF32AA">
        <w:rPr>
          <w:color w:val="000000" w:themeColor="text1"/>
        </w:rPr>
        <w:t>8</w:t>
      </w:r>
      <w:r w:rsidRPr="00CD5C1C" w:rsidR="006A23BE">
        <w:rPr>
          <w:color w:val="000000" w:themeColor="text1"/>
        </w:rPr>
        <w:t xml:space="preserve"> million</w:t>
      </w:r>
      <w:r w:rsidR="0092037C">
        <w:rPr>
          <w:color w:val="000000" w:themeColor="text1"/>
        </w:rPr>
        <w:t xml:space="preserve"> in subsequent years.</w:t>
      </w:r>
      <w:r w:rsidR="00B25A10">
        <w:rPr>
          <w:color w:val="000000" w:themeColor="text1"/>
        </w:rPr>
        <w:t xml:space="preserve"> </w:t>
      </w:r>
    </w:p>
    <w:p w:rsidR="000447B6" w:rsidP="00585DB6" w:rsidRDefault="000447B6" w14:paraId="26F67150" w14:textId="77777777">
      <w:pPr>
        <w:ind w:left="720"/>
        <w:contextualSpacing/>
        <w:textAlignment w:val="baseline"/>
        <w:rPr>
          <w:color w:val="000000" w:themeColor="text1"/>
        </w:rPr>
      </w:pPr>
    </w:p>
    <w:tbl>
      <w:tblPr>
        <w:tblStyle w:val="TableGrid"/>
        <w:tblW w:w="0" w:type="auto"/>
        <w:tblInd w:w="720" w:type="dxa"/>
        <w:tblLook w:val="04A0" w:firstRow="1" w:lastRow="0" w:firstColumn="1" w:lastColumn="0" w:noHBand="0" w:noVBand="1"/>
      </w:tblPr>
      <w:tblGrid>
        <w:gridCol w:w="3055"/>
        <w:gridCol w:w="1710"/>
        <w:gridCol w:w="1530"/>
        <w:gridCol w:w="2335"/>
      </w:tblGrid>
      <w:tr w:rsidR="00C53FA8" w:rsidTr="00CB2225" w14:paraId="56BD84EC" w14:textId="77777777">
        <w:tc>
          <w:tcPr>
            <w:tcW w:w="3055" w:type="dxa"/>
          </w:tcPr>
          <w:p w:rsidRPr="0093576F" w:rsidR="00A10186" w:rsidP="00585DB6" w:rsidRDefault="00A10186" w14:paraId="5F87DB94" w14:textId="48EB6370">
            <w:pPr>
              <w:contextualSpacing/>
              <w:textAlignment w:val="baseline"/>
              <w:rPr>
                <w:b/>
                <w:color w:val="000000" w:themeColor="text1"/>
              </w:rPr>
            </w:pPr>
            <w:r w:rsidRPr="0093576F">
              <w:rPr>
                <w:b/>
                <w:color w:val="000000" w:themeColor="text1"/>
              </w:rPr>
              <w:t>First Year Activity</w:t>
            </w:r>
          </w:p>
        </w:tc>
        <w:tc>
          <w:tcPr>
            <w:tcW w:w="1710" w:type="dxa"/>
          </w:tcPr>
          <w:p w:rsidRPr="0093576F" w:rsidR="00A10186" w:rsidP="00585DB6" w:rsidRDefault="00A10186" w14:paraId="79FF9CAC" w14:textId="29B0C277">
            <w:pPr>
              <w:contextualSpacing/>
              <w:textAlignment w:val="baseline"/>
              <w:rPr>
                <w:b/>
                <w:color w:val="000000" w:themeColor="text1"/>
              </w:rPr>
            </w:pPr>
            <w:r w:rsidRPr="0093576F">
              <w:rPr>
                <w:b/>
                <w:color w:val="000000" w:themeColor="text1"/>
              </w:rPr>
              <w:t>Total Annual Burden Hours</w:t>
            </w:r>
          </w:p>
        </w:tc>
        <w:tc>
          <w:tcPr>
            <w:tcW w:w="1530" w:type="dxa"/>
          </w:tcPr>
          <w:p w:rsidRPr="0093576F" w:rsidR="00A10186" w:rsidP="00585DB6" w:rsidRDefault="00A10186" w14:paraId="5E2A5F81" w14:textId="7CC200DA">
            <w:pPr>
              <w:contextualSpacing/>
              <w:textAlignment w:val="baseline"/>
              <w:rPr>
                <w:b/>
                <w:color w:val="000000" w:themeColor="text1"/>
              </w:rPr>
            </w:pPr>
            <w:r w:rsidRPr="0093576F">
              <w:rPr>
                <w:b/>
                <w:color w:val="000000" w:themeColor="text1"/>
              </w:rPr>
              <w:t>Hourly Rate</w:t>
            </w:r>
          </w:p>
        </w:tc>
        <w:tc>
          <w:tcPr>
            <w:tcW w:w="2335" w:type="dxa"/>
          </w:tcPr>
          <w:p w:rsidRPr="0093576F" w:rsidR="00A10186" w:rsidP="00585DB6" w:rsidRDefault="00A10186" w14:paraId="1A9EBCCB" w14:textId="53F98C78">
            <w:pPr>
              <w:contextualSpacing/>
              <w:textAlignment w:val="baseline"/>
              <w:rPr>
                <w:b/>
                <w:color w:val="000000" w:themeColor="text1"/>
              </w:rPr>
            </w:pPr>
            <w:r w:rsidRPr="0093576F">
              <w:rPr>
                <w:b/>
                <w:color w:val="000000" w:themeColor="text1"/>
              </w:rPr>
              <w:t>Monetized Value of Respondent Time</w:t>
            </w:r>
          </w:p>
        </w:tc>
      </w:tr>
      <w:tr w:rsidR="00C53FA8" w:rsidTr="00CB2225" w14:paraId="2037B9D6" w14:textId="77777777">
        <w:tc>
          <w:tcPr>
            <w:tcW w:w="3055" w:type="dxa"/>
          </w:tcPr>
          <w:p w:rsidR="00A10186" w:rsidP="00585DB6" w:rsidRDefault="00740810" w14:paraId="3FA12F05" w14:textId="6D82A21F">
            <w:pPr>
              <w:contextualSpacing/>
              <w:textAlignment w:val="baseline"/>
              <w:rPr>
                <w:color w:val="000000" w:themeColor="text1"/>
              </w:rPr>
            </w:pPr>
            <w:r>
              <w:t xml:space="preserve">Development of </w:t>
            </w:r>
            <w:r w:rsidR="00B97606">
              <w:t>Disclosure of Fiduciary Status</w:t>
            </w:r>
          </w:p>
        </w:tc>
        <w:tc>
          <w:tcPr>
            <w:tcW w:w="1710" w:type="dxa"/>
          </w:tcPr>
          <w:p w:rsidR="00A10186" w:rsidP="00585DB6" w:rsidRDefault="00B357B5" w14:paraId="2595B221" w14:textId="3B9EF04F">
            <w:pPr>
              <w:contextualSpacing/>
              <w:jc w:val="right"/>
              <w:textAlignment w:val="baseline"/>
              <w:rPr>
                <w:color w:val="000000" w:themeColor="text1"/>
              </w:rPr>
            </w:pPr>
            <w:r>
              <w:rPr>
                <w:color w:val="000000" w:themeColor="text1"/>
              </w:rPr>
              <w:t>1,599</w:t>
            </w:r>
          </w:p>
        </w:tc>
        <w:tc>
          <w:tcPr>
            <w:tcW w:w="1530" w:type="dxa"/>
          </w:tcPr>
          <w:p w:rsidR="00A10186" w:rsidP="00585DB6" w:rsidRDefault="00B357B5" w14:paraId="7ADF5142" w14:textId="3667AD75">
            <w:pPr>
              <w:contextualSpacing/>
              <w:jc w:val="right"/>
              <w:textAlignment w:val="baseline"/>
              <w:rPr>
                <w:color w:val="000000" w:themeColor="text1"/>
              </w:rPr>
            </w:pPr>
            <w:r>
              <w:rPr>
                <w:color w:val="000000" w:themeColor="text1"/>
              </w:rPr>
              <w:t>$</w:t>
            </w:r>
            <w:r w:rsidRPr="002B1077" w:rsidR="002B1077">
              <w:rPr>
                <w:color w:val="000000" w:themeColor="text1"/>
              </w:rPr>
              <w:t>365.39</w:t>
            </w:r>
          </w:p>
        </w:tc>
        <w:tc>
          <w:tcPr>
            <w:tcW w:w="2335" w:type="dxa"/>
          </w:tcPr>
          <w:p w:rsidR="00A10186" w:rsidP="00EF32AA" w:rsidRDefault="00F37D67" w14:paraId="643D56CC" w14:textId="6062D04E">
            <w:pPr>
              <w:contextualSpacing/>
              <w:jc w:val="right"/>
              <w:textAlignment w:val="baseline"/>
              <w:rPr>
                <w:color w:val="000000" w:themeColor="text1"/>
              </w:rPr>
            </w:pPr>
            <w:r>
              <w:rPr>
                <w:color w:val="000000" w:themeColor="text1"/>
              </w:rPr>
              <w:t>$</w:t>
            </w:r>
            <w:r w:rsidR="002B1077">
              <w:rPr>
                <w:color w:val="000000" w:themeColor="text1"/>
              </w:rPr>
              <w:t>584</w:t>
            </w:r>
            <w:r>
              <w:rPr>
                <w:color w:val="000000" w:themeColor="text1"/>
              </w:rPr>
              <w:t>,</w:t>
            </w:r>
            <w:r w:rsidR="00EF32AA">
              <w:rPr>
                <w:color w:val="000000" w:themeColor="text1"/>
              </w:rPr>
              <w:t>130</w:t>
            </w:r>
          </w:p>
        </w:tc>
      </w:tr>
      <w:tr w:rsidR="00C53FA8" w:rsidTr="00CB2225" w14:paraId="3C8C2723" w14:textId="77777777">
        <w:tc>
          <w:tcPr>
            <w:tcW w:w="3055" w:type="dxa"/>
          </w:tcPr>
          <w:p w:rsidR="00A10186" w:rsidP="00585DB6" w:rsidRDefault="00740810" w14:paraId="14E10589" w14:textId="67188E1A">
            <w:pPr>
              <w:contextualSpacing/>
              <w:textAlignment w:val="baseline"/>
              <w:rPr>
                <w:color w:val="000000" w:themeColor="text1"/>
              </w:rPr>
            </w:pPr>
            <w:r>
              <w:rPr>
                <w:color w:val="000000" w:themeColor="text1"/>
              </w:rPr>
              <w:t xml:space="preserve">Development of </w:t>
            </w:r>
            <w:r w:rsidR="00230508">
              <w:rPr>
                <w:color w:val="000000" w:themeColor="text1"/>
              </w:rPr>
              <w:t>Disclosure of Services Provided</w:t>
            </w:r>
          </w:p>
        </w:tc>
        <w:tc>
          <w:tcPr>
            <w:tcW w:w="1710" w:type="dxa"/>
          </w:tcPr>
          <w:p w:rsidR="00A10186" w:rsidP="00585DB6" w:rsidRDefault="00CD5C1C" w14:paraId="179E147D" w14:textId="14734C71">
            <w:pPr>
              <w:contextualSpacing/>
              <w:jc w:val="right"/>
              <w:textAlignment w:val="baseline"/>
              <w:rPr>
                <w:color w:val="000000" w:themeColor="text1"/>
              </w:rPr>
            </w:pPr>
            <w:r>
              <w:rPr>
                <w:color w:val="000000" w:themeColor="text1"/>
              </w:rPr>
              <w:t>3,691</w:t>
            </w:r>
          </w:p>
        </w:tc>
        <w:tc>
          <w:tcPr>
            <w:tcW w:w="1530" w:type="dxa"/>
          </w:tcPr>
          <w:p w:rsidR="00A10186" w:rsidP="00585DB6" w:rsidRDefault="00230508" w14:paraId="2684D056" w14:textId="23BB0A58">
            <w:pPr>
              <w:contextualSpacing/>
              <w:jc w:val="right"/>
              <w:textAlignment w:val="baseline"/>
              <w:rPr>
                <w:color w:val="000000" w:themeColor="text1"/>
              </w:rPr>
            </w:pPr>
            <w:r>
              <w:rPr>
                <w:color w:val="000000" w:themeColor="text1"/>
              </w:rPr>
              <w:t>$</w:t>
            </w:r>
            <w:r w:rsidRPr="002B1077" w:rsidR="002B1077">
              <w:rPr>
                <w:color w:val="000000" w:themeColor="text1"/>
              </w:rPr>
              <w:t>365.39</w:t>
            </w:r>
          </w:p>
        </w:tc>
        <w:tc>
          <w:tcPr>
            <w:tcW w:w="2335" w:type="dxa"/>
          </w:tcPr>
          <w:p w:rsidR="00A10186" w:rsidP="00EF32AA" w:rsidRDefault="002E7338" w14:paraId="50392D50" w14:textId="49DE1C6C">
            <w:pPr>
              <w:contextualSpacing/>
              <w:jc w:val="right"/>
              <w:textAlignment w:val="baseline"/>
              <w:rPr>
                <w:color w:val="000000" w:themeColor="text1"/>
              </w:rPr>
            </w:pPr>
            <w:r>
              <w:rPr>
                <w:color w:val="000000" w:themeColor="text1"/>
              </w:rPr>
              <w:t>$</w:t>
            </w:r>
            <w:r w:rsidR="002B1077">
              <w:rPr>
                <w:color w:val="000000" w:themeColor="text1"/>
              </w:rPr>
              <w:t>1,348</w:t>
            </w:r>
            <w:r w:rsidR="00CD5C1C">
              <w:rPr>
                <w:color w:val="000000" w:themeColor="text1"/>
              </w:rPr>
              <w:t>,</w:t>
            </w:r>
            <w:r w:rsidR="002B1077">
              <w:rPr>
                <w:color w:val="000000" w:themeColor="text1"/>
              </w:rPr>
              <w:t>6</w:t>
            </w:r>
            <w:r w:rsidR="00EF32AA">
              <w:rPr>
                <w:color w:val="000000" w:themeColor="text1"/>
              </w:rPr>
              <w:t>28</w:t>
            </w:r>
          </w:p>
        </w:tc>
      </w:tr>
      <w:tr w:rsidR="00C53FA8" w:rsidTr="00CB2225" w14:paraId="117FBEF1" w14:textId="77777777">
        <w:tc>
          <w:tcPr>
            <w:tcW w:w="3055" w:type="dxa"/>
          </w:tcPr>
          <w:p w:rsidRPr="007F76EA" w:rsidR="00897A77" w:rsidP="00585DB6" w:rsidRDefault="00897A77" w14:paraId="4EAA7E71" w14:textId="1AA84F6D">
            <w:pPr>
              <w:contextualSpacing/>
              <w:textAlignment w:val="baseline"/>
              <w:rPr>
                <w:color w:val="000000" w:themeColor="text1"/>
              </w:rPr>
            </w:pPr>
            <w:r>
              <w:t>Prepar</w:t>
            </w:r>
            <w:r w:rsidR="000A65CD">
              <w:t xml:space="preserve">ation for </w:t>
            </w:r>
            <w:r w:rsidR="00BA2643">
              <w:t>Distributi</w:t>
            </w:r>
            <w:r w:rsidR="00740810">
              <w:t xml:space="preserve">on of </w:t>
            </w:r>
            <w:r w:rsidRPr="00792276">
              <w:t>Disclosure</w:t>
            </w:r>
            <w:r w:rsidR="00BA2643">
              <w:t>s</w:t>
            </w:r>
          </w:p>
        </w:tc>
        <w:tc>
          <w:tcPr>
            <w:tcW w:w="1710" w:type="dxa"/>
          </w:tcPr>
          <w:p w:rsidRPr="007F76EA" w:rsidR="00897A77" w:rsidP="00EF32AA" w:rsidRDefault="00897A77" w14:paraId="7DC1982D" w14:textId="68F53E23">
            <w:pPr>
              <w:contextualSpacing/>
              <w:jc w:val="right"/>
              <w:textAlignment w:val="baseline"/>
              <w:rPr>
                <w:color w:val="000000" w:themeColor="text1"/>
              </w:rPr>
            </w:pPr>
            <w:r w:rsidRPr="00792276">
              <w:t>2,</w:t>
            </w:r>
            <w:r w:rsidR="00EF32AA">
              <w:t>361</w:t>
            </w:r>
          </w:p>
        </w:tc>
        <w:tc>
          <w:tcPr>
            <w:tcW w:w="1530" w:type="dxa"/>
          </w:tcPr>
          <w:p w:rsidRPr="007F76EA" w:rsidR="00897A77" w:rsidP="00585DB6" w:rsidRDefault="00897A77" w14:paraId="06F80278" w14:textId="67EBF9BB">
            <w:pPr>
              <w:contextualSpacing/>
              <w:jc w:val="right"/>
              <w:textAlignment w:val="baseline"/>
              <w:rPr>
                <w:color w:val="000000" w:themeColor="text1"/>
              </w:rPr>
            </w:pPr>
            <w:r w:rsidRPr="00792276">
              <w:t>$6</w:t>
            </w:r>
            <w:r w:rsidR="00124802">
              <w:t>4</w:t>
            </w:r>
            <w:r w:rsidRPr="00792276">
              <w:t>.</w:t>
            </w:r>
            <w:r w:rsidR="00124802">
              <w:t>11</w:t>
            </w:r>
          </w:p>
        </w:tc>
        <w:tc>
          <w:tcPr>
            <w:tcW w:w="2335" w:type="dxa"/>
          </w:tcPr>
          <w:p w:rsidRPr="007F76EA" w:rsidR="00897A77" w:rsidP="00EF32AA" w:rsidRDefault="00897A77" w14:paraId="73835C7B" w14:textId="5DFF4C8F">
            <w:pPr>
              <w:contextualSpacing/>
              <w:jc w:val="right"/>
              <w:textAlignment w:val="baseline"/>
              <w:rPr>
                <w:color w:val="000000" w:themeColor="text1"/>
              </w:rPr>
            </w:pPr>
            <w:r w:rsidRPr="00792276">
              <w:t>$15</w:t>
            </w:r>
            <w:r w:rsidR="00EF32AA">
              <w:t>1</w:t>
            </w:r>
            <w:r w:rsidRPr="00792276">
              <w:t>,</w:t>
            </w:r>
            <w:r w:rsidR="00EF32AA">
              <w:t>341</w:t>
            </w:r>
          </w:p>
        </w:tc>
      </w:tr>
      <w:tr w:rsidR="00C53FA8" w:rsidTr="00CB2225" w14:paraId="4523D338" w14:textId="77777777">
        <w:tc>
          <w:tcPr>
            <w:tcW w:w="3055" w:type="dxa"/>
          </w:tcPr>
          <w:p w:rsidRPr="007F76EA" w:rsidR="00897A77" w:rsidP="00585DB6" w:rsidRDefault="00740810" w14:paraId="36F1B7D4" w14:textId="7A1D7617">
            <w:pPr>
              <w:contextualSpacing/>
              <w:textAlignment w:val="baseline"/>
              <w:rPr>
                <w:color w:val="000000" w:themeColor="text1"/>
              </w:rPr>
            </w:pPr>
            <w:r>
              <w:rPr>
                <w:color w:val="000000" w:themeColor="text1"/>
              </w:rPr>
              <w:t xml:space="preserve">Development of </w:t>
            </w:r>
            <w:r w:rsidRPr="007F76EA" w:rsidR="00897A77">
              <w:rPr>
                <w:color w:val="000000" w:themeColor="text1"/>
              </w:rPr>
              <w:t>Written Policies and Procedures</w:t>
            </w:r>
          </w:p>
        </w:tc>
        <w:tc>
          <w:tcPr>
            <w:tcW w:w="1710" w:type="dxa"/>
          </w:tcPr>
          <w:p w:rsidRPr="007F76EA" w:rsidR="00897A77" w:rsidP="00585DB6" w:rsidRDefault="00897A77" w14:paraId="72260D6A" w14:textId="25801A7F">
            <w:pPr>
              <w:contextualSpacing/>
              <w:jc w:val="right"/>
              <w:textAlignment w:val="baseline"/>
              <w:rPr>
                <w:color w:val="000000" w:themeColor="text1"/>
              </w:rPr>
            </w:pPr>
            <w:r>
              <w:rPr>
                <w:color w:val="000000" w:themeColor="text1"/>
              </w:rPr>
              <w:t>12,023</w:t>
            </w:r>
          </w:p>
        </w:tc>
        <w:tc>
          <w:tcPr>
            <w:tcW w:w="1530" w:type="dxa"/>
          </w:tcPr>
          <w:p w:rsidRPr="007F76EA" w:rsidR="00897A77" w:rsidP="00585DB6" w:rsidRDefault="00897A77" w14:paraId="38DD8DB3" w14:textId="2FCBCB3B">
            <w:pPr>
              <w:contextualSpacing/>
              <w:jc w:val="right"/>
              <w:textAlignment w:val="baseline"/>
              <w:rPr>
                <w:color w:val="000000" w:themeColor="text1"/>
              </w:rPr>
            </w:pPr>
            <w:r w:rsidRPr="007F76EA">
              <w:rPr>
                <w:color w:val="000000" w:themeColor="text1"/>
              </w:rPr>
              <w:t>$</w:t>
            </w:r>
            <w:r w:rsidRPr="002B1077" w:rsidR="002B1077">
              <w:rPr>
                <w:color w:val="000000" w:themeColor="text1"/>
              </w:rPr>
              <w:t>365.39</w:t>
            </w:r>
          </w:p>
        </w:tc>
        <w:tc>
          <w:tcPr>
            <w:tcW w:w="2335" w:type="dxa"/>
          </w:tcPr>
          <w:p w:rsidRPr="007F76EA" w:rsidR="00897A77" w:rsidP="00EF32AA" w:rsidRDefault="00897A77" w14:paraId="2691DEFA" w14:textId="26290582">
            <w:pPr>
              <w:contextualSpacing/>
              <w:jc w:val="right"/>
              <w:textAlignment w:val="baseline"/>
              <w:rPr>
                <w:color w:val="000000" w:themeColor="text1"/>
              </w:rPr>
            </w:pPr>
            <w:r w:rsidRPr="007F76EA">
              <w:rPr>
                <w:color w:val="000000" w:themeColor="text1"/>
              </w:rPr>
              <w:t>$</w:t>
            </w:r>
            <w:r w:rsidR="002B1077">
              <w:rPr>
                <w:color w:val="000000" w:themeColor="text1"/>
              </w:rPr>
              <w:t>4</w:t>
            </w:r>
            <w:r>
              <w:rPr>
                <w:color w:val="000000" w:themeColor="text1"/>
              </w:rPr>
              <w:t>,</w:t>
            </w:r>
            <w:r w:rsidR="002B1077">
              <w:rPr>
                <w:color w:val="000000" w:themeColor="text1"/>
              </w:rPr>
              <w:t>393</w:t>
            </w:r>
            <w:r>
              <w:rPr>
                <w:color w:val="000000" w:themeColor="text1"/>
              </w:rPr>
              <w:t>,</w:t>
            </w:r>
            <w:r w:rsidR="002B1077">
              <w:rPr>
                <w:color w:val="000000" w:themeColor="text1"/>
              </w:rPr>
              <w:t>0</w:t>
            </w:r>
            <w:r w:rsidR="00EF32AA">
              <w:rPr>
                <w:color w:val="000000" w:themeColor="text1"/>
              </w:rPr>
              <w:t>11</w:t>
            </w:r>
          </w:p>
        </w:tc>
      </w:tr>
      <w:tr w:rsidR="00C53FA8" w:rsidTr="00CB2225" w14:paraId="749B6810" w14:textId="77777777">
        <w:tc>
          <w:tcPr>
            <w:tcW w:w="3055" w:type="dxa"/>
          </w:tcPr>
          <w:p w:rsidRPr="007F76EA" w:rsidR="00897A77" w:rsidP="00585DB6" w:rsidRDefault="00897A77" w14:paraId="507EF244" w14:textId="4E854721">
            <w:pPr>
              <w:contextualSpacing/>
              <w:textAlignment w:val="baseline"/>
              <w:rPr>
                <w:color w:val="000000" w:themeColor="text1"/>
              </w:rPr>
            </w:pPr>
            <w:r w:rsidRPr="007F76EA">
              <w:rPr>
                <w:color w:val="000000" w:themeColor="text1"/>
              </w:rPr>
              <w:lastRenderedPageBreak/>
              <w:t>Rollover Documentation</w:t>
            </w:r>
          </w:p>
        </w:tc>
        <w:tc>
          <w:tcPr>
            <w:tcW w:w="1710" w:type="dxa"/>
          </w:tcPr>
          <w:p w:rsidRPr="007F76EA" w:rsidR="00897A77" w:rsidP="00EF32AA" w:rsidRDefault="00EF32AA" w14:paraId="3120EDCD" w14:textId="3997AB46">
            <w:pPr>
              <w:contextualSpacing/>
              <w:jc w:val="right"/>
              <w:textAlignment w:val="baseline"/>
              <w:rPr>
                <w:color w:val="000000" w:themeColor="text1"/>
              </w:rPr>
            </w:pPr>
            <w:r>
              <w:rPr>
                <w:color w:val="000000" w:themeColor="text1"/>
              </w:rPr>
              <w:t>335</w:t>
            </w:r>
            <w:r w:rsidR="00B25A10">
              <w:rPr>
                <w:color w:val="000000" w:themeColor="text1"/>
              </w:rPr>
              <w:t>,</w:t>
            </w:r>
            <w:r>
              <w:rPr>
                <w:color w:val="000000" w:themeColor="text1"/>
              </w:rPr>
              <w:t>330</w:t>
            </w:r>
          </w:p>
        </w:tc>
        <w:tc>
          <w:tcPr>
            <w:tcW w:w="1530" w:type="dxa"/>
          </w:tcPr>
          <w:p w:rsidRPr="007F76EA" w:rsidR="00897A77" w:rsidP="00585DB6" w:rsidRDefault="00897A77" w14:paraId="574F95CE" w14:textId="374EFBD2">
            <w:pPr>
              <w:contextualSpacing/>
              <w:jc w:val="right"/>
              <w:textAlignment w:val="baseline"/>
              <w:rPr>
                <w:color w:val="000000" w:themeColor="text1"/>
              </w:rPr>
            </w:pPr>
            <w:r w:rsidRPr="007F76EA">
              <w:rPr>
                <w:color w:val="000000" w:themeColor="text1"/>
              </w:rPr>
              <w:t>$194.77</w:t>
            </w:r>
          </w:p>
        </w:tc>
        <w:tc>
          <w:tcPr>
            <w:tcW w:w="2335" w:type="dxa"/>
          </w:tcPr>
          <w:p w:rsidRPr="007F76EA" w:rsidR="00897A77" w:rsidP="00DB7D3E" w:rsidRDefault="00897A77" w14:paraId="2332F2DA" w14:textId="198CCAEA">
            <w:pPr>
              <w:contextualSpacing/>
              <w:jc w:val="right"/>
              <w:textAlignment w:val="baseline"/>
              <w:rPr>
                <w:color w:val="000000" w:themeColor="text1"/>
              </w:rPr>
            </w:pPr>
            <w:r w:rsidRPr="007F76EA">
              <w:rPr>
                <w:color w:val="000000" w:themeColor="text1"/>
              </w:rPr>
              <w:t>$</w:t>
            </w:r>
            <w:r w:rsidR="00EF32AA">
              <w:rPr>
                <w:color w:val="000000" w:themeColor="text1"/>
              </w:rPr>
              <w:t>65</w:t>
            </w:r>
            <w:r w:rsidR="00B25A10">
              <w:rPr>
                <w:color w:val="000000" w:themeColor="text1"/>
              </w:rPr>
              <w:t>,</w:t>
            </w:r>
            <w:r w:rsidR="00EF32AA">
              <w:rPr>
                <w:color w:val="000000" w:themeColor="text1"/>
              </w:rPr>
              <w:t>313</w:t>
            </w:r>
            <w:r w:rsidR="00B25A10">
              <w:rPr>
                <w:color w:val="000000" w:themeColor="text1"/>
              </w:rPr>
              <w:t>,</w:t>
            </w:r>
            <w:r w:rsidR="00DB7D3E">
              <w:rPr>
                <w:color w:val="000000" w:themeColor="text1"/>
              </w:rPr>
              <w:t>770</w:t>
            </w:r>
          </w:p>
        </w:tc>
      </w:tr>
      <w:tr w:rsidR="00C53FA8" w:rsidTr="00CB2225" w14:paraId="4091ED8A" w14:textId="77777777">
        <w:tc>
          <w:tcPr>
            <w:tcW w:w="3055" w:type="dxa"/>
          </w:tcPr>
          <w:p w:rsidR="00897A77" w:rsidP="00585DB6" w:rsidRDefault="00897A77" w14:paraId="6FBD93DB" w14:textId="2080EE4C">
            <w:pPr>
              <w:contextualSpacing/>
              <w:textAlignment w:val="baseline"/>
              <w:rPr>
                <w:color w:val="000000" w:themeColor="text1"/>
              </w:rPr>
            </w:pPr>
            <w:r>
              <w:rPr>
                <w:color w:val="000000" w:themeColor="text1"/>
              </w:rPr>
              <w:t>Review of Audit Report and Certif</w:t>
            </w:r>
            <w:r w:rsidR="00740810">
              <w:rPr>
                <w:color w:val="000000" w:themeColor="text1"/>
              </w:rPr>
              <w:t>ication</w:t>
            </w:r>
            <w:r>
              <w:rPr>
                <w:color w:val="000000" w:themeColor="text1"/>
              </w:rPr>
              <w:t xml:space="preserve"> </w:t>
            </w:r>
          </w:p>
        </w:tc>
        <w:tc>
          <w:tcPr>
            <w:tcW w:w="1710" w:type="dxa"/>
          </w:tcPr>
          <w:p w:rsidR="00897A77" w:rsidP="00585DB6" w:rsidRDefault="003C6771" w14:paraId="56DE346A" w14:textId="5F115A75">
            <w:pPr>
              <w:contextualSpacing/>
              <w:jc w:val="right"/>
              <w:textAlignment w:val="baseline"/>
              <w:rPr>
                <w:color w:val="000000" w:themeColor="text1"/>
              </w:rPr>
            </w:pPr>
            <w:r>
              <w:rPr>
                <w:color w:val="000000" w:themeColor="text1"/>
              </w:rPr>
              <w:t>34,718</w:t>
            </w:r>
          </w:p>
        </w:tc>
        <w:tc>
          <w:tcPr>
            <w:tcW w:w="1530" w:type="dxa"/>
          </w:tcPr>
          <w:p w:rsidR="00897A77" w:rsidP="00585DB6" w:rsidRDefault="00897A77" w14:paraId="258DAA17" w14:textId="1439331E">
            <w:pPr>
              <w:contextualSpacing/>
              <w:jc w:val="right"/>
              <w:textAlignment w:val="baseline"/>
              <w:rPr>
                <w:color w:val="000000" w:themeColor="text1"/>
              </w:rPr>
            </w:pPr>
            <w:r>
              <w:rPr>
                <w:color w:val="000000" w:themeColor="text1"/>
              </w:rPr>
              <w:t>$165.63</w:t>
            </w:r>
          </w:p>
        </w:tc>
        <w:tc>
          <w:tcPr>
            <w:tcW w:w="2335" w:type="dxa"/>
          </w:tcPr>
          <w:p w:rsidR="00897A77" w:rsidP="00585DB6" w:rsidRDefault="00897A77" w14:paraId="46C2F731" w14:textId="37C830D1">
            <w:pPr>
              <w:contextualSpacing/>
              <w:jc w:val="right"/>
              <w:textAlignment w:val="baseline"/>
              <w:rPr>
                <w:color w:val="000000" w:themeColor="text1"/>
              </w:rPr>
            </w:pPr>
            <w:r>
              <w:rPr>
                <w:color w:val="000000" w:themeColor="text1"/>
              </w:rPr>
              <w:t>$</w:t>
            </w:r>
            <w:r w:rsidRPr="003C6771" w:rsidR="003C6771">
              <w:rPr>
                <w:color w:val="000000" w:themeColor="text1"/>
              </w:rPr>
              <w:t xml:space="preserve"> 5,750,451</w:t>
            </w:r>
          </w:p>
        </w:tc>
      </w:tr>
      <w:tr w:rsidR="00C53FA8" w:rsidTr="00CB2225" w14:paraId="09C6D816" w14:textId="77777777">
        <w:tc>
          <w:tcPr>
            <w:tcW w:w="3055" w:type="dxa"/>
          </w:tcPr>
          <w:p w:rsidRPr="00F134F4" w:rsidR="00897A77" w:rsidP="00585DB6" w:rsidRDefault="00897A77" w14:paraId="00EC8C4F" w14:textId="5B06702A">
            <w:pPr>
              <w:contextualSpacing/>
              <w:textAlignment w:val="baseline"/>
            </w:pPr>
            <w:r w:rsidRPr="00F134F4">
              <w:t>Production of Audit Report</w:t>
            </w:r>
          </w:p>
        </w:tc>
        <w:tc>
          <w:tcPr>
            <w:tcW w:w="1710" w:type="dxa"/>
          </w:tcPr>
          <w:p w:rsidRPr="00F134F4" w:rsidR="00897A77" w:rsidP="00585DB6" w:rsidRDefault="00C53FA8" w14:paraId="0DCF5DDC" w14:textId="1EE7EBB6">
            <w:pPr>
              <w:contextualSpacing/>
              <w:jc w:val="right"/>
              <w:textAlignment w:val="baseline"/>
            </w:pPr>
            <w:r>
              <w:t>7,032</w:t>
            </w:r>
          </w:p>
        </w:tc>
        <w:tc>
          <w:tcPr>
            <w:tcW w:w="1530" w:type="dxa"/>
          </w:tcPr>
          <w:p w:rsidRPr="00F134F4" w:rsidR="00897A77" w:rsidP="00585DB6" w:rsidRDefault="00897A77" w14:paraId="67508C60" w14:textId="16059480">
            <w:pPr>
              <w:contextualSpacing/>
              <w:jc w:val="right"/>
              <w:textAlignment w:val="baseline"/>
            </w:pPr>
            <w:r w:rsidRPr="00F134F4">
              <w:t>$</w:t>
            </w:r>
            <w:r w:rsidRPr="002B1077" w:rsidR="002B1077">
              <w:t>365.39</w:t>
            </w:r>
          </w:p>
        </w:tc>
        <w:tc>
          <w:tcPr>
            <w:tcW w:w="2335" w:type="dxa"/>
          </w:tcPr>
          <w:p w:rsidRPr="00F134F4" w:rsidR="00897A77" w:rsidP="00A93386" w:rsidRDefault="00897A77" w14:paraId="182620D9" w14:textId="06C96E60">
            <w:pPr>
              <w:contextualSpacing/>
              <w:jc w:val="right"/>
              <w:textAlignment w:val="baseline"/>
            </w:pPr>
            <w:r w:rsidRPr="00F134F4">
              <w:t>$</w:t>
            </w:r>
            <w:r w:rsidR="002B1077">
              <w:t>2,569</w:t>
            </w:r>
            <w:r w:rsidR="00C53FA8">
              <w:t>,</w:t>
            </w:r>
            <w:r w:rsidR="00A93386">
              <w:t>337</w:t>
            </w:r>
          </w:p>
        </w:tc>
      </w:tr>
      <w:tr w:rsidR="00A93386" w:rsidTr="00CB2225" w14:paraId="3DDC604F" w14:textId="77777777">
        <w:tc>
          <w:tcPr>
            <w:tcW w:w="3055" w:type="dxa"/>
          </w:tcPr>
          <w:p w:rsidRPr="00F134F4" w:rsidR="00A93386" w:rsidP="00585DB6" w:rsidRDefault="00A93386" w14:paraId="5F34DE79" w14:textId="0B01DE84">
            <w:pPr>
              <w:contextualSpacing/>
              <w:textAlignment w:val="baseline"/>
            </w:pPr>
            <w:r w:rsidRPr="00A93386">
              <w:t xml:space="preserve">Modification </w:t>
            </w:r>
            <w:r w:rsidR="001B08EB">
              <w:t xml:space="preserve">and Correction </w:t>
            </w:r>
            <w:r w:rsidRPr="00A93386">
              <w:t>of Audit Report</w:t>
            </w:r>
          </w:p>
        </w:tc>
        <w:tc>
          <w:tcPr>
            <w:tcW w:w="1710" w:type="dxa"/>
          </w:tcPr>
          <w:p w:rsidR="00A93386" w:rsidP="00585DB6" w:rsidRDefault="001B08EB" w14:paraId="0A47C3AB" w14:textId="28A388CB">
            <w:pPr>
              <w:contextualSpacing/>
              <w:jc w:val="right"/>
              <w:textAlignment w:val="baseline"/>
            </w:pPr>
            <w:r>
              <w:t>20</w:t>
            </w:r>
            <w:r w:rsidRPr="00A93386" w:rsidR="00A93386">
              <w:t>,</w:t>
            </w:r>
            <w:r>
              <w:t>727</w:t>
            </w:r>
          </w:p>
        </w:tc>
        <w:tc>
          <w:tcPr>
            <w:tcW w:w="1530" w:type="dxa"/>
          </w:tcPr>
          <w:p w:rsidRPr="00F134F4" w:rsidR="00A93386" w:rsidP="00585DB6" w:rsidRDefault="00A93386" w14:paraId="7E2A2653" w14:textId="42C4DF07">
            <w:pPr>
              <w:contextualSpacing/>
              <w:jc w:val="right"/>
              <w:textAlignment w:val="baseline"/>
            </w:pPr>
            <w:r w:rsidRPr="00A93386">
              <w:t>$365.39</w:t>
            </w:r>
          </w:p>
        </w:tc>
        <w:tc>
          <w:tcPr>
            <w:tcW w:w="2335" w:type="dxa"/>
          </w:tcPr>
          <w:p w:rsidR="00A93386" w:rsidP="00A93386" w:rsidRDefault="001B08EB" w14:paraId="320D28A0" w14:textId="743578C1">
            <w:pPr>
              <w:contextualSpacing/>
              <w:jc w:val="right"/>
              <w:textAlignment w:val="baseline"/>
            </w:pPr>
            <w:r>
              <w:t>$7,573</w:t>
            </w:r>
            <w:r w:rsidRPr="00A93386" w:rsidR="00A93386">
              <w:t>,</w:t>
            </w:r>
            <w:r>
              <w:t>614</w:t>
            </w:r>
          </w:p>
        </w:tc>
      </w:tr>
      <w:tr w:rsidR="00C53FA8" w:rsidTr="00CB2225" w14:paraId="6B4B87DD" w14:textId="77777777">
        <w:tc>
          <w:tcPr>
            <w:tcW w:w="3055" w:type="dxa"/>
          </w:tcPr>
          <w:p w:rsidRPr="0093576F" w:rsidR="00897A77" w:rsidP="00585DB6" w:rsidRDefault="00897A77" w14:paraId="32F693BC" w14:textId="370B81BE">
            <w:pPr>
              <w:contextualSpacing/>
              <w:textAlignment w:val="baseline"/>
              <w:rPr>
                <w:b/>
                <w:i/>
                <w:color w:val="000000" w:themeColor="text1"/>
              </w:rPr>
            </w:pPr>
            <w:r w:rsidRPr="0093576F">
              <w:rPr>
                <w:b/>
                <w:i/>
                <w:color w:val="000000" w:themeColor="text1"/>
              </w:rPr>
              <w:t>Totals for First Year</w:t>
            </w:r>
          </w:p>
        </w:tc>
        <w:tc>
          <w:tcPr>
            <w:tcW w:w="1710" w:type="dxa"/>
          </w:tcPr>
          <w:p w:rsidRPr="0093576F" w:rsidR="00897A77" w:rsidP="00DB7D3E" w:rsidRDefault="00DB7D3E" w14:paraId="388E5C5A" w14:textId="4A242A5F">
            <w:pPr>
              <w:contextualSpacing/>
              <w:jc w:val="right"/>
              <w:textAlignment w:val="baseline"/>
              <w:rPr>
                <w:b/>
                <w:i/>
                <w:color w:val="000000" w:themeColor="text1"/>
              </w:rPr>
            </w:pPr>
            <w:r>
              <w:rPr>
                <w:b/>
                <w:i/>
                <w:color w:val="000000" w:themeColor="text1"/>
              </w:rPr>
              <w:t>417</w:t>
            </w:r>
            <w:r w:rsidR="004E0F5A">
              <w:rPr>
                <w:b/>
                <w:i/>
                <w:color w:val="000000" w:themeColor="text1"/>
              </w:rPr>
              <w:t>,</w:t>
            </w:r>
            <w:r>
              <w:rPr>
                <w:b/>
                <w:i/>
                <w:color w:val="000000" w:themeColor="text1"/>
              </w:rPr>
              <w:t>480</w:t>
            </w:r>
          </w:p>
        </w:tc>
        <w:tc>
          <w:tcPr>
            <w:tcW w:w="1530" w:type="dxa"/>
          </w:tcPr>
          <w:p w:rsidRPr="0093576F" w:rsidR="00897A77" w:rsidP="00585DB6" w:rsidRDefault="00897A77" w14:paraId="4879C65B" w14:textId="77777777">
            <w:pPr>
              <w:contextualSpacing/>
              <w:jc w:val="right"/>
              <w:textAlignment w:val="baseline"/>
              <w:rPr>
                <w:b/>
                <w:i/>
                <w:color w:val="000000" w:themeColor="text1"/>
              </w:rPr>
            </w:pPr>
          </w:p>
        </w:tc>
        <w:tc>
          <w:tcPr>
            <w:tcW w:w="2335" w:type="dxa"/>
          </w:tcPr>
          <w:p w:rsidRPr="0093576F" w:rsidR="00897A77" w:rsidP="00DB7D3E" w:rsidRDefault="00897A77" w14:paraId="02BB6CDA" w14:textId="61D3EB73">
            <w:pPr>
              <w:contextualSpacing/>
              <w:jc w:val="right"/>
              <w:textAlignment w:val="baseline"/>
              <w:rPr>
                <w:b/>
                <w:i/>
                <w:color w:val="000000" w:themeColor="text1"/>
              </w:rPr>
            </w:pPr>
            <w:r>
              <w:rPr>
                <w:b/>
                <w:i/>
                <w:color w:val="000000" w:themeColor="text1"/>
              </w:rPr>
              <w:t>$</w:t>
            </w:r>
            <w:r w:rsidR="00DB7D3E">
              <w:rPr>
                <w:b/>
                <w:i/>
                <w:color w:val="000000" w:themeColor="text1"/>
              </w:rPr>
              <w:t>87</w:t>
            </w:r>
            <w:r w:rsidR="004E0F5A">
              <w:rPr>
                <w:b/>
                <w:i/>
                <w:color w:val="000000" w:themeColor="text1"/>
              </w:rPr>
              <w:t>,</w:t>
            </w:r>
            <w:r w:rsidR="00DB7D3E">
              <w:rPr>
                <w:b/>
                <w:i/>
                <w:color w:val="000000" w:themeColor="text1"/>
              </w:rPr>
              <w:t>684</w:t>
            </w:r>
            <w:r w:rsidR="004E0F5A">
              <w:rPr>
                <w:b/>
                <w:i/>
                <w:color w:val="000000" w:themeColor="text1"/>
              </w:rPr>
              <w:t>,</w:t>
            </w:r>
            <w:r w:rsidR="00DB7D3E">
              <w:rPr>
                <w:b/>
                <w:i/>
                <w:color w:val="000000" w:themeColor="text1"/>
              </w:rPr>
              <w:t>2</w:t>
            </w:r>
            <w:r w:rsidR="004E0F5A">
              <w:rPr>
                <w:b/>
                <w:i/>
                <w:color w:val="000000" w:themeColor="text1"/>
              </w:rPr>
              <w:t>8</w:t>
            </w:r>
            <w:r w:rsidR="00DB7D3E">
              <w:rPr>
                <w:b/>
                <w:i/>
                <w:color w:val="000000" w:themeColor="text1"/>
              </w:rPr>
              <w:t>1</w:t>
            </w:r>
          </w:p>
        </w:tc>
      </w:tr>
    </w:tbl>
    <w:tbl>
      <w:tblPr>
        <w:tblW w:w="4466" w:type="dxa"/>
        <w:tblLook w:val="04A0" w:firstRow="1" w:lastRow="0" w:firstColumn="1" w:lastColumn="0" w:noHBand="0" w:noVBand="1"/>
      </w:tblPr>
      <w:tblGrid>
        <w:gridCol w:w="4466"/>
      </w:tblGrid>
      <w:tr w:rsidRPr="00CD5C1C" w:rsidR="00CD5C1C" w:rsidTr="00CD5C1C" w14:paraId="7226CFE8" w14:textId="77777777">
        <w:trPr>
          <w:trHeight w:val="300"/>
        </w:trPr>
        <w:tc>
          <w:tcPr>
            <w:tcW w:w="4466" w:type="dxa"/>
            <w:tcBorders>
              <w:top w:val="nil"/>
              <w:left w:val="nil"/>
              <w:bottom w:val="nil"/>
              <w:right w:val="nil"/>
            </w:tcBorders>
            <w:shd w:val="clear" w:color="auto" w:fill="auto"/>
            <w:noWrap/>
            <w:vAlign w:val="bottom"/>
            <w:hideMark/>
          </w:tcPr>
          <w:p w:rsidRPr="00CD5C1C" w:rsidR="00CD5C1C" w:rsidP="00585DB6" w:rsidRDefault="00CD5C1C" w14:paraId="0A22BFDA" w14:textId="1CB4CF9A">
            <w:pPr>
              <w:contextualSpacing/>
              <w:rPr>
                <w:rFonts w:ascii="Calibri" w:hAnsi="Calibri" w:cs="Calibri"/>
                <w:color w:val="000000"/>
                <w:sz w:val="22"/>
                <w:szCs w:val="22"/>
              </w:rPr>
            </w:pPr>
          </w:p>
        </w:tc>
      </w:tr>
    </w:tbl>
    <w:p w:rsidR="006A23BE" w:rsidP="00585DB6" w:rsidRDefault="006A23BE" w14:paraId="7D2ED4B1" w14:textId="134412DA">
      <w:pPr>
        <w:contextualSpacing/>
        <w:textAlignment w:val="baseline"/>
        <w:rPr>
          <w:color w:val="000000" w:themeColor="text1"/>
        </w:rPr>
      </w:pPr>
    </w:p>
    <w:tbl>
      <w:tblPr>
        <w:tblStyle w:val="TableGrid"/>
        <w:tblW w:w="0" w:type="auto"/>
        <w:tblInd w:w="720" w:type="dxa"/>
        <w:tblLook w:val="04A0" w:firstRow="1" w:lastRow="0" w:firstColumn="1" w:lastColumn="0" w:noHBand="0" w:noVBand="1"/>
      </w:tblPr>
      <w:tblGrid>
        <w:gridCol w:w="3055"/>
        <w:gridCol w:w="1710"/>
        <w:gridCol w:w="1530"/>
        <w:gridCol w:w="2335"/>
      </w:tblGrid>
      <w:tr w:rsidRPr="0093576F" w:rsidR="00D32793" w:rsidTr="00CB2225" w14:paraId="24EE43AD" w14:textId="77777777">
        <w:tc>
          <w:tcPr>
            <w:tcW w:w="3055" w:type="dxa"/>
          </w:tcPr>
          <w:p w:rsidRPr="0093576F" w:rsidR="00D32793" w:rsidP="00585DB6" w:rsidRDefault="004A336D" w14:paraId="1E44E479" w14:textId="68026CF3">
            <w:pPr>
              <w:contextualSpacing/>
              <w:textAlignment w:val="baseline"/>
              <w:rPr>
                <w:b/>
                <w:color w:val="000000" w:themeColor="text1"/>
              </w:rPr>
            </w:pPr>
            <w:r>
              <w:rPr>
                <w:b/>
                <w:color w:val="000000" w:themeColor="text1"/>
              </w:rPr>
              <w:t>Subsequent Year Activity</w:t>
            </w:r>
          </w:p>
        </w:tc>
        <w:tc>
          <w:tcPr>
            <w:tcW w:w="1710" w:type="dxa"/>
          </w:tcPr>
          <w:p w:rsidRPr="0093576F" w:rsidR="00D32793" w:rsidP="00585DB6" w:rsidRDefault="00D32793" w14:paraId="53FDC754" w14:textId="77777777">
            <w:pPr>
              <w:contextualSpacing/>
              <w:textAlignment w:val="baseline"/>
              <w:rPr>
                <w:b/>
                <w:color w:val="000000" w:themeColor="text1"/>
              </w:rPr>
            </w:pPr>
            <w:r w:rsidRPr="0093576F">
              <w:rPr>
                <w:b/>
                <w:color w:val="000000" w:themeColor="text1"/>
              </w:rPr>
              <w:t>Total Annual Burden Hours</w:t>
            </w:r>
          </w:p>
        </w:tc>
        <w:tc>
          <w:tcPr>
            <w:tcW w:w="1530" w:type="dxa"/>
          </w:tcPr>
          <w:p w:rsidRPr="0093576F" w:rsidR="00D32793" w:rsidP="00585DB6" w:rsidRDefault="00D32793" w14:paraId="49D4C565" w14:textId="77777777">
            <w:pPr>
              <w:contextualSpacing/>
              <w:textAlignment w:val="baseline"/>
              <w:rPr>
                <w:b/>
                <w:color w:val="000000" w:themeColor="text1"/>
              </w:rPr>
            </w:pPr>
            <w:r w:rsidRPr="0093576F">
              <w:rPr>
                <w:b/>
                <w:color w:val="000000" w:themeColor="text1"/>
              </w:rPr>
              <w:t>Hourly Rate</w:t>
            </w:r>
          </w:p>
        </w:tc>
        <w:tc>
          <w:tcPr>
            <w:tcW w:w="2335" w:type="dxa"/>
          </w:tcPr>
          <w:p w:rsidRPr="0093576F" w:rsidR="00D32793" w:rsidP="00585DB6" w:rsidRDefault="00D32793" w14:paraId="02A59268" w14:textId="77777777">
            <w:pPr>
              <w:contextualSpacing/>
              <w:textAlignment w:val="baseline"/>
              <w:rPr>
                <w:b/>
                <w:color w:val="000000" w:themeColor="text1"/>
              </w:rPr>
            </w:pPr>
            <w:r w:rsidRPr="0093576F">
              <w:rPr>
                <w:b/>
                <w:color w:val="000000" w:themeColor="text1"/>
              </w:rPr>
              <w:t>Monetized Value of Respondent Time</w:t>
            </w:r>
          </w:p>
        </w:tc>
      </w:tr>
      <w:tr w:rsidR="00D32793" w:rsidTr="00CB2225" w14:paraId="0D6D52D2" w14:textId="77777777">
        <w:tc>
          <w:tcPr>
            <w:tcW w:w="3055" w:type="dxa"/>
          </w:tcPr>
          <w:p w:rsidR="00D32793" w:rsidP="00585DB6" w:rsidRDefault="00C53FA8" w14:paraId="63A6F78C" w14:textId="135879C0">
            <w:pPr>
              <w:contextualSpacing/>
              <w:textAlignment w:val="baseline"/>
              <w:rPr>
                <w:color w:val="000000" w:themeColor="text1"/>
              </w:rPr>
            </w:pPr>
            <w:r>
              <w:t xml:space="preserve">Preparation for </w:t>
            </w:r>
            <w:r w:rsidR="00740810">
              <w:t xml:space="preserve">Distribution </w:t>
            </w:r>
            <w:r w:rsidR="003F4A7D">
              <w:t xml:space="preserve">of  </w:t>
            </w:r>
            <w:r w:rsidRPr="00792276" w:rsidR="003F4A7D">
              <w:t>Disclosure</w:t>
            </w:r>
            <w:r w:rsidR="00740810">
              <w:t>s</w:t>
            </w:r>
          </w:p>
        </w:tc>
        <w:tc>
          <w:tcPr>
            <w:tcW w:w="1710" w:type="dxa"/>
          </w:tcPr>
          <w:p w:rsidR="00D32793" w:rsidP="00DB7D3E" w:rsidRDefault="003F4A7D" w14:paraId="1773B371" w14:textId="19FC8E52">
            <w:pPr>
              <w:contextualSpacing/>
              <w:jc w:val="right"/>
              <w:textAlignment w:val="baseline"/>
              <w:rPr>
                <w:color w:val="000000" w:themeColor="text1"/>
              </w:rPr>
            </w:pPr>
            <w:r>
              <w:rPr>
                <w:color w:val="000000" w:themeColor="text1"/>
              </w:rPr>
              <w:t>2,</w:t>
            </w:r>
            <w:r w:rsidR="00DB7D3E">
              <w:rPr>
                <w:color w:val="000000" w:themeColor="text1"/>
              </w:rPr>
              <w:t>361</w:t>
            </w:r>
          </w:p>
        </w:tc>
        <w:tc>
          <w:tcPr>
            <w:tcW w:w="1530" w:type="dxa"/>
          </w:tcPr>
          <w:p w:rsidR="00D32793" w:rsidP="00585DB6" w:rsidRDefault="00D32793" w14:paraId="4CB7BA03" w14:textId="6C5DFC6B">
            <w:pPr>
              <w:contextualSpacing/>
              <w:jc w:val="right"/>
              <w:textAlignment w:val="baseline"/>
              <w:rPr>
                <w:color w:val="000000" w:themeColor="text1"/>
              </w:rPr>
            </w:pPr>
            <w:r>
              <w:rPr>
                <w:color w:val="000000" w:themeColor="text1"/>
              </w:rPr>
              <w:t>$</w:t>
            </w:r>
            <w:r w:rsidR="003F4A7D">
              <w:rPr>
                <w:color w:val="000000" w:themeColor="text1"/>
              </w:rPr>
              <w:t>6</w:t>
            </w:r>
            <w:r w:rsidR="00124802">
              <w:rPr>
                <w:color w:val="000000" w:themeColor="text1"/>
              </w:rPr>
              <w:t>4</w:t>
            </w:r>
            <w:r w:rsidR="003F4A7D">
              <w:rPr>
                <w:color w:val="000000" w:themeColor="text1"/>
              </w:rPr>
              <w:t>.</w:t>
            </w:r>
            <w:r w:rsidR="00124802">
              <w:rPr>
                <w:color w:val="000000" w:themeColor="text1"/>
              </w:rPr>
              <w:t>11</w:t>
            </w:r>
          </w:p>
        </w:tc>
        <w:tc>
          <w:tcPr>
            <w:tcW w:w="2335" w:type="dxa"/>
          </w:tcPr>
          <w:p w:rsidR="00D32793" w:rsidP="00DB7D3E" w:rsidRDefault="00D32793" w14:paraId="3F67D543" w14:textId="775EA36C">
            <w:pPr>
              <w:contextualSpacing/>
              <w:jc w:val="right"/>
              <w:textAlignment w:val="baseline"/>
              <w:rPr>
                <w:color w:val="000000" w:themeColor="text1"/>
              </w:rPr>
            </w:pPr>
            <w:r>
              <w:rPr>
                <w:color w:val="000000" w:themeColor="text1"/>
              </w:rPr>
              <w:t>$</w:t>
            </w:r>
            <w:r w:rsidR="003F4A7D">
              <w:rPr>
                <w:color w:val="000000" w:themeColor="text1"/>
              </w:rPr>
              <w:t>15</w:t>
            </w:r>
            <w:r w:rsidR="00DB7D3E">
              <w:rPr>
                <w:color w:val="000000" w:themeColor="text1"/>
              </w:rPr>
              <w:t>1</w:t>
            </w:r>
            <w:r w:rsidR="003F4A7D">
              <w:rPr>
                <w:color w:val="000000" w:themeColor="text1"/>
              </w:rPr>
              <w:t>,</w:t>
            </w:r>
            <w:r w:rsidR="00DB7D3E">
              <w:rPr>
                <w:color w:val="000000" w:themeColor="text1"/>
              </w:rPr>
              <w:t>341</w:t>
            </w:r>
          </w:p>
        </w:tc>
      </w:tr>
      <w:tr w:rsidRPr="007F76EA" w:rsidR="00D32793" w:rsidTr="00CB2225" w14:paraId="0213037A" w14:textId="77777777">
        <w:tc>
          <w:tcPr>
            <w:tcW w:w="3055" w:type="dxa"/>
          </w:tcPr>
          <w:p w:rsidRPr="007F76EA" w:rsidR="00D32793" w:rsidP="00585DB6" w:rsidRDefault="00D32793" w14:paraId="3CCAC6BE" w14:textId="77777777">
            <w:pPr>
              <w:contextualSpacing/>
              <w:textAlignment w:val="baseline"/>
              <w:rPr>
                <w:color w:val="000000" w:themeColor="text1"/>
              </w:rPr>
            </w:pPr>
            <w:r w:rsidRPr="007F76EA">
              <w:rPr>
                <w:color w:val="000000" w:themeColor="text1"/>
              </w:rPr>
              <w:t>Rollover Documentation</w:t>
            </w:r>
          </w:p>
        </w:tc>
        <w:tc>
          <w:tcPr>
            <w:tcW w:w="1710" w:type="dxa"/>
          </w:tcPr>
          <w:p w:rsidRPr="007F76EA" w:rsidR="00D32793" w:rsidP="00DB7D3E" w:rsidRDefault="00DB7D3E" w14:paraId="4A374522" w14:textId="7E9BA554">
            <w:pPr>
              <w:contextualSpacing/>
              <w:jc w:val="right"/>
              <w:textAlignment w:val="baseline"/>
              <w:rPr>
                <w:color w:val="000000" w:themeColor="text1"/>
              </w:rPr>
            </w:pPr>
            <w:r>
              <w:rPr>
                <w:color w:val="000000" w:themeColor="text1"/>
              </w:rPr>
              <w:t>335</w:t>
            </w:r>
            <w:r w:rsidR="00A51D90">
              <w:rPr>
                <w:color w:val="000000" w:themeColor="text1"/>
              </w:rPr>
              <w:t>,</w:t>
            </w:r>
            <w:r>
              <w:rPr>
                <w:color w:val="000000" w:themeColor="text1"/>
              </w:rPr>
              <w:t>330</w:t>
            </w:r>
          </w:p>
        </w:tc>
        <w:tc>
          <w:tcPr>
            <w:tcW w:w="1530" w:type="dxa"/>
          </w:tcPr>
          <w:p w:rsidRPr="007F76EA" w:rsidR="00D32793" w:rsidP="00585DB6" w:rsidRDefault="00D32793" w14:paraId="45640896" w14:textId="1DD86ABF">
            <w:pPr>
              <w:contextualSpacing/>
              <w:jc w:val="right"/>
              <w:textAlignment w:val="baseline"/>
              <w:rPr>
                <w:color w:val="000000" w:themeColor="text1"/>
              </w:rPr>
            </w:pPr>
            <w:r w:rsidRPr="007F76EA">
              <w:rPr>
                <w:color w:val="000000" w:themeColor="text1"/>
              </w:rPr>
              <w:t>$</w:t>
            </w:r>
            <w:r w:rsidR="003F4A7D">
              <w:rPr>
                <w:color w:val="000000" w:themeColor="text1"/>
              </w:rPr>
              <w:t>194.77</w:t>
            </w:r>
          </w:p>
        </w:tc>
        <w:tc>
          <w:tcPr>
            <w:tcW w:w="2335" w:type="dxa"/>
          </w:tcPr>
          <w:p w:rsidRPr="007F76EA" w:rsidR="00D32793" w:rsidP="00DB7D3E" w:rsidRDefault="00D32793" w14:paraId="29AA372A" w14:textId="7CC8FB98">
            <w:pPr>
              <w:contextualSpacing/>
              <w:jc w:val="right"/>
              <w:textAlignment w:val="baseline"/>
              <w:rPr>
                <w:color w:val="000000" w:themeColor="text1"/>
              </w:rPr>
            </w:pPr>
            <w:r w:rsidRPr="007F76EA">
              <w:rPr>
                <w:color w:val="000000" w:themeColor="text1"/>
              </w:rPr>
              <w:t>$</w:t>
            </w:r>
            <w:r w:rsidR="00DB7D3E">
              <w:rPr>
                <w:color w:val="000000" w:themeColor="text1"/>
              </w:rPr>
              <w:t>65</w:t>
            </w:r>
            <w:r w:rsidR="00A51D90">
              <w:rPr>
                <w:color w:val="000000" w:themeColor="text1"/>
              </w:rPr>
              <w:t>,</w:t>
            </w:r>
            <w:r w:rsidR="00DB7D3E">
              <w:rPr>
                <w:color w:val="000000" w:themeColor="text1"/>
              </w:rPr>
              <w:t>313</w:t>
            </w:r>
            <w:r w:rsidR="00A51D90">
              <w:rPr>
                <w:color w:val="000000" w:themeColor="text1"/>
              </w:rPr>
              <w:t>,</w:t>
            </w:r>
            <w:r w:rsidR="00DB7D3E">
              <w:rPr>
                <w:color w:val="000000" w:themeColor="text1"/>
              </w:rPr>
              <w:t>770</w:t>
            </w:r>
          </w:p>
        </w:tc>
      </w:tr>
      <w:tr w:rsidR="003F4A7D" w:rsidTr="00CB2225" w14:paraId="4C105F29" w14:textId="77777777">
        <w:tc>
          <w:tcPr>
            <w:tcW w:w="3055" w:type="dxa"/>
          </w:tcPr>
          <w:p w:rsidR="003F4A7D" w:rsidP="00585DB6" w:rsidRDefault="003F4A7D" w14:paraId="3C9657D3" w14:textId="29A5B515">
            <w:pPr>
              <w:contextualSpacing/>
              <w:textAlignment w:val="baseline"/>
              <w:rPr>
                <w:color w:val="000000" w:themeColor="text1"/>
              </w:rPr>
            </w:pPr>
            <w:r>
              <w:rPr>
                <w:color w:val="000000" w:themeColor="text1"/>
              </w:rPr>
              <w:t>Review of Audit Report and Certif</w:t>
            </w:r>
            <w:r w:rsidR="00740810">
              <w:rPr>
                <w:color w:val="000000" w:themeColor="text1"/>
              </w:rPr>
              <w:t>ication</w:t>
            </w:r>
          </w:p>
        </w:tc>
        <w:tc>
          <w:tcPr>
            <w:tcW w:w="1710" w:type="dxa"/>
          </w:tcPr>
          <w:p w:rsidR="003F4A7D" w:rsidP="00585DB6" w:rsidRDefault="003C6771" w14:paraId="6EB41450" w14:textId="373CE99E">
            <w:pPr>
              <w:contextualSpacing/>
              <w:jc w:val="right"/>
              <w:textAlignment w:val="baseline"/>
              <w:rPr>
                <w:color w:val="000000" w:themeColor="text1"/>
              </w:rPr>
            </w:pPr>
            <w:r>
              <w:rPr>
                <w:color w:val="000000" w:themeColor="text1"/>
              </w:rPr>
              <w:t>34,718</w:t>
            </w:r>
          </w:p>
        </w:tc>
        <w:tc>
          <w:tcPr>
            <w:tcW w:w="1530" w:type="dxa"/>
          </w:tcPr>
          <w:p w:rsidR="003F4A7D" w:rsidP="00585DB6" w:rsidRDefault="003F4A7D" w14:paraId="0D7C3907" w14:textId="5520B7C6">
            <w:pPr>
              <w:contextualSpacing/>
              <w:jc w:val="right"/>
              <w:textAlignment w:val="baseline"/>
              <w:rPr>
                <w:color w:val="000000" w:themeColor="text1"/>
              </w:rPr>
            </w:pPr>
            <w:r>
              <w:rPr>
                <w:color w:val="000000" w:themeColor="text1"/>
              </w:rPr>
              <w:t>$165.63</w:t>
            </w:r>
          </w:p>
        </w:tc>
        <w:tc>
          <w:tcPr>
            <w:tcW w:w="2335" w:type="dxa"/>
          </w:tcPr>
          <w:p w:rsidR="003F4A7D" w:rsidP="00585DB6" w:rsidRDefault="003F4A7D" w14:paraId="71A46DAC" w14:textId="36DB1490">
            <w:pPr>
              <w:contextualSpacing/>
              <w:jc w:val="right"/>
              <w:textAlignment w:val="baseline"/>
              <w:rPr>
                <w:color w:val="000000" w:themeColor="text1"/>
              </w:rPr>
            </w:pPr>
            <w:r>
              <w:rPr>
                <w:color w:val="000000" w:themeColor="text1"/>
              </w:rPr>
              <w:t>$</w:t>
            </w:r>
            <w:r w:rsidRPr="003C6771" w:rsidR="003C6771">
              <w:rPr>
                <w:color w:val="000000" w:themeColor="text1"/>
              </w:rPr>
              <w:t xml:space="preserve"> 5,750,451</w:t>
            </w:r>
          </w:p>
        </w:tc>
      </w:tr>
      <w:tr w:rsidRPr="004771D3" w:rsidR="003F4A7D" w:rsidTr="00CB2225" w14:paraId="0DA0D679" w14:textId="77777777">
        <w:tc>
          <w:tcPr>
            <w:tcW w:w="3055" w:type="dxa"/>
          </w:tcPr>
          <w:p w:rsidRPr="00F134F4" w:rsidR="003F4A7D" w:rsidP="00585DB6" w:rsidRDefault="003F4A7D" w14:paraId="2B1F9584" w14:textId="77777777">
            <w:pPr>
              <w:contextualSpacing/>
              <w:textAlignment w:val="baseline"/>
            </w:pPr>
            <w:r w:rsidRPr="00F134F4">
              <w:t>Production of Audit Report</w:t>
            </w:r>
          </w:p>
        </w:tc>
        <w:tc>
          <w:tcPr>
            <w:tcW w:w="1710" w:type="dxa"/>
          </w:tcPr>
          <w:p w:rsidRPr="00F134F4" w:rsidR="003F4A7D" w:rsidP="00585DB6" w:rsidRDefault="00C53FA8" w14:paraId="75B7B8D3" w14:textId="57A021DD">
            <w:pPr>
              <w:contextualSpacing/>
              <w:jc w:val="right"/>
              <w:textAlignment w:val="baseline"/>
            </w:pPr>
            <w:r>
              <w:t>7,032</w:t>
            </w:r>
          </w:p>
        </w:tc>
        <w:tc>
          <w:tcPr>
            <w:tcW w:w="1530" w:type="dxa"/>
          </w:tcPr>
          <w:p w:rsidRPr="00F134F4" w:rsidR="003F4A7D" w:rsidP="00585DB6" w:rsidRDefault="003F4A7D" w14:paraId="243A689F" w14:textId="0DB09AB4">
            <w:pPr>
              <w:contextualSpacing/>
              <w:jc w:val="right"/>
              <w:textAlignment w:val="baseline"/>
            </w:pPr>
            <w:r w:rsidRPr="003F4A7D">
              <w:t>$</w:t>
            </w:r>
            <w:r w:rsidRPr="002B1077" w:rsidR="002B1077">
              <w:t>365.39</w:t>
            </w:r>
          </w:p>
        </w:tc>
        <w:tc>
          <w:tcPr>
            <w:tcW w:w="2335" w:type="dxa"/>
          </w:tcPr>
          <w:p w:rsidRPr="00F134F4" w:rsidR="003F4A7D" w:rsidP="00A93386" w:rsidRDefault="00A51D90" w14:paraId="6FCC59E0" w14:textId="6318C0B7">
            <w:pPr>
              <w:contextualSpacing/>
              <w:jc w:val="right"/>
              <w:textAlignment w:val="baseline"/>
            </w:pPr>
            <w:r>
              <w:t>$</w:t>
            </w:r>
            <w:r w:rsidR="002B1077">
              <w:t>2,569</w:t>
            </w:r>
            <w:r w:rsidR="00C53FA8">
              <w:t>,</w:t>
            </w:r>
            <w:r w:rsidR="00A93386">
              <w:t>337</w:t>
            </w:r>
          </w:p>
        </w:tc>
      </w:tr>
      <w:tr w:rsidRPr="004771D3" w:rsidR="00A93386" w:rsidTr="00CB2225" w14:paraId="0D99D710" w14:textId="77777777">
        <w:tc>
          <w:tcPr>
            <w:tcW w:w="3055" w:type="dxa"/>
          </w:tcPr>
          <w:p w:rsidRPr="00F134F4" w:rsidR="00A93386" w:rsidP="00A93386" w:rsidRDefault="00A93386" w14:paraId="3FA8432A" w14:textId="3ED36D37">
            <w:pPr>
              <w:contextualSpacing/>
              <w:textAlignment w:val="baseline"/>
            </w:pPr>
            <w:r>
              <w:t>Modification</w:t>
            </w:r>
            <w:r w:rsidRPr="00A93386">
              <w:t xml:space="preserve"> </w:t>
            </w:r>
            <w:r w:rsidR="001B08EB">
              <w:t xml:space="preserve">and Correction </w:t>
            </w:r>
            <w:r w:rsidRPr="00A93386">
              <w:t>of Audit Report</w:t>
            </w:r>
          </w:p>
        </w:tc>
        <w:tc>
          <w:tcPr>
            <w:tcW w:w="1710" w:type="dxa"/>
          </w:tcPr>
          <w:p w:rsidR="00A93386" w:rsidP="00585DB6" w:rsidRDefault="001B08EB" w14:paraId="35257EA5" w14:textId="5CE4958C">
            <w:pPr>
              <w:contextualSpacing/>
              <w:jc w:val="right"/>
              <w:textAlignment w:val="baseline"/>
            </w:pPr>
            <w:r>
              <w:t>20</w:t>
            </w:r>
            <w:r w:rsidRPr="00A93386" w:rsidR="00A93386">
              <w:t>,</w:t>
            </w:r>
            <w:r>
              <w:t>727</w:t>
            </w:r>
          </w:p>
        </w:tc>
        <w:tc>
          <w:tcPr>
            <w:tcW w:w="1530" w:type="dxa"/>
          </w:tcPr>
          <w:p w:rsidRPr="003F4A7D" w:rsidR="00A93386" w:rsidP="00585DB6" w:rsidRDefault="00A93386" w14:paraId="7A78585B" w14:textId="6021AE1E">
            <w:pPr>
              <w:contextualSpacing/>
              <w:jc w:val="right"/>
              <w:textAlignment w:val="baseline"/>
            </w:pPr>
            <w:r w:rsidRPr="00A93386">
              <w:t>$365.39</w:t>
            </w:r>
          </w:p>
        </w:tc>
        <w:tc>
          <w:tcPr>
            <w:tcW w:w="2335" w:type="dxa"/>
          </w:tcPr>
          <w:p w:rsidR="00A93386" w:rsidP="002B1077" w:rsidRDefault="00A93386" w14:paraId="75E281C8" w14:textId="572B4802">
            <w:pPr>
              <w:contextualSpacing/>
              <w:jc w:val="right"/>
              <w:textAlignment w:val="baseline"/>
            </w:pPr>
            <w:r>
              <w:t>$</w:t>
            </w:r>
            <w:r w:rsidR="001B08EB">
              <w:t>7,573</w:t>
            </w:r>
            <w:r w:rsidRPr="00A93386">
              <w:t>,</w:t>
            </w:r>
            <w:r w:rsidR="001B08EB">
              <w:t>614</w:t>
            </w:r>
          </w:p>
        </w:tc>
      </w:tr>
      <w:tr w:rsidRPr="0093576F" w:rsidR="003F4A7D" w:rsidTr="00CB2225" w14:paraId="7FE8BEEA" w14:textId="77777777">
        <w:tc>
          <w:tcPr>
            <w:tcW w:w="3055" w:type="dxa"/>
          </w:tcPr>
          <w:p w:rsidRPr="0093576F" w:rsidR="003F4A7D" w:rsidP="00585DB6" w:rsidRDefault="003F4A7D" w14:paraId="6E50893D" w14:textId="48F2E81F">
            <w:pPr>
              <w:contextualSpacing/>
              <w:textAlignment w:val="baseline"/>
              <w:rPr>
                <w:b/>
                <w:i/>
                <w:color w:val="000000" w:themeColor="text1"/>
              </w:rPr>
            </w:pPr>
            <w:r w:rsidRPr="0093576F">
              <w:rPr>
                <w:b/>
                <w:i/>
                <w:color w:val="000000" w:themeColor="text1"/>
              </w:rPr>
              <w:t>Totals for</w:t>
            </w:r>
            <w:r w:rsidR="007F5941">
              <w:rPr>
                <w:b/>
                <w:i/>
                <w:color w:val="000000" w:themeColor="text1"/>
              </w:rPr>
              <w:t xml:space="preserve"> Subsequent</w:t>
            </w:r>
            <w:r w:rsidRPr="0093576F">
              <w:rPr>
                <w:b/>
                <w:i/>
                <w:color w:val="000000" w:themeColor="text1"/>
              </w:rPr>
              <w:t xml:space="preserve"> Year</w:t>
            </w:r>
          </w:p>
        </w:tc>
        <w:tc>
          <w:tcPr>
            <w:tcW w:w="1710" w:type="dxa"/>
          </w:tcPr>
          <w:p w:rsidRPr="0093576F" w:rsidR="003F4A7D" w:rsidP="00DB7D3E" w:rsidRDefault="00DB7D3E" w14:paraId="22ADEC96" w14:textId="65D3C9A3">
            <w:pPr>
              <w:contextualSpacing/>
              <w:jc w:val="right"/>
              <w:textAlignment w:val="baseline"/>
              <w:rPr>
                <w:b/>
                <w:i/>
                <w:color w:val="000000" w:themeColor="text1"/>
              </w:rPr>
            </w:pPr>
            <w:r>
              <w:rPr>
                <w:b/>
                <w:i/>
                <w:color w:val="000000" w:themeColor="text1"/>
              </w:rPr>
              <w:t>393</w:t>
            </w:r>
            <w:r w:rsidR="004E0F5A">
              <w:rPr>
                <w:b/>
                <w:i/>
                <w:color w:val="000000" w:themeColor="text1"/>
              </w:rPr>
              <w:t>,</w:t>
            </w:r>
            <w:r>
              <w:rPr>
                <w:b/>
                <w:i/>
                <w:color w:val="000000" w:themeColor="text1"/>
              </w:rPr>
              <w:t>1</w:t>
            </w:r>
            <w:r w:rsidR="004E0F5A">
              <w:rPr>
                <w:b/>
                <w:i/>
                <w:color w:val="000000" w:themeColor="text1"/>
              </w:rPr>
              <w:t>3</w:t>
            </w:r>
            <w:r>
              <w:rPr>
                <w:b/>
                <w:i/>
                <w:color w:val="000000" w:themeColor="text1"/>
              </w:rPr>
              <w:t>6</w:t>
            </w:r>
          </w:p>
        </w:tc>
        <w:tc>
          <w:tcPr>
            <w:tcW w:w="1530" w:type="dxa"/>
          </w:tcPr>
          <w:p w:rsidRPr="0093576F" w:rsidR="003F4A7D" w:rsidP="00585DB6" w:rsidRDefault="003F4A7D" w14:paraId="055A010D" w14:textId="77777777">
            <w:pPr>
              <w:contextualSpacing/>
              <w:jc w:val="right"/>
              <w:textAlignment w:val="baseline"/>
              <w:rPr>
                <w:b/>
                <w:i/>
                <w:color w:val="000000" w:themeColor="text1"/>
              </w:rPr>
            </w:pPr>
          </w:p>
        </w:tc>
        <w:tc>
          <w:tcPr>
            <w:tcW w:w="2335" w:type="dxa"/>
          </w:tcPr>
          <w:p w:rsidRPr="0093576F" w:rsidR="003F4A7D" w:rsidP="00DB7D3E" w:rsidRDefault="003F4A7D" w14:paraId="68E6F8EE" w14:textId="03851D3F">
            <w:pPr>
              <w:contextualSpacing/>
              <w:jc w:val="right"/>
              <w:textAlignment w:val="baseline"/>
              <w:rPr>
                <w:b/>
                <w:i/>
                <w:color w:val="000000" w:themeColor="text1"/>
              </w:rPr>
            </w:pPr>
            <w:r>
              <w:rPr>
                <w:b/>
                <w:i/>
                <w:color w:val="000000" w:themeColor="text1"/>
              </w:rPr>
              <w:t>$</w:t>
            </w:r>
            <w:r w:rsidR="00DB7D3E">
              <w:rPr>
                <w:b/>
                <w:i/>
                <w:color w:val="000000" w:themeColor="text1"/>
              </w:rPr>
              <w:t>78</w:t>
            </w:r>
            <w:r w:rsidR="004E0F5A">
              <w:rPr>
                <w:b/>
                <w:i/>
                <w:color w:val="000000" w:themeColor="text1"/>
              </w:rPr>
              <w:t>,</w:t>
            </w:r>
            <w:r w:rsidR="00DB7D3E">
              <w:rPr>
                <w:b/>
                <w:i/>
                <w:color w:val="000000" w:themeColor="text1"/>
              </w:rPr>
              <w:t>789</w:t>
            </w:r>
            <w:r w:rsidR="004E0F5A">
              <w:rPr>
                <w:b/>
                <w:i/>
                <w:color w:val="000000" w:themeColor="text1"/>
              </w:rPr>
              <w:t>,</w:t>
            </w:r>
            <w:r w:rsidR="00DB7D3E">
              <w:rPr>
                <w:b/>
                <w:i/>
                <w:color w:val="000000" w:themeColor="text1"/>
              </w:rPr>
              <w:t>176</w:t>
            </w:r>
            <w:r w:rsidRPr="00A93386" w:rsidR="00A93386">
              <w:rPr>
                <w:b/>
                <w:i/>
                <w:color w:val="000000" w:themeColor="text1"/>
              </w:rPr>
              <w:t xml:space="preserve"> </w:t>
            </w:r>
          </w:p>
        </w:tc>
      </w:tr>
    </w:tbl>
    <w:p w:rsidR="00077920" w:rsidP="00585DB6" w:rsidRDefault="00CB2225" w14:paraId="73FD5686" w14:textId="7AB5535B">
      <w:pPr>
        <w:pStyle w:val="BodyTextIndent"/>
        <w:ind w:left="0"/>
        <w:contextualSpacing/>
        <w:rPr>
          <w:szCs w:val="20"/>
        </w:rPr>
      </w:pPr>
      <w:r>
        <w:rPr>
          <w:szCs w:val="20"/>
        </w:rPr>
        <w:tab/>
      </w:r>
      <w:r w:rsidRPr="00640D95" w:rsidR="00D96C4F">
        <w:rPr>
          <w:szCs w:val="20"/>
        </w:rPr>
        <w:t>Note:  Totals in table may not sum precisely due to rounding.</w:t>
      </w:r>
    </w:p>
    <w:p w:rsidRPr="00132195" w:rsidR="00CA7FCF" w:rsidP="00585DB6" w:rsidRDefault="00CA7FCF" w14:paraId="675E8ABA" w14:textId="77777777">
      <w:pPr>
        <w:pStyle w:val="BodyTextIndent"/>
        <w:ind w:left="0"/>
        <w:contextualSpacing/>
        <w:rPr>
          <w:b/>
          <w:i/>
        </w:rPr>
      </w:pPr>
    </w:p>
    <w:p w:rsidRPr="00132195" w:rsidR="008C4059" w:rsidP="00585DB6" w:rsidRDefault="008C4059" w14:paraId="2810DD30" w14:textId="039099BF">
      <w:pPr>
        <w:pStyle w:val="BodyTextIndent"/>
        <w:widowControl/>
        <w:numPr>
          <w:ilvl w:val="0"/>
          <w:numId w:val="1"/>
        </w:numPr>
        <w:tabs>
          <w:tab w:val="clear" w:pos="-1440"/>
          <w:tab w:val="clear" w:pos="1080"/>
        </w:tabs>
        <w:autoSpaceDE/>
        <w:autoSpaceDN/>
        <w:adjustRightInd/>
        <w:ind w:left="720"/>
        <w:contextualSpacing/>
        <w:rPr>
          <w:b/>
          <w:i/>
        </w:rPr>
      </w:pPr>
      <w:r w:rsidRPr="00132195">
        <w:rPr>
          <w:b/>
          <w:i/>
        </w:rPr>
        <w:t>Provide an estimate of the total annual cost burden to respondents or recordkeepers resulting from the collection of information.  (Do not include the cost of any hour burden shown in Items 12 or 14).</w:t>
      </w:r>
      <w:r w:rsidRPr="00132195" w:rsidR="005E0A84">
        <w:rPr>
          <w:b/>
          <w:i/>
        </w:rPr>
        <w:t xml:space="preserve">  </w:t>
      </w:r>
    </w:p>
    <w:p w:rsidR="004707F3" w:rsidP="00585DB6" w:rsidRDefault="004707F3" w14:paraId="67817EF7" w14:textId="77777777">
      <w:pPr>
        <w:pStyle w:val="BodyTextIndent"/>
        <w:ind w:left="0"/>
        <w:contextualSpacing/>
        <w:rPr>
          <w:i/>
          <w:u w:val="single"/>
        </w:rPr>
      </w:pPr>
    </w:p>
    <w:p w:rsidR="004707F3" w:rsidP="00585DB6" w:rsidRDefault="004707F3" w14:paraId="5B3C7355" w14:textId="4F82A887">
      <w:pPr>
        <w:pStyle w:val="BodyTextIndent"/>
        <w:contextualSpacing/>
      </w:pPr>
      <w:r w:rsidRPr="00FF2C01">
        <w:t xml:space="preserve">The Department estimates that approximately 1.8 million </w:t>
      </w:r>
      <w:r>
        <w:t>retirement investors</w:t>
      </w:r>
      <w:r>
        <w:rPr>
          <w:rStyle w:val="FootnoteReference"/>
        </w:rPr>
        <w:footnoteReference w:id="55"/>
      </w:r>
      <w:r w:rsidRPr="00FF2C01">
        <w:t xml:space="preserve"> have relationships with </w:t>
      </w:r>
      <w:r>
        <w:t>financial institution</w:t>
      </w:r>
      <w:r w:rsidRPr="00FF2C01">
        <w:t xml:space="preserve">s and </w:t>
      </w:r>
      <w:r w:rsidR="00314394">
        <w:t>would be</w:t>
      </w:r>
      <w:r w:rsidRPr="00FF2C01" w:rsidR="00314394">
        <w:t xml:space="preserve"> </w:t>
      </w:r>
      <w:r w:rsidRPr="00FF2C01">
        <w:t>likely to engage in transactions covered under this PTE.</w:t>
      </w:r>
      <w:r>
        <w:t xml:space="preserve">  Of these 1.8 million retirement investors, </w:t>
      </w:r>
      <w:r w:rsidR="00314394">
        <w:t>the Department assumes</w:t>
      </w:r>
      <w:r>
        <w:t xml:space="preserve"> that 8.1 percent</w:t>
      </w:r>
      <w:r w:rsidR="00314394">
        <w:t>,</w:t>
      </w:r>
      <w:r>
        <w:rPr>
          <w:rStyle w:val="FootnoteReference"/>
        </w:rPr>
        <w:footnoteReference w:id="56"/>
      </w:r>
      <w:r>
        <w:t xml:space="preserve"> or 14</w:t>
      </w:r>
      <w:r w:rsidR="007D0136">
        <w:t>1</w:t>
      </w:r>
      <w:r>
        <w:t>,</w:t>
      </w:r>
      <w:r w:rsidR="007D0136">
        <w:t>636</w:t>
      </w:r>
      <w:r>
        <w:t xml:space="preserve"> retirement investors, w</w:t>
      </w:r>
      <w:r w:rsidR="007D0136">
        <w:t>ill</w:t>
      </w:r>
      <w:r>
        <w:t xml:space="preserve"> receive paper </w:t>
      </w:r>
      <w:r>
        <w:lastRenderedPageBreak/>
        <w:t>disclosures.  Assuming the disclosures require two sheets of paper at a cost $0.05 each, the estimated material cost for the paper disclosures is $14,</w:t>
      </w:r>
      <w:r w:rsidR="007D0136">
        <w:t>1</w:t>
      </w:r>
      <w:r>
        <w:t>6</w:t>
      </w:r>
      <w:r w:rsidR="007D0136">
        <w:t>4</w:t>
      </w:r>
      <w:r>
        <w:t>.  Postage for each paper disclosure is expected to cost $0.55, resulting in a mailing cost of $</w:t>
      </w:r>
      <w:r w:rsidR="007D0136">
        <w:t>77</w:t>
      </w:r>
      <w:r w:rsidR="00A81ED7">
        <w:t>,</w:t>
      </w:r>
      <w:r w:rsidR="007D0136">
        <w:t>899.62</w:t>
      </w:r>
      <w:r>
        <w:t>.</w:t>
      </w:r>
      <w:r w:rsidR="00A81ED7">
        <w:t xml:space="preserve">  </w:t>
      </w:r>
      <w:r w:rsidR="008B6D71">
        <w:t>Thus, t</w:t>
      </w:r>
      <w:r w:rsidR="00A81ED7">
        <w:t xml:space="preserve">he total cost </w:t>
      </w:r>
      <w:r w:rsidR="008B6D71">
        <w:t xml:space="preserve">associated with printing and mailing </w:t>
      </w:r>
      <w:r w:rsidR="00A81ED7">
        <w:t>is $9</w:t>
      </w:r>
      <w:r w:rsidR="007D0136">
        <w:t>2</w:t>
      </w:r>
      <w:r w:rsidR="00A81ED7">
        <w:t>,</w:t>
      </w:r>
      <w:r w:rsidR="007D0136">
        <w:t>063</w:t>
      </w:r>
      <w:r w:rsidR="00A81ED7">
        <w:t>.</w:t>
      </w:r>
    </w:p>
    <w:p w:rsidR="00A214B0" w:rsidP="00585DB6" w:rsidRDefault="00A214B0" w14:paraId="6A31F0F5" w14:textId="77777777">
      <w:pPr>
        <w:pStyle w:val="BodyTextIndent"/>
        <w:contextualSpacing/>
        <w:rPr>
          <w:i/>
          <w:u w:val="single"/>
        </w:rPr>
      </w:pPr>
    </w:p>
    <w:p w:rsidR="004723EF" w:rsidP="00585DB6" w:rsidRDefault="004723EF" w14:paraId="70D408DB" w14:textId="07B886BF">
      <w:pPr>
        <w:pStyle w:val="BodyTextIndent"/>
        <w:contextualSpacing/>
        <w:rPr>
          <w:color w:val="000000" w:themeColor="text1"/>
        </w:rPr>
      </w:pPr>
      <w:r>
        <w:rPr>
          <w:color w:val="000000" w:themeColor="text1"/>
        </w:rPr>
        <w:t xml:space="preserve">In its analysis, the Department assumes that disclosures distributed electronically </w:t>
      </w:r>
      <w:r w:rsidR="00314394">
        <w:rPr>
          <w:color w:val="000000" w:themeColor="text1"/>
        </w:rPr>
        <w:t>w</w:t>
      </w:r>
      <w:r w:rsidR="007D0136">
        <w:rPr>
          <w:color w:val="000000" w:themeColor="text1"/>
        </w:rPr>
        <w:t>ill</w:t>
      </w:r>
      <w:r w:rsidR="00314394">
        <w:rPr>
          <w:color w:val="000000" w:themeColor="text1"/>
        </w:rPr>
        <w:t xml:space="preserve"> </w:t>
      </w:r>
      <w:r>
        <w:rPr>
          <w:color w:val="000000" w:themeColor="text1"/>
        </w:rPr>
        <w:t xml:space="preserve">be distributed through channels already used by respondents in the normal course of business.  </w:t>
      </w:r>
    </w:p>
    <w:p w:rsidRPr="008823D6" w:rsidR="00E2738F" w:rsidP="00585DB6" w:rsidRDefault="00E2738F" w14:paraId="2C0407AF" w14:textId="0FCA31BE">
      <w:pPr>
        <w:pStyle w:val="BodyTextIndent"/>
        <w:contextualSpacing/>
      </w:pPr>
    </w:p>
    <w:p w:rsidRPr="00A5376D" w:rsidR="008C4059" w:rsidP="00585DB6" w:rsidRDefault="008C4059" w14:paraId="2EEAD00C" w14:textId="77777777">
      <w:pPr>
        <w:pStyle w:val="BodyTextIndent"/>
        <w:widowControl/>
        <w:numPr>
          <w:ilvl w:val="0"/>
          <w:numId w:val="1"/>
        </w:numPr>
        <w:tabs>
          <w:tab w:val="clear" w:pos="-1440"/>
          <w:tab w:val="clear" w:pos="1080"/>
        </w:tabs>
        <w:autoSpaceDE/>
        <w:autoSpaceDN/>
        <w:adjustRightInd/>
        <w:ind w:left="720"/>
        <w:contextualSpacing/>
        <w:rPr>
          <w:b/>
          <w:i/>
        </w:rPr>
      </w:pPr>
      <w:r w:rsidRPr="00A5376D">
        <w:rPr>
          <w:b/>
          <w:i/>
        </w:rPr>
        <w:t>Provide estimates of annualized cost to the federal government.  Also, provide an description of the method used to estimate cost, which should include quantification of hours, operations expenses (such as equipment, overhead, printing, and support staff), and any other expense that would not have been incurred without this collection of information.  Agencies also may aggregate cost estimates from Items, 12, 13, and 14 in a single table.</w:t>
      </w:r>
    </w:p>
    <w:p w:rsidR="008C4059" w:rsidP="00585DB6" w:rsidRDefault="008C4059" w14:paraId="013C3348" w14:textId="1F1137EB">
      <w:pPr>
        <w:pStyle w:val="BodyTextIndent"/>
        <w:contextualSpacing/>
      </w:pPr>
    </w:p>
    <w:p w:rsidRPr="008823D6" w:rsidR="005D2A4C" w:rsidP="00585DB6" w:rsidRDefault="005D2A4C" w14:paraId="729AE23F" w14:textId="0C3EC7CF">
      <w:pPr>
        <w:pStyle w:val="BodyTextIndent"/>
        <w:contextualSpacing/>
      </w:pPr>
      <w:r w:rsidRPr="005D2A4C">
        <w:t>There are no ongoing costs to the Federal government.</w:t>
      </w:r>
    </w:p>
    <w:p w:rsidRPr="008823D6" w:rsidR="008C4059" w:rsidP="00585DB6" w:rsidRDefault="008C4059" w14:paraId="6471A02E" w14:textId="77777777">
      <w:pPr>
        <w:pStyle w:val="BodyTextIndent"/>
        <w:contextualSpacing/>
        <w:rPr>
          <w:b/>
          <w:i/>
        </w:rPr>
      </w:pPr>
    </w:p>
    <w:p w:rsidRPr="00132195" w:rsidR="008C4059" w:rsidP="00585DB6" w:rsidRDefault="008C4059" w14:paraId="761AF639" w14:textId="09FAD013">
      <w:pPr>
        <w:pStyle w:val="BodyTextIndent"/>
        <w:widowControl/>
        <w:numPr>
          <w:ilvl w:val="0"/>
          <w:numId w:val="1"/>
        </w:numPr>
        <w:tabs>
          <w:tab w:val="clear" w:pos="-1440"/>
          <w:tab w:val="clear" w:pos="1080"/>
        </w:tabs>
        <w:autoSpaceDE/>
        <w:autoSpaceDN/>
        <w:adjustRightInd/>
        <w:ind w:left="720"/>
        <w:contextualSpacing/>
        <w:rPr>
          <w:b/>
          <w:i/>
        </w:rPr>
      </w:pPr>
      <w:r w:rsidRPr="00132195">
        <w:rPr>
          <w:b/>
          <w:i/>
        </w:rPr>
        <w:t>Explain any reasons for any program changes or adjustments.</w:t>
      </w:r>
    </w:p>
    <w:p w:rsidR="003C3AEE" w:rsidP="00585DB6" w:rsidRDefault="003C3AEE" w14:paraId="760D1D80" w14:textId="0409247C">
      <w:pPr>
        <w:pStyle w:val="BodyTextIndent"/>
        <w:widowControl/>
        <w:tabs>
          <w:tab w:val="clear" w:pos="-1440"/>
        </w:tabs>
        <w:autoSpaceDE/>
        <w:autoSpaceDN/>
        <w:adjustRightInd/>
        <w:contextualSpacing/>
        <w:rPr>
          <w:b/>
        </w:rPr>
      </w:pPr>
    </w:p>
    <w:p w:rsidRPr="0031593D" w:rsidR="003C3AEE" w:rsidP="00585DB6" w:rsidRDefault="003C3AEE" w14:paraId="6DC9692F" w14:textId="658A9686">
      <w:pPr>
        <w:pStyle w:val="BodyTextIndent"/>
        <w:widowControl/>
        <w:tabs>
          <w:tab w:val="clear" w:pos="-1440"/>
        </w:tabs>
        <w:autoSpaceDE/>
        <w:autoSpaceDN/>
        <w:adjustRightInd/>
        <w:contextualSpacing/>
      </w:pPr>
      <w:r w:rsidRPr="0031593D">
        <w:t>This is a new information collection.</w:t>
      </w:r>
    </w:p>
    <w:p w:rsidRPr="008823D6" w:rsidR="008C4059" w:rsidP="00585DB6" w:rsidRDefault="008C4059" w14:paraId="0364F008" w14:textId="77777777">
      <w:pPr>
        <w:pStyle w:val="BodyTextIndent"/>
        <w:ind w:left="360"/>
        <w:contextualSpacing/>
      </w:pPr>
    </w:p>
    <w:p w:rsidRPr="00132195" w:rsidR="008C4059" w:rsidP="00585DB6" w:rsidRDefault="008C4059" w14:paraId="37056732" w14:textId="77777777">
      <w:pPr>
        <w:pStyle w:val="BodyTextIndent"/>
        <w:widowControl/>
        <w:numPr>
          <w:ilvl w:val="0"/>
          <w:numId w:val="1"/>
        </w:numPr>
        <w:tabs>
          <w:tab w:val="clear" w:pos="-1440"/>
          <w:tab w:val="clear" w:pos="1080"/>
        </w:tabs>
        <w:autoSpaceDE/>
        <w:autoSpaceDN/>
        <w:adjustRightInd/>
        <w:ind w:left="720"/>
        <w:contextualSpacing/>
        <w:rPr>
          <w:b/>
          <w:i/>
        </w:rPr>
      </w:pPr>
      <w:r w:rsidRPr="00132195">
        <w:rPr>
          <w:b/>
          <w:i/>
        </w:rPr>
        <w:t>For collection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8C4059" w:rsidP="00585DB6" w:rsidRDefault="008C4059" w14:paraId="6554C061" w14:textId="189E4622">
      <w:pPr>
        <w:pStyle w:val="BodyTextIndent"/>
        <w:contextualSpacing/>
      </w:pPr>
    </w:p>
    <w:p w:rsidRPr="008823D6" w:rsidR="003C3AEE" w:rsidP="00585DB6" w:rsidRDefault="003C3AEE" w14:paraId="0AF55208" w14:textId="16208039">
      <w:pPr>
        <w:ind w:left="720"/>
        <w:contextualSpacing/>
      </w:pPr>
      <w:r w:rsidRPr="00EB039A">
        <w:t>This is not a collection of information for statistical use and there are no plans to publish the results of this collection.</w:t>
      </w:r>
    </w:p>
    <w:p w:rsidRPr="008823D6" w:rsidR="008C4059" w:rsidP="00585DB6" w:rsidRDefault="008C4059" w14:paraId="7F65338F" w14:textId="085A84EF">
      <w:pPr>
        <w:contextualSpacing/>
      </w:pPr>
      <w:r w:rsidRPr="008823D6">
        <w:tab/>
      </w:r>
    </w:p>
    <w:p w:rsidRPr="00132195" w:rsidR="008C4059" w:rsidP="00585DB6" w:rsidRDefault="008C4059" w14:paraId="5B91DBAC" w14:textId="77777777">
      <w:pPr>
        <w:pStyle w:val="BodyTextIndent"/>
        <w:widowControl/>
        <w:numPr>
          <w:ilvl w:val="0"/>
          <w:numId w:val="1"/>
        </w:numPr>
        <w:tabs>
          <w:tab w:val="clear" w:pos="-1440"/>
          <w:tab w:val="clear" w:pos="1080"/>
        </w:tabs>
        <w:autoSpaceDE/>
        <w:autoSpaceDN/>
        <w:adjustRightInd/>
        <w:ind w:left="720"/>
        <w:contextualSpacing/>
        <w:rPr>
          <w:b/>
          <w:i/>
        </w:rPr>
      </w:pPr>
      <w:r w:rsidRPr="00132195">
        <w:rPr>
          <w:b/>
          <w:i/>
        </w:rPr>
        <w:t>If seeking approval to not display the expiration date for OMB approval of the information collection, explain the reasons that display would be inappropriate.</w:t>
      </w:r>
    </w:p>
    <w:p w:rsidRPr="008823D6" w:rsidR="008C4059" w:rsidP="00585DB6" w:rsidRDefault="008C4059" w14:paraId="05A53758" w14:textId="77777777">
      <w:pPr>
        <w:pStyle w:val="BodyTextIndent"/>
        <w:contextualSpacing/>
      </w:pPr>
    </w:p>
    <w:p w:rsidR="00572BF9" w:rsidP="00585DB6" w:rsidRDefault="00572BF9" w14:paraId="6C1DB61A" w14:textId="77777777">
      <w:pPr>
        <w:ind w:left="720"/>
        <w:contextualSpacing/>
      </w:pPr>
      <w:r>
        <w:t>The collection of information will display a currently valid OMB control number.</w:t>
      </w:r>
    </w:p>
    <w:p w:rsidR="008C4059" w:rsidP="00585DB6" w:rsidRDefault="008C4059" w14:paraId="3DD23E58" w14:textId="7A2CB55D">
      <w:pPr>
        <w:pStyle w:val="BodyTextIndent"/>
        <w:contextualSpacing/>
        <w:rPr>
          <w:i/>
          <w:iCs/>
        </w:rPr>
      </w:pPr>
    </w:p>
    <w:p w:rsidRPr="00132195" w:rsidR="008C4059" w:rsidP="00585DB6" w:rsidRDefault="008C4059" w14:paraId="45AE85EB" w14:textId="77777777">
      <w:pPr>
        <w:pStyle w:val="BodyTextIndent"/>
        <w:widowControl/>
        <w:numPr>
          <w:ilvl w:val="0"/>
          <w:numId w:val="1"/>
        </w:numPr>
        <w:tabs>
          <w:tab w:val="clear" w:pos="-1440"/>
          <w:tab w:val="clear" w:pos="1080"/>
        </w:tabs>
        <w:autoSpaceDE/>
        <w:autoSpaceDN/>
        <w:adjustRightInd/>
        <w:ind w:left="720"/>
        <w:contextualSpacing/>
        <w:rPr>
          <w:b/>
          <w:i/>
        </w:rPr>
      </w:pPr>
      <w:r w:rsidRPr="00132195">
        <w:rPr>
          <w:b/>
          <w:i/>
        </w:rPr>
        <w:t>Explain each exception to the certification statement.</w:t>
      </w:r>
    </w:p>
    <w:p w:rsidRPr="00132195" w:rsidR="008C4059" w:rsidP="00585DB6" w:rsidRDefault="008C4059" w14:paraId="53545AF1" w14:textId="75E20449">
      <w:pPr>
        <w:pStyle w:val="BodyTextIndent"/>
        <w:contextualSpacing/>
        <w:rPr>
          <w:i/>
        </w:rPr>
      </w:pPr>
    </w:p>
    <w:p w:rsidRPr="00EB039A" w:rsidR="00572BF9" w:rsidP="00585DB6" w:rsidRDefault="00572BF9" w14:paraId="6FF70B32" w14:textId="77777777">
      <w:pPr>
        <w:ind w:left="720"/>
        <w:contextualSpacing/>
      </w:pPr>
      <w:r w:rsidRPr="00EB039A">
        <w:t>There are no exceptions to the certification statement.</w:t>
      </w:r>
    </w:p>
    <w:p w:rsidRPr="008823D6" w:rsidR="00572BF9" w:rsidP="00585DB6" w:rsidRDefault="00572BF9" w14:paraId="7ACB5D73" w14:textId="77777777">
      <w:pPr>
        <w:pStyle w:val="BodyTextIndent"/>
        <w:contextualSpacing/>
      </w:pPr>
    </w:p>
    <w:p w:rsidRPr="008823D6" w:rsidR="008C4059" w:rsidP="00585DB6" w:rsidRDefault="008C4059" w14:paraId="1E24F2FD" w14:textId="77777777">
      <w:pPr>
        <w:pStyle w:val="BodyTextIndent"/>
        <w:ind w:left="0"/>
        <w:contextualSpacing/>
        <w:rPr>
          <w:b/>
          <w:bCs/>
          <w:i/>
          <w:iCs/>
        </w:rPr>
      </w:pPr>
      <w:r w:rsidRPr="008823D6">
        <w:rPr>
          <w:b/>
          <w:bCs/>
        </w:rPr>
        <w:t>B.  Collection of Information Employing Statistical Methods.</w:t>
      </w:r>
    </w:p>
    <w:p w:rsidRPr="008823D6" w:rsidR="008C4059" w:rsidP="00585DB6" w:rsidRDefault="008C4059" w14:paraId="0A8A9BFF" w14:textId="77777777">
      <w:pPr>
        <w:pStyle w:val="BodyTextIndent"/>
        <w:ind w:left="360"/>
        <w:contextualSpacing/>
        <w:rPr>
          <w:b/>
          <w:bCs/>
          <w:i/>
          <w:iCs/>
        </w:rPr>
      </w:pPr>
    </w:p>
    <w:p w:rsidR="00601E48" w:rsidP="00585DB6" w:rsidRDefault="004C3F34" w14:paraId="626D0E9A" w14:textId="3A6A5214">
      <w:pPr>
        <w:pStyle w:val="BodyTextIndent"/>
        <w:ind w:left="360"/>
        <w:contextualSpacing/>
      </w:pPr>
      <w:r>
        <w:rPr>
          <w:bCs/>
        </w:rPr>
        <w:tab/>
      </w:r>
      <w:r w:rsidRPr="008823D6" w:rsidR="008C4059">
        <w:rPr>
          <w:bCs/>
        </w:rPr>
        <w:t>Not applicable.</w:t>
      </w:r>
    </w:p>
    <w:sectPr w:rsidR="00601E48">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DDC564" w14:textId="77777777" w:rsidR="004C3F34" w:rsidRDefault="004C3F34" w:rsidP="008C4059">
      <w:r>
        <w:separator/>
      </w:r>
    </w:p>
  </w:endnote>
  <w:endnote w:type="continuationSeparator" w:id="0">
    <w:p w14:paraId="6B3383F2" w14:textId="77777777" w:rsidR="004C3F34" w:rsidRDefault="004C3F34" w:rsidP="008C4059">
      <w:r>
        <w:continuationSeparator/>
      </w:r>
    </w:p>
  </w:endnote>
  <w:endnote w:type="continuationNotice" w:id="1">
    <w:p w14:paraId="3BD903FD" w14:textId="77777777" w:rsidR="004C3F34" w:rsidRDefault="004C3F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C0981C" w14:textId="77777777" w:rsidR="004C3F34" w:rsidRDefault="004C3F34" w:rsidP="008C4059">
      <w:r>
        <w:separator/>
      </w:r>
    </w:p>
  </w:footnote>
  <w:footnote w:type="continuationSeparator" w:id="0">
    <w:p w14:paraId="7B590E8B" w14:textId="77777777" w:rsidR="004C3F34" w:rsidRDefault="004C3F34" w:rsidP="008C4059">
      <w:r>
        <w:continuationSeparator/>
      </w:r>
    </w:p>
  </w:footnote>
  <w:footnote w:type="continuationNotice" w:id="1">
    <w:p w14:paraId="034EA7AE" w14:textId="77777777" w:rsidR="004C3F34" w:rsidRDefault="004C3F34"/>
  </w:footnote>
  <w:footnote w:id="2">
    <w:p w14:paraId="41674470" w14:textId="77777777" w:rsidR="004C3F34" w:rsidRDefault="004C3F34" w:rsidP="00683AF7">
      <w:pPr>
        <w:pStyle w:val="FootnoteText"/>
        <w:rPr>
          <w:rFonts w:eastAsiaTheme="minorHAnsi"/>
          <w:sz w:val="24"/>
          <w:szCs w:val="24"/>
        </w:rPr>
      </w:pPr>
      <w:r w:rsidRPr="006A565F">
        <w:rPr>
          <w:rStyle w:val="FootnoteReference"/>
          <w:rFonts w:eastAsiaTheme="majorEastAsia"/>
        </w:rPr>
        <w:footnoteRef/>
      </w:r>
      <w:r w:rsidRPr="006A565F">
        <w:t xml:space="preserve"> Regulations at 29 CFR section 2570.30 to 2570.52 describe the procedures for applying for an administrative exemption under ERISA.</w:t>
      </w:r>
      <w:r w:rsidRPr="007F3F3C">
        <w:t xml:space="preserve">  </w:t>
      </w:r>
      <w:r w:rsidRPr="006A565F">
        <w:t xml:space="preserve">Code section 4975(c)(2) authorizes the Secretary of the Treasury to grant exemptions from the parallel prohibited transaction provisions of the Code.  </w:t>
      </w:r>
      <w:r w:rsidRPr="006A565F">
        <w:rPr>
          <w:rFonts w:eastAsiaTheme="minorHAnsi"/>
        </w:rPr>
        <w:t>Reorganization Plan No. 4 of 1978 (5 U.S.C. app. at 214 (2000)) generally transferred the authority of the Secretary of the Treasury to issue administrative exemptions under Code section 4975 to the Secretary of Labor.</w:t>
      </w:r>
      <w:r w:rsidRPr="0078280B">
        <w:rPr>
          <w:rFonts w:eastAsiaTheme="minorHAnsi"/>
          <w:sz w:val="24"/>
          <w:szCs w:val="24"/>
        </w:rPr>
        <w:t xml:space="preserve">  </w:t>
      </w:r>
    </w:p>
  </w:footnote>
  <w:footnote w:id="3">
    <w:p w14:paraId="0408F049" w14:textId="77777777" w:rsidR="004C3F34" w:rsidRPr="008D59F9" w:rsidRDefault="004C3F34" w:rsidP="00E470FD">
      <w:pPr>
        <w:pStyle w:val="FootnoteText"/>
      </w:pPr>
      <w:r w:rsidRPr="000A0A5F">
        <w:rPr>
          <w:rStyle w:val="FootnoteReference"/>
        </w:rPr>
        <w:footnoteRef/>
      </w:r>
      <w:r w:rsidRPr="000A0A5F">
        <w:t xml:space="preserve"> </w:t>
      </w:r>
      <w:r>
        <w:t xml:space="preserve">The </w:t>
      </w:r>
      <w:r w:rsidRPr="00A5376D">
        <w:t xml:space="preserve">SEC’s Regulation Best Interest amended Rule 17a–4(e)(5) to </w:t>
      </w:r>
      <w:r w:rsidRPr="000A0A5F">
        <w:t xml:space="preserve">require that </w:t>
      </w:r>
      <w:r>
        <w:t>BD</w:t>
      </w:r>
      <w:r w:rsidRPr="000A0A5F">
        <w:t xml:space="preserve">s retain all records of the information collected from or provided to each retail customer pursuant to Regulation Best Interest for at least </w:t>
      </w:r>
      <w:r>
        <w:t>6</w:t>
      </w:r>
      <w:r w:rsidRPr="000A0A5F">
        <w:t xml:space="preserve"> years after the earlier of the date the account was closed or the date</w:t>
      </w:r>
      <w:r>
        <w:t xml:space="preserve"> </w:t>
      </w:r>
      <w:r w:rsidRPr="000A0A5F">
        <w:t xml:space="preserve">on which the information was last replaced </w:t>
      </w:r>
      <w:r w:rsidRPr="008D59F9">
        <w:t>or updated.</w:t>
      </w:r>
      <w:r>
        <w:t xml:space="preserve">  FINRA Rule 4511 also requires its members </w:t>
      </w:r>
      <w:r w:rsidRPr="000A0A5F">
        <w:t xml:space="preserve">preserve for a period of at least </w:t>
      </w:r>
      <w:r>
        <w:t>6</w:t>
      </w:r>
      <w:r w:rsidRPr="000A0A5F">
        <w:t xml:space="preserve"> years those FINRA books and records for which there is no specified period under the FINRA rules or applicable Exchange Act rules.</w:t>
      </w:r>
    </w:p>
  </w:footnote>
  <w:footnote w:id="4">
    <w:p w14:paraId="24A18B93" w14:textId="77777777" w:rsidR="004C3F34" w:rsidRPr="000A0A5F" w:rsidRDefault="004C3F34" w:rsidP="00266DFD">
      <w:pPr>
        <w:pStyle w:val="FootnoteText"/>
      </w:pPr>
      <w:r w:rsidRPr="000A0A5F">
        <w:rPr>
          <w:rStyle w:val="FootnoteReference"/>
        </w:rPr>
        <w:footnoteRef/>
      </w:r>
      <w:r w:rsidRPr="000A0A5F">
        <w:t xml:space="preserve"> </w:t>
      </w:r>
      <w:r>
        <w:t>The Department estimates approximately 56 percent of participants receive disclosures electronically under the 2002 electronic disclosure safe harbor, and additional 36 percent of participants receive them electronically under the Department’s new electronic disclosure safe harbor.</w:t>
      </w:r>
    </w:p>
  </w:footnote>
  <w:footnote w:id="5">
    <w:p w14:paraId="1715ED63" w14:textId="77777777" w:rsidR="004C3F34" w:rsidRDefault="004C3F34" w:rsidP="00D0461A">
      <w:pPr>
        <w:pStyle w:val="FootnoteText"/>
      </w:pPr>
      <w:r>
        <w:rPr>
          <w:rStyle w:val="FootnoteReference"/>
        </w:rPr>
        <w:footnoteRef/>
      </w:r>
      <w:r>
        <w:t xml:space="preserve"> In the proposal, the Department used $138.41 as an attorney’s hourly rate.  For more details about the Department’s methodologies, s</w:t>
      </w:r>
      <w:r>
        <w:rPr>
          <w:szCs w:val="24"/>
        </w:rPr>
        <w:t xml:space="preserve">ee </w:t>
      </w:r>
      <w:r w:rsidRPr="00AE2754">
        <w:rPr>
          <w:i/>
        </w:rPr>
        <w:t>Labor Cost Inputs Used in the Employee Benefits Security Administration, Office of Policy and Research’s Regulatory Impact Analyses and Paperwork Reduction Act Burden Calculation</w:t>
      </w:r>
      <w:r>
        <w:t>, Employee Benefits Security Administration</w:t>
      </w:r>
      <w:r w:rsidRPr="00ED6297">
        <w:t xml:space="preserve"> (June 2019), </w:t>
      </w:r>
      <w:r w:rsidRPr="00382698">
        <w:t>www.dol.gov/sites/dolgov/files/</w:t>
      </w:r>
      <w:r w:rsidRPr="00F712A3">
        <w:t>EBSA</w:t>
      </w:r>
      <w:r w:rsidRPr="00382698">
        <w:t>/laws-and-regulations/rules-and-regulations/technical-appendices/labor-cost-inputs-used-in-ebsa-opr-ria-and-pra-burden-calculations-june-2019.pdf</w:t>
      </w:r>
      <w:r w:rsidRPr="00AB3876">
        <w:t>.</w:t>
      </w:r>
    </w:p>
  </w:footnote>
  <w:footnote w:id="6">
    <w:p w14:paraId="3A214855" w14:textId="77777777" w:rsidR="004C3F34" w:rsidRDefault="004C3F34" w:rsidP="002F1174">
      <w:pPr>
        <w:pStyle w:val="FootnoteText"/>
      </w:pPr>
      <w:r>
        <w:rPr>
          <w:rStyle w:val="FootnoteReference"/>
        </w:rPr>
        <w:footnoteRef/>
      </w:r>
      <w:r>
        <w:t xml:space="preserve"> For the cost estimation in the proposal</w:t>
      </w:r>
      <w:r w:rsidRPr="002F259D">
        <w:t xml:space="preserve"> the Department used </w:t>
      </w:r>
      <w:r>
        <w:t xml:space="preserve">an </w:t>
      </w:r>
      <w:r w:rsidRPr="002F259D">
        <w:t>average attorney hourly rate based on the U.S. Bureau of Labor Statis</w:t>
      </w:r>
      <w:r>
        <w:t>tics</w:t>
      </w:r>
      <w:r w:rsidRPr="002F259D">
        <w:t>.</w:t>
      </w:r>
      <w:r>
        <w:t xml:space="preserve"> For the cost estimation in the final exemption, the Department used an </w:t>
      </w:r>
      <w:r w:rsidRPr="00D03DA7">
        <w:t xml:space="preserve">hourly </w:t>
      </w:r>
      <w:r>
        <w:t>rate</w:t>
      </w:r>
      <w:r w:rsidRPr="00D03DA7">
        <w:t xml:space="preserve"> estimate for an </w:t>
      </w:r>
      <w:r>
        <w:t>in-house</w:t>
      </w:r>
      <w:r w:rsidRPr="00D03DA7">
        <w:t xml:space="preserve"> compliance counsel</w:t>
      </w:r>
      <w:r>
        <w:t>,</w:t>
      </w:r>
      <w:r w:rsidRPr="00D03DA7">
        <w:t xml:space="preserve"> obtained from </w:t>
      </w:r>
      <w:r>
        <w:t xml:space="preserve">the </w:t>
      </w:r>
      <w:r w:rsidRPr="00D03DA7">
        <w:t>SEC</w:t>
      </w:r>
      <w:r>
        <w:t>’s</w:t>
      </w:r>
      <w:r w:rsidRPr="00D03DA7">
        <w:t xml:space="preserve"> Regulation Best Interest</w:t>
      </w:r>
      <w:r>
        <w:t xml:space="preserve"> Release</w:t>
      </w:r>
      <w:r w:rsidRPr="00D03DA7">
        <w:t xml:space="preserve">, </w:t>
      </w:r>
      <w:r>
        <w:t>84 FR at</w:t>
      </w:r>
      <w:r w:rsidRPr="00D03DA7">
        <w:t xml:space="preserve"> 33455, footnote 1304: hour for in-house compliance counsel. Available at </w:t>
      </w:r>
      <w:hyperlink r:id="rId1" w:history="1">
        <w:r w:rsidRPr="00D03DA7">
          <w:rPr>
            <w:rStyle w:val="Hyperlink"/>
          </w:rPr>
          <w:t>https://www.govinfo.gov/content/pkg/FR-2019-07-12/pdf/2019-12164.pdf</w:t>
        </w:r>
      </w:hyperlink>
      <w:r>
        <w:rPr>
          <w:rStyle w:val="Hyperlink"/>
        </w:rPr>
        <w:t xml:space="preserve">. </w:t>
      </w:r>
      <w:r w:rsidRPr="002F259D">
        <w:t xml:space="preserve">For more details about the Department’s methodologies, see </w:t>
      </w:r>
      <w:r w:rsidRPr="002F259D">
        <w:rPr>
          <w:i/>
        </w:rPr>
        <w:t>Labor Cost Inputs Used in the Employee Benefits Security Administration, Office of Policy and Research’s Regulatory Impact Analyses and Paperwork Reduction Act Burden Calculation</w:t>
      </w:r>
      <w:r w:rsidRPr="002F259D">
        <w:t>, Employee Benefits Security Administration (June 2019), https://www.dol.gov/sites/dolgov/files/EBSA/laws-and-regulations/rules-and-regulations/technical-appendices/labor-cost-inputs-used-in-ebsa-opr-ria-and-pra-burden-calculations-june-2019.pdf.</w:t>
      </w:r>
    </w:p>
  </w:footnote>
  <w:footnote w:id="7">
    <w:p w14:paraId="3523117D" w14:textId="77777777" w:rsidR="004C3F34" w:rsidRDefault="004C3F34" w:rsidP="00396341">
      <w:pPr>
        <w:pStyle w:val="FootnoteText"/>
      </w:pPr>
      <w:r>
        <w:rPr>
          <w:rStyle w:val="FootnoteReference"/>
        </w:rPr>
        <w:footnoteRef/>
      </w:r>
      <w:r>
        <w:t xml:space="preserve"> In the final exemption, the Department used $365.39 as an attorney’s</w:t>
      </w:r>
      <w:r w:rsidRPr="00D03DA7">
        <w:t xml:space="preserve"> hourly </w:t>
      </w:r>
      <w:r>
        <w:t xml:space="preserve">rate. </w:t>
      </w:r>
      <w:r w:rsidRPr="00D03DA7">
        <w:t>Th</w:t>
      </w:r>
      <w:r>
        <w:t xml:space="preserve">is is an </w:t>
      </w:r>
      <w:r w:rsidRPr="00D03DA7">
        <w:t xml:space="preserve">hourly </w:t>
      </w:r>
      <w:r>
        <w:t>rate</w:t>
      </w:r>
      <w:r w:rsidRPr="00D03DA7">
        <w:t xml:space="preserve"> estimate for an </w:t>
      </w:r>
      <w:r>
        <w:t>in-house</w:t>
      </w:r>
      <w:r w:rsidRPr="00D03DA7">
        <w:t xml:space="preserve"> compliance counsel</w:t>
      </w:r>
      <w:r>
        <w:t>,</w:t>
      </w:r>
      <w:r w:rsidRPr="00D03DA7">
        <w:t xml:space="preserve"> obtained from </w:t>
      </w:r>
      <w:r>
        <w:t xml:space="preserve">the </w:t>
      </w:r>
      <w:r w:rsidRPr="00D03DA7">
        <w:t>SEC</w:t>
      </w:r>
      <w:r>
        <w:t>’s</w:t>
      </w:r>
      <w:r w:rsidRPr="00D03DA7">
        <w:t xml:space="preserve"> Regulation Best Interest</w:t>
      </w:r>
      <w:r>
        <w:t xml:space="preserve"> Release</w:t>
      </w:r>
      <w:r w:rsidRPr="00D03DA7">
        <w:t xml:space="preserve">, </w:t>
      </w:r>
      <w:r>
        <w:t>84 FR at</w:t>
      </w:r>
      <w:r w:rsidRPr="00D03DA7">
        <w:t xml:space="preserve"> 33455, footnote 1304: hour for in-house compliance counsel. Available at </w:t>
      </w:r>
      <w:hyperlink r:id="rId2" w:history="1">
        <w:r w:rsidRPr="00BB1B7D">
          <w:rPr>
            <w:rStyle w:val="Hyperlink"/>
          </w:rPr>
          <w:t>www.govinfo.gov/content/pkg/FR-2019-07-12/pdf/2019-12164.pdf</w:t>
        </w:r>
      </w:hyperlink>
      <w:r w:rsidRPr="00D03DA7">
        <w:t xml:space="preserve">. </w:t>
      </w:r>
    </w:p>
  </w:footnote>
  <w:footnote w:id="8">
    <w:p w14:paraId="54DB6D66" w14:textId="4986E007" w:rsidR="004C3F34" w:rsidRDefault="004C3F34">
      <w:pPr>
        <w:pStyle w:val="FootnoteText"/>
      </w:pPr>
      <w:r>
        <w:rPr>
          <w:rStyle w:val="FootnoteReference"/>
        </w:rPr>
        <w:footnoteRef/>
      </w:r>
      <w:r>
        <w:t xml:space="preserve"> </w:t>
      </w:r>
      <w:r w:rsidRPr="001F1E53">
        <w:rPr>
          <w:i/>
        </w:rPr>
        <w:t>Regulation Best Interest: How Wealth Management Firms are Implementing the Rule Package</w:t>
      </w:r>
      <w:r w:rsidRPr="001F1E53">
        <w:t>, Deloitte (Mar. 6, 2020).  (This report is based on a survey given to 48 SIFMA member firms providing financial advice and related services to retail customers.  The survey ended on December 2, 2019.  Ninety percent of survey participant firms were dual registrants.)</w:t>
      </w:r>
    </w:p>
  </w:footnote>
  <w:footnote w:id="9">
    <w:p w14:paraId="3EE277CA" w14:textId="77777777" w:rsidR="004C3F34" w:rsidRDefault="004C3F34" w:rsidP="00B42BD6">
      <w:pPr>
        <w:pStyle w:val="FootnoteText"/>
      </w:pPr>
      <w:r>
        <w:rPr>
          <w:rStyle w:val="FootnoteReference"/>
        </w:rPr>
        <w:footnoteRef/>
      </w:r>
      <w:r>
        <w:t xml:space="preserve"> FINRA, Reg BI and Form CRS Firm Checklist. </w:t>
      </w:r>
    </w:p>
  </w:footnote>
  <w:footnote w:id="10">
    <w:p w14:paraId="1F8E8760" w14:textId="43CB9321" w:rsidR="004C3F34" w:rsidRDefault="004C3F34">
      <w:pPr>
        <w:pStyle w:val="FootnoteText"/>
      </w:pPr>
      <w:r>
        <w:rPr>
          <w:rStyle w:val="FootnoteReference"/>
        </w:rPr>
        <w:footnoteRef/>
      </w:r>
      <w:r>
        <w:t xml:space="preserve"> </w:t>
      </w:r>
      <w:r w:rsidRPr="00643053">
        <w:rPr>
          <w:i/>
        </w:rPr>
        <w:t>Regulation Best Interest: How Wealth Management Firms are Implementing the Rule Package</w:t>
      </w:r>
      <w:r w:rsidRPr="00643053">
        <w:t>, Deloitte (Mar. 6, 2020).</w:t>
      </w:r>
    </w:p>
  </w:footnote>
  <w:footnote w:id="11">
    <w:p w14:paraId="71F146CA" w14:textId="3C7196D0" w:rsidR="004C3F34" w:rsidRDefault="004C3F34">
      <w:pPr>
        <w:pStyle w:val="FootnoteText"/>
      </w:pPr>
      <w:r>
        <w:rPr>
          <w:rStyle w:val="FootnoteReference"/>
        </w:rPr>
        <w:footnoteRef/>
      </w:r>
      <w:r>
        <w:t xml:space="preserve"> </w:t>
      </w:r>
      <w:r w:rsidRPr="00FF4ACD">
        <w:t xml:space="preserve">The Department estimates that documenting each rollover recommendation will require </w:t>
      </w:r>
      <w:r>
        <w:t xml:space="preserve">additional </w:t>
      </w:r>
      <w:r w:rsidRPr="00FF4ACD">
        <w:t xml:space="preserve">30 minutes for a </w:t>
      </w:r>
      <w:r w:rsidRPr="00FF4ACD" w:rsidDel="00F82292">
        <w:t>personal financial advisor</w:t>
      </w:r>
      <w:r w:rsidRPr="00FF4ACD">
        <w:t xml:space="preserve"> whose firms currently do not require rollover documentations</w:t>
      </w:r>
      <w:r>
        <w:t>.</w:t>
      </w:r>
    </w:p>
  </w:footnote>
  <w:footnote w:id="12">
    <w:p w14:paraId="57A9DD84" w14:textId="5A4D4602" w:rsidR="004C3F34" w:rsidRPr="00D17271" w:rsidRDefault="004C3F34" w:rsidP="00AD3A21">
      <w:pPr>
        <w:pStyle w:val="FootnoteText"/>
      </w:pPr>
      <w:r w:rsidRPr="006E6589">
        <w:rPr>
          <w:rStyle w:val="FootnoteReference"/>
        </w:rPr>
        <w:footnoteRef/>
      </w:r>
      <w:r w:rsidRPr="006E6589">
        <w:t xml:space="preserve"> </w:t>
      </w:r>
      <w:r>
        <w:t xml:space="preserve">The SEC estimated that there were </w:t>
      </w:r>
      <w:r w:rsidRPr="006E6589">
        <w:t xml:space="preserve">3,764 </w:t>
      </w:r>
      <w:r>
        <w:t>BDs as of December 2018 (</w:t>
      </w:r>
      <w:r>
        <w:rPr>
          <w:i/>
        </w:rPr>
        <w:t xml:space="preserve">see </w:t>
      </w:r>
      <w:r>
        <w:t xml:space="preserve">Form </w:t>
      </w:r>
      <w:r w:rsidRPr="00C87D30">
        <w:t xml:space="preserve">CRS Relationship Summary; Amendments to Form ADV, 84 FR 33492 (July 12, 2019)(Form CRS Relationship Summary Release). </w:t>
      </w:r>
      <w:r>
        <w:t xml:space="preserve"> </w:t>
      </w:r>
      <w:r w:rsidRPr="00D17271">
        <w:t xml:space="preserve">The IAA Compliance 2019 Survey estimates that 52 percent of </w:t>
      </w:r>
      <w:r>
        <w:t>IAs</w:t>
      </w:r>
      <w:r w:rsidRPr="00D17271">
        <w:t xml:space="preserve"> have a pension consulting business.  The estimated number of </w:t>
      </w:r>
      <w:r>
        <w:t>BDs</w:t>
      </w:r>
      <w:r w:rsidRPr="00D17271">
        <w:t xml:space="preserve"> affected by this exemption is the product of the SEC’s estimate of total </w:t>
      </w:r>
      <w:r>
        <w:t>BDs</w:t>
      </w:r>
      <w:r w:rsidRPr="00D17271">
        <w:t xml:space="preserve"> in 2018 and IAA’s estimate of the percent of </w:t>
      </w:r>
      <w:r>
        <w:t>investment advise</w:t>
      </w:r>
      <w:r w:rsidRPr="00D17271">
        <w:t>rs with a pension consulting business.</w:t>
      </w:r>
    </w:p>
  </w:footnote>
  <w:footnote w:id="13">
    <w:p w14:paraId="2AA4046B" w14:textId="618390E4" w:rsidR="004C3F34" w:rsidRPr="00D17271" w:rsidRDefault="004C3F34" w:rsidP="00AD3A21">
      <w:pPr>
        <w:pStyle w:val="FootnoteText"/>
      </w:pPr>
      <w:r w:rsidRPr="00D17271">
        <w:rPr>
          <w:rStyle w:val="FootnoteReference"/>
        </w:rPr>
        <w:footnoteRef/>
      </w:r>
      <w:r>
        <w:t xml:space="preserve"> </w:t>
      </w:r>
      <w:r w:rsidRPr="00D17271">
        <w:t xml:space="preserve">The SEC estimated that there were 12,940 SEC-registered </w:t>
      </w:r>
      <w:r>
        <w:t>investment advisers</w:t>
      </w:r>
      <w:r w:rsidRPr="00D17271">
        <w:t xml:space="preserve"> </w:t>
      </w:r>
      <w:r>
        <w:t>that</w:t>
      </w:r>
      <w:r w:rsidRPr="00D17271">
        <w:t xml:space="preserve"> were not dually registered as </w:t>
      </w:r>
      <w:r>
        <w:t>BD</w:t>
      </w:r>
      <w:r w:rsidRPr="00D17271">
        <w:t xml:space="preserve">s as of December 2018 </w:t>
      </w:r>
      <w:r>
        <w:t>(</w:t>
      </w:r>
      <w:r>
        <w:rPr>
          <w:i/>
        </w:rPr>
        <w:t xml:space="preserve">see </w:t>
      </w:r>
      <w:r w:rsidRPr="00D17271">
        <w:t>Form CRS Relationship Summary</w:t>
      </w:r>
      <w:r>
        <w:t xml:space="preserve">, </w:t>
      </w:r>
      <w:r>
        <w:rPr>
          <w:i/>
        </w:rPr>
        <w:t xml:space="preserve">supra </w:t>
      </w:r>
      <w:r>
        <w:t>note 11)</w:t>
      </w:r>
      <w:r w:rsidRPr="00D17271">
        <w:t xml:space="preserve">.  The IAA Compliance 2019 Survey estimates that 52 percent of </w:t>
      </w:r>
      <w:r>
        <w:t>IAs</w:t>
      </w:r>
      <w:r w:rsidRPr="00D17271">
        <w:t xml:space="preserve"> have a pension consulting business.  The estimated number of </w:t>
      </w:r>
      <w:r>
        <w:t>IAs</w:t>
      </w:r>
      <w:r w:rsidRPr="00D17271">
        <w:t xml:space="preserve"> affected by this exemption is the product of the SEC’s estimate of SEC-registered </w:t>
      </w:r>
      <w:r>
        <w:t>IAs</w:t>
      </w:r>
      <w:r w:rsidRPr="00D17271">
        <w:t xml:space="preserve"> in 2018 and</w:t>
      </w:r>
      <w:r>
        <w:t xml:space="preserve"> the</w:t>
      </w:r>
      <w:r w:rsidRPr="00D17271">
        <w:t xml:space="preserve"> IAA’s estimate of the percent of </w:t>
      </w:r>
      <w:r>
        <w:t>IAs</w:t>
      </w:r>
      <w:r w:rsidRPr="00D17271">
        <w:t xml:space="preserve"> with a pension consulting business. </w:t>
      </w:r>
    </w:p>
  </w:footnote>
  <w:footnote w:id="14">
    <w:p w14:paraId="714A5330" w14:textId="5B5DB6FF" w:rsidR="004C3F34" w:rsidRPr="00D17271" w:rsidRDefault="004C3F34" w:rsidP="00AD3A21">
      <w:pPr>
        <w:pStyle w:val="FootnoteText"/>
      </w:pPr>
      <w:r w:rsidRPr="00D17271">
        <w:rPr>
          <w:rStyle w:val="FootnoteReference"/>
        </w:rPr>
        <w:footnoteRef/>
      </w:r>
      <w:r w:rsidRPr="00D17271">
        <w:t xml:space="preserve"> The SEC estimated that there were 16,939 state-registered </w:t>
      </w:r>
      <w:r>
        <w:t>IAs</w:t>
      </w:r>
      <w:r w:rsidRPr="00D17271">
        <w:t xml:space="preserve"> </w:t>
      </w:r>
      <w:r>
        <w:t>that</w:t>
      </w:r>
      <w:r w:rsidRPr="00D17271">
        <w:t xml:space="preserve"> were not dually registered as </w:t>
      </w:r>
      <w:r>
        <w:t>BD</w:t>
      </w:r>
      <w:r w:rsidRPr="00D17271">
        <w:t xml:space="preserve">s as of December 2018 </w:t>
      </w:r>
      <w:r>
        <w:t>(</w:t>
      </w:r>
      <w:r>
        <w:rPr>
          <w:i/>
        </w:rPr>
        <w:t xml:space="preserve">see </w:t>
      </w:r>
      <w:r w:rsidRPr="00D17271">
        <w:t>Form CRS Relationship Summary</w:t>
      </w:r>
      <w:r>
        <w:t xml:space="preserve">, </w:t>
      </w:r>
      <w:r>
        <w:rPr>
          <w:i/>
        </w:rPr>
        <w:t xml:space="preserve">supra </w:t>
      </w:r>
      <w:r>
        <w:t>note 11)</w:t>
      </w:r>
      <w:r w:rsidRPr="00D17271">
        <w:t xml:space="preserve">.  The NASAA 2019 estimates that 16 percent of state-registered </w:t>
      </w:r>
      <w:r>
        <w:t>IAs</w:t>
      </w:r>
      <w:r w:rsidRPr="00D17271">
        <w:t xml:space="preserve"> have a pension consulting business.  The estimated number of </w:t>
      </w:r>
      <w:r>
        <w:t>state-registered IAs</w:t>
      </w:r>
      <w:r w:rsidRPr="00D17271">
        <w:t xml:space="preserve"> affected by this exemption is the product of the SEC’s estimate of state-registered </w:t>
      </w:r>
      <w:r>
        <w:t>IAs</w:t>
      </w:r>
      <w:r w:rsidRPr="00D17271">
        <w:t xml:space="preserve"> in 2018 and </w:t>
      </w:r>
      <w:r>
        <w:t>NAS</w:t>
      </w:r>
      <w:r w:rsidRPr="00D17271">
        <w:t xml:space="preserve">AA’s estimate of the percent of state-registered </w:t>
      </w:r>
      <w:r>
        <w:t>IAs</w:t>
      </w:r>
      <w:r w:rsidRPr="00D17271">
        <w:t xml:space="preserve"> with a pension consulting business.</w:t>
      </w:r>
    </w:p>
  </w:footnote>
  <w:footnote w:id="15">
    <w:p w14:paraId="4B663BDE" w14:textId="77777777" w:rsidR="004C3F34" w:rsidRPr="006E6589" w:rsidRDefault="004C3F34" w:rsidP="00AD3A21">
      <w:pPr>
        <w:pStyle w:val="FootnoteText"/>
      </w:pPr>
      <w:r w:rsidRPr="00D17271">
        <w:rPr>
          <w:rStyle w:val="FootnoteReference"/>
        </w:rPr>
        <w:footnoteRef/>
      </w:r>
      <w:r>
        <w:t xml:space="preserve"> </w:t>
      </w:r>
      <w:r w:rsidRPr="00D17271">
        <w:t>NAIC estimates that the number of insurers directly writing</w:t>
      </w:r>
      <w:r>
        <w:t xml:space="preserve"> annuities as of 2018 is 386.</w:t>
      </w:r>
      <w:r w:rsidRPr="006E6589">
        <w:t xml:space="preserve"> </w:t>
      </w:r>
    </w:p>
  </w:footnote>
  <w:footnote w:id="16">
    <w:p w14:paraId="2F87809F" w14:textId="77777777" w:rsidR="004C3F34" w:rsidRPr="0018249C" w:rsidRDefault="004C3F34" w:rsidP="00AD3A21">
      <w:pPr>
        <w:pStyle w:val="FootnoteText"/>
      </w:pPr>
      <w:r w:rsidRPr="00773276">
        <w:rPr>
          <w:rStyle w:val="FootnoteReference"/>
        </w:rPr>
        <w:footnoteRef/>
      </w:r>
      <w:r w:rsidRPr="00773276">
        <w:t xml:space="preserve"> </w:t>
      </w:r>
      <w:r w:rsidRPr="00E5427A">
        <w:rPr>
          <w:iCs/>
        </w:rPr>
        <w:t>For this analysis, “IRA holders” include rollovers from ERISA plans.  The Department welcomes comments on this estimate.</w:t>
      </w:r>
    </w:p>
  </w:footnote>
  <w:footnote w:id="17">
    <w:p w14:paraId="474B3E1E" w14:textId="7724270D" w:rsidR="008A3527" w:rsidRPr="00BE300C" w:rsidRDefault="008A3527" w:rsidP="008A3527">
      <w:pPr>
        <w:pStyle w:val="FootnoteText"/>
      </w:pPr>
      <w:r w:rsidRPr="00BE300C">
        <w:rPr>
          <w:rStyle w:val="FootnoteReference"/>
        </w:rPr>
        <w:footnoteRef/>
      </w:r>
      <w:r w:rsidRPr="00BE300C">
        <w:t xml:space="preserve"> </w:t>
      </w:r>
      <w:r w:rsidR="00CD3D8E">
        <w:t>For more detailed information</w:t>
      </w:r>
      <w:r w:rsidR="00711322">
        <w:t xml:space="preserve"> about how the Department estimated the number of disclosures</w:t>
      </w:r>
      <w:r w:rsidR="00CD3D8E">
        <w:t xml:space="preserve">, see </w:t>
      </w:r>
      <w:r w:rsidR="00711322">
        <w:t>“Costs Associated with Disclosures” section below.</w:t>
      </w:r>
    </w:p>
  </w:footnote>
  <w:footnote w:id="18">
    <w:p w14:paraId="0DCA9FD7" w14:textId="7AE633CB" w:rsidR="00711322" w:rsidRDefault="00711322">
      <w:pPr>
        <w:pStyle w:val="FootnoteText"/>
      </w:pPr>
      <w:r>
        <w:rPr>
          <w:rStyle w:val="FootnoteReference"/>
        </w:rPr>
        <w:footnoteRef/>
      </w:r>
      <w:r>
        <w:t xml:space="preserve"> The number of responses per respondent (149) is calculated by dividing the number of disclosures (1,755,959) by the number of respondents (11,782). </w:t>
      </w:r>
    </w:p>
  </w:footnote>
  <w:footnote w:id="19">
    <w:p w14:paraId="2A0F3CE9" w14:textId="433EF348" w:rsidR="004C3F34" w:rsidRPr="006E6589" w:rsidRDefault="004C3F34" w:rsidP="00890247">
      <w:pPr>
        <w:pStyle w:val="FootnoteText"/>
      </w:pPr>
      <w:r w:rsidRPr="006E6589">
        <w:rPr>
          <w:rStyle w:val="FootnoteReference"/>
        </w:rPr>
        <w:footnoteRef/>
      </w:r>
      <w:r w:rsidRPr="006E6589">
        <w:t xml:space="preserve"> </w:t>
      </w:r>
      <w:r>
        <w:t>The Department assumes that it would take each retail broker dealer firm 15 minutes, each nonretail BD or insurance firm 30 minutes, and each registered IA 5 minutes to prepare a disclosure conveying fiduciary status.</w:t>
      </w:r>
    </w:p>
  </w:footnote>
  <w:footnote w:id="20">
    <w:p w14:paraId="25A089F7" w14:textId="02CEAAA1" w:rsidR="004C3F34" w:rsidRPr="006E6589" w:rsidRDefault="004C3F34" w:rsidP="00890247">
      <w:pPr>
        <w:pStyle w:val="FootnoteText"/>
      </w:pPr>
      <w:r w:rsidRPr="006E6589">
        <w:rPr>
          <w:rStyle w:val="FootnoteReference"/>
        </w:rPr>
        <w:footnoteRef/>
      </w:r>
      <w:r w:rsidRPr="006E6589">
        <w:t xml:space="preserve"> </w:t>
      </w:r>
      <w:r>
        <w:t>Burden hours are calculated by multiplying the estimated number of each firm type by the estimated time it would take each firm to prepare the disclosure.</w:t>
      </w:r>
    </w:p>
  </w:footnote>
  <w:footnote w:id="21">
    <w:p w14:paraId="54EA721B" w14:textId="77777777" w:rsidR="004C3F34" w:rsidRPr="00225F5D" w:rsidRDefault="004C3F34" w:rsidP="00FC355D">
      <w:pPr>
        <w:pStyle w:val="Default"/>
      </w:pPr>
      <w:r w:rsidRPr="00E5427A">
        <w:rPr>
          <w:rStyle w:val="FootnoteReference"/>
          <w:color w:val="auto"/>
          <w:sz w:val="20"/>
          <w:szCs w:val="20"/>
        </w:rPr>
        <w:footnoteRef/>
      </w:r>
      <w:r w:rsidRPr="00E5427A">
        <w:rPr>
          <w:color w:val="auto"/>
          <w:sz w:val="20"/>
          <w:szCs w:val="20"/>
        </w:rPr>
        <w:t xml:space="preserve"> </w:t>
      </w:r>
      <w:r w:rsidRPr="00E5427A">
        <w:rPr>
          <w:rFonts w:eastAsia="Times New Roman"/>
          <w:iCs/>
          <w:color w:val="auto"/>
          <w:sz w:val="20"/>
          <w:szCs w:val="20"/>
        </w:rPr>
        <w:t>The Department’s 2018 hourly wage rate estimates include wages, benefits, and overhead, and are calculated as follows: mean wage data from the 2018 National Occupational Employment Survey (</w:t>
      </w:r>
      <w:r w:rsidRPr="00E5427A">
        <w:rPr>
          <w:color w:val="auto"/>
          <w:sz w:val="20"/>
          <w:szCs w:val="20"/>
        </w:rPr>
        <w:t xml:space="preserve">May 2018, </w:t>
      </w:r>
      <w:hyperlink r:id="rId3" w:history="1">
        <w:r w:rsidRPr="005C5736">
          <w:rPr>
            <w:rStyle w:val="Hyperlink"/>
            <w:sz w:val="20"/>
            <w:szCs w:val="20"/>
          </w:rPr>
          <w:t>https://www.bls.gov/news.release/archives/ocwage_03292019.pdf</w:t>
        </w:r>
      </w:hyperlink>
      <w:r>
        <w:rPr>
          <w:color w:val="0000FF"/>
          <w:sz w:val="20"/>
          <w:szCs w:val="20"/>
        </w:rPr>
        <w:t>)</w:t>
      </w:r>
      <w:r w:rsidRPr="00E5427A">
        <w:rPr>
          <w:color w:val="auto"/>
          <w:sz w:val="20"/>
          <w:szCs w:val="20"/>
        </w:rPr>
        <w:t>,</w:t>
      </w:r>
      <w:r>
        <w:rPr>
          <w:color w:val="0000FF"/>
          <w:sz w:val="20"/>
          <w:szCs w:val="20"/>
        </w:rPr>
        <w:t xml:space="preserve"> </w:t>
      </w:r>
      <w:r w:rsidRPr="00E5427A">
        <w:rPr>
          <w:color w:val="auto"/>
          <w:sz w:val="20"/>
          <w:szCs w:val="20"/>
        </w:rPr>
        <w:t xml:space="preserve">wages as a percent of total </w:t>
      </w:r>
      <w:r w:rsidRPr="00E5427A">
        <w:rPr>
          <w:rFonts w:eastAsia="Times New Roman"/>
          <w:iCs/>
          <w:color w:val="auto"/>
          <w:sz w:val="20"/>
          <w:szCs w:val="20"/>
        </w:rPr>
        <w:t>compensation from the Employer Cost for Employee Compensation (</w:t>
      </w:r>
      <w:r w:rsidRPr="00E5427A">
        <w:rPr>
          <w:color w:val="auto"/>
          <w:sz w:val="20"/>
          <w:szCs w:val="20"/>
        </w:rPr>
        <w:t xml:space="preserve">December 2018, </w:t>
      </w:r>
      <w:hyperlink r:id="rId4" w:history="1">
        <w:r w:rsidRPr="00FB4B19">
          <w:rPr>
            <w:rStyle w:val="Hyperlink"/>
            <w:sz w:val="20"/>
            <w:szCs w:val="20"/>
          </w:rPr>
          <w:t>https://www.bls.gov/news.release/archives/ecec_03192019.pdf</w:t>
        </w:r>
      </w:hyperlink>
      <w:r w:rsidRPr="0018249C">
        <w:rPr>
          <w:rFonts w:eastAsia="Times New Roman"/>
          <w:iCs/>
          <w:color w:val="333333"/>
          <w:sz w:val="20"/>
          <w:szCs w:val="20"/>
        </w:rPr>
        <w:t>)</w:t>
      </w:r>
      <w:r>
        <w:rPr>
          <w:rFonts w:eastAsia="Times New Roman"/>
          <w:iCs/>
          <w:color w:val="auto"/>
          <w:sz w:val="20"/>
          <w:szCs w:val="20"/>
        </w:rPr>
        <w:t>,</w:t>
      </w:r>
      <w:r w:rsidRPr="0018249C">
        <w:rPr>
          <w:rFonts w:eastAsia="Times New Roman"/>
          <w:iCs/>
          <w:color w:val="333333"/>
          <w:sz w:val="20"/>
          <w:szCs w:val="20"/>
        </w:rPr>
        <w:t xml:space="preserve"> </w:t>
      </w:r>
      <w:r>
        <w:rPr>
          <w:rFonts w:eastAsia="Times New Roman"/>
          <w:iCs/>
          <w:color w:val="333333"/>
          <w:sz w:val="20"/>
          <w:szCs w:val="20"/>
        </w:rPr>
        <w:t xml:space="preserve">and </w:t>
      </w:r>
      <w:r w:rsidRPr="00E5427A">
        <w:rPr>
          <w:rFonts w:eastAsia="Times New Roman"/>
          <w:iCs/>
          <w:color w:val="auto"/>
          <w:sz w:val="20"/>
          <w:szCs w:val="20"/>
        </w:rPr>
        <w:t xml:space="preserve">overhead cost corresponding to each 2-digit NAICS code from the Annual Survey of Manufacturers (December 2017, </w:t>
      </w:r>
      <w:hyperlink r:id="rId5" w:history="1">
        <w:r w:rsidRPr="00FB4B19">
          <w:rPr>
            <w:rStyle w:val="Hyperlink"/>
            <w:sz w:val="20"/>
            <w:szCs w:val="20"/>
          </w:rPr>
          <w:t>https://www.census.gov/data/Tables/2016/econ/asm/2016-asm.html</w:t>
        </w:r>
      </w:hyperlink>
      <w:r w:rsidRPr="00E5427A">
        <w:rPr>
          <w:rFonts w:eastAsia="Times New Roman"/>
          <w:iCs/>
          <w:color w:val="auto"/>
          <w:sz w:val="20"/>
          <w:szCs w:val="20"/>
        </w:rPr>
        <w:t>) multiplied by the percent of each occupation within that NAICS industry code based on a matrix of detailed occupation employment for each NAICS industry from the BLS Office of Employment projections (2016,</w:t>
      </w:r>
      <w:r>
        <w:rPr>
          <w:rFonts w:eastAsia="Times New Roman"/>
          <w:iCs/>
          <w:color w:val="333333"/>
          <w:sz w:val="20"/>
          <w:szCs w:val="20"/>
        </w:rPr>
        <w:t xml:space="preserve"> </w:t>
      </w:r>
      <w:hyperlink r:id="rId6" w:history="1">
        <w:r w:rsidRPr="00FB4B19">
          <w:rPr>
            <w:rStyle w:val="Hyperlink"/>
            <w:sz w:val="20"/>
            <w:szCs w:val="20"/>
          </w:rPr>
          <w:t>https://www.bls.gov/emp/data/occupational-data.htm</w:t>
        </w:r>
      </w:hyperlink>
      <w:r>
        <w:rPr>
          <w:rFonts w:eastAsia="Times New Roman"/>
          <w:iCs/>
          <w:color w:val="333333"/>
          <w:sz w:val="20"/>
          <w:szCs w:val="20"/>
        </w:rPr>
        <w:t>).</w:t>
      </w:r>
    </w:p>
  </w:footnote>
  <w:footnote w:id="22">
    <w:p w14:paraId="1AD9A1F9" w14:textId="387989C6" w:rsidR="004C3F34" w:rsidRDefault="004C3F34" w:rsidP="00890247">
      <w:pPr>
        <w:pStyle w:val="FootnoteText"/>
      </w:pPr>
      <w:r w:rsidRPr="00677556">
        <w:rPr>
          <w:rStyle w:val="FootnoteReference"/>
        </w:rPr>
        <w:footnoteRef/>
      </w:r>
      <w:r w:rsidRPr="00677556">
        <w:t xml:space="preserve"> The hourly cost burden is calculated </w:t>
      </w:r>
      <w:r>
        <w:t>by multiplying</w:t>
      </w:r>
      <w:r w:rsidRPr="00677556">
        <w:t xml:space="preserve"> the burden hour of each firm associated with preparation of the disclosure by the hourly wage</w:t>
      </w:r>
      <w:r>
        <w:t xml:space="preserve"> of a legal professional</w:t>
      </w:r>
      <w:r w:rsidRPr="00677556">
        <w:t>.</w:t>
      </w:r>
      <w:r>
        <w:t xml:space="preserve">  </w:t>
      </w:r>
    </w:p>
  </w:footnote>
  <w:footnote w:id="23">
    <w:p w14:paraId="791DF783" w14:textId="20639EAD" w:rsidR="004C3F34" w:rsidRPr="00FF2C01" w:rsidRDefault="004C3F34" w:rsidP="004832FE">
      <w:pPr>
        <w:pStyle w:val="FootnoteText"/>
      </w:pPr>
      <w:r w:rsidRPr="00FF2C01">
        <w:rPr>
          <w:rStyle w:val="FootnoteReference"/>
        </w:rPr>
        <w:footnoteRef/>
      </w:r>
      <w:r w:rsidRPr="00FF2C01">
        <w:t xml:space="preserve"> </w:t>
      </w:r>
      <w:r>
        <w:t>The Department assumes that it would take each retail BD or IA firm 5 minutes, each small nonretail BD or small insurer 60 minutes, and each large nonretail BDs or larger insurer 5 hours to prepare a disclosure conveying services provided and any conflicts of interest.</w:t>
      </w:r>
    </w:p>
  </w:footnote>
  <w:footnote w:id="24">
    <w:p w14:paraId="0DAD56BA" w14:textId="580B7515" w:rsidR="004C3F34" w:rsidRPr="00BA45FF" w:rsidRDefault="004C3F34" w:rsidP="004832FE">
      <w:pPr>
        <w:pStyle w:val="FootnoteText"/>
      </w:pPr>
      <w:r w:rsidRPr="00141308">
        <w:rPr>
          <w:rStyle w:val="FootnoteReference"/>
        </w:rPr>
        <w:footnoteRef/>
      </w:r>
      <w:r w:rsidRPr="00141308">
        <w:t xml:space="preserve"> </w:t>
      </w:r>
      <w:r>
        <w:t>Burden hours are calculated by multiplying the estimated number of each firm type by the estimated time it would take each firm to prepare the disclosure.</w:t>
      </w:r>
    </w:p>
  </w:footnote>
  <w:footnote w:id="25">
    <w:p w14:paraId="6FD343D3" w14:textId="77777777" w:rsidR="004C3F34" w:rsidRPr="00225F5D" w:rsidRDefault="004C3F34" w:rsidP="00FC355D">
      <w:pPr>
        <w:pStyle w:val="Default"/>
      </w:pPr>
      <w:r w:rsidRPr="00E5427A">
        <w:rPr>
          <w:rStyle w:val="FootnoteReference"/>
          <w:color w:val="auto"/>
          <w:sz w:val="20"/>
          <w:szCs w:val="20"/>
        </w:rPr>
        <w:footnoteRef/>
      </w:r>
      <w:r w:rsidRPr="00E5427A">
        <w:rPr>
          <w:color w:val="auto"/>
          <w:sz w:val="20"/>
          <w:szCs w:val="20"/>
        </w:rPr>
        <w:t xml:space="preserve"> </w:t>
      </w:r>
      <w:r w:rsidRPr="00E5427A">
        <w:rPr>
          <w:rFonts w:eastAsia="Times New Roman"/>
          <w:iCs/>
          <w:color w:val="auto"/>
          <w:sz w:val="20"/>
          <w:szCs w:val="20"/>
        </w:rPr>
        <w:t>The Department’s 2018 hourly wage rate estimates include wages, benefits, and overhead, and are calculated as follows: mean wage data from the 2018 National Occupational Employment Survey (</w:t>
      </w:r>
      <w:r w:rsidRPr="00E5427A">
        <w:rPr>
          <w:color w:val="auto"/>
          <w:sz w:val="20"/>
          <w:szCs w:val="20"/>
        </w:rPr>
        <w:t xml:space="preserve">May 2018, </w:t>
      </w:r>
      <w:hyperlink r:id="rId7" w:history="1">
        <w:r w:rsidRPr="005C5736">
          <w:rPr>
            <w:rStyle w:val="Hyperlink"/>
            <w:sz w:val="20"/>
            <w:szCs w:val="20"/>
          </w:rPr>
          <w:t>https://www.bls.gov/news.release/archives/ocwage_03292019.pdf</w:t>
        </w:r>
      </w:hyperlink>
      <w:r>
        <w:rPr>
          <w:color w:val="0000FF"/>
          <w:sz w:val="20"/>
          <w:szCs w:val="20"/>
        </w:rPr>
        <w:t>)</w:t>
      </w:r>
      <w:r w:rsidRPr="00E5427A">
        <w:rPr>
          <w:color w:val="auto"/>
          <w:sz w:val="20"/>
          <w:szCs w:val="20"/>
        </w:rPr>
        <w:t>,</w:t>
      </w:r>
      <w:r>
        <w:rPr>
          <w:color w:val="0000FF"/>
          <w:sz w:val="20"/>
          <w:szCs w:val="20"/>
        </w:rPr>
        <w:t xml:space="preserve"> </w:t>
      </w:r>
      <w:r w:rsidRPr="00E5427A">
        <w:rPr>
          <w:color w:val="auto"/>
          <w:sz w:val="20"/>
          <w:szCs w:val="20"/>
        </w:rPr>
        <w:t xml:space="preserve">wages as a percent of total </w:t>
      </w:r>
      <w:r w:rsidRPr="00E5427A">
        <w:rPr>
          <w:rFonts w:eastAsia="Times New Roman"/>
          <w:iCs/>
          <w:color w:val="auto"/>
          <w:sz w:val="20"/>
          <w:szCs w:val="20"/>
        </w:rPr>
        <w:t>compensation from the Employer Cost for Employee Compensation (</w:t>
      </w:r>
      <w:r w:rsidRPr="00E5427A">
        <w:rPr>
          <w:color w:val="auto"/>
          <w:sz w:val="20"/>
          <w:szCs w:val="20"/>
        </w:rPr>
        <w:t xml:space="preserve">December 2018, </w:t>
      </w:r>
      <w:hyperlink r:id="rId8" w:history="1">
        <w:r w:rsidRPr="00FB4B19">
          <w:rPr>
            <w:rStyle w:val="Hyperlink"/>
            <w:sz w:val="20"/>
            <w:szCs w:val="20"/>
          </w:rPr>
          <w:t>https://www.bls.gov/news.release/archives/ecec_03192019.pdf</w:t>
        </w:r>
      </w:hyperlink>
      <w:r w:rsidRPr="0018249C">
        <w:rPr>
          <w:rFonts w:eastAsia="Times New Roman"/>
          <w:iCs/>
          <w:color w:val="333333"/>
          <w:sz w:val="20"/>
          <w:szCs w:val="20"/>
        </w:rPr>
        <w:t>)</w:t>
      </w:r>
      <w:r>
        <w:rPr>
          <w:rFonts w:eastAsia="Times New Roman"/>
          <w:iCs/>
          <w:color w:val="auto"/>
          <w:sz w:val="20"/>
          <w:szCs w:val="20"/>
        </w:rPr>
        <w:t>,</w:t>
      </w:r>
      <w:r w:rsidRPr="0018249C">
        <w:rPr>
          <w:rFonts w:eastAsia="Times New Roman"/>
          <w:iCs/>
          <w:color w:val="333333"/>
          <w:sz w:val="20"/>
          <w:szCs w:val="20"/>
        </w:rPr>
        <w:t xml:space="preserve"> </w:t>
      </w:r>
      <w:r>
        <w:rPr>
          <w:rFonts w:eastAsia="Times New Roman"/>
          <w:iCs/>
          <w:color w:val="333333"/>
          <w:sz w:val="20"/>
          <w:szCs w:val="20"/>
        </w:rPr>
        <w:t xml:space="preserve">and </w:t>
      </w:r>
      <w:r w:rsidRPr="00E5427A">
        <w:rPr>
          <w:rFonts w:eastAsia="Times New Roman"/>
          <w:iCs/>
          <w:color w:val="auto"/>
          <w:sz w:val="20"/>
          <w:szCs w:val="20"/>
        </w:rPr>
        <w:t xml:space="preserve">overhead cost corresponding to each 2-digit NAICS code from the Annual Survey of Manufacturers (December 2017, </w:t>
      </w:r>
      <w:hyperlink r:id="rId9" w:history="1">
        <w:r w:rsidRPr="00FB4B19">
          <w:rPr>
            <w:rStyle w:val="Hyperlink"/>
            <w:sz w:val="20"/>
            <w:szCs w:val="20"/>
          </w:rPr>
          <w:t>https://www.census.gov/data/Tables/2016/econ/asm/2016-asm.html</w:t>
        </w:r>
      </w:hyperlink>
      <w:r w:rsidRPr="00E5427A">
        <w:rPr>
          <w:rFonts w:eastAsia="Times New Roman"/>
          <w:iCs/>
          <w:color w:val="auto"/>
          <w:sz w:val="20"/>
          <w:szCs w:val="20"/>
        </w:rPr>
        <w:t>) multiplied by the percent of each occupation within that NAICS industry code based on a matrix of detailed occupation employment for each NAICS industry from the BLS Office of Employment projections (2016,</w:t>
      </w:r>
      <w:r>
        <w:rPr>
          <w:rFonts w:eastAsia="Times New Roman"/>
          <w:iCs/>
          <w:color w:val="333333"/>
          <w:sz w:val="20"/>
          <w:szCs w:val="20"/>
        </w:rPr>
        <w:t xml:space="preserve"> </w:t>
      </w:r>
      <w:hyperlink r:id="rId10" w:history="1">
        <w:r w:rsidRPr="00FB4B19">
          <w:rPr>
            <w:rStyle w:val="Hyperlink"/>
            <w:sz w:val="20"/>
            <w:szCs w:val="20"/>
          </w:rPr>
          <w:t>https://www.bls.gov/emp/data/occupational-data.htm</w:t>
        </w:r>
      </w:hyperlink>
      <w:r>
        <w:rPr>
          <w:rFonts w:eastAsia="Times New Roman"/>
          <w:iCs/>
          <w:color w:val="333333"/>
          <w:sz w:val="20"/>
          <w:szCs w:val="20"/>
        </w:rPr>
        <w:t>).</w:t>
      </w:r>
    </w:p>
  </w:footnote>
  <w:footnote w:id="26">
    <w:p w14:paraId="4DE4D40B" w14:textId="77777777" w:rsidR="004C3F34" w:rsidRPr="00BE300C" w:rsidRDefault="004C3F34" w:rsidP="004832FE">
      <w:pPr>
        <w:pStyle w:val="FootnoteText"/>
      </w:pPr>
      <w:r w:rsidRPr="00FF2C01">
        <w:rPr>
          <w:rStyle w:val="FootnoteReference"/>
        </w:rPr>
        <w:footnoteRef/>
      </w:r>
      <w:r w:rsidRPr="00FF2C01">
        <w:t xml:space="preserve"> The hourly cost burden is calculated </w:t>
      </w:r>
      <w:r>
        <w:t>by multiplying</w:t>
      </w:r>
      <w:r w:rsidRPr="00FF2C01">
        <w:t xml:space="preserve"> the burden hour of each firm associated with preparation of the disclosure by the hourly wage</w:t>
      </w:r>
      <w:r w:rsidRPr="00BE300C">
        <w:t xml:space="preserve"> of a </w:t>
      </w:r>
      <w:r>
        <w:t>legal</w:t>
      </w:r>
      <w:r w:rsidRPr="00BE300C">
        <w:t xml:space="preserve"> professional</w:t>
      </w:r>
      <w:r w:rsidRPr="00FF2C01">
        <w:t>.</w:t>
      </w:r>
    </w:p>
  </w:footnote>
  <w:footnote w:id="27">
    <w:p w14:paraId="1B72B8DF" w14:textId="4D84008B" w:rsidR="004C3F34" w:rsidRPr="00BE300C" w:rsidRDefault="004C3F34" w:rsidP="005473C9">
      <w:pPr>
        <w:pStyle w:val="FootnoteText"/>
      </w:pPr>
      <w:r w:rsidRPr="00BE300C">
        <w:rPr>
          <w:rStyle w:val="FootnoteReference"/>
        </w:rPr>
        <w:footnoteRef/>
      </w:r>
      <w:r w:rsidRPr="00BE300C">
        <w:t xml:space="preserve"> The Department estimates the number of affected plans and IRAs </w:t>
      </w:r>
      <w:r w:rsidRPr="003A1776">
        <w:t xml:space="preserve">be approximately equal to 49 percent of rollovers from defined contribution plans to IRAs.  Cerulli has estimated the number of accounts in defined contribution plans rolled into IRAs to be 3,593,592 </w:t>
      </w:r>
      <w:r>
        <w:t>(</w:t>
      </w:r>
      <w:r>
        <w:rPr>
          <w:i/>
        </w:rPr>
        <w:t xml:space="preserve">see </w:t>
      </w:r>
      <w:r w:rsidRPr="0049553E">
        <w:rPr>
          <w:i/>
        </w:rPr>
        <w:t>U.S. Retirement-End Investor 2020: Helping Participants Navigating Uncertainty</w:t>
      </w:r>
      <w:r w:rsidRPr="0049553E">
        <w:t xml:space="preserve">, </w:t>
      </w:r>
      <w:r>
        <w:t>The Cerulli Report (2020))</w:t>
      </w:r>
      <w:r w:rsidRPr="00BE300C">
        <w:t>.</w:t>
      </w:r>
    </w:p>
  </w:footnote>
  <w:footnote w:id="28">
    <w:p w14:paraId="043F5951" w14:textId="00F2FE2C" w:rsidR="004C3F34" w:rsidRDefault="004C3F34" w:rsidP="002367F0">
      <w:pPr>
        <w:pStyle w:val="FootnoteText"/>
      </w:pPr>
      <w:r w:rsidRPr="00141308">
        <w:rPr>
          <w:rStyle w:val="FootnoteReference"/>
        </w:rPr>
        <w:footnoteRef/>
      </w:r>
      <w:r>
        <w:t xml:space="preserve"> </w:t>
      </w:r>
      <w:r w:rsidRPr="00892F89">
        <w:rPr>
          <w:color w:val="000000"/>
        </w:rPr>
        <w:t>According to data from the National Telecommunications and Information Agency (</w:t>
      </w:r>
      <w:r w:rsidRPr="00EB62A1">
        <w:rPr>
          <w:color w:val="000000"/>
        </w:rPr>
        <w:t xml:space="preserve">NTIA), 37.7 percent of individuals age 25 and over have access to the </w:t>
      </w:r>
      <w:r>
        <w:rPr>
          <w:color w:val="000000"/>
        </w:rPr>
        <w:t>i</w:t>
      </w:r>
      <w:r w:rsidRPr="00EB62A1">
        <w:rPr>
          <w:color w:val="000000"/>
        </w:rPr>
        <w:t>nternet at work.  According to a Greenwal</w:t>
      </w:r>
      <w:r w:rsidRPr="00892F89">
        <w:rPr>
          <w:color w:val="000000"/>
        </w:rPr>
        <w:t xml:space="preserve">d &amp; Associates survey, 84 percent of plan participants find it acceptable to make electronic delivery the default option, which is used as the proxy for the number of participants who will not opt-out of electronic disclosure </w:t>
      </w:r>
      <w:r>
        <w:rPr>
          <w:color w:val="000000"/>
        </w:rPr>
        <w:t>if</w:t>
      </w:r>
      <w:r w:rsidRPr="00892F89">
        <w:rPr>
          <w:color w:val="000000"/>
        </w:rPr>
        <w:t xml:space="preserve"> automatically enrolled (for</w:t>
      </w:r>
      <w:r w:rsidRPr="00502284">
        <w:rPr>
          <w:color w:val="000000"/>
        </w:rPr>
        <w:t xml:space="preserve"> </w:t>
      </w:r>
      <w:r w:rsidRPr="00150DC8">
        <w:rPr>
          <w:color w:val="000000"/>
        </w:rPr>
        <w:t xml:space="preserve">a total </w:t>
      </w:r>
      <w:r w:rsidRPr="00EB62A1">
        <w:rPr>
          <w:color w:val="000000"/>
        </w:rPr>
        <w:t>of 31.7 percent receiving electronic disclosure at work).  Additionally, the NTIA reports that 40.5 percent of individuals age 25 and over have access to the internet outside of work.  According to a Pew Research Center survey, 61 percent of internet users use online banking, which is used as the proxy for the number of internet users who will affirmatively consent to receiving  electronic disclosures (for a total of 24.7 percent receiving electronic disclosure outside of work).  Combining the 31.7 percent who receive electronic disclosure at work with the 24.7 percent who receive electronic disclosure outside of work produces a total of 56.4 percent who will receive electronic disclosure overall.</w:t>
      </w:r>
      <w:r>
        <w:rPr>
          <w:color w:val="000000"/>
        </w:rPr>
        <w:t xml:space="preserve">  In light of the 2019 Electronic Disclosure Regulation, the Department estimates that 81.5 percent of the remaining 43.6 percent of individuals would receive the disclosures electronically.  In total, 91.9 percent of plans are expected to receive the disclosure electronically.</w:t>
      </w:r>
    </w:p>
  </w:footnote>
  <w:footnote w:id="29">
    <w:p w14:paraId="0D52193F" w14:textId="25FB4D3E" w:rsidR="004C3F34" w:rsidRDefault="004C3F34" w:rsidP="002367F0">
      <w:pPr>
        <w:pStyle w:val="FootnoteText"/>
      </w:pPr>
      <w:r w:rsidRPr="00141308">
        <w:rPr>
          <w:rStyle w:val="FootnoteReference"/>
        </w:rPr>
        <w:footnoteRef/>
      </w:r>
      <w:r>
        <w:t xml:space="preserve"> Burden hours are calculated by multiplying the estimated number of plans receiving the disclosures non-electronically by the estimated time it would take to prepare the physical disclosure. </w:t>
      </w:r>
    </w:p>
  </w:footnote>
  <w:footnote w:id="30">
    <w:p w14:paraId="4EC48502" w14:textId="77777777" w:rsidR="004C3F34" w:rsidRPr="00225F5D" w:rsidRDefault="004C3F34" w:rsidP="00FC355D">
      <w:pPr>
        <w:pStyle w:val="Default"/>
      </w:pPr>
      <w:r w:rsidRPr="00E5427A">
        <w:rPr>
          <w:rStyle w:val="FootnoteReference"/>
          <w:color w:val="auto"/>
          <w:sz w:val="20"/>
          <w:szCs w:val="20"/>
        </w:rPr>
        <w:footnoteRef/>
      </w:r>
      <w:r w:rsidRPr="00E5427A">
        <w:rPr>
          <w:color w:val="auto"/>
          <w:sz w:val="20"/>
          <w:szCs w:val="20"/>
        </w:rPr>
        <w:t xml:space="preserve"> </w:t>
      </w:r>
      <w:r w:rsidRPr="00E5427A">
        <w:rPr>
          <w:rFonts w:eastAsia="Times New Roman"/>
          <w:iCs/>
          <w:color w:val="auto"/>
          <w:sz w:val="20"/>
          <w:szCs w:val="20"/>
        </w:rPr>
        <w:t>The Department’s 2018 hourly wage rate estimates include wages, benefits, and overhead, and are calculated as follows: mean wage data from the 2018 National Occupational Employment Survey (</w:t>
      </w:r>
      <w:r w:rsidRPr="00E5427A">
        <w:rPr>
          <w:color w:val="auto"/>
          <w:sz w:val="20"/>
          <w:szCs w:val="20"/>
        </w:rPr>
        <w:t xml:space="preserve">May 2018, </w:t>
      </w:r>
      <w:hyperlink r:id="rId11" w:history="1">
        <w:r w:rsidRPr="005C5736">
          <w:rPr>
            <w:rStyle w:val="Hyperlink"/>
            <w:sz w:val="20"/>
            <w:szCs w:val="20"/>
          </w:rPr>
          <w:t>https://www.bls.gov/news.release/archives/ocwage_03292019.pdf</w:t>
        </w:r>
      </w:hyperlink>
      <w:r>
        <w:rPr>
          <w:color w:val="0000FF"/>
          <w:sz w:val="20"/>
          <w:szCs w:val="20"/>
        </w:rPr>
        <w:t>)</w:t>
      </w:r>
      <w:r w:rsidRPr="00E5427A">
        <w:rPr>
          <w:color w:val="auto"/>
          <w:sz w:val="20"/>
          <w:szCs w:val="20"/>
        </w:rPr>
        <w:t>,</w:t>
      </w:r>
      <w:r>
        <w:rPr>
          <w:color w:val="0000FF"/>
          <w:sz w:val="20"/>
          <w:szCs w:val="20"/>
        </w:rPr>
        <w:t xml:space="preserve"> </w:t>
      </w:r>
      <w:r w:rsidRPr="00E5427A">
        <w:rPr>
          <w:color w:val="auto"/>
          <w:sz w:val="20"/>
          <w:szCs w:val="20"/>
        </w:rPr>
        <w:t xml:space="preserve">wages as a percent of total </w:t>
      </w:r>
      <w:r w:rsidRPr="00E5427A">
        <w:rPr>
          <w:rFonts w:eastAsia="Times New Roman"/>
          <w:iCs/>
          <w:color w:val="auto"/>
          <w:sz w:val="20"/>
          <w:szCs w:val="20"/>
        </w:rPr>
        <w:t>compensation from the Employer Cost for Employee Compensation (</w:t>
      </w:r>
      <w:r w:rsidRPr="00E5427A">
        <w:rPr>
          <w:color w:val="auto"/>
          <w:sz w:val="20"/>
          <w:szCs w:val="20"/>
        </w:rPr>
        <w:t xml:space="preserve">December 2018, </w:t>
      </w:r>
      <w:hyperlink r:id="rId12" w:history="1">
        <w:r w:rsidRPr="00FB4B19">
          <w:rPr>
            <w:rStyle w:val="Hyperlink"/>
            <w:sz w:val="20"/>
            <w:szCs w:val="20"/>
          </w:rPr>
          <w:t>https://www.bls.gov/news.release/archives/ecec_03192019.pdf</w:t>
        </w:r>
      </w:hyperlink>
      <w:r w:rsidRPr="0018249C">
        <w:rPr>
          <w:rFonts w:eastAsia="Times New Roman"/>
          <w:iCs/>
          <w:color w:val="333333"/>
          <w:sz w:val="20"/>
          <w:szCs w:val="20"/>
        </w:rPr>
        <w:t>)</w:t>
      </w:r>
      <w:r>
        <w:rPr>
          <w:rFonts w:eastAsia="Times New Roman"/>
          <w:iCs/>
          <w:color w:val="auto"/>
          <w:sz w:val="20"/>
          <w:szCs w:val="20"/>
        </w:rPr>
        <w:t>,</w:t>
      </w:r>
      <w:r w:rsidRPr="0018249C">
        <w:rPr>
          <w:rFonts w:eastAsia="Times New Roman"/>
          <w:iCs/>
          <w:color w:val="333333"/>
          <w:sz w:val="20"/>
          <w:szCs w:val="20"/>
        </w:rPr>
        <w:t xml:space="preserve"> </w:t>
      </w:r>
      <w:r>
        <w:rPr>
          <w:rFonts w:eastAsia="Times New Roman"/>
          <w:iCs/>
          <w:color w:val="333333"/>
          <w:sz w:val="20"/>
          <w:szCs w:val="20"/>
        </w:rPr>
        <w:t xml:space="preserve">and </w:t>
      </w:r>
      <w:r w:rsidRPr="00E5427A">
        <w:rPr>
          <w:rFonts w:eastAsia="Times New Roman"/>
          <w:iCs/>
          <w:color w:val="auto"/>
          <w:sz w:val="20"/>
          <w:szCs w:val="20"/>
        </w:rPr>
        <w:t xml:space="preserve">overhead cost corresponding to each 2-digit NAICS code from the Annual Survey of Manufacturers (December 2017, </w:t>
      </w:r>
      <w:hyperlink r:id="rId13" w:history="1">
        <w:r w:rsidRPr="00FB4B19">
          <w:rPr>
            <w:rStyle w:val="Hyperlink"/>
            <w:sz w:val="20"/>
            <w:szCs w:val="20"/>
          </w:rPr>
          <w:t>https://www.census.gov/data/Tables/2016/econ/asm/2016-asm.html</w:t>
        </w:r>
      </w:hyperlink>
      <w:r w:rsidRPr="00E5427A">
        <w:rPr>
          <w:rFonts w:eastAsia="Times New Roman"/>
          <w:iCs/>
          <w:color w:val="auto"/>
          <w:sz w:val="20"/>
          <w:szCs w:val="20"/>
        </w:rPr>
        <w:t>) multiplied by the percent of each occupation within that NAICS industry code based on a matrix of detailed occupation employment for each NAICS industry from the BLS Office of Employment projections (2016,</w:t>
      </w:r>
      <w:r>
        <w:rPr>
          <w:rFonts w:eastAsia="Times New Roman"/>
          <w:iCs/>
          <w:color w:val="333333"/>
          <w:sz w:val="20"/>
          <w:szCs w:val="20"/>
        </w:rPr>
        <w:t xml:space="preserve"> </w:t>
      </w:r>
      <w:hyperlink r:id="rId14" w:history="1">
        <w:r w:rsidRPr="00FB4B19">
          <w:rPr>
            <w:rStyle w:val="Hyperlink"/>
            <w:sz w:val="20"/>
            <w:szCs w:val="20"/>
          </w:rPr>
          <w:t>https://www.bls.gov/emp/data/occupational-data.htm</w:t>
        </w:r>
      </w:hyperlink>
      <w:r>
        <w:rPr>
          <w:rFonts w:eastAsia="Times New Roman"/>
          <w:iCs/>
          <w:color w:val="333333"/>
          <w:sz w:val="20"/>
          <w:szCs w:val="20"/>
        </w:rPr>
        <w:t>).</w:t>
      </w:r>
    </w:p>
  </w:footnote>
  <w:footnote w:id="31">
    <w:p w14:paraId="219F4ECB" w14:textId="77777777" w:rsidR="004C3F34" w:rsidRDefault="004C3F34" w:rsidP="002367F0">
      <w:pPr>
        <w:pStyle w:val="FootnoteText"/>
      </w:pPr>
      <w:r w:rsidRPr="00141308">
        <w:rPr>
          <w:rStyle w:val="FootnoteReference"/>
        </w:rPr>
        <w:footnoteRef/>
      </w:r>
      <w:r>
        <w:t xml:space="preserve"> </w:t>
      </w:r>
      <w:r w:rsidRPr="00FF2C01">
        <w:t>The hourly cost burden is calculated as the burden hour</w:t>
      </w:r>
      <w:r>
        <w:t>s associated with the physical preparation</w:t>
      </w:r>
      <w:r w:rsidRPr="00FF2C01">
        <w:t xml:space="preserve"> of each </w:t>
      </w:r>
      <w:r>
        <w:t xml:space="preserve">non-electronic disclosure </w:t>
      </w:r>
      <w:r w:rsidRPr="00FF2C01">
        <w:t>by the hourly wage of a clerical professional.</w:t>
      </w:r>
      <w:r>
        <w:t xml:space="preserve"> </w:t>
      </w:r>
    </w:p>
  </w:footnote>
  <w:footnote w:id="32">
    <w:p w14:paraId="515CDB68" w14:textId="3834014B" w:rsidR="004C3F34" w:rsidRPr="00FF2C01" w:rsidRDefault="004C3F34" w:rsidP="000447B6">
      <w:pPr>
        <w:pStyle w:val="FootnoteText"/>
      </w:pPr>
      <w:r w:rsidRPr="00D17271">
        <w:rPr>
          <w:rStyle w:val="FootnoteReference"/>
        </w:rPr>
        <w:footnoteRef/>
      </w:r>
      <w:r w:rsidRPr="00D17271">
        <w:t xml:space="preserve"> The Department assumes that it </w:t>
      </w:r>
      <w:r>
        <w:t>would</w:t>
      </w:r>
      <w:r w:rsidRPr="00D17271">
        <w:t xml:space="preserve"> take each small retail </w:t>
      </w:r>
      <w:r>
        <w:t>BD</w:t>
      </w:r>
      <w:r w:rsidRPr="00D17271">
        <w:t xml:space="preserve"> 22.5 minutes, each</w:t>
      </w:r>
      <w:r>
        <w:t xml:space="preserve"> large retail BD 45 minutes, each small nonretail BD 5 hours, each large nonretail BD ten hours, each small IA 15 minutes, each large IA 30 minutes, each small insurer 5 hours, and each large insurer 10 hours to meet the requirement.</w:t>
      </w:r>
    </w:p>
  </w:footnote>
  <w:footnote w:id="33">
    <w:p w14:paraId="725A1878" w14:textId="31195133" w:rsidR="004C3F34" w:rsidRPr="00FF2C01" w:rsidRDefault="004C3F34" w:rsidP="000447B6">
      <w:pPr>
        <w:pStyle w:val="FootnoteText"/>
      </w:pPr>
      <w:r>
        <w:rPr>
          <w:rStyle w:val="FootnoteReference"/>
        </w:rPr>
        <w:footnoteRef/>
      </w:r>
      <w:r>
        <w:t xml:space="preserve"> Burden hours are calculated by multiplying the estimated number of each firm type by the estimated time it would take each firm to establish, maintain, and enforce written policies and procedures.</w:t>
      </w:r>
    </w:p>
  </w:footnote>
  <w:footnote w:id="34">
    <w:p w14:paraId="79D21BC4" w14:textId="77777777" w:rsidR="004C3F34" w:rsidRPr="00225F5D" w:rsidRDefault="004C3F34" w:rsidP="00C04874">
      <w:pPr>
        <w:pStyle w:val="Default"/>
      </w:pPr>
      <w:r w:rsidRPr="00E5427A">
        <w:rPr>
          <w:rStyle w:val="FootnoteReference"/>
          <w:color w:val="auto"/>
          <w:sz w:val="20"/>
          <w:szCs w:val="20"/>
        </w:rPr>
        <w:footnoteRef/>
      </w:r>
      <w:r w:rsidRPr="00E5427A">
        <w:rPr>
          <w:color w:val="auto"/>
          <w:sz w:val="20"/>
          <w:szCs w:val="20"/>
        </w:rPr>
        <w:t xml:space="preserve"> </w:t>
      </w:r>
      <w:r w:rsidRPr="00E5427A">
        <w:rPr>
          <w:rFonts w:eastAsia="Times New Roman"/>
          <w:iCs/>
          <w:color w:val="auto"/>
          <w:sz w:val="20"/>
          <w:szCs w:val="20"/>
        </w:rPr>
        <w:t>The Department’s 2018 hourly wage rate estimates include wages, benefits, and overhead, and are calculated as follows: mean wage data from the 2018 National Occupational Employment Survey (</w:t>
      </w:r>
      <w:r w:rsidRPr="00E5427A">
        <w:rPr>
          <w:color w:val="auto"/>
          <w:sz w:val="20"/>
          <w:szCs w:val="20"/>
        </w:rPr>
        <w:t xml:space="preserve">May 2018, </w:t>
      </w:r>
      <w:hyperlink r:id="rId15" w:history="1">
        <w:r w:rsidRPr="005C5736">
          <w:rPr>
            <w:rStyle w:val="Hyperlink"/>
            <w:sz w:val="20"/>
            <w:szCs w:val="20"/>
          </w:rPr>
          <w:t>https://www.bls.gov/news.release/archives/ocwage_03292019.pdf</w:t>
        </w:r>
      </w:hyperlink>
      <w:r>
        <w:rPr>
          <w:color w:val="0000FF"/>
          <w:sz w:val="20"/>
          <w:szCs w:val="20"/>
        </w:rPr>
        <w:t>)</w:t>
      </w:r>
      <w:r w:rsidRPr="00E5427A">
        <w:rPr>
          <w:color w:val="auto"/>
          <w:sz w:val="20"/>
          <w:szCs w:val="20"/>
        </w:rPr>
        <w:t>,</w:t>
      </w:r>
      <w:r>
        <w:rPr>
          <w:color w:val="0000FF"/>
          <w:sz w:val="20"/>
          <w:szCs w:val="20"/>
        </w:rPr>
        <w:t xml:space="preserve"> </w:t>
      </w:r>
      <w:r w:rsidRPr="00E5427A">
        <w:rPr>
          <w:color w:val="auto"/>
          <w:sz w:val="20"/>
          <w:szCs w:val="20"/>
        </w:rPr>
        <w:t xml:space="preserve">wages as a percent of total </w:t>
      </w:r>
      <w:r w:rsidRPr="00E5427A">
        <w:rPr>
          <w:rFonts w:eastAsia="Times New Roman"/>
          <w:iCs/>
          <w:color w:val="auto"/>
          <w:sz w:val="20"/>
          <w:szCs w:val="20"/>
        </w:rPr>
        <w:t>compensation from the Employer Cost for Employee Compensation (</w:t>
      </w:r>
      <w:r w:rsidRPr="00E5427A">
        <w:rPr>
          <w:color w:val="auto"/>
          <w:sz w:val="20"/>
          <w:szCs w:val="20"/>
        </w:rPr>
        <w:t xml:space="preserve">December 2018, </w:t>
      </w:r>
      <w:hyperlink r:id="rId16" w:history="1">
        <w:r w:rsidRPr="00FB4B19">
          <w:rPr>
            <w:rStyle w:val="Hyperlink"/>
            <w:sz w:val="20"/>
            <w:szCs w:val="20"/>
          </w:rPr>
          <w:t>https://www.bls.gov/news.release/archives/ecec_03192019.pdf</w:t>
        </w:r>
      </w:hyperlink>
      <w:r w:rsidRPr="0018249C">
        <w:rPr>
          <w:rFonts w:eastAsia="Times New Roman"/>
          <w:iCs/>
          <w:color w:val="333333"/>
          <w:sz w:val="20"/>
          <w:szCs w:val="20"/>
        </w:rPr>
        <w:t>)</w:t>
      </w:r>
      <w:r>
        <w:rPr>
          <w:rFonts w:eastAsia="Times New Roman"/>
          <w:iCs/>
          <w:color w:val="auto"/>
          <w:sz w:val="20"/>
          <w:szCs w:val="20"/>
        </w:rPr>
        <w:t>,</w:t>
      </w:r>
      <w:r w:rsidRPr="0018249C">
        <w:rPr>
          <w:rFonts w:eastAsia="Times New Roman"/>
          <w:iCs/>
          <w:color w:val="333333"/>
          <w:sz w:val="20"/>
          <w:szCs w:val="20"/>
        </w:rPr>
        <w:t xml:space="preserve"> </w:t>
      </w:r>
      <w:r>
        <w:rPr>
          <w:rFonts w:eastAsia="Times New Roman"/>
          <w:iCs/>
          <w:color w:val="333333"/>
          <w:sz w:val="20"/>
          <w:szCs w:val="20"/>
        </w:rPr>
        <w:t xml:space="preserve">and </w:t>
      </w:r>
      <w:r w:rsidRPr="00E5427A">
        <w:rPr>
          <w:rFonts w:eastAsia="Times New Roman"/>
          <w:iCs/>
          <w:color w:val="auto"/>
          <w:sz w:val="20"/>
          <w:szCs w:val="20"/>
        </w:rPr>
        <w:t xml:space="preserve">overhead cost corresponding to each 2-digit NAICS code from the Annual Survey of Manufacturers (December 2017, </w:t>
      </w:r>
      <w:hyperlink r:id="rId17" w:history="1">
        <w:r w:rsidRPr="00FB4B19">
          <w:rPr>
            <w:rStyle w:val="Hyperlink"/>
            <w:sz w:val="20"/>
            <w:szCs w:val="20"/>
          </w:rPr>
          <w:t>https://www.census.gov/data/Tables/2016/econ/asm/2016-asm.html</w:t>
        </w:r>
      </w:hyperlink>
      <w:r w:rsidRPr="00E5427A">
        <w:rPr>
          <w:rFonts w:eastAsia="Times New Roman"/>
          <w:iCs/>
          <w:color w:val="auto"/>
          <w:sz w:val="20"/>
          <w:szCs w:val="20"/>
        </w:rPr>
        <w:t>) multiplied by the percent of each occupation within that NAICS industry code based on a matrix of detailed occupation employment for each NAICS industry from the BLS Office of Employment projections (2016,</w:t>
      </w:r>
      <w:r>
        <w:rPr>
          <w:rFonts w:eastAsia="Times New Roman"/>
          <w:iCs/>
          <w:color w:val="333333"/>
          <w:sz w:val="20"/>
          <w:szCs w:val="20"/>
        </w:rPr>
        <w:t xml:space="preserve"> </w:t>
      </w:r>
      <w:hyperlink r:id="rId18" w:history="1">
        <w:r w:rsidRPr="00FB4B19">
          <w:rPr>
            <w:rStyle w:val="Hyperlink"/>
            <w:sz w:val="20"/>
            <w:szCs w:val="20"/>
          </w:rPr>
          <w:t>https://www.bls.gov/emp/data/occupational-data.htm</w:t>
        </w:r>
      </w:hyperlink>
      <w:r>
        <w:rPr>
          <w:rFonts w:eastAsia="Times New Roman"/>
          <w:iCs/>
          <w:color w:val="333333"/>
          <w:sz w:val="20"/>
          <w:szCs w:val="20"/>
        </w:rPr>
        <w:t>).</w:t>
      </w:r>
    </w:p>
  </w:footnote>
  <w:footnote w:id="35">
    <w:p w14:paraId="05699ED2" w14:textId="77777777" w:rsidR="004C3F34" w:rsidRPr="00FF2C01" w:rsidRDefault="004C3F34" w:rsidP="000447B6">
      <w:pPr>
        <w:pStyle w:val="FootnoteText"/>
      </w:pPr>
      <w:r w:rsidRPr="00FF2C01">
        <w:rPr>
          <w:rStyle w:val="FootnoteReference"/>
        </w:rPr>
        <w:footnoteRef/>
      </w:r>
      <w:r w:rsidRPr="00FF2C01">
        <w:t xml:space="preserve"> The hourly cost burden is calculated as the burden hour of each firm associated with </w:t>
      </w:r>
      <w:r>
        <w:t>meeting the written policies and procedures requirement</w:t>
      </w:r>
      <w:r w:rsidRPr="00FF2C01">
        <w:t xml:space="preserve"> multiplied by the hourly wage of a </w:t>
      </w:r>
      <w:r>
        <w:t>legal</w:t>
      </w:r>
      <w:r w:rsidRPr="00FF2C01">
        <w:t xml:space="preserve"> professional.</w:t>
      </w:r>
    </w:p>
  </w:footnote>
  <w:footnote w:id="36">
    <w:p w14:paraId="47F4CB65" w14:textId="1361736D" w:rsidR="004C3F34" w:rsidRDefault="004C3F34" w:rsidP="00773986">
      <w:pPr>
        <w:pStyle w:val="FootnoteText"/>
      </w:pPr>
      <w:r w:rsidRPr="00652703">
        <w:rPr>
          <w:rStyle w:val="FootnoteReference"/>
        </w:rPr>
        <w:footnoteRef/>
      </w:r>
      <w:r>
        <w:t xml:space="preserve"> </w:t>
      </w:r>
      <w:r w:rsidRPr="00652703">
        <w:t>Cerulli</w:t>
      </w:r>
      <w:r>
        <w:t xml:space="preserve"> has</w:t>
      </w:r>
      <w:r w:rsidRPr="00FF2C01">
        <w:t xml:space="preserve"> estimated </w:t>
      </w:r>
      <w:r>
        <w:t>the</w:t>
      </w:r>
      <w:r w:rsidRPr="00FF2C01">
        <w:t xml:space="preserve"> number of plans rolled into IRAs to be </w:t>
      </w:r>
      <w:r w:rsidRPr="0053001D">
        <w:t>3,593,592 (</w:t>
      </w:r>
      <w:r w:rsidRPr="0053001D">
        <w:rPr>
          <w:i/>
        </w:rPr>
        <w:t>see U.S. Retirement-End Investor 2020: Helping Participants Navigating Uncertainty</w:t>
      </w:r>
      <w:r w:rsidRPr="0053001D">
        <w:t xml:space="preserve">, </w:t>
      </w:r>
      <w:r>
        <w:rPr>
          <w:i/>
        </w:rPr>
        <w:t xml:space="preserve">supra </w:t>
      </w:r>
      <w:r>
        <w:t>note 24).  The Department estimates that 50 percent of these rollovers would be handled by a financial professional.</w:t>
      </w:r>
    </w:p>
  </w:footnote>
  <w:footnote w:id="37">
    <w:p w14:paraId="686E45CC" w14:textId="4BED0645" w:rsidR="004C3F34" w:rsidRDefault="004C3F34">
      <w:pPr>
        <w:pStyle w:val="FootnoteText"/>
      </w:pPr>
      <w:r>
        <w:rPr>
          <w:rStyle w:val="FootnoteReference"/>
        </w:rPr>
        <w:footnoteRef/>
      </w:r>
      <w:r>
        <w:t xml:space="preserve"> In 2019, a survey was conducted of financial services professionals (including BDs and IAs) who hold more than 50 percent of their practice’s assets under management in employer-sponsored retirement plans.  In addition, 45 percent of those professionals indicated that they make a proactive effort to pursue IRA rollovers from their DC plan clients.  According to this survey, approximately 32.6 percent responded that they function in a non-fiduciary capacity.  Therefore, the Department assumes that approximately 67.4 percent of financial service professionals serve their Plan clients as fiduciaries.  See </w:t>
      </w:r>
      <w:r w:rsidRPr="002664C4">
        <w:rPr>
          <w:i/>
        </w:rPr>
        <w:t xml:space="preserve">U.S. </w:t>
      </w:r>
      <w:r>
        <w:rPr>
          <w:i/>
        </w:rPr>
        <w:t>Defined Contribution</w:t>
      </w:r>
      <w:r w:rsidRPr="002664C4">
        <w:rPr>
          <w:i/>
        </w:rPr>
        <w:t xml:space="preserve"> 2019: </w:t>
      </w:r>
      <w:r>
        <w:rPr>
          <w:i/>
        </w:rPr>
        <w:t xml:space="preserve">Opportunities for </w:t>
      </w:r>
      <w:r w:rsidRPr="002664C4">
        <w:rPr>
          <w:i/>
        </w:rPr>
        <w:t>D</w:t>
      </w:r>
      <w:r>
        <w:rPr>
          <w:i/>
        </w:rPr>
        <w:t>ifferentiation in a Competitive Landscape</w:t>
      </w:r>
      <w:r>
        <w:t>, The Cerulli Report (2019).</w:t>
      </w:r>
    </w:p>
  </w:footnote>
  <w:footnote w:id="38">
    <w:p w14:paraId="152BB7B6" w14:textId="4D15FD44" w:rsidR="004C3F34" w:rsidRDefault="004C3F34" w:rsidP="00773986">
      <w:pPr>
        <w:pStyle w:val="FootnoteText"/>
      </w:pPr>
      <w:r>
        <w:rPr>
          <w:rStyle w:val="FootnoteReference"/>
        </w:rPr>
        <w:footnoteRef/>
      </w:r>
      <w:r>
        <w:t xml:space="preserve"> Burden hours are calculated by multiplying the estimated number of rollovers affected by this exemption by the estimated hours needed to document each recommendation.</w:t>
      </w:r>
    </w:p>
  </w:footnote>
  <w:footnote w:id="39">
    <w:p w14:paraId="39EDF944" w14:textId="77777777" w:rsidR="004C3F34" w:rsidRPr="00225F5D" w:rsidRDefault="004C3F34" w:rsidP="00C04874">
      <w:pPr>
        <w:pStyle w:val="Default"/>
      </w:pPr>
      <w:r w:rsidRPr="00E5427A">
        <w:rPr>
          <w:rStyle w:val="FootnoteReference"/>
          <w:color w:val="auto"/>
          <w:sz w:val="20"/>
          <w:szCs w:val="20"/>
        </w:rPr>
        <w:footnoteRef/>
      </w:r>
      <w:r w:rsidRPr="00E5427A">
        <w:rPr>
          <w:color w:val="auto"/>
          <w:sz w:val="20"/>
          <w:szCs w:val="20"/>
        </w:rPr>
        <w:t xml:space="preserve"> </w:t>
      </w:r>
      <w:r w:rsidRPr="00E5427A">
        <w:rPr>
          <w:rFonts w:eastAsia="Times New Roman"/>
          <w:iCs/>
          <w:color w:val="auto"/>
          <w:sz w:val="20"/>
          <w:szCs w:val="20"/>
        </w:rPr>
        <w:t>The Department’s 2018 hourly wage rate estimates include wages, benefits, and overhead, and are calculated as follows: mean wage data from the 2018 National Occupational Employment Survey (</w:t>
      </w:r>
      <w:r w:rsidRPr="00E5427A">
        <w:rPr>
          <w:color w:val="auto"/>
          <w:sz w:val="20"/>
          <w:szCs w:val="20"/>
        </w:rPr>
        <w:t xml:space="preserve">May 2018, </w:t>
      </w:r>
      <w:hyperlink r:id="rId19" w:history="1">
        <w:r w:rsidRPr="005C5736">
          <w:rPr>
            <w:rStyle w:val="Hyperlink"/>
            <w:sz w:val="20"/>
            <w:szCs w:val="20"/>
          </w:rPr>
          <w:t>https://www.bls.gov/news.release/archives/ocwage_03292019.pdf</w:t>
        </w:r>
      </w:hyperlink>
      <w:r>
        <w:rPr>
          <w:color w:val="0000FF"/>
          <w:sz w:val="20"/>
          <w:szCs w:val="20"/>
        </w:rPr>
        <w:t>)</w:t>
      </w:r>
      <w:r w:rsidRPr="00E5427A">
        <w:rPr>
          <w:color w:val="auto"/>
          <w:sz w:val="20"/>
          <w:szCs w:val="20"/>
        </w:rPr>
        <w:t>,</w:t>
      </w:r>
      <w:r>
        <w:rPr>
          <w:color w:val="0000FF"/>
          <w:sz w:val="20"/>
          <w:szCs w:val="20"/>
        </w:rPr>
        <w:t xml:space="preserve"> </w:t>
      </w:r>
      <w:r w:rsidRPr="00E5427A">
        <w:rPr>
          <w:color w:val="auto"/>
          <w:sz w:val="20"/>
          <w:szCs w:val="20"/>
        </w:rPr>
        <w:t xml:space="preserve">wages as a percent of total </w:t>
      </w:r>
      <w:r w:rsidRPr="00E5427A">
        <w:rPr>
          <w:rFonts w:eastAsia="Times New Roman"/>
          <w:iCs/>
          <w:color w:val="auto"/>
          <w:sz w:val="20"/>
          <w:szCs w:val="20"/>
        </w:rPr>
        <w:t>compensation from the Employer Cost for Employee Compensation (</w:t>
      </w:r>
      <w:r w:rsidRPr="00E5427A">
        <w:rPr>
          <w:color w:val="auto"/>
          <w:sz w:val="20"/>
          <w:szCs w:val="20"/>
        </w:rPr>
        <w:t xml:space="preserve">December 2018, </w:t>
      </w:r>
      <w:hyperlink r:id="rId20" w:history="1">
        <w:r w:rsidRPr="00FB4B19">
          <w:rPr>
            <w:rStyle w:val="Hyperlink"/>
            <w:sz w:val="20"/>
            <w:szCs w:val="20"/>
          </w:rPr>
          <w:t>https://www.bls.gov/news.release/archives/ecec_03192019.pdf</w:t>
        </w:r>
      </w:hyperlink>
      <w:r w:rsidRPr="0018249C">
        <w:rPr>
          <w:rFonts w:eastAsia="Times New Roman"/>
          <w:iCs/>
          <w:color w:val="333333"/>
          <w:sz w:val="20"/>
          <w:szCs w:val="20"/>
        </w:rPr>
        <w:t>)</w:t>
      </w:r>
      <w:r>
        <w:rPr>
          <w:rFonts w:eastAsia="Times New Roman"/>
          <w:iCs/>
          <w:color w:val="auto"/>
          <w:sz w:val="20"/>
          <w:szCs w:val="20"/>
        </w:rPr>
        <w:t>,</w:t>
      </w:r>
      <w:r w:rsidRPr="0018249C">
        <w:rPr>
          <w:rFonts w:eastAsia="Times New Roman"/>
          <w:iCs/>
          <w:color w:val="333333"/>
          <w:sz w:val="20"/>
          <w:szCs w:val="20"/>
        </w:rPr>
        <w:t xml:space="preserve"> </w:t>
      </w:r>
      <w:r>
        <w:rPr>
          <w:rFonts w:eastAsia="Times New Roman"/>
          <w:iCs/>
          <w:color w:val="333333"/>
          <w:sz w:val="20"/>
          <w:szCs w:val="20"/>
        </w:rPr>
        <w:t xml:space="preserve">and </w:t>
      </w:r>
      <w:r w:rsidRPr="00E5427A">
        <w:rPr>
          <w:rFonts w:eastAsia="Times New Roman"/>
          <w:iCs/>
          <w:color w:val="auto"/>
          <w:sz w:val="20"/>
          <w:szCs w:val="20"/>
        </w:rPr>
        <w:t xml:space="preserve">overhead cost corresponding to each 2-digit NAICS code from the Annual Survey of Manufacturers (December 2017, </w:t>
      </w:r>
      <w:hyperlink r:id="rId21" w:history="1">
        <w:r w:rsidRPr="00FB4B19">
          <w:rPr>
            <w:rStyle w:val="Hyperlink"/>
            <w:sz w:val="20"/>
            <w:szCs w:val="20"/>
          </w:rPr>
          <w:t>https://www.census.gov/data/Tables/2016/econ/asm/2016-asm.html</w:t>
        </w:r>
      </w:hyperlink>
      <w:r w:rsidRPr="00E5427A">
        <w:rPr>
          <w:rFonts w:eastAsia="Times New Roman"/>
          <w:iCs/>
          <w:color w:val="auto"/>
          <w:sz w:val="20"/>
          <w:szCs w:val="20"/>
        </w:rPr>
        <w:t>) multiplied by the percent of each occupation within that NAICS industry code based on a matrix of detailed occupation employment for each NAICS industry from the BLS Office of Employment projections (2016,</w:t>
      </w:r>
      <w:r>
        <w:rPr>
          <w:rFonts w:eastAsia="Times New Roman"/>
          <w:iCs/>
          <w:color w:val="333333"/>
          <w:sz w:val="20"/>
          <w:szCs w:val="20"/>
        </w:rPr>
        <w:t xml:space="preserve"> </w:t>
      </w:r>
      <w:hyperlink r:id="rId22" w:history="1">
        <w:r w:rsidRPr="00FB4B19">
          <w:rPr>
            <w:rStyle w:val="Hyperlink"/>
            <w:sz w:val="20"/>
            <w:szCs w:val="20"/>
          </w:rPr>
          <w:t>https://www.bls.gov/emp/data/occupational-data.htm</w:t>
        </w:r>
      </w:hyperlink>
      <w:r>
        <w:rPr>
          <w:rFonts w:eastAsia="Times New Roman"/>
          <w:iCs/>
          <w:color w:val="333333"/>
          <w:sz w:val="20"/>
          <w:szCs w:val="20"/>
        </w:rPr>
        <w:t>).</w:t>
      </w:r>
    </w:p>
  </w:footnote>
  <w:footnote w:id="40">
    <w:p w14:paraId="493388AC" w14:textId="77777777" w:rsidR="004C3F34" w:rsidRDefault="004C3F34" w:rsidP="00773986">
      <w:pPr>
        <w:pStyle w:val="FootnoteText"/>
      </w:pPr>
      <w:r>
        <w:rPr>
          <w:rStyle w:val="FootnoteReference"/>
        </w:rPr>
        <w:footnoteRef/>
      </w:r>
      <w:r w:rsidRPr="00FF2C01">
        <w:t xml:space="preserve">The hourly cost burden is calculated as the burden hour of each firm associated with </w:t>
      </w:r>
      <w:r>
        <w:t>meeting the rollover documentation requirement</w:t>
      </w:r>
      <w:r w:rsidRPr="00FF2C01">
        <w:t xml:space="preserve"> multiplied by the hourly wage of a </w:t>
      </w:r>
      <w:r>
        <w:t>personal financial advisor</w:t>
      </w:r>
      <w:r w:rsidRPr="00FF2C01">
        <w:t>.</w:t>
      </w:r>
      <w:r>
        <w:t xml:space="preserve"> </w:t>
      </w:r>
    </w:p>
  </w:footnote>
  <w:footnote w:id="41">
    <w:p w14:paraId="17FD5289" w14:textId="77777777" w:rsidR="004C3F34" w:rsidRPr="00511B85" w:rsidRDefault="004C3F34" w:rsidP="00E84E94">
      <w:pPr>
        <w:pStyle w:val="FootnoteText"/>
      </w:pPr>
      <w:r w:rsidRPr="00511B85">
        <w:rPr>
          <w:rStyle w:val="FootnoteReference"/>
        </w:rPr>
        <w:footnoteRef/>
      </w:r>
      <w:r w:rsidRPr="00511B85">
        <w:t xml:space="preserve"> Rule 3110.</w:t>
      </w:r>
      <w:r>
        <w:t xml:space="preserve"> Supervision, FINRA Manual, </w:t>
      </w:r>
      <w:hyperlink r:id="rId23" w:history="1">
        <w:r w:rsidRPr="00944062">
          <w:rPr>
            <w:rStyle w:val="Hyperlink"/>
          </w:rPr>
          <w:t>www.finra.org/rules-guidance/rulebooks/finra-rules/3110</w:t>
        </w:r>
      </w:hyperlink>
      <w:r>
        <w:t>.</w:t>
      </w:r>
    </w:p>
  </w:footnote>
  <w:footnote w:id="42">
    <w:p w14:paraId="6C540F95" w14:textId="77777777" w:rsidR="004C3F34" w:rsidRPr="00511B85" w:rsidRDefault="004C3F34" w:rsidP="00E84E94">
      <w:pPr>
        <w:pStyle w:val="FootnoteText"/>
      </w:pPr>
      <w:r w:rsidRPr="00511B85">
        <w:rPr>
          <w:rStyle w:val="FootnoteReference"/>
        </w:rPr>
        <w:footnoteRef/>
      </w:r>
      <w:r w:rsidRPr="00511B85">
        <w:t xml:space="preserve"> Rule 3120</w:t>
      </w:r>
      <w:r>
        <w:t xml:space="preserve">. Supervisory Control System, FINRA Manual, </w:t>
      </w:r>
      <w:hyperlink r:id="rId24" w:history="1">
        <w:r w:rsidRPr="00944062">
          <w:rPr>
            <w:rStyle w:val="Hyperlink"/>
          </w:rPr>
          <w:t>www.finra.org/rules-guidance/rulebooks/finra-rules/3120</w:t>
        </w:r>
      </w:hyperlink>
      <w:r>
        <w:t>.</w:t>
      </w:r>
    </w:p>
  </w:footnote>
  <w:footnote w:id="43">
    <w:p w14:paraId="6FE6C1B6" w14:textId="77777777" w:rsidR="004C3F34" w:rsidRPr="00511B85" w:rsidRDefault="004C3F34" w:rsidP="00E84E94">
      <w:pPr>
        <w:pStyle w:val="FootnoteText"/>
      </w:pPr>
      <w:r w:rsidRPr="00511B85">
        <w:rPr>
          <w:rStyle w:val="FootnoteReference"/>
        </w:rPr>
        <w:footnoteRef/>
      </w:r>
      <w:r w:rsidRPr="00511B85">
        <w:t xml:space="preserve"> Rule 3130.</w:t>
      </w:r>
      <w:r>
        <w:t xml:space="preserve"> Annual Certification of Compliance and Supervisory Processes, </w:t>
      </w:r>
      <w:r w:rsidRPr="00511B85">
        <w:t xml:space="preserve">FINRA </w:t>
      </w:r>
      <w:r>
        <w:t xml:space="preserve">Manual, </w:t>
      </w:r>
      <w:hyperlink r:id="rId25" w:history="1">
        <w:r w:rsidRPr="003D680F">
          <w:rPr>
            <w:rStyle w:val="Hyperlink"/>
          </w:rPr>
          <w:t>www.finra.org/rules-guidance/rulebooks/finra-rules/3130</w:t>
        </w:r>
      </w:hyperlink>
      <w:r>
        <w:t>.</w:t>
      </w:r>
    </w:p>
  </w:footnote>
  <w:footnote w:id="44">
    <w:p w14:paraId="02A24341" w14:textId="77777777" w:rsidR="004C3F34" w:rsidRPr="00511B85" w:rsidRDefault="004C3F34" w:rsidP="00E84E94">
      <w:pPr>
        <w:pStyle w:val="FootnoteText"/>
      </w:pPr>
      <w:r w:rsidRPr="00511B85">
        <w:rPr>
          <w:rStyle w:val="FootnoteReference"/>
        </w:rPr>
        <w:footnoteRef/>
      </w:r>
      <w:r w:rsidRPr="00511B85">
        <w:t xml:space="preserve"> </w:t>
      </w:r>
      <w:r w:rsidRPr="000E2B0A">
        <w:rPr>
          <w:i/>
        </w:rPr>
        <w:t>2018 Investment Management Compliance Testing Survey</w:t>
      </w:r>
      <w:r w:rsidRPr="0072727C">
        <w:t>,</w:t>
      </w:r>
      <w:r w:rsidRPr="00511B85">
        <w:t xml:space="preserve"> Investment Adviser Association </w:t>
      </w:r>
      <w:r>
        <w:t>(</w:t>
      </w:r>
      <w:r w:rsidRPr="00511B85">
        <w:t>Jun</w:t>
      </w:r>
      <w:r>
        <w:t>.</w:t>
      </w:r>
      <w:r w:rsidRPr="00511B85">
        <w:t xml:space="preserve"> 14, 2018</w:t>
      </w:r>
      <w:r>
        <w:t xml:space="preserve">), </w:t>
      </w:r>
      <w:hyperlink r:id="rId26" w:history="1">
        <w:r w:rsidRPr="00514BFA">
          <w:rPr>
            <w:rStyle w:val="Hyperlink"/>
          </w:rPr>
          <w:t>https://higherlogicdownload.s3.amazonaws.com/INVESTMENTADVISER/aa03843e-7981-46b2-aa49-c572f2ddb7e8/UploadedImages/publications/2018-Investment-Management_Compliance-Testing-Survey-Results-Webcast_pptx.pdf</w:t>
        </w:r>
      </w:hyperlink>
      <w:r w:rsidRPr="00511B85">
        <w:t>.</w:t>
      </w:r>
    </w:p>
  </w:footnote>
  <w:footnote w:id="45">
    <w:p w14:paraId="25FAC9E4" w14:textId="20ABFF25" w:rsidR="004C3F34" w:rsidRPr="00D17271" w:rsidRDefault="004C3F34" w:rsidP="00E84E94">
      <w:pPr>
        <w:pStyle w:val="FootnoteText"/>
      </w:pPr>
      <w:r w:rsidRPr="00D17271">
        <w:rPr>
          <w:rStyle w:val="FootnoteReference"/>
        </w:rPr>
        <w:footnoteRef/>
      </w:r>
      <w:r>
        <w:t xml:space="preserve"> </w:t>
      </w:r>
      <w:r w:rsidRPr="00D17271">
        <w:t xml:space="preserve">The SEC estimated that there were 12,940 SEC-registered </w:t>
      </w:r>
      <w:r>
        <w:t>IAs</w:t>
      </w:r>
      <w:r w:rsidRPr="00D17271">
        <w:t xml:space="preserve"> </w:t>
      </w:r>
      <w:r>
        <w:t>that</w:t>
      </w:r>
      <w:r w:rsidRPr="00D17271">
        <w:t xml:space="preserve"> were not dually registered as </w:t>
      </w:r>
      <w:r>
        <w:t>BD</w:t>
      </w:r>
      <w:r w:rsidRPr="00D17271">
        <w:t xml:space="preserve">s as of December 2018 </w:t>
      </w:r>
      <w:r>
        <w:t>(</w:t>
      </w:r>
      <w:r>
        <w:rPr>
          <w:i/>
        </w:rPr>
        <w:t xml:space="preserve">see </w:t>
      </w:r>
      <w:r w:rsidRPr="00D17271">
        <w:t>Form CRS Relationship Summary</w:t>
      </w:r>
      <w:r>
        <w:t xml:space="preserve">, </w:t>
      </w:r>
      <w:r>
        <w:rPr>
          <w:i/>
        </w:rPr>
        <w:t xml:space="preserve">supra </w:t>
      </w:r>
      <w:r>
        <w:t>note 11)</w:t>
      </w:r>
      <w:r w:rsidRPr="00D17271">
        <w:t xml:space="preserve">.  The IAA Compliance 2019 Survey estimates that 52 percent of </w:t>
      </w:r>
      <w:r>
        <w:t>IAs</w:t>
      </w:r>
      <w:r w:rsidRPr="00D17271">
        <w:t xml:space="preserve"> have a pension consulting business.  </w:t>
      </w:r>
      <w:r>
        <w:t xml:space="preserve">The IAA Investment Management Compliance Testing Survey estimates that 92 percent of SEC-registered IAs provide an annual compliance program review report to senior management.  </w:t>
      </w:r>
      <w:r w:rsidRPr="00D17271">
        <w:t xml:space="preserve">The estimated number of </w:t>
      </w:r>
      <w:r>
        <w:t>IA</w:t>
      </w:r>
      <w:r w:rsidRPr="00D17271">
        <w:t xml:space="preserve">s affected by this exemption </w:t>
      </w:r>
      <w:r>
        <w:t xml:space="preserve">who do not meet the retrospective review requirement </w:t>
      </w:r>
      <w:r w:rsidRPr="00D17271">
        <w:t xml:space="preserve">is the product of the SEC’s estimate of SEC-registered </w:t>
      </w:r>
      <w:r>
        <w:t>IAs in 2018, the</w:t>
      </w:r>
      <w:r w:rsidRPr="00D17271">
        <w:t xml:space="preserve"> IAA’s estimate of the percent of </w:t>
      </w:r>
      <w:r>
        <w:t>IAs</w:t>
      </w:r>
      <w:r w:rsidRPr="00D17271">
        <w:t xml:space="preserve"> with a pension consulting business</w:t>
      </w:r>
      <w:r>
        <w:t>, and IAA’s estimate of the percent of IA’s who do not provide an annual compliance program review report</w:t>
      </w:r>
      <w:r w:rsidRPr="00D17271">
        <w:t xml:space="preserve">. </w:t>
      </w:r>
      <w:r>
        <w:t xml:space="preserve"> </w:t>
      </w:r>
    </w:p>
  </w:footnote>
  <w:footnote w:id="46">
    <w:p w14:paraId="211FE8EE" w14:textId="0167EE82" w:rsidR="004C3F34" w:rsidRPr="00D17271" w:rsidRDefault="004C3F34" w:rsidP="00E84E94">
      <w:pPr>
        <w:pStyle w:val="FootnoteText"/>
      </w:pPr>
      <w:r w:rsidRPr="00D17271">
        <w:rPr>
          <w:rStyle w:val="FootnoteReference"/>
        </w:rPr>
        <w:footnoteRef/>
      </w:r>
      <w:r w:rsidRPr="00D17271">
        <w:t xml:space="preserve"> The SEC estimated that there were 16,939 state-registered </w:t>
      </w:r>
      <w:r>
        <w:t>IAs</w:t>
      </w:r>
      <w:r w:rsidRPr="00D17271">
        <w:t xml:space="preserve"> </w:t>
      </w:r>
      <w:r>
        <w:t>that</w:t>
      </w:r>
      <w:r w:rsidRPr="00D17271">
        <w:t xml:space="preserve"> were not dually registered as </w:t>
      </w:r>
      <w:r>
        <w:t>BD</w:t>
      </w:r>
      <w:r w:rsidRPr="00D17271">
        <w:t xml:space="preserve">s as of December 2018 </w:t>
      </w:r>
      <w:r>
        <w:t>(</w:t>
      </w:r>
      <w:r>
        <w:rPr>
          <w:i/>
        </w:rPr>
        <w:t xml:space="preserve">see </w:t>
      </w:r>
      <w:r w:rsidRPr="00D17271">
        <w:t>Form CRS Relationship Summary</w:t>
      </w:r>
      <w:r>
        <w:t xml:space="preserve">, </w:t>
      </w:r>
      <w:r>
        <w:rPr>
          <w:i/>
        </w:rPr>
        <w:t xml:space="preserve">supra </w:t>
      </w:r>
      <w:r>
        <w:t>note 11)</w:t>
      </w:r>
      <w:r w:rsidRPr="00D17271">
        <w:t xml:space="preserve">.  The NASAA 2019 estimates that 16 percent of state-registered </w:t>
      </w:r>
      <w:r>
        <w:t>IAs</w:t>
      </w:r>
      <w:r w:rsidRPr="00D17271">
        <w:t xml:space="preserve"> have a pension consulting business.  </w:t>
      </w:r>
      <w:r>
        <w:t xml:space="preserve">The IAA Investment Management Compliance Testing Survey estimates that 92 percent of SEC-registered IAs provide an annual compliance program review report to senior management.  The Department assumes state-registered IAs exhibit similar retrospective review patterns as SEC-registered IAs.  </w:t>
      </w:r>
      <w:r w:rsidRPr="00D17271">
        <w:t xml:space="preserve">The estimated number of </w:t>
      </w:r>
      <w:r>
        <w:t>state-registered IA</w:t>
      </w:r>
      <w:r w:rsidRPr="00D17271">
        <w:t xml:space="preserve">s affected by this exemption is the product of the SEC’s estimate of state-registered </w:t>
      </w:r>
      <w:r>
        <w:t>IAs in 2018, NAS</w:t>
      </w:r>
      <w:r w:rsidRPr="00D17271">
        <w:t xml:space="preserve">AA’s estimate of the percent of state-registered </w:t>
      </w:r>
      <w:r>
        <w:t>IAs</w:t>
      </w:r>
      <w:r w:rsidRPr="00D17271">
        <w:t xml:space="preserve"> with a pension consulting business</w:t>
      </w:r>
      <w:r>
        <w:t>, and IAA’s estimate of the percent of IA’s who do not provide an annual compliance program review report</w:t>
      </w:r>
      <w:r w:rsidRPr="00D17271">
        <w:t xml:space="preserve">. </w:t>
      </w:r>
      <w:r>
        <w:t xml:space="preserve"> </w:t>
      </w:r>
      <w:r w:rsidRPr="00D17271">
        <w:t>.</w:t>
      </w:r>
    </w:p>
  </w:footnote>
  <w:footnote w:id="47">
    <w:p w14:paraId="1F0D2B75" w14:textId="626EF8F8" w:rsidR="004C3F34" w:rsidRPr="006E6589" w:rsidRDefault="004C3F34" w:rsidP="00D0408C">
      <w:pPr>
        <w:pStyle w:val="FootnoteText"/>
      </w:pPr>
      <w:r w:rsidRPr="00D17271">
        <w:rPr>
          <w:rStyle w:val="FootnoteReference"/>
        </w:rPr>
        <w:footnoteRef/>
      </w:r>
      <w:r>
        <w:t xml:space="preserve"> </w:t>
      </w:r>
      <w:r w:rsidRPr="00D17271">
        <w:t>NAIC estimates that the number of insurers directly writing</w:t>
      </w:r>
      <w:r>
        <w:t xml:space="preserve"> annuities as of 2018 is 386; the Department estimated five percent of these insurers would incur costs to meet the requirement.</w:t>
      </w:r>
      <w:r w:rsidRPr="006E6589">
        <w:t xml:space="preserve"> </w:t>
      </w:r>
      <w:r w:rsidRPr="00FF4ACD">
        <w:t>Many insur</w:t>
      </w:r>
      <w:r>
        <w:t>ance companies</w:t>
      </w:r>
      <w:r w:rsidRPr="00FF4ACD">
        <w:t xml:space="preserve"> are already subject to similar standards</w:t>
      </w:r>
      <w:r>
        <w:t>.</w:t>
      </w:r>
      <w:r w:rsidRPr="0051655E">
        <w:t xml:space="preserve"> </w:t>
      </w:r>
      <w:r w:rsidRPr="00FF4ACD">
        <w:t>For instance, the NAIC’s Model Regulation contemplates that insur</w:t>
      </w:r>
      <w:r>
        <w:t>ance companies</w:t>
      </w:r>
      <w:r w:rsidRPr="00FF4ACD">
        <w:t xml:space="preserve"> establish a supervision system that is reasonably designed to comply with the Model Regulation and annually provide senior management with a written report that details findings and recommendations on the effectiveness of the supervision system.</w:t>
      </w:r>
    </w:p>
  </w:footnote>
  <w:footnote w:id="48">
    <w:p w14:paraId="5351A27C" w14:textId="77777777" w:rsidR="004C3F34" w:rsidRDefault="004C3F34" w:rsidP="00B52A00">
      <w:pPr>
        <w:pStyle w:val="FootnoteText"/>
      </w:pPr>
      <w:r w:rsidRPr="00511B85">
        <w:rPr>
          <w:rStyle w:val="FootnoteReference"/>
        </w:rPr>
        <w:footnoteRef/>
      </w:r>
      <w:r w:rsidRPr="00511B85">
        <w:t xml:space="preserve"> </w:t>
      </w:r>
      <w:r w:rsidRPr="000E2B0A">
        <w:rPr>
          <w:i/>
        </w:rPr>
        <w:t>Suitability in Annuity Transactions Model Regulation</w:t>
      </w:r>
      <w:r>
        <w:t xml:space="preserve">, section 6 C(2)(i), </w:t>
      </w:r>
      <w:r w:rsidRPr="00ED7D39">
        <w:t>N</w:t>
      </w:r>
      <w:r>
        <w:t xml:space="preserve">ational </w:t>
      </w:r>
      <w:r w:rsidRPr="00ED7D39">
        <w:t>A</w:t>
      </w:r>
      <w:r>
        <w:t xml:space="preserve">ssociation of </w:t>
      </w:r>
      <w:r w:rsidRPr="00ED7D39">
        <w:t>I</w:t>
      </w:r>
      <w:r>
        <w:t xml:space="preserve">nsurance </w:t>
      </w:r>
      <w:r w:rsidRPr="00ED7D39">
        <w:t>C</w:t>
      </w:r>
      <w:r>
        <w:t>ommissioners</w:t>
      </w:r>
      <w:r w:rsidRPr="00ED7D39">
        <w:t xml:space="preserve"> </w:t>
      </w:r>
      <w:r>
        <w:t xml:space="preserve">(spring 2020), </w:t>
      </w:r>
      <w:hyperlink r:id="rId27" w:history="1">
        <w:r w:rsidRPr="00ED7D39">
          <w:rPr>
            <w:rStyle w:val="Hyperlink"/>
          </w:rPr>
          <w:t>www.naic.org/store/free/MDL-275.pdf</w:t>
        </w:r>
      </w:hyperlink>
      <w:r>
        <w:t xml:space="preserve">.  (The same requirement is found in </w:t>
      </w:r>
      <w:r w:rsidRPr="00511B85">
        <w:t xml:space="preserve">the </w:t>
      </w:r>
      <w:r>
        <w:t xml:space="preserve">previous </w:t>
      </w:r>
      <w:r w:rsidRPr="00511B85">
        <w:t xml:space="preserve">NAIC Suitability in Annuity Transactions Model Regulation </w:t>
      </w:r>
      <w:r>
        <w:t>(2010), s</w:t>
      </w:r>
      <w:r w:rsidRPr="00511B85">
        <w:t>ection</w:t>
      </w:r>
      <w:r>
        <w:t xml:space="preserve"> 6</w:t>
      </w:r>
      <w:r w:rsidRPr="00511B85">
        <w:t xml:space="preserve"> F(1)(f).</w:t>
      </w:r>
      <w:r>
        <w:t xml:space="preserve">)   </w:t>
      </w:r>
    </w:p>
  </w:footnote>
  <w:footnote w:id="49">
    <w:p w14:paraId="7DD362CF" w14:textId="2438E2B5" w:rsidR="004C3F34" w:rsidRPr="00FF2C01" w:rsidRDefault="004C3F34" w:rsidP="00B52A00">
      <w:pPr>
        <w:pStyle w:val="FootnoteText"/>
      </w:pPr>
      <w:r w:rsidRPr="00D17271">
        <w:rPr>
          <w:rStyle w:val="FootnoteReference"/>
        </w:rPr>
        <w:footnoteRef/>
      </w:r>
      <w:r w:rsidRPr="00D17271">
        <w:t xml:space="preserve"> Burden hours are calculated by multiplying the estimated</w:t>
      </w:r>
      <w:r>
        <w:t xml:space="preserve"> number of each firm type by the estimated time it would take each firm to review the report and certify the exemption.</w:t>
      </w:r>
    </w:p>
  </w:footnote>
  <w:footnote w:id="50">
    <w:p w14:paraId="31829164" w14:textId="77777777" w:rsidR="004C3F34" w:rsidRPr="00FF2C01" w:rsidRDefault="004C3F34" w:rsidP="00B52A00">
      <w:pPr>
        <w:pStyle w:val="FootnoteText"/>
      </w:pPr>
      <w:r w:rsidRPr="00FF2C01">
        <w:rPr>
          <w:rStyle w:val="FootnoteReference"/>
        </w:rPr>
        <w:footnoteRef/>
      </w:r>
      <w:r w:rsidRPr="00FF2C01">
        <w:t xml:space="preserve"> The hourly cost burden is calculated </w:t>
      </w:r>
      <w:r>
        <w:t>by multiplying</w:t>
      </w:r>
      <w:r w:rsidRPr="00FF2C01">
        <w:t xml:space="preserve"> the burden hour</w:t>
      </w:r>
      <w:r>
        <w:t>s</w:t>
      </w:r>
      <w:r w:rsidRPr="00FF2C01">
        <w:t xml:space="preserve"> </w:t>
      </w:r>
      <w:r>
        <w:t>for</w:t>
      </w:r>
      <w:r w:rsidRPr="00FF2C01">
        <w:t xml:space="preserve"> </w:t>
      </w:r>
      <w:r>
        <w:t>reviewing the report and certifying the exemption requirement</w:t>
      </w:r>
      <w:r w:rsidRPr="00FF2C01">
        <w:t xml:space="preserve"> by the hourly wage of a </w:t>
      </w:r>
      <w:r>
        <w:t>legal</w:t>
      </w:r>
      <w:r w:rsidRPr="00FF2C01">
        <w:t xml:space="preserve"> professional.</w:t>
      </w:r>
    </w:p>
  </w:footnote>
  <w:footnote w:id="51">
    <w:p w14:paraId="1CBD1D5F" w14:textId="5FA1F62A" w:rsidR="004C3F34" w:rsidRDefault="004C3F34">
      <w:pPr>
        <w:pStyle w:val="FootnoteText"/>
      </w:pPr>
      <w:r>
        <w:rPr>
          <w:rStyle w:val="FootnoteReference"/>
        </w:rPr>
        <w:footnoteRef/>
      </w:r>
      <w:r>
        <w:t xml:space="preserve"> The Department estimates that 11,782 financial institutions would be affected by the exemption, including 1,957 BDs.  However, as BDs are already held to largely similar standards under FINRA, the Department assumes only one percent of the affected BDs would need to take additional action.  All of the other affected entities would be expected to need to take additional action to meet the requirement.</w:t>
      </w:r>
    </w:p>
  </w:footnote>
  <w:footnote w:id="52">
    <w:p w14:paraId="79107C45" w14:textId="2461F549" w:rsidR="004C3F34" w:rsidRPr="00FF2C01" w:rsidRDefault="004C3F34" w:rsidP="00B52A00">
      <w:pPr>
        <w:pStyle w:val="FootnoteText"/>
      </w:pPr>
      <w:r w:rsidRPr="00D17271">
        <w:rPr>
          <w:rStyle w:val="FootnoteReference"/>
        </w:rPr>
        <w:footnoteRef/>
      </w:r>
      <w:r w:rsidRPr="00D17271">
        <w:t xml:space="preserve"> Burden hours are calculated by multiplying the estimated</w:t>
      </w:r>
      <w:r>
        <w:t xml:space="preserve"> number of each firm type by the estimated time it takes each firm to review the report and certify the exemption.</w:t>
      </w:r>
    </w:p>
  </w:footnote>
  <w:footnote w:id="53">
    <w:p w14:paraId="754A5062" w14:textId="1D1AEA39" w:rsidR="004C3F34" w:rsidRDefault="004C3F34">
      <w:pPr>
        <w:pStyle w:val="FootnoteText"/>
      </w:pPr>
      <w:r>
        <w:rPr>
          <w:rStyle w:val="FootnoteReference"/>
        </w:rPr>
        <w:footnoteRef/>
      </w:r>
      <w:r>
        <w:t xml:space="preserve"> </w:t>
      </w:r>
      <w:r w:rsidRPr="00D17271">
        <w:t>Burden hours are calculated by multiplying the estimated</w:t>
      </w:r>
      <w:r>
        <w:t xml:space="preserve"> number of each firm type by the estimated time it takes each firm to make modifications or additions to the report. </w:t>
      </w:r>
    </w:p>
  </w:footnote>
  <w:footnote w:id="54">
    <w:p w14:paraId="2C44F2F5" w14:textId="19EBC893" w:rsidR="004C3F34" w:rsidRPr="00FF2C01" w:rsidRDefault="004C3F34" w:rsidP="00D50912">
      <w:pPr>
        <w:pStyle w:val="FootnoteText"/>
      </w:pPr>
      <w:r w:rsidRPr="00FF2C01">
        <w:rPr>
          <w:rStyle w:val="FootnoteReference"/>
        </w:rPr>
        <w:footnoteRef/>
      </w:r>
      <w:r w:rsidRPr="00FF2C01">
        <w:t xml:space="preserve"> The hourly cost burden is calculated </w:t>
      </w:r>
      <w:r>
        <w:t>by multiplying</w:t>
      </w:r>
      <w:r w:rsidRPr="00FF2C01">
        <w:t xml:space="preserve"> the burden hour</w:t>
      </w:r>
      <w:r>
        <w:t>s</w:t>
      </w:r>
      <w:r w:rsidRPr="00FF2C01">
        <w:t xml:space="preserve"> </w:t>
      </w:r>
      <w:r>
        <w:t>for</w:t>
      </w:r>
      <w:r w:rsidRPr="00FF2C01">
        <w:t xml:space="preserve"> </w:t>
      </w:r>
      <w:r>
        <w:t xml:space="preserve">making modifications or additions to the report </w:t>
      </w:r>
      <w:r w:rsidRPr="00FF2C01">
        <w:t xml:space="preserve">by the hourly wage of a </w:t>
      </w:r>
      <w:r>
        <w:t>legal</w:t>
      </w:r>
      <w:r w:rsidRPr="00FF2C01">
        <w:t xml:space="preserve"> professional.</w:t>
      </w:r>
    </w:p>
  </w:footnote>
  <w:footnote w:id="55">
    <w:p w14:paraId="359E584B" w14:textId="68A07C12" w:rsidR="004C3F34" w:rsidRPr="00BE300C" w:rsidRDefault="004C3F34" w:rsidP="004707F3">
      <w:pPr>
        <w:pStyle w:val="FootnoteText"/>
      </w:pPr>
      <w:r w:rsidRPr="00BE300C">
        <w:rPr>
          <w:rStyle w:val="FootnoteReference"/>
        </w:rPr>
        <w:footnoteRef/>
      </w:r>
      <w:r w:rsidRPr="00BE300C">
        <w:t xml:space="preserve"> </w:t>
      </w:r>
      <w:r w:rsidRPr="00BB56FF">
        <w:t>The Department estimates the number of affected plans and IRAs be approximately equal to 49 percent of rollovers from defined contribution plans to IRAs.  Cerulli has estimated the number of accounts in defined contribution plans rolled into IRAs to be 3,593,592 (</w:t>
      </w:r>
      <w:r w:rsidRPr="00BB56FF">
        <w:rPr>
          <w:i/>
        </w:rPr>
        <w:t>see U.S. Retirement-End Investor 2020: Helping Participants Navigating Uncertainty</w:t>
      </w:r>
      <w:r w:rsidRPr="00BB56FF">
        <w:t xml:space="preserve">, </w:t>
      </w:r>
      <w:r>
        <w:rPr>
          <w:i/>
        </w:rPr>
        <w:t xml:space="preserve">supra </w:t>
      </w:r>
      <w:r>
        <w:t>note 24)</w:t>
      </w:r>
      <w:r w:rsidRPr="00BE300C">
        <w:t>.</w:t>
      </w:r>
    </w:p>
  </w:footnote>
  <w:footnote w:id="56">
    <w:p w14:paraId="16AE069F" w14:textId="1F343BC4" w:rsidR="004C3F34" w:rsidRDefault="004C3F34" w:rsidP="004707F3">
      <w:pPr>
        <w:pStyle w:val="FootnoteText"/>
      </w:pPr>
      <w:r w:rsidRPr="00141308">
        <w:rPr>
          <w:rStyle w:val="FootnoteReference"/>
        </w:rPr>
        <w:footnoteRef/>
      </w:r>
      <w:r>
        <w:t xml:space="preserve"> </w:t>
      </w:r>
      <w:r w:rsidRPr="00892F89">
        <w:rPr>
          <w:color w:val="000000"/>
        </w:rPr>
        <w:t>According to data from the National Telecommunications and Information Agency (</w:t>
      </w:r>
      <w:r w:rsidRPr="00EB62A1">
        <w:rPr>
          <w:color w:val="000000"/>
        </w:rPr>
        <w:t xml:space="preserve">NTIA), 37.7 percent of individuals age 25 and over have access to the </w:t>
      </w:r>
      <w:r>
        <w:rPr>
          <w:color w:val="000000"/>
        </w:rPr>
        <w:t>i</w:t>
      </w:r>
      <w:r w:rsidRPr="00EB62A1">
        <w:rPr>
          <w:color w:val="000000"/>
        </w:rPr>
        <w:t>nternet at work.  According to a Greenwal</w:t>
      </w:r>
      <w:r w:rsidRPr="00892F89">
        <w:rPr>
          <w:color w:val="000000"/>
        </w:rPr>
        <w:t xml:space="preserve">d &amp; Associates survey, 84 percent of plan participants find it acceptable to make electronic delivery the default option, which is used as the proxy for the number of participants who will not opt-out of electronic disclosure </w:t>
      </w:r>
      <w:r>
        <w:rPr>
          <w:color w:val="000000"/>
        </w:rPr>
        <w:t>if</w:t>
      </w:r>
      <w:r w:rsidRPr="00892F89">
        <w:rPr>
          <w:color w:val="000000"/>
        </w:rPr>
        <w:t xml:space="preserve"> automatically enrolled (for</w:t>
      </w:r>
      <w:r w:rsidRPr="00502284">
        <w:rPr>
          <w:color w:val="000000"/>
        </w:rPr>
        <w:t xml:space="preserve"> </w:t>
      </w:r>
      <w:r w:rsidRPr="00150DC8">
        <w:rPr>
          <w:color w:val="000000"/>
        </w:rPr>
        <w:t xml:space="preserve">a total </w:t>
      </w:r>
      <w:r w:rsidRPr="00EB62A1">
        <w:rPr>
          <w:color w:val="000000"/>
        </w:rPr>
        <w:t>of 31.7 percent receiving electronic disclosure at work).  Additionally, the NTIA reports that 40.5 percent of individuals age 25 and over have access to the internet outside of work.  According to a Pew Research Center survey, 61 percent of internet users use online banking, which is used as the proxy for the number of internet users who will affirmatively consent to receiving  electronic disclosures (for a total of 24.7 percent receiving electronic disclosure outside of work).  Combining the 31.7 percent who receive electronic disclosure at work with the 24.7 percent who receive electronic disclosure outside of work produces a total of 56.4 percent who will receive electronic disclosure overall.</w:t>
      </w:r>
      <w:r>
        <w:rPr>
          <w:color w:val="000000"/>
        </w:rPr>
        <w:t xml:space="preserve">  In light of the Department’s 2020 Electronic Disclosure Regulation, the Department estimates that 81.5 percent of the remaining 43.6 percent of individuals would receive the disclosures electronically.  In total, 91.9 percent of plans are expected to receive the disclosure electronically.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9025D7" w14:textId="77777777" w:rsidR="00562007" w:rsidRDefault="00562007" w:rsidP="00562007">
    <w:pPr>
      <w:pStyle w:val="Header"/>
      <w:rPr>
        <w:sz w:val="20"/>
        <w:szCs w:val="20"/>
      </w:rPr>
    </w:pPr>
    <w:r w:rsidRPr="004D5635">
      <w:rPr>
        <w:bCs/>
        <w:sz w:val="20"/>
        <w:szCs w:val="20"/>
      </w:rPr>
      <w:t xml:space="preserve">Improving Investment Advice for Workers &amp; Retirees Prohibited Transaction Exemption </w:t>
    </w:r>
    <w:r>
      <w:rPr>
        <w:sz w:val="20"/>
        <w:szCs w:val="20"/>
      </w:rPr>
      <w:t>OMB Control Number 1210</w:t>
    </w:r>
    <w:r w:rsidRPr="00F8164B">
      <w:rPr>
        <w:sz w:val="20"/>
        <w:szCs w:val="20"/>
      </w:rPr>
      <w:t>-</w:t>
    </w:r>
    <w:r>
      <w:rPr>
        <w:sz w:val="20"/>
        <w:szCs w:val="20"/>
      </w:rPr>
      <w:t>0163</w:t>
    </w:r>
  </w:p>
  <w:p w14:paraId="110873D0" w14:textId="77777777" w:rsidR="00562007" w:rsidRPr="00F8164B" w:rsidRDefault="00562007" w:rsidP="00562007">
    <w:pPr>
      <w:pStyle w:val="Header"/>
      <w:rPr>
        <w:sz w:val="20"/>
        <w:szCs w:val="20"/>
      </w:rPr>
    </w:pPr>
    <w:r>
      <w:rPr>
        <w:sz w:val="20"/>
        <w:szCs w:val="20"/>
      </w:rPr>
      <w:t xml:space="preserve">OMB Expiration Date: </w:t>
    </w:r>
  </w:p>
  <w:p w14:paraId="60A71FDC" w14:textId="77777777" w:rsidR="00562007" w:rsidRDefault="005620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DB2F66"/>
    <w:multiLevelType w:val="hybridMultilevel"/>
    <w:tmpl w:val="8A6E122E"/>
    <w:lvl w:ilvl="0" w:tplc="4AD6828A">
      <w:start w:val="1"/>
      <w:numFmt w:val="decimal"/>
      <w:lvlText w:val="%1."/>
      <w:lvlJc w:val="left"/>
      <w:pPr>
        <w:tabs>
          <w:tab w:val="num" w:pos="1080"/>
        </w:tabs>
        <w:ind w:left="1080" w:hanging="720"/>
      </w:pPr>
      <w:rPr>
        <w:rFonts w:hint="default"/>
        <w:i w:val="0"/>
      </w:rPr>
    </w:lvl>
    <w:lvl w:ilvl="1" w:tplc="6EE48C12">
      <w:start w:val="1"/>
      <w:numFmt w:val="bullet"/>
      <w:lvlText w:val=""/>
      <w:lvlJc w:val="left"/>
      <w:pPr>
        <w:tabs>
          <w:tab w:val="num" w:pos="1440"/>
        </w:tabs>
        <w:ind w:left="1440" w:hanging="360"/>
      </w:pPr>
      <w:rPr>
        <w:rFonts w:ascii="Symbol" w:hAnsi="Symbol" w:hint="default"/>
      </w:rPr>
    </w:lvl>
    <w:lvl w:ilvl="2" w:tplc="C240ABFC">
      <w:start w:val="2"/>
      <w:numFmt w:val="upperLetter"/>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A9E3168"/>
    <w:multiLevelType w:val="hybridMultilevel"/>
    <w:tmpl w:val="1F4E731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419580E"/>
    <w:multiLevelType w:val="multilevel"/>
    <w:tmpl w:val="9E9E9C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C61581"/>
    <w:multiLevelType w:val="hybridMultilevel"/>
    <w:tmpl w:val="499E93CA"/>
    <w:lvl w:ilvl="0" w:tplc="B11868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BE449A5"/>
    <w:multiLevelType w:val="hybridMultilevel"/>
    <w:tmpl w:val="8A6E122E"/>
    <w:lvl w:ilvl="0" w:tplc="4AD6828A">
      <w:start w:val="1"/>
      <w:numFmt w:val="decimal"/>
      <w:lvlText w:val="%1."/>
      <w:lvlJc w:val="left"/>
      <w:pPr>
        <w:tabs>
          <w:tab w:val="num" w:pos="1080"/>
        </w:tabs>
        <w:ind w:left="1080" w:hanging="720"/>
      </w:pPr>
      <w:rPr>
        <w:rFonts w:hint="default"/>
        <w:i w:val="0"/>
      </w:rPr>
    </w:lvl>
    <w:lvl w:ilvl="1" w:tplc="6EE48C12">
      <w:start w:val="1"/>
      <w:numFmt w:val="bullet"/>
      <w:lvlText w:val=""/>
      <w:lvlJc w:val="left"/>
      <w:pPr>
        <w:tabs>
          <w:tab w:val="num" w:pos="1440"/>
        </w:tabs>
        <w:ind w:left="1440" w:hanging="360"/>
      </w:pPr>
      <w:rPr>
        <w:rFonts w:ascii="Symbol" w:hAnsi="Symbol" w:hint="default"/>
      </w:rPr>
    </w:lvl>
    <w:lvl w:ilvl="2" w:tplc="C240ABFC">
      <w:start w:val="2"/>
      <w:numFmt w:val="upperLetter"/>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6F12F28"/>
    <w:multiLevelType w:val="hybridMultilevel"/>
    <w:tmpl w:val="9356E77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4"/>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50EA"/>
    <w:rsid w:val="000015FA"/>
    <w:rsid w:val="00002C9D"/>
    <w:rsid w:val="00003694"/>
    <w:rsid w:val="000104AD"/>
    <w:rsid w:val="00012DE4"/>
    <w:rsid w:val="0001580C"/>
    <w:rsid w:val="000165E0"/>
    <w:rsid w:val="000172F8"/>
    <w:rsid w:val="00020A6D"/>
    <w:rsid w:val="00020E12"/>
    <w:rsid w:val="000221BF"/>
    <w:rsid w:val="000278B1"/>
    <w:rsid w:val="00031313"/>
    <w:rsid w:val="00032D10"/>
    <w:rsid w:val="0003371B"/>
    <w:rsid w:val="000363B7"/>
    <w:rsid w:val="000407EF"/>
    <w:rsid w:val="00042E7E"/>
    <w:rsid w:val="00043076"/>
    <w:rsid w:val="000436F1"/>
    <w:rsid w:val="00043720"/>
    <w:rsid w:val="00043F6C"/>
    <w:rsid w:val="000447B6"/>
    <w:rsid w:val="00046019"/>
    <w:rsid w:val="0004631F"/>
    <w:rsid w:val="000502DB"/>
    <w:rsid w:val="00050EC0"/>
    <w:rsid w:val="000561B6"/>
    <w:rsid w:val="0005663A"/>
    <w:rsid w:val="00062626"/>
    <w:rsid w:val="000650B2"/>
    <w:rsid w:val="00066B35"/>
    <w:rsid w:val="00067CBD"/>
    <w:rsid w:val="000700C8"/>
    <w:rsid w:val="00071E29"/>
    <w:rsid w:val="00073C49"/>
    <w:rsid w:val="00073EDB"/>
    <w:rsid w:val="00073F85"/>
    <w:rsid w:val="00074A13"/>
    <w:rsid w:val="00077920"/>
    <w:rsid w:val="000813D6"/>
    <w:rsid w:val="0008589E"/>
    <w:rsid w:val="00086644"/>
    <w:rsid w:val="00090A79"/>
    <w:rsid w:val="00097825"/>
    <w:rsid w:val="0009785A"/>
    <w:rsid w:val="000A3876"/>
    <w:rsid w:val="000A3B04"/>
    <w:rsid w:val="000A5C45"/>
    <w:rsid w:val="000A65CD"/>
    <w:rsid w:val="000A79EF"/>
    <w:rsid w:val="000B3699"/>
    <w:rsid w:val="000B4800"/>
    <w:rsid w:val="000B5CA7"/>
    <w:rsid w:val="000B607C"/>
    <w:rsid w:val="000B7A3F"/>
    <w:rsid w:val="000B7D3A"/>
    <w:rsid w:val="000C16E4"/>
    <w:rsid w:val="000C3F0C"/>
    <w:rsid w:val="000D079C"/>
    <w:rsid w:val="000D2F74"/>
    <w:rsid w:val="000E1A9D"/>
    <w:rsid w:val="000E4D27"/>
    <w:rsid w:val="000E4EA6"/>
    <w:rsid w:val="000E6047"/>
    <w:rsid w:val="000F22D6"/>
    <w:rsid w:val="000F482D"/>
    <w:rsid w:val="00112E3B"/>
    <w:rsid w:val="00114877"/>
    <w:rsid w:val="001162F4"/>
    <w:rsid w:val="001179A6"/>
    <w:rsid w:val="00121C3B"/>
    <w:rsid w:val="001227F0"/>
    <w:rsid w:val="00124802"/>
    <w:rsid w:val="0012486A"/>
    <w:rsid w:val="001307FB"/>
    <w:rsid w:val="00132195"/>
    <w:rsid w:val="00145552"/>
    <w:rsid w:val="00145B62"/>
    <w:rsid w:val="00146EFB"/>
    <w:rsid w:val="001475BB"/>
    <w:rsid w:val="00150594"/>
    <w:rsid w:val="0015339F"/>
    <w:rsid w:val="00154572"/>
    <w:rsid w:val="00156F47"/>
    <w:rsid w:val="00157FD9"/>
    <w:rsid w:val="00161E9D"/>
    <w:rsid w:val="00166273"/>
    <w:rsid w:val="00166571"/>
    <w:rsid w:val="00172E08"/>
    <w:rsid w:val="0017598E"/>
    <w:rsid w:val="00183818"/>
    <w:rsid w:val="0018528A"/>
    <w:rsid w:val="00186FD4"/>
    <w:rsid w:val="001874EC"/>
    <w:rsid w:val="00192479"/>
    <w:rsid w:val="00192697"/>
    <w:rsid w:val="00192CD7"/>
    <w:rsid w:val="00197C26"/>
    <w:rsid w:val="001A1308"/>
    <w:rsid w:val="001A5747"/>
    <w:rsid w:val="001A6D29"/>
    <w:rsid w:val="001A7ACE"/>
    <w:rsid w:val="001B08EB"/>
    <w:rsid w:val="001B71BB"/>
    <w:rsid w:val="001B7B8D"/>
    <w:rsid w:val="001C01C9"/>
    <w:rsid w:val="001C44A8"/>
    <w:rsid w:val="001C70AA"/>
    <w:rsid w:val="001C72DB"/>
    <w:rsid w:val="001C752B"/>
    <w:rsid w:val="001D5E6E"/>
    <w:rsid w:val="001D7549"/>
    <w:rsid w:val="001E102D"/>
    <w:rsid w:val="001E1CEA"/>
    <w:rsid w:val="001E20E0"/>
    <w:rsid w:val="001E3507"/>
    <w:rsid w:val="001E75E9"/>
    <w:rsid w:val="001E7BD7"/>
    <w:rsid w:val="001F09F4"/>
    <w:rsid w:val="001F1E53"/>
    <w:rsid w:val="002015C3"/>
    <w:rsid w:val="00201871"/>
    <w:rsid w:val="00202D27"/>
    <w:rsid w:val="002053A1"/>
    <w:rsid w:val="002060E3"/>
    <w:rsid w:val="00206DF4"/>
    <w:rsid w:val="00207953"/>
    <w:rsid w:val="0021257F"/>
    <w:rsid w:val="00212F33"/>
    <w:rsid w:val="002137F1"/>
    <w:rsid w:val="002204EA"/>
    <w:rsid w:val="002239FD"/>
    <w:rsid w:val="00223BB8"/>
    <w:rsid w:val="00226B88"/>
    <w:rsid w:val="00230508"/>
    <w:rsid w:val="00230CEC"/>
    <w:rsid w:val="002367F0"/>
    <w:rsid w:val="00246290"/>
    <w:rsid w:val="00246581"/>
    <w:rsid w:val="0024768A"/>
    <w:rsid w:val="00251877"/>
    <w:rsid w:val="0025629C"/>
    <w:rsid w:val="00257693"/>
    <w:rsid w:val="002578A1"/>
    <w:rsid w:val="0026314F"/>
    <w:rsid w:val="00263354"/>
    <w:rsid w:val="00265255"/>
    <w:rsid w:val="00265354"/>
    <w:rsid w:val="002659F9"/>
    <w:rsid w:val="00266227"/>
    <w:rsid w:val="00266DFD"/>
    <w:rsid w:val="00273BF3"/>
    <w:rsid w:val="002751AF"/>
    <w:rsid w:val="002801A1"/>
    <w:rsid w:val="00281F15"/>
    <w:rsid w:val="00284FBA"/>
    <w:rsid w:val="00285D4E"/>
    <w:rsid w:val="00291CD3"/>
    <w:rsid w:val="002934B0"/>
    <w:rsid w:val="00295240"/>
    <w:rsid w:val="00297C7B"/>
    <w:rsid w:val="002A22F9"/>
    <w:rsid w:val="002A29AF"/>
    <w:rsid w:val="002A2A5D"/>
    <w:rsid w:val="002A3638"/>
    <w:rsid w:val="002A5311"/>
    <w:rsid w:val="002A57F6"/>
    <w:rsid w:val="002B1077"/>
    <w:rsid w:val="002B617F"/>
    <w:rsid w:val="002B710B"/>
    <w:rsid w:val="002C4A71"/>
    <w:rsid w:val="002C50BC"/>
    <w:rsid w:val="002D303D"/>
    <w:rsid w:val="002D495E"/>
    <w:rsid w:val="002D556A"/>
    <w:rsid w:val="002D6175"/>
    <w:rsid w:val="002E11C5"/>
    <w:rsid w:val="002E1AA4"/>
    <w:rsid w:val="002E21AE"/>
    <w:rsid w:val="002E4246"/>
    <w:rsid w:val="002E5F66"/>
    <w:rsid w:val="002E7088"/>
    <w:rsid w:val="002E7338"/>
    <w:rsid w:val="002F0B5A"/>
    <w:rsid w:val="002F1174"/>
    <w:rsid w:val="002F259D"/>
    <w:rsid w:val="002F385B"/>
    <w:rsid w:val="00305FE6"/>
    <w:rsid w:val="00312167"/>
    <w:rsid w:val="00314394"/>
    <w:rsid w:val="0031593D"/>
    <w:rsid w:val="003161D8"/>
    <w:rsid w:val="00317A2F"/>
    <w:rsid w:val="00317F69"/>
    <w:rsid w:val="00327F5E"/>
    <w:rsid w:val="00330398"/>
    <w:rsid w:val="00333D06"/>
    <w:rsid w:val="0033428F"/>
    <w:rsid w:val="00334CC0"/>
    <w:rsid w:val="00334EF9"/>
    <w:rsid w:val="00335FAF"/>
    <w:rsid w:val="003375BF"/>
    <w:rsid w:val="00340C5C"/>
    <w:rsid w:val="003467DC"/>
    <w:rsid w:val="00350667"/>
    <w:rsid w:val="00352151"/>
    <w:rsid w:val="00352CBE"/>
    <w:rsid w:val="00354E1B"/>
    <w:rsid w:val="0035523E"/>
    <w:rsid w:val="0036091B"/>
    <w:rsid w:val="0037226D"/>
    <w:rsid w:val="00373310"/>
    <w:rsid w:val="00374308"/>
    <w:rsid w:val="0038112D"/>
    <w:rsid w:val="0038395B"/>
    <w:rsid w:val="003845D6"/>
    <w:rsid w:val="003937F2"/>
    <w:rsid w:val="003947CC"/>
    <w:rsid w:val="00396212"/>
    <w:rsid w:val="00396341"/>
    <w:rsid w:val="003A1776"/>
    <w:rsid w:val="003A77EE"/>
    <w:rsid w:val="003A7B6C"/>
    <w:rsid w:val="003C13B7"/>
    <w:rsid w:val="003C353B"/>
    <w:rsid w:val="003C3AEE"/>
    <w:rsid w:val="003C6536"/>
    <w:rsid w:val="003C6771"/>
    <w:rsid w:val="003D3F2C"/>
    <w:rsid w:val="003D4AFB"/>
    <w:rsid w:val="003E2F55"/>
    <w:rsid w:val="003E334F"/>
    <w:rsid w:val="003F202C"/>
    <w:rsid w:val="003F4A7D"/>
    <w:rsid w:val="003F4D4F"/>
    <w:rsid w:val="003F5714"/>
    <w:rsid w:val="003F621B"/>
    <w:rsid w:val="003F6583"/>
    <w:rsid w:val="0040195B"/>
    <w:rsid w:val="004034C5"/>
    <w:rsid w:val="00406561"/>
    <w:rsid w:val="0040673E"/>
    <w:rsid w:val="0041118C"/>
    <w:rsid w:val="00413115"/>
    <w:rsid w:val="00414BB4"/>
    <w:rsid w:val="00421C4E"/>
    <w:rsid w:val="00421E99"/>
    <w:rsid w:val="00422DE3"/>
    <w:rsid w:val="004234ED"/>
    <w:rsid w:val="00424D90"/>
    <w:rsid w:val="00442257"/>
    <w:rsid w:val="00446F21"/>
    <w:rsid w:val="004501E2"/>
    <w:rsid w:val="004506BC"/>
    <w:rsid w:val="0045404C"/>
    <w:rsid w:val="00455E88"/>
    <w:rsid w:val="00457E7C"/>
    <w:rsid w:val="004646D6"/>
    <w:rsid w:val="004707F3"/>
    <w:rsid w:val="004723EF"/>
    <w:rsid w:val="004734E4"/>
    <w:rsid w:val="0047714E"/>
    <w:rsid w:val="004771D3"/>
    <w:rsid w:val="004832FE"/>
    <w:rsid w:val="00486F9C"/>
    <w:rsid w:val="0048742D"/>
    <w:rsid w:val="00487579"/>
    <w:rsid w:val="004910CB"/>
    <w:rsid w:val="00491483"/>
    <w:rsid w:val="0049152A"/>
    <w:rsid w:val="00492AD1"/>
    <w:rsid w:val="0049553E"/>
    <w:rsid w:val="004A336D"/>
    <w:rsid w:val="004B052A"/>
    <w:rsid w:val="004B0D35"/>
    <w:rsid w:val="004B0F33"/>
    <w:rsid w:val="004B2DD4"/>
    <w:rsid w:val="004B3370"/>
    <w:rsid w:val="004C08C9"/>
    <w:rsid w:val="004C1B38"/>
    <w:rsid w:val="004C2A0A"/>
    <w:rsid w:val="004C3A11"/>
    <w:rsid w:val="004C3F34"/>
    <w:rsid w:val="004D26D2"/>
    <w:rsid w:val="004E0F5A"/>
    <w:rsid w:val="004E53A4"/>
    <w:rsid w:val="004F0DF5"/>
    <w:rsid w:val="004F3F18"/>
    <w:rsid w:val="004F5569"/>
    <w:rsid w:val="004F5B8B"/>
    <w:rsid w:val="00502D62"/>
    <w:rsid w:val="0050362D"/>
    <w:rsid w:val="00505388"/>
    <w:rsid w:val="00512E92"/>
    <w:rsid w:val="005130FB"/>
    <w:rsid w:val="0051316F"/>
    <w:rsid w:val="00515C59"/>
    <w:rsid w:val="0051655E"/>
    <w:rsid w:val="005166DD"/>
    <w:rsid w:val="00521A30"/>
    <w:rsid w:val="00525B42"/>
    <w:rsid w:val="00526670"/>
    <w:rsid w:val="00526B87"/>
    <w:rsid w:val="0053001D"/>
    <w:rsid w:val="00533DF0"/>
    <w:rsid w:val="00533EB1"/>
    <w:rsid w:val="00535AAD"/>
    <w:rsid w:val="005364E8"/>
    <w:rsid w:val="00540B7A"/>
    <w:rsid w:val="00542BEA"/>
    <w:rsid w:val="005473C9"/>
    <w:rsid w:val="00550D08"/>
    <w:rsid w:val="00553458"/>
    <w:rsid w:val="00557568"/>
    <w:rsid w:val="00562007"/>
    <w:rsid w:val="0056567A"/>
    <w:rsid w:val="00572BF9"/>
    <w:rsid w:val="00572FC3"/>
    <w:rsid w:val="005744FA"/>
    <w:rsid w:val="005766D6"/>
    <w:rsid w:val="00576C3F"/>
    <w:rsid w:val="00585618"/>
    <w:rsid w:val="00585BD6"/>
    <w:rsid w:val="00585DB6"/>
    <w:rsid w:val="00591B59"/>
    <w:rsid w:val="005A2CE3"/>
    <w:rsid w:val="005A4B15"/>
    <w:rsid w:val="005A518E"/>
    <w:rsid w:val="005A55CF"/>
    <w:rsid w:val="005B3566"/>
    <w:rsid w:val="005B5E1D"/>
    <w:rsid w:val="005C0178"/>
    <w:rsid w:val="005C2E89"/>
    <w:rsid w:val="005C51CE"/>
    <w:rsid w:val="005C7B08"/>
    <w:rsid w:val="005D0379"/>
    <w:rsid w:val="005D2A4C"/>
    <w:rsid w:val="005D375E"/>
    <w:rsid w:val="005E06FE"/>
    <w:rsid w:val="005E0A84"/>
    <w:rsid w:val="005E3C17"/>
    <w:rsid w:val="005E4EE8"/>
    <w:rsid w:val="005E6231"/>
    <w:rsid w:val="005E7BD1"/>
    <w:rsid w:val="005F2453"/>
    <w:rsid w:val="005F7BF9"/>
    <w:rsid w:val="00601E48"/>
    <w:rsid w:val="0060272F"/>
    <w:rsid w:val="0060656E"/>
    <w:rsid w:val="00606C0D"/>
    <w:rsid w:val="00607DEA"/>
    <w:rsid w:val="006109B0"/>
    <w:rsid w:val="006112B0"/>
    <w:rsid w:val="0061430F"/>
    <w:rsid w:val="0061607A"/>
    <w:rsid w:val="006164AF"/>
    <w:rsid w:val="00617A8B"/>
    <w:rsid w:val="00620D9E"/>
    <w:rsid w:val="00626AEA"/>
    <w:rsid w:val="0063616C"/>
    <w:rsid w:val="00640483"/>
    <w:rsid w:val="006413F5"/>
    <w:rsid w:val="00643053"/>
    <w:rsid w:val="00643EF4"/>
    <w:rsid w:val="00645E77"/>
    <w:rsid w:val="00646430"/>
    <w:rsid w:val="006478BA"/>
    <w:rsid w:val="00650F75"/>
    <w:rsid w:val="00651274"/>
    <w:rsid w:val="00651586"/>
    <w:rsid w:val="0066070F"/>
    <w:rsid w:val="006623FB"/>
    <w:rsid w:val="00667217"/>
    <w:rsid w:val="006701CE"/>
    <w:rsid w:val="006721B3"/>
    <w:rsid w:val="00674372"/>
    <w:rsid w:val="00677831"/>
    <w:rsid w:val="00680230"/>
    <w:rsid w:val="00683AF7"/>
    <w:rsid w:val="0069004A"/>
    <w:rsid w:val="00693972"/>
    <w:rsid w:val="00693A00"/>
    <w:rsid w:val="0069485A"/>
    <w:rsid w:val="00696878"/>
    <w:rsid w:val="006969B1"/>
    <w:rsid w:val="00696E40"/>
    <w:rsid w:val="006A1F97"/>
    <w:rsid w:val="006A23BE"/>
    <w:rsid w:val="006A247F"/>
    <w:rsid w:val="006A3488"/>
    <w:rsid w:val="006B14D4"/>
    <w:rsid w:val="006B4A2D"/>
    <w:rsid w:val="006B5652"/>
    <w:rsid w:val="006B5FB8"/>
    <w:rsid w:val="006B6E86"/>
    <w:rsid w:val="006C2947"/>
    <w:rsid w:val="006C2A7F"/>
    <w:rsid w:val="006C46AE"/>
    <w:rsid w:val="006C564F"/>
    <w:rsid w:val="006D052C"/>
    <w:rsid w:val="006D397B"/>
    <w:rsid w:val="006D51E1"/>
    <w:rsid w:val="006D65F4"/>
    <w:rsid w:val="006E113D"/>
    <w:rsid w:val="006E137E"/>
    <w:rsid w:val="006E16DA"/>
    <w:rsid w:val="006E2BBB"/>
    <w:rsid w:val="006E5E5B"/>
    <w:rsid w:val="006F2122"/>
    <w:rsid w:val="006F6049"/>
    <w:rsid w:val="0070124D"/>
    <w:rsid w:val="007019F2"/>
    <w:rsid w:val="00701D94"/>
    <w:rsid w:val="00704AFF"/>
    <w:rsid w:val="007056B3"/>
    <w:rsid w:val="007065D9"/>
    <w:rsid w:val="00711322"/>
    <w:rsid w:val="00715F45"/>
    <w:rsid w:val="00717F65"/>
    <w:rsid w:val="007236B8"/>
    <w:rsid w:val="00723DE0"/>
    <w:rsid w:val="00725F0F"/>
    <w:rsid w:val="007302D6"/>
    <w:rsid w:val="00734DA2"/>
    <w:rsid w:val="0073542B"/>
    <w:rsid w:val="00736434"/>
    <w:rsid w:val="0074023A"/>
    <w:rsid w:val="00740810"/>
    <w:rsid w:val="00741EAF"/>
    <w:rsid w:val="007454CF"/>
    <w:rsid w:val="007516A1"/>
    <w:rsid w:val="0075305F"/>
    <w:rsid w:val="00753BEC"/>
    <w:rsid w:val="00760274"/>
    <w:rsid w:val="007635CD"/>
    <w:rsid w:val="007642D7"/>
    <w:rsid w:val="00765462"/>
    <w:rsid w:val="00771374"/>
    <w:rsid w:val="007736AF"/>
    <w:rsid w:val="00773986"/>
    <w:rsid w:val="00773F27"/>
    <w:rsid w:val="00773FD4"/>
    <w:rsid w:val="0077488C"/>
    <w:rsid w:val="00775161"/>
    <w:rsid w:val="007759D5"/>
    <w:rsid w:val="00775F96"/>
    <w:rsid w:val="00781933"/>
    <w:rsid w:val="0078423A"/>
    <w:rsid w:val="007856D0"/>
    <w:rsid w:val="00785C0C"/>
    <w:rsid w:val="00785DF8"/>
    <w:rsid w:val="00785F90"/>
    <w:rsid w:val="0079282F"/>
    <w:rsid w:val="007960EB"/>
    <w:rsid w:val="007A498B"/>
    <w:rsid w:val="007A5A82"/>
    <w:rsid w:val="007B22A4"/>
    <w:rsid w:val="007B64BA"/>
    <w:rsid w:val="007B6DDC"/>
    <w:rsid w:val="007B7700"/>
    <w:rsid w:val="007C1224"/>
    <w:rsid w:val="007C1DD6"/>
    <w:rsid w:val="007C70E2"/>
    <w:rsid w:val="007C7B2D"/>
    <w:rsid w:val="007C7F42"/>
    <w:rsid w:val="007D0136"/>
    <w:rsid w:val="007D05F0"/>
    <w:rsid w:val="007D0765"/>
    <w:rsid w:val="007D4010"/>
    <w:rsid w:val="007E58B3"/>
    <w:rsid w:val="007E6151"/>
    <w:rsid w:val="007E63AE"/>
    <w:rsid w:val="007E79E8"/>
    <w:rsid w:val="007F07EA"/>
    <w:rsid w:val="007F5941"/>
    <w:rsid w:val="007F76EA"/>
    <w:rsid w:val="00803242"/>
    <w:rsid w:val="00806962"/>
    <w:rsid w:val="00816915"/>
    <w:rsid w:val="00816F1E"/>
    <w:rsid w:val="00817F73"/>
    <w:rsid w:val="00821A78"/>
    <w:rsid w:val="00824921"/>
    <w:rsid w:val="00825D87"/>
    <w:rsid w:val="0082624C"/>
    <w:rsid w:val="00833A9E"/>
    <w:rsid w:val="008552C9"/>
    <w:rsid w:val="008553FA"/>
    <w:rsid w:val="008563DF"/>
    <w:rsid w:val="00864FF6"/>
    <w:rsid w:val="00870616"/>
    <w:rsid w:val="008710FB"/>
    <w:rsid w:val="00872E79"/>
    <w:rsid w:val="008731A3"/>
    <w:rsid w:val="00873DC7"/>
    <w:rsid w:val="008744AF"/>
    <w:rsid w:val="0087621E"/>
    <w:rsid w:val="00881C51"/>
    <w:rsid w:val="00883BA7"/>
    <w:rsid w:val="00884739"/>
    <w:rsid w:val="0088620A"/>
    <w:rsid w:val="008862A5"/>
    <w:rsid w:val="008872C3"/>
    <w:rsid w:val="00887486"/>
    <w:rsid w:val="00890247"/>
    <w:rsid w:val="008914AC"/>
    <w:rsid w:val="00891AB5"/>
    <w:rsid w:val="008956D3"/>
    <w:rsid w:val="00897214"/>
    <w:rsid w:val="00897A77"/>
    <w:rsid w:val="008A24DB"/>
    <w:rsid w:val="008A2E6D"/>
    <w:rsid w:val="008A3527"/>
    <w:rsid w:val="008A655B"/>
    <w:rsid w:val="008A7509"/>
    <w:rsid w:val="008A7EF4"/>
    <w:rsid w:val="008B6D71"/>
    <w:rsid w:val="008C1EF1"/>
    <w:rsid w:val="008C229C"/>
    <w:rsid w:val="008C2865"/>
    <w:rsid w:val="008C4059"/>
    <w:rsid w:val="008C7A5F"/>
    <w:rsid w:val="008D2639"/>
    <w:rsid w:val="008D2E25"/>
    <w:rsid w:val="008D7D8E"/>
    <w:rsid w:val="008E089E"/>
    <w:rsid w:val="008E21BB"/>
    <w:rsid w:val="008E55D4"/>
    <w:rsid w:val="008F1533"/>
    <w:rsid w:val="008F1C51"/>
    <w:rsid w:val="008F3B36"/>
    <w:rsid w:val="008F5344"/>
    <w:rsid w:val="00902F4B"/>
    <w:rsid w:val="00904DE6"/>
    <w:rsid w:val="00913E2F"/>
    <w:rsid w:val="009147E4"/>
    <w:rsid w:val="00916D38"/>
    <w:rsid w:val="009170CA"/>
    <w:rsid w:val="00920047"/>
    <w:rsid w:val="0092037C"/>
    <w:rsid w:val="009317CB"/>
    <w:rsid w:val="00934F5E"/>
    <w:rsid w:val="0093576F"/>
    <w:rsid w:val="009431AA"/>
    <w:rsid w:val="009518FB"/>
    <w:rsid w:val="00952136"/>
    <w:rsid w:val="009543CA"/>
    <w:rsid w:val="00956521"/>
    <w:rsid w:val="0095664D"/>
    <w:rsid w:val="00956E18"/>
    <w:rsid w:val="0095723A"/>
    <w:rsid w:val="0095732F"/>
    <w:rsid w:val="009612B9"/>
    <w:rsid w:val="00974C4C"/>
    <w:rsid w:val="00975C5F"/>
    <w:rsid w:val="0097629D"/>
    <w:rsid w:val="009826E1"/>
    <w:rsid w:val="00984410"/>
    <w:rsid w:val="009905F8"/>
    <w:rsid w:val="00991B74"/>
    <w:rsid w:val="0099486E"/>
    <w:rsid w:val="009959A3"/>
    <w:rsid w:val="009A01F6"/>
    <w:rsid w:val="009A1493"/>
    <w:rsid w:val="009A5757"/>
    <w:rsid w:val="009A5DB9"/>
    <w:rsid w:val="009B251B"/>
    <w:rsid w:val="009B29E8"/>
    <w:rsid w:val="009B5258"/>
    <w:rsid w:val="009B654E"/>
    <w:rsid w:val="009C0F5A"/>
    <w:rsid w:val="009C31E1"/>
    <w:rsid w:val="009C69DD"/>
    <w:rsid w:val="009D0B67"/>
    <w:rsid w:val="009D6E92"/>
    <w:rsid w:val="009D79E9"/>
    <w:rsid w:val="009E0969"/>
    <w:rsid w:val="009E21B9"/>
    <w:rsid w:val="009E5E4A"/>
    <w:rsid w:val="009F1595"/>
    <w:rsid w:val="009F1BEE"/>
    <w:rsid w:val="009F3BB9"/>
    <w:rsid w:val="009F6538"/>
    <w:rsid w:val="009F7DD5"/>
    <w:rsid w:val="00A0022D"/>
    <w:rsid w:val="00A027D1"/>
    <w:rsid w:val="00A05822"/>
    <w:rsid w:val="00A06284"/>
    <w:rsid w:val="00A10186"/>
    <w:rsid w:val="00A11FE9"/>
    <w:rsid w:val="00A15344"/>
    <w:rsid w:val="00A17F33"/>
    <w:rsid w:val="00A214B0"/>
    <w:rsid w:val="00A22F70"/>
    <w:rsid w:val="00A23BC9"/>
    <w:rsid w:val="00A260AD"/>
    <w:rsid w:val="00A3060A"/>
    <w:rsid w:val="00A3206C"/>
    <w:rsid w:val="00A3208D"/>
    <w:rsid w:val="00A33B2B"/>
    <w:rsid w:val="00A360A3"/>
    <w:rsid w:val="00A37A03"/>
    <w:rsid w:val="00A400A9"/>
    <w:rsid w:val="00A409FC"/>
    <w:rsid w:val="00A461BE"/>
    <w:rsid w:val="00A50704"/>
    <w:rsid w:val="00A51D90"/>
    <w:rsid w:val="00A52668"/>
    <w:rsid w:val="00A530AA"/>
    <w:rsid w:val="00A53551"/>
    <w:rsid w:val="00A5376D"/>
    <w:rsid w:val="00A53FD8"/>
    <w:rsid w:val="00A54B4D"/>
    <w:rsid w:val="00A60FDE"/>
    <w:rsid w:val="00A61DC2"/>
    <w:rsid w:val="00A7034D"/>
    <w:rsid w:val="00A71F90"/>
    <w:rsid w:val="00A74C60"/>
    <w:rsid w:val="00A81430"/>
    <w:rsid w:val="00A81ED7"/>
    <w:rsid w:val="00A85939"/>
    <w:rsid w:val="00A9081A"/>
    <w:rsid w:val="00A911E8"/>
    <w:rsid w:val="00A93386"/>
    <w:rsid w:val="00A96C9F"/>
    <w:rsid w:val="00AA422A"/>
    <w:rsid w:val="00AA7FDE"/>
    <w:rsid w:val="00AB0966"/>
    <w:rsid w:val="00AB50EA"/>
    <w:rsid w:val="00AC00D5"/>
    <w:rsid w:val="00AC0738"/>
    <w:rsid w:val="00AC3B9F"/>
    <w:rsid w:val="00AC5FD8"/>
    <w:rsid w:val="00AC7D9C"/>
    <w:rsid w:val="00AD0103"/>
    <w:rsid w:val="00AD3A21"/>
    <w:rsid w:val="00AD3BE3"/>
    <w:rsid w:val="00AD5928"/>
    <w:rsid w:val="00AD6B4C"/>
    <w:rsid w:val="00AE13D8"/>
    <w:rsid w:val="00AE18BD"/>
    <w:rsid w:val="00AF4F94"/>
    <w:rsid w:val="00AF6041"/>
    <w:rsid w:val="00B06D8F"/>
    <w:rsid w:val="00B06EC2"/>
    <w:rsid w:val="00B21140"/>
    <w:rsid w:val="00B2259D"/>
    <w:rsid w:val="00B23CCF"/>
    <w:rsid w:val="00B249BC"/>
    <w:rsid w:val="00B25795"/>
    <w:rsid w:val="00B25A10"/>
    <w:rsid w:val="00B30322"/>
    <w:rsid w:val="00B331FF"/>
    <w:rsid w:val="00B357B5"/>
    <w:rsid w:val="00B36F1B"/>
    <w:rsid w:val="00B42302"/>
    <w:rsid w:val="00B42BD6"/>
    <w:rsid w:val="00B43BA2"/>
    <w:rsid w:val="00B45159"/>
    <w:rsid w:val="00B46330"/>
    <w:rsid w:val="00B515E2"/>
    <w:rsid w:val="00B52A00"/>
    <w:rsid w:val="00B56B3F"/>
    <w:rsid w:val="00B649D8"/>
    <w:rsid w:val="00B64B09"/>
    <w:rsid w:val="00B67153"/>
    <w:rsid w:val="00B6795A"/>
    <w:rsid w:val="00B67FC0"/>
    <w:rsid w:val="00B70D35"/>
    <w:rsid w:val="00B713D9"/>
    <w:rsid w:val="00B714D5"/>
    <w:rsid w:val="00B73A13"/>
    <w:rsid w:val="00B73B61"/>
    <w:rsid w:val="00B74B69"/>
    <w:rsid w:val="00B8359A"/>
    <w:rsid w:val="00B86061"/>
    <w:rsid w:val="00B860F0"/>
    <w:rsid w:val="00B869BA"/>
    <w:rsid w:val="00B928E2"/>
    <w:rsid w:val="00B97606"/>
    <w:rsid w:val="00BA0C6C"/>
    <w:rsid w:val="00BA10CB"/>
    <w:rsid w:val="00BA2643"/>
    <w:rsid w:val="00BA3730"/>
    <w:rsid w:val="00BA67DC"/>
    <w:rsid w:val="00BB56FF"/>
    <w:rsid w:val="00BB775F"/>
    <w:rsid w:val="00BC04F1"/>
    <w:rsid w:val="00BD0EB3"/>
    <w:rsid w:val="00BD0FD2"/>
    <w:rsid w:val="00BD2442"/>
    <w:rsid w:val="00BD65FE"/>
    <w:rsid w:val="00BD6D61"/>
    <w:rsid w:val="00BE5145"/>
    <w:rsid w:val="00BE5D59"/>
    <w:rsid w:val="00BF0986"/>
    <w:rsid w:val="00BF0B35"/>
    <w:rsid w:val="00BF24BD"/>
    <w:rsid w:val="00BF4045"/>
    <w:rsid w:val="00C00F6B"/>
    <w:rsid w:val="00C04874"/>
    <w:rsid w:val="00C04F73"/>
    <w:rsid w:val="00C05C99"/>
    <w:rsid w:val="00C07380"/>
    <w:rsid w:val="00C112A7"/>
    <w:rsid w:val="00C117EF"/>
    <w:rsid w:val="00C136A6"/>
    <w:rsid w:val="00C14817"/>
    <w:rsid w:val="00C25969"/>
    <w:rsid w:val="00C2627B"/>
    <w:rsid w:val="00C32DB0"/>
    <w:rsid w:val="00C35B4D"/>
    <w:rsid w:val="00C36C55"/>
    <w:rsid w:val="00C40CE9"/>
    <w:rsid w:val="00C43EC1"/>
    <w:rsid w:val="00C47310"/>
    <w:rsid w:val="00C50712"/>
    <w:rsid w:val="00C53FA8"/>
    <w:rsid w:val="00C55893"/>
    <w:rsid w:val="00C63D36"/>
    <w:rsid w:val="00C67F0A"/>
    <w:rsid w:val="00C70F1F"/>
    <w:rsid w:val="00C750B7"/>
    <w:rsid w:val="00C85794"/>
    <w:rsid w:val="00C86369"/>
    <w:rsid w:val="00C87D30"/>
    <w:rsid w:val="00C91C82"/>
    <w:rsid w:val="00C92B45"/>
    <w:rsid w:val="00C940A8"/>
    <w:rsid w:val="00C96EF6"/>
    <w:rsid w:val="00CA0353"/>
    <w:rsid w:val="00CA48FD"/>
    <w:rsid w:val="00CA4EAE"/>
    <w:rsid w:val="00CA7FCF"/>
    <w:rsid w:val="00CB0F9D"/>
    <w:rsid w:val="00CB2225"/>
    <w:rsid w:val="00CC0A56"/>
    <w:rsid w:val="00CC373A"/>
    <w:rsid w:val="00CC3C94"/>
    <w:rsid w:val="00CC5331"/>
    <w:rsid w:val="00CD01C3"/>
    <w:rsid w:val="00CD037B"/>
    <w:rsid w:val="00CD22A6"/>
    <w:rsid w:val="00CD3D8E"/>
    <w:rsid w:val="00CD4071"/>
    <w:rsid w:val="00CD5C1C"/>
    <w:rsid w:val="00CD66C8"/>
    <w:rsid w:val="00CE3B00"/>
    <w:rsid w:val="00CE6BC3"/>
    <w:rsid w:val="00CE7803"/>
    <w:rsid w:val="00D00708"/>
    <w:rsid w:val="00D018E4"/>
    <w:rsid w:val="00D02223"/>
    <w:rsid w:val="00D0408C"/>
    <w:rsid w:val="00D0461A"/>
    <w:rsid w:val="00D0497D"/>
    <w:rsid w:val="00D07E00"/>
    <w:rsid w:val="00D1240C"/>
    <w:rsid w:val="00D15CD4"/>
    <w:rsid w:val="00D25B21"/>
    <w:rsid w:val="00D2634C"/>
    <w:rsid w:val="00D3037D"/>
    <w:rsid w:val="00D30E26"/>
    <w:rsid w:val="00D32793"/>
    <w:rsid w:val="00D32E7B"/>
    <w:rsid w:val="00D34611"/>
    <w:rsid w:val="00D36812"/>
    <w:rsid w:val="00D47830"/>
    <w:rsid w:val="00D50912"/>
    <w:rsid w:val="00D52F76"/>
    <w:rsid w:val="00D543A5"/>
    <w:rsid w:val="00D54B70"/>
    <w:rsid w:val="00D56985"/>
    <w:rsid w:val="00D57995"/>
    <w:rsid w:val="00D57E6E"/>
    <w:rsid w:val="00D627BC"/>
    <w:rsid w:val="00D643E0"/>
    <w:rsid w:val="00D705E1"/>
    <w:rsid w:val="00D717A0"/>
    <w:rsid w:val="00D72067"/>
    <w:rsid w:val="00D74C03"/>
    <w:rsid w:val="00D75706"/>
    <w:rsid w:val="00D75B54"/>
    <w:rsid w:val="00D765C9"/>
    <w:rsid w:val="00D85BA7"/>
    <w:rsid w:val="00D903ED"/>
    <w:rsid w:val="00D92A1F"/>
    <w:rsid w:val="00D93691"/>
    <w:rsid w:val="00D96C4F"/>
    <w:rsid w:val="00D97178"/>
    <w:rsid w:val="00D97460"/>
    <w:rsid w:val="00D97F20"/>
    <w:rsid w:val="00DA1473"/>
    <w:rsid w:val="00DA2CCD"/>
    <w:rsid w:val="00DB7199"/>
    <w:rsid w:val="00DB7D3E"/>
    <w:rsid w:val="00DB7F9F"/>
    <w:rsid w:val="00DC0043"/>
    <w:rsid w:val="00DD5523"/>
    <w:rsid w:val="00DE0E9D"/>
    <w:rsid w:val="00DE2FE3"/>
    <w:rsid w:val="00DE51DA"/>
    <w:rsid w:val="00DF59E3"/>
    <w:rsid w:val="00DF7D94"/>
    <w:rsid w:val="00E013EA"/>
    <w:rsid w:val="00E11D60"/>
    <w:rsid w:val="00E12D78"/>
    <w:rsid w:val="00E14707"/>
    <w:rsid w:val="00E15AC0"/>
    <w:rsid w:val="00E16D7E"/>
    <w:rsid w:val="00E26B89"/>
    <w:rsid w:val="00E2738F"/>
    <w:rsid w:val="00E30674"/>
    <w:rsid w:val="00E309F3"/>
    <w:rsid w:val="00E31F24"/>
    <w:rsid w:val="00E32C89"/>
    <w:rsid w:val="00E364AE"/>
    <w:rsid w:val="00E376EA"/>
    <w:rsid w:val="00E4213B"/>
    <w:rsid w:val="00E42D0E"/>
    <w:rsid w:val="00E44160"/>
    <w:rsid w:val="00E470FD"/>
    <w:rsid w:val="00E473BD"/>
    <w:rsid w:val="00E47D7D"/>
    <w:rsid w:val="00E5023D"/>
    <w:rsid w:val="00E511BE"/>
    <w:rsid w:val="00E52EB3"/>
    <w:rsid w:val="00E544F1"/>
    <w:rsid w:val="00E547FB"/>
    <w:rsid w:val="00E573D5"/>
    <w:rsid w:val="00E60D08"/>
    <w:rsid w:val="00E618CE"/>
    <w:rsid w:val="00E62D93"/>
    <w:rsid w:val="00E66ECE"/>
    <w:rsid w:val="00E76A5A"/>
    <w:rsid w:val="00E84402"/>
    <w:rsid w:val="00E84E94"/>
    <w:rsid w:val="00E854EA"/>
    <w:rsid w:val="00E857E7"/>
    <w:rsid w:val="00E914DE"/>
    <w:rsid w:val="00E96015"/>
    <w:rsid w:val="00EA4466"/>
    <w:rsid w:val="00EA4A3A"/>
    <w:rsid w:val="00EB396A"/>
    <w:rsid w:val="00EB696E"/>
    <w:rsid w:val="00EC021E"/>
    <w:rsid w:val="00EC18DD"/>
    <w:rsid w:val="00EC6848"/>
    <w:rsid w:val="00EC6C37"/>
    <w:rsid w:val="00ED0B4B"/>
    <w:rsid w:val="00ED0BE2"/>
    <w:rsid w:val="00ED0E51"/>
    <w:rsid w:val="00ED197E"/>
    <w:rsid w:val="00ED36DC"/>
    <w:rsid w:val="00ED6779"/>
    <w:rsid w:val="00ED73B3"/>
    <w:rsid w:val="00EE065C"/>
    <w:rsid w:val="00EE23A2"/>
    <w:rsid w:val="00EE26A2"/>
    <w:rsid w:val="00EE28BB"/>
    <w:rsid w:val="00EF32AA"/>
    <w:rsid w:val="00F007EC"/>
    <w:rsid w:val="00F023CF"/>
    <w:rsid w:val="00F03FA2"/>
    <w:rsid w:val="00F134F4"/>
    <w:rsid w:val="00F13AA5"/>
    <w:rsid w:val="00F1482D"/>
    <w:rsid w:val="00F14F9B"/>
    <w:rsid w:val="00F2202B"/>
    <w:rsid w:val="00F27260"/>
    <w:rsid w:val="00F30D67"/>
    <w:rsid w:val="00F35D8F"/>
    <w:rsid w:val="00F37D67"/>
    <w:rsid w:val="00F400DF"/>
    <w:rsid w:val="00F4204A"/>
    <w:rsid w:val="00F46C02"/>
    <w:rsid w:val="00F47A3A"/>
    <w:rsid w:val="00F54A1D"/>
    <w:rsid w:val="00F551C1"/>
    <w:rsid w:val="00F60876"/>
    <w:rsid w:val="00F629BB"/>
    <w:rsid w:val="00F65903"/>
    <w:rsid w:val="00F66E2E"/>
    <w:rsid w:val="00F70CD1"/>
    <w:rsid w:val="00F74164"/>
    <w:rsid w:val="00F81601"/>
    <w:rsid w:val="00F83337"/>
    <w:rsid w:val="00F8482C"/>
    <w:rsid w:val="00F85E7E"/>
    <w:rsid w:val="00F87582"/>
    <w:rsid w:val="00F9130B"/>
    <w:rsid w:val="00F92D7F"/>
    <w:rsid w:val="00F9419C"/>
    <w:rsid w:val="00F958B6"/>
    <w:rsid w:val="00FA065C"/>
    <w:rsid w:val="00FA38AE"/>
    <w:rsid w:val="00FA4926"/>
    <w:rsid w:val="00FA609D"/>
    <w:rsid w:val="00FA7C96"/>
    <w:rsid w:val="00FB6663"/>
    <w:rsid w:val="00FC2E68"/>
    <w:rsid w:val="00FC355D"/>
    <w:rsid w:val="00FC3BBD"/>
    <w:rsid w:val="00FC7196"/>
    <w:rsid w:val="00FD0CF1"/>
    <w:rsid w:val="00FD234C"/>
    <w:rsid w:val="00FE1662"/>
    <w:rsid w:val="00FF2ECF"/>
    <w:rsid w:val="00FF53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E820C"/>
  <w15:chartTrackingRefBased/>
  <w15:docId w15:val="{22A14720-DBC6-4ABC-B2FC-7F2B853F6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50E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AB50EA"/>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B50EA"/>
    <w:rPr>
      <w:rFonts w:ascii="Times New Roman" w:eastAsia="Times New Roman" w:hAnsi="Times New Roman" w:cs="Times New Roman"/>
      <w:b/>
      <w:bCs/>
      <w:sz w:val="24"/>
      <w:szCs w:val="24"/>
    </w:rPr>
  </w:style>
  <w:style w:type="paragraph" w:styleId="Header">
    <w:name w:val="header"/>
    <w:basedOn w:val="Normal"/>
    <w:link w:val="HeaderChar"/>
    <w:uiPriority w:val="99"/>
    <w:rsid w:val="00AB50EA"/>
    <w:pPr>
      <w:tabs>
        <w:tab w:val="center" w:pos="4320"/>
        <w:tab w:val="right" w:pos="8640"/>
      </w:tabs>
    </w:pPr>
  </w:style>
  <w:style w:type="character" w:customStyle="1" w:styleId="HeaderChar">
    <w:name w:val="Header Char"/>
    <w:basedOn w:val="DefaultParagraphFont"/>
    <w:link w:val="Header"/>
    <w:uiPriority w:val="99"/>
    <w:rsid w:val="00AB50EA"/>
    <w:rPr>
      <w:rFonts w:ascii="Times New Roman" w:eastAsia="Times New Roman" w:hAnsi="Times New Roman" w:cs="Times New Roman"/>
      <w:sz w:val="24"/>
      <w:szCs w:val="24"/>
    </w:rPr>
  </w:style>
  <w:style w:type="character" w:styleId="CommentReference">
    <w:name w:val="annotation reference"/>
    <w:basedOn w:val="DefaultParagraphFont"/>
    <w:uiPriority w:val="99"/>
    <w:unhideWhenUsed/>
    <w:rsid w:val="00B56B3F"/>
    <w:rPr>
      <w:sz w:val="16"/>
      <w:szCs w:val="16"/>
    </w:rPr>
  </w:style>
  <w:style w:type="paragraph" w:styleId="CommentText">
    <w:name w:val="annotation text"/>
    <w:basedOn w:val="Normal"/>
    <w:link w:val="CommentTextChar"/>
    <w:uiPriority w:val="99"/>
    <w:unhideWhenUsed/>
    <w:rsid w:val="00B56B3F"/>
    <w:rPr>
      <w:sz w:val="20"/>
      <w:szCs w:val="20"/>
    </w:rPr>
  </w:style>
  <w:style w:type="character" w:customStyle="1" w:styleId="CommentTextChar">
    <w:name w:val="Comment Text Char"/>
    <w:basedOn w:val="DefaultParagraphFont"/>
    <w:link w:val="CommentText"/>
    <w:uiPriority w:val="99"/>
    <w:rsid w:val="00B56B3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56B3F"/>
    <w:rPr>
      <w:b/>
      <w:bCs/>
    </w:rPr>
  </w:style>
  <w:style w:type="character" w:customStyle="1" w:styleId="CommentSubjectChar">
    <w:name w:val="Comment Subject Char"/>
    <w:basedOn w:val="CommentTextChar"/>
    <w:link w:val="CommentSubject"/>
    <w:uiPriority w:val="99"/>
    <w:semiHidden/>
    <w:rsid w:val="00B56B3F"/>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56B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6B3F"/>
    <w:rPr>
      <w:rFonts w:ascii="Segoe UI" w:eastAsia="Times New Roman" w:hAnsi="Segoe UI" w:cs="Segoe UI"/>
      <w:sz w:val="18"/>
      <w:szCs w:val="18"/>
    </w:rPr>
  </w:style>
  <w:style w:type="paragraph" w:styleId="ListParagraph">
    <w:name w:val="List Paragraph"/>
    <w:basedOn w:val="Normal"/>
    <w:uiPriority w:val="34"/>
    <w:qFormat/>
    <w:rsid w:val="00B56B3F"/>
    <w:pPr>
      <w:ind w:left="720"/>
      <w:contextualSpacing/>
    </w:pPr>
  </w:style>
  <w:style w:type="paragraph" w:styleId="BodyTextIndent">
    <w:name w:val="Body Text Indent"/>
    <w:basedOn w:val="Normal"/>
    <w:link w:val="BodyTextIndentChar"/>
    <w:rsid w:val="00601E48"/>
    <w:pPr>
      <w:widowControl w:val="0"/>
      <w:tabs>
        <w:tab w:val="left" w:pos="-1440"/>
      </w:tabs>
      <w:autoSpaceDE w:val="0"/>
      <w:autoSpaceDN w:val="0"/>
      <w:adjustRightInd w:val="0"/>
      <w:ind w:left="720"/>
    </w:pPr>
  </w:style>
  <w:style w:type="character" w:customStyle="1" w:styleId="BodyTextIndentChar">
    <w:name w:val="Body Text Indent Char"/>
    <w:basedOn w:val="DefaultParagraphFont"/>
    <w:link w:val="BodyTextIndent"/>
    <w:rsid w:val="00601E48"/>
    <w:rPr>
      <w:rFonts w:ascii="Times New Roman" w:eastAsia="Times New Roman" w:hAnsi="Times New Roman" w:cs="Times New Roman"/>
      <w:sz w:val="24"/>
      <w:szCs w:val="24"/>
    </w:rPr>
  </w:style>
  <w:style w:type="paragraph" w:styleId="FootnoteText">
    <w:name w:val="footnote text"/>
    <w:basedOn w:val="Normal"/>
    <w:link w:val="FootnoteTextChar"/>
    <w:rsid w:val="008C4059"/>
    <w:rPr>
      <w:sz w:val="20"/>
      <w:szCs w:val="20"/>
    </w:rPr>
  </w:style>
  <w:style w:type="character" w:customStyle="1" w:styleId="FootnoteTextChar">
    <w:name w:val="Footnote Text Char"/>
    <w:basedOn w:val="DefaultParagraphFont"/>
    <w:link w:val="FootnoteText"/>
    <w:rsid w:val="008C4059"/>
    <w:rPr>
      <w:rFonts w:ascii="Times New Roman" w:eastAsia="Times New Roman" w:hAnsi="Times New Roman" w:cs="Times New Roman"/>
      <w:sz w:val="20"/>
      <w:szCs w:val="20"/>
    </w:rPr>
  </w:style>
  <w:style w:type="character" w:styleId="FootnoteReference">
    <w:name w:val="footnote reference"/>
    <w:basedOn w:val="DefaultParagraphFont"/>
    <w:uiPriority w:val="99"/>
    <w:qFormat/>
    <w:rsid w:val="008C4059"/>
    <w:rPr>
      <w:vertAlign w:val="superscript"/>
    </w:rPr>
  </w:style>
  <w:style w:type="paragraph" w:styleId="BodyText">
    <w:name w:val="Body Text"/>
    <w:basedOn w:val="Normal"/>
    <w:link w:val="BodyTextChar"/>
    <w:rsid w:val="008C4059"/>
    <w:pPr>
      <w:spacing w:after="120"/>
    </w:pPr>
  </w:style>
  <w:style w:type="character" w:customStyle="1" w:styleId="BodyTextChar">
    <w:name w:val="Body Text Char"/>
    <w:basedOn w:val="DefaultParagraphFont"/>
    <w:link w:val="BodyText"/>
    <w:rsid w:val="008C4059"/>
    <w:rPr>
      <w:rFonts w:ascii="Times New Roman" w:eastAsia="Times New Roman" w:hAnsi="Times New Roman" w:cs="Times New Roman"/>
      <w:sz w:val="24"/>
      <w:szCs w:val="24"/>
    </w:rPr>
  </w:style>
  <w:style w:type="character" w:styleId="Hyperlink">
    <w:name w:val="Hyperlink"/>
    <w:uiPriority w:val="99"/>
    <w:rsid w:val="009B5258"/>
    <w:rPr>
      <w:color w:val="0000FF"/>
      <w:u w:val="single"/>
    </w:rPr>
  </w:style>
  <w:style w:type="paragraph" w:customStyle="1" w:styleId="Default">
    <w:name w:val="Default"/>
    <w:rsid w:val="00FC355D"/>
    <w:pPr>
      <w:autoSpaceDE w:val="0"/>
      <w:autoSpaceDN w:val="0"/>
      <w:adjustRightInd w:val="0"/>
      <w:spacing w:after="0" w:line="240" w:lineRule="auto"/>
    </w:pPr>
    <w:rPr>
      <w:rFonts w:ascii="Times New Roman" w:hAnsi="Times New Roman" w:cs="Times New Roman"/>
      <w:color w:val="000000"/>
      <w:sz w:val="24"/>
      <w:szCs w:val="24"/>
    </w:rPr>
  </w:style>
  <w:style w:type="paragraph" w:styleId="Footer">
    <w:name w:val="footer"/>
    <w:basedOn w:val="Normal"/>
    <w:link w:val="FooterChar"/>
    <w:uiPriority w:val="99"/>
    <w:unhideWhenUsed/>
    <w:rsid w:val="00C04874"/>
    <w:pPr>
      <w:tabs>
        <w:tab w:val="center" w:pos="4680"/>
        <w:tab w:val="right" w:pos="9360"/>
      </w:tabs>
    </w:pPr>
  </w:style>
  <w:style w:type="character" w:customStyle="1" w:styleId="FooterChar">
    <w:name w:val="Footer Char"/>
    <w:basedOn w:val="DefaultParagraphFont"/>
    <w:link w:val="Footer"/>
    <w:uiPriority w:val="99"/>
    <w:rsid w:val="00C04874"/>
    <w:rPr>
      <w:rFonts w:ascii="Times New Roman" w:eastAsia="Times New Roman" w:hAnsi="Times New Roman" w:cs="Times New Roman"/>
      <w:sz w:val="24"/>
      <w:szCs w:val="24"/>
    </w:rPr>
  </w:style>
  <w:style w:type="table" w:styleId="TableGrid">
    <w:name w:val="Table Grid"/>
    <w:basedOn w:val="TableNormal"/>
    <w:uiPriority w:val="39"/>
    <w:rsid w:val="00A101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24802"/>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333713">
      <w:bodyDiv w:val="1"/>
      <w:marLeft w:val="0"/>
      <w:marRight w:val="0"/>
      <w:marTop w:val="0"/>
      <w:marBottom w:val="0"/>
      <w:divBdr>
        <w:top w:val="none" w:sz="0" w:space="0" w:color="auto"/>
        <w:left w:val="none" w:sz="0" w:space="0" w:color="auto"/>
        <w:bottom w:val="none" w:sz="0" w:space="0" w:color="auto"/>
        <w:right w:val="none" w:sz="0" w:space="0" w:color="auto"/>
      </w:divBdr>
    </w:div>
    <w:div w:id="259997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ol.gov/agencies/ebsa/laws-and-regulations/rules-and-regulations/public-comments/1210-AB90"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bls.gov/news.release/archives/ecec_03192019.pdf" TargetMode="External"/><Relationship Id="rId13" Type="http://schemas.openxmlformats.org/officeDocument/2006/relationships/hyperlink" Target="https://www.census.gov/data/Tables/2016/econ/asm/2016-asm.html" TargetMode="External"/><Relationship Id="rId18" Type="http://schemas.openxmlformats.org/officeDocument/2006/relationships/hyperlink" Target="https://www.bls.gov/emp/data/occupational-data.htm" TargetMode="External"/><Relationship Id="rId26" Type="http://schemas.openxmlformats.org/officeDocument/2006/relationships/hyperlink" Target="https://higherlogicdownload.s3.amazonaws.com/INVESTMENTADVISER/aa03843e-7981-46b2-aa49-c572f2ddb7e8/UploadedImages/publications/2018-Investment-Management_Compliance-Testing-Survey-Results-Webcast_pptx.pdf" TargetMode="External"/><Relationship Id="rId3" Type="http://schemas.openxmlformats.org/officeDocument/2006/relationships/hyperlink" Target="https://www.bls.gov/news.release/archives/ocwage_03292019.pdf" TargetMode="External"/><Relationship Id="rId21" Type="http://schemas.openxmlformats.org/officeDocument/2006/relationships/hyperlink" Target="https://www.census.gov/data/Tables/2016/econ/asm/2016-asm.html" TargetMode="External"/><Relationship Id="rId7" Type="http://schemas.openxmlformats.org/officeDocument/2006/relationships/hyperlink" Target="https://www.bls.gov/news.release/archives/ocwage_03292019.pdf" TargetMode="External"/><Relationship Id="rId12" Type="http://schemas.openxmlformats.org/officeDocument/2006/relationships/hyperlink" Target="https://www.bls.gov/news.release/archives/ecec_03192019.pdf" TargetMode="External"/><Relationship Id="rId17" Type="http://schemas.openxmlformats.org/officeDocument/2006/relationships/hyperlink" Target="https://www.census.gov/data/Tables/2016/econ/asm/2016-asm.html" TargetMode="External"/><Relationship Id="rId25" Type="http://schemas.openxmlformats.org/officeDocument/2006/relationships/hyperlink" Target="https://www.finra.org/rules-guidance/rulebooks/finra-rules/3130" TargetMode="External"/><Relationship Id="rId2" Type="http://schemas.openxmlformats.org/officeDocument/2006/relationships/hyperlink" Target="file:///C:/Users/LloydK/AppData/Local/Microsoft/Windows/INetCache/Content.Outlook/0GACC37T/www.govinfo.gov/content/pkg/FR-2019-07-12/pdf/2019-12164.pdf" TargetMode="External"/><Relationship Id="rId16" Type="http://schemas.openxmlformats.org/officeDocument/2006/relationships/hyperlink" Target="https://www.bls.gov/news.release/archives/ecec_03192019.pdf" TargetMode="External"/><Relationship Id="rId20" Type="http://schemas.openxmlformats.org/officeDocument/2006/relationships/hyperlink" Target="https://www.bls.gov/news.release/archives/ecec_03192019.pdf" TargetMode="External"/><Relationship Id="rId1" Type="http://schemas.openxmlformats.org/officeDocument/2006/relationships/hyperlink" Target="https://www.govinfo.gov/content/pkg/FR-2019-07-12/pdf/2019-12164.pdf" TargetMode="External"/><Relationship Id="rId6" Type="http://schemas.openxmlformats.org/officeDocument/2006/relationships/hyperlink" Target="https://www.bls.gov/emp/data/occupational-data.htm" TargetMode="External"/><Relationship Id="rId11" Type="http://schemas.openxmlformats.org/officeDocument/2006/relationships/hyperlink" Target="https://www.bls.gov/news.release/archives/ocwage_03292019.pdf" TargetMode="External"/><Relationship Id="rId24" Type="http://schemas.openxmlformats.org/officeDocument/2006/relationships/hyperlink" Target="https://www.finra.org/rules-guidance/rulebooks/finra-rules/3120" TargetMode="External"/><Relationship Id="rId5" Type="http://schemas.openxmlformats.org/officeDocument/2006/relationships/hyperlink" Target="https://www.census.gov/data/Tables/2016/econ/asm/2016-asm.html" TargetMode="External"/><Relationship Id="rId15" Type="http://schemas.openxmlformats.org/officeDocument/2006/relationships/hyperlink" Target="https://www.bls.gov/news.release/archives/ocwage_03292019.pdf" TargetMode="External"/><Relationship Id="rId23" Type="http://schemas.openxmlformats.org/officeDocument/2006/relationships/hyperlink" Target="https://www.finra.org/rules-guidance/rulebooks/finra-rules/3110" TargetMode="External"/><Relationship Id="rId10" Type="http://schemas.openxmlformats.org/officeDocument/2006/relationships/hyperlink" Target="https://www.bls.gov/emp/data/occupational-data.htm" TargetMode="External"/><Relationship Id="rId19" Type="http://schemas.openxmlformats.org/officeDocument/2006/relationships/hyperlink" Target="https://www.bls.gov/news.release/archives/ocwage_03292019.pdf" TargetMode="External"/><Relationship Id="rId4" Type="http://schemas.openxmlformats.org/officeDocument/2006/relationships/hyperlink" Target="https://www.bls.gov/news.release/archives/ecec_03192019.pdf" TargetMode="External"/><Relationship Id="rId9" Type="http://schemas.openxmlformats.org/officeDocument/2006/relationships/hyperlink" Target="https://www.census.gov/data/Tables/2016/econ/asm/2016-asm.html" TargetMode="External"/><Relationship Id="rId14" Type="http://schemas.openxmlformats.org/officeDocument/2006/relationships/hyperlink" Target="https://www.bls.gov/emp/data/occupational-data.htm" TargetMode="External"/><Relationship Id="rId22" Type="http://schemas.openxmlformats.org/officeDocument/2006/relationships/hyperlink" Target="https://www.bls.gov/emp/data/occupational-data.htm" TargetMode="External"/><Relationship Id="rId27" Type="http://schemas.openxmlformats.org/officeDocument/2006/relationships/hyperlink" Target="https://www.naic.org/store/free/MDL-27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69111648CCE841868FE85E89B9B60A" ma:contentTypeVersion="11" ma:contentTypeDescription="Create a new document." ma:contentTypeScope="" ma:versionID="613b5a2320db5c3e0d7e420e8430ffd4">
  <xsd:schema xmlns:xsd="http://www.w3.org/2001/XMLSchema" xmlns:xs="http://www.w3.org/2001/XMLSchema" xmlns:p="http://schemas.microsoft.com/office/2006/metadata/properties" xmlns:ns3="2a1ba486-ff2f-4459-80ac-1ab5aa17f82f" xmlns:ns4="2b487234-2a61-45b0-86e3-998bf12a0e9d" targetNamespace="http://schemas.microsoft.com/office/2006/metadata/properties" ma:root="true" ma:fieldsID="413657b30c181cac4259e4ccc2474f17" ns3:_="" ns4:_="">
    <xsd:import namespace="2a1ba486-ff2f-4459-80ac-1ab5aa17f82f"/>
    <xsd:import namespace="2b487234-2a61-45b0-86e3-998bf12a0e9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1ba486-ff2f-4459-80ac-1ab5aa17f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487234-2a61-45b0-86e3-998bf12a0e9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2b487234-2a61-45b0-86e3-998bf12a0e9d">
      <UserInfo>
        <DisplayName>Cosby, Chris - EBSA</DisplayName>
        <AccountId>88</AccountId>
        <AccountType/>
      </UserInfo>
      <UserInfo>
        <DisplayName>Poppe-Yanez, Gunnar - EBSA</DisplayName>
        <AccountId>844</AccountId>
        <AccountType/>
      </UserInfo>
      <UserInfo>
        <DisplayName>Lloyd, Karen - EBSA</DisplayName>
        <AccountId>172</AccountId>
        <AccountType/>
      </UserInfo>
      <UserInfo>
        <DisplayName>Lim, Youngok - EBSA</DisplayName>
        <AccountId>32</AccountId>
        <AccountType/>
      </UserInfo>
      <UserInfo>
        <DisplayName>Wilker, Susan - EBSA</DisplayName>
        <AccountId>571</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237D26-92BA-4D4D-B12D-ADE4B6A4FF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1ba486-ff2f-4459-80ac-1ab5aa17f82f"/>
    <ds:schemaRef ds:uri="2b487234-2a61-45b0-86e3-998bf12a0e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216A04-0ABF-428C-9A9E-2ACF5A9AEF0B}">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2b487234-2a61-45b0-86e3-998bf12a0e9d"/>
    <ds:schemaRef ds:uri="http://www.w3.org/XML/1998/namespace"/>
    <ds:schemaRef ds:uri="2a1ba486-ff2f-4459-80ac-1ab5aa17f82f"/>
    <ds:schemaRef ds:uri="http://purl.org/dc/dcmitype/"/>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A7D4B6E1-D43D-497E-998C-54750CC4791B}">
  <ds:schemaRefs>
    <ds:schemaRef ds:uri="http://schemas.microsoft.com/sharepoint/v3/contenttype/forms"/>
  </ds:schemaRefs>
</ds:datastoreItem>
</file>

<file path=customXml/itemProps4.xml><?xml version="1.0" encoding="utf-8"?>
<ds:datastoreItem xmlns:ds="http://schemas.openxmlformats.org/officeDocument/2006/customXml" ds:itemID="{A203C760-4506-47C3-A5C6-08BE229E13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5657</Words>
  <Characters>32251</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37833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Buyniski</dc:creator>
  <cp:keywords/>
  <dc:description/>
  <cp:lastModifiedBy>MSB</cp:lastModifiedBy>
  <cp:revision>5</cp:revision>
  <dcterms:created xsi:type="dcterms:W3CDTF">2020-12-16T19:08:00Z</dcterms:created>
  <dcterms:modified xsi:type="dcterms:W3CDTF">2020-12-16T19:25:00Z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0x0101007669111648CCE841868FE85E89B9B60A</vt:lpwstr>
  </property>
</Properties>
</file>