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1A97" w:rsidR="00B72A04" w:rsidP="00BC1AFB" w:rsidRDefault="00F92274" w14:paraId="44A1505E" w14:textId="301B4321">
      <w:pPr>
        <w:widowControl w:val="0"/>
        <w:autoSpaceDE w:val="0"/>
        <w:autoSpaceDN w:val="0"/>
        <w:adjustRightInd w:val="0"/>
        <w:jc w:val="center"/>
        <w:rPr>
          <w:b/>
        </w:rPr>
      </w:pPr>
      <w:bookmarkStart w:name="_GoBack" w:id="0"/>
      <w:bookmarkEnd w:id="0"/>
      <w:r>
        <w:rPr>
          <w:b/>
        </w:rPr>
        <w:t xml:space="preserve"> </w:t>
      </w:r>
      <w:r w:rsidRPr="00BB1A97" w:rsidR="00B72A04">
        <w:rPr>
          <w:b/>
        </w:rPr>
        <w:t>SUPPORTING STATEMENT FOR STATUTORY EXEMPTION FOR THE PROVISION OF INVESTMENT ADVICE TO PARTICIPANTS AND BENEFICIARIES OF SELF-DIRECTED INDIVIDUAL ACCOUNT PLANS AND IRAS</w:t>
      </w:r>
    </w:p>
    <w:p w:rsidR="00B72A04" w:rsidP="00BC1AFB" w:rsidRDefault="00B72A04" w14:paraId="7B950BE6" w14:textId="77777777">
      <w:pPr>
        <w:widowControl w:val="0"/>
        <w:autoSpaceDE w:val="0"/>
        <w:autoSpaceDN w:val="0"/>
        <w:adjustRightInd w:val="0"/>
        <w:jc w:val="center"/>
        <w:rPr>
          <w:b/>
        </w:rPr>
      </w:pPr>
    </w:p>
    <w:p w:rsidRPr="00B72A04" w:rsidR="00B72A04" w:rsidP="00BC1AFB" w:rsidRDefault="00B72A04" w14:paraId="1FF66A05" w14:textId="77777777">
      <w:pPr>
        <w:widowControl w:val="0"/>
        <w:autoSpaceDE w:val="0"/>
        <w:autoSpaceDN w:val="0"/>
        <w:adjustRightInd w:val="0"/>
        <w:jc w:val="center"/>
        <w:rPr>
          <w:b/>
        </w:rPr>
      </w:pPr>
      <w:r w:rsidRPr="00B72A04">
        <w:rPr>
          <w:b/>
        </w:rPr>
        <w:t>OMB Control Number 1210-0134</w:t>
      </w:r>
    </w:p>
    <w:p w:rsidR="00B72A04" w:rsidP="00964A1E" w:rsidRDefault="00B72A04" w14:paraId="4B4E1835" w14:textId="77777777">
      <w:pPr>
        <w:widowControl w:val="0"/>
        <w:autoSpaceDE w:val="0"/>
        <w:autoSpaceDN w:val="0"/>
        <w:adjustRightInd w:val="0"/>
        <w:rPr>
          <w:b/>
          <w:bCs/>
        </w:rPr>
      </w:pPr>
    </w:p>
    <w:p w:rsidRPr="00B72A04" w:rsidR="00B72A04" w:rsidP="00964A1E" w:rsidRDefault="00B72A04" w14:paraId="0E0393A8" w14:textId="77777777">
      <w:pPr>
        <w:widowControl w:val="0"/>
        <w:autoSpaceDE w:val="0"/>
        <w:autoSpaceDN w:val="0"/>
        <w:adjustRightInd w:val="0"/>
        <w:rPr>
          <w:b/>
          <w:bCs/>
        </w:rPr>
      </w:pPr>
      <w:r w:rsidRPr="00B72A04">
        <w:rPr>
          <w:b/>
          <w:bCs/>
        </w:rPr>
        <w:t>This ICR seeks to extend the collection of information under OMB Control Number 1210–</w:t>
      </w:r>
      <w:r>
        <w:rPr>
          <w:b/>
          <w:bCs/>
        </w:rPr>
        <w:t>0134.</w:t>
      </w:r>
    </w:p>
    <w:p w:rsidRPr="00F72C36" w:rsidR="004651B1" w:rsidP="00F72C36" w:rsidRDefault="004651B1" w14:paraId="3A4444CF" w14:textId="77777777">
      <w:pPr>
        <w:pStyle w:val="Quick1"/>
        <w:widowControl/>
        <w:numPr>
          <w:ilvl w:val="0"/>
          <w:numId w:val="0"/>
        </w:numPr>
        <w:tabs>
          <w:tab w:val="left" w:pos="-1440"/>
        </w:tabs>
        <w:ind w:left="720"/>
        <w:outlineLvl w:val="0"/>
        <w:rPr>
          <w:rFonts w:ascii="Times New Roman" w:hAnsi="Times New Roman"/>
          <w:color w:val="000000"/>
        </w:rPr>
      </w:pPr>
    </w:p>
    <w:p w:rsidRPr="003B0F56" w:rsidR="0043499E" w:rsidP="000C2A2F" w:rsidRDefault="00F3441B" w14:paraId="68109C8D" w14:textId="77777777">
      <w:pPr>
        <w:pStyle w:val="Quick1"/>
        <w:widowControl/>
        <w:numPr>
          <w:ilvl w:val="0"/>
          <w:numId w:val="17"/>
        </w:numPr>
        <w:tabs>
          <w:tab w:val="left" w:pos="-1440"/>
        </w:tabs>
        <w:ind w:left="810" w:hanging="810"/>
        <w:outlineLvl w:val="0"/>
        <w:rPr>
          <w:rFonts w:ascii="Times New Roman" w:hAnsi="Times New Roman"/>
          <w:b/>
          <w:color w:val="000000"/>
        </w:rPr>
      </w:pPr>
      <w:r w:rsidRPr="003B0F56">
        <w:rPr>
          <w:rFonts w:ascii="Times New Roman" w:hAnsi="Times New Roman"/>
          <w:b/>
          <w:color w:val="000000"/>
        </w:rPr>
        <w:t>JUSTIFICATION</w:t>
      </w:r>
    </w:p>
    <w:p w:rsidRPr="00F72C36" w:rsidR="0043499E" w:rsidP="00F72C36" w:rsidRDefault="0043499E" w14:paraId="6052C7E1" w14:textId="77777777">
      <w:pPr>
        <w:pStyle w:val="Quick1"/>
        <w:widowControl/>
        <w:numPr>
          <w:ilvl w:val="0"/>
          <w:numId w:val="0"/>
        </w:numPr>
        <w:tabs>
          <w:tab w:val="left" w:pos="-1440"/>
        </w:tabs>
        <w:ind w:left="720"/>
        <w:rPr>
          <w:rFonts w:ascii="Times New Roman" w:hAnsi="Times New Roman"/>
          <w:color w:val="000000"/>
        </w:rPr>
      </w:pPr>
    </w:p>
    <w:p w:rsidRPr="00F3441B" w:rsidR="0043499E" w:rsidP="00EF1667" w:rsidRDefault="0043499E" w14:paraId="62CAE9D6" w14:textId="77777777">
      <w:pPr>
        <w:pStyle w:val="Quick1"/>
        <w:widowControl/>
        <w:tabs>
          <w:tab w:val="left" w:pos="-1440"/>
          <w:tab w:val="num" w:pos="720"/>
        </w:tabs>
        <w:rPr>
          <w:rFonts w:ascii="Times New Roman" w:hAnsi="Times New Roman"/>
          <w:b/>
          <w:color w:val="000000"/>
        </w:rPr>
      </w:pPr>
      <w:r w:rsidRPr="00F3441B">
        <w:rPr>
          <w:rFonts w:ascii="Times New Roman" w:hAnsi="Times New Roman"/>
          <w:b/>
          <w:iCs/>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B0F56" w:rsidR="0043499E" w:rsidP="00F72C36" w:rsidRDefault="0043499E" w14:paraId="1D79B48D" w14:textId="77777777">
      <w:pPr>
        <w:pStyle w:val="Quick1"/>
        <w:widowControl/>
        <w:numPr>
          <w:ilvl w:val="0"/>
          <w:numId w:val="0"/>
        </w:numPr>
        <w:tabs>
          <w:tab w:val="left" w:pos="-1440"/>
        </w:tabs>
        <w:ind w:left="720"/>
        <w:rPr>
          <w:rFonts w:ascii="Times New Roman" w:hAnsi="Times New Roman"/>
          <w:color w:val="000000"/>
        </w:rPr>
      </w:pPr>
    </w:p>
    <w:p w:rsidRPr="003B0F56" w:rsidR="00484D5E" w:rsidP="00F72C36" w:rsidRDefault="00C72CBB" w14:paraId="611037B9" w14:textId="77777777">
      <w:pPr>
        <w:pStyle w:val="BodyText"/>
        <w:ind w:left="720"/>
        <w:rPr>
          <w:color w:val="000000"/>
          <w:szCs w:val="24"/>
        </w:rPr>
      </w:pPr>
      <w:r w:rsidRPr="003B0F56">
        <w:rPr>
          <w:color w:val="000000"/>
          <w:szCs w:val="24"/>
        </w:rPr>
        <w:t xml:space="preserve">Under ERISA, providing “investment advice” is a fiduciary act. </w:t>
      </w:r>
      <w:r w:rsidR="003134B3">
        <w:rPr>
          <w:color w:val="000000"/>
          <w:szCs w:val="24"/>
        </w:rPr>
        <w:t xml:space="preserve"> </w:t>
      </w:r>
      <w:r w:rsidRPr="003B0F56">
        <w:rPr>
          <w:color w:val="000000"/>
          <w:szCs w:val="24"/>
        </w:rPr>
        <w:t xml:space="preserve">A fiduciary who advises participants about plan investment opportunities that pay the adviser fees or commissions may be subject to liability under the Employee Retirement Income Security Act of 1974 (ERISA) prohibited transaction rules. </w:t>
      </w:r>
      <w:r w:rsidR="003134B3">
        <w:rPr>
          <w:color w:val="000000"/>
          <w:szCs w:val="24"/>
        </w:rPr>
        <w:t xml:space="preserve"> </w:t>
      </w:r>
      <w:r w:rsidRPr="003B0F56" w:rsidR="00484D5E">
        <w:rPr>
          <w:color w:val="000000"/>
          <w:szCs w:val="24"/>
        </w:rPr>
        <w:t>The Pension Protection Act of 2006 (Pub. L. 109-280) amended the ERISA and the Internal Revenue Code (Code) to include a statutory exemption for providing investment advice to participants and beneficiaries in self-directed defined contribution individual account ERISA-covered plans (Plans) and beneficiaries of individual retirement accounts, individual retirement annuities, Archer MSAs, health savings accounts and Coverdell education savings accounts (collectively IRAs) described in the Code.  The statutory exemption provides relief from the prohibited transaction provisions of ERISA, and the pa</w:t>
      </w:r>
      <w:r w:rsidRPr="003B0F56" w:rsidR="00EF1667">
        <w:rPr>
          <w:color w:val="000000"/>
          <w:szCs w:val="24"/>
        </w:rPr>
        <w:t>rallel provisions of the Code.</w:t>
      </w:r>
    </w:p>
    <w:p w:rsidRPr="003B0F56" w:rsidR="00151EC8" w:rsidP="00F72C36" w:rsidRDefault="00151EC8" w14:paraId="46369E61" w14:textId="77777777">
      <w:pPr>
        <w:ind w:left="720"/>
        <w:rPr>
          <w:color w:val="000000"/>
        </w:rPr>
      </w:pPr>
    </w:p>
    <w:p w:rsidRPr="003B0F56" w:rsidR="00151EC8" w:rsidP="00F72C36" w:rsidRDefault="00151EC8" w14:paraId="3866D7D7" w14:textId="52719681">
      <w:pPr>
        <w:ind w:left="720"/>
        <w:rPr>
          <w:color w:val="000000"/>
        </w:rPr>
      </w:pPr>
      <w:r w:rsidRPr="003B0F56">
        <w:rPr>
          <w:color w:val="000000"/>
        </w:rPr>
        <w:t xml:space="preserve">On January 21, 2009, the Department published in the </w:t>
      </w:r>
      <w:r w:rsidRPr="003B0F56">
        <w:rPr>
          <w:i/>
          <w:color w:val="000000"/>
        </w:rPr>
        <w:t>Federal Register</w:t>
      </w:r>
      <w:r w:rsidRPr="003B0F56">
        <w:rPr>
          <w:color w:val="000000"/>
        </w:rPr>
        <w:t xml:space="preserve"> final rules implementing section 408(b)(14) and 408(g) of ERISA, and the parallel provisions in the Code.  The final rules also included an administrative class exemption, adopted pursuant to ERISA section 408(a), granting additional prohibited transaction relief.  The effective and applicability dates of the final rules, originally set for March 23, 2009, subsequently were delayed to allow the Department to solicit and review comments from interested persons on legal and policy issues raised under the final rules.  Based on a consideration of the concerns raised by commenters as to whether the conditions of the class exemption would be adequate to mitigate advisers’ conflicts, the Department decided to withdraw the final rule.  Notice of the withdrawal of the final rule was published in the </w:t>
      </w:r>
      <w:r w:rsidRPr="003B0F56">
        <w:rPr>
          <w:i/>
          <w:color w:val="000000"/>
        </w:rPr>
        <w:t>Federal Register</w:t>
      </w:r>
      <w:r w:rsidRPr="003B0F56">
        <w:rPr>
          <w:color w:val="000000"/>
        </w:rPr>
        <w:t xml:space="preserve"> on November 20, 2009 (74 FR 60156).</w:t>
      </w:r>
    </w:p>
    <w:p w:rsidRPr="003B0F56" w:rsidR="00151EC8" w:rsidP="00F72C36" w:rsidRDefault="00151EC8" w14:paraId="5C731C75" w14:textId="77777777">
      <w:pPr>
        <w:ind w:left="720"/>
        <w:rPr>
          <w:color w:val="000000"/>
        </w:rPr>
      </w:pPr>
    </w:p>
    <w:p w:rsidRPr="003B0F56" w:rsidR="00CD2BA4" w:rsidP="00F72C36" w:rsidRDefault="00151EC8" w14:paraId="4717AE0A" w14:textId="18910856">
      <w:pPr>
        <w:ind w:left="720"/>
        <w:rPr>
          <w:color w:val="000000"/>
        </w:rPr>
      </w:pPr>
      <w:r w:rsidRPr="003B0F56">
        <w:rPr>
          <w:color w:val="000000"/>
        </w:rPr>
        <w:t xml:space="preserve">On March 2, 2010, the Department published in the </w:t>
      </w:r>
      <w:r w:rsidRPr="003B0F56">
        <w:rPr>
          <w:i/>
          <w:color w:val="000000"/>
        </w:rPr>
        <w:t>Federal Register</w:t>
      </w:r>
      <w:r w:rsidRPr="003B0F56">
        <w:rPr>
          <w:color w:val="000000"/>
        </w:rPr>
        <w:t xml:space="preserve"> new proposed regulations that implement the statutory prohibited transaction exemption under ERISA sections 408(b)(14) and 408(g), and the parallel provisions in the Code (75 FR 9360).  In response to the proposal, the Department received 74 comment letters. </w:t>
      </w:r>
      <w:r w:rsidR="00EE3C89">
        <w:rPr>
          <w:color w:val="000000"/>
        </w:rPr>
        <w:t xml:space="preserve"> </w:t>
      </w:r>
      <w:r w:rsidRPr="003B0F56" w:rsidR="00522160">
        <w:rPr>
          <w:color w:val="000000"/>
        </w:rPr>
        <w:t xml:space="preserve">On October 25, 2011, the DOL issued final regulations which state that a financial services firm, such as </w:t>
      </w:r>
      <w:r w:rsidRPr="003B0F56" w:rsidR="00522160">
        <w:rPr>
          <w:color w:val="000000"/>
        </w:rPr>
        <w:lastRenderedPageBreak/>
        <w:t xml:space="preserve">a registered investment adviser, bank, or registered broker-dealer, may provide advice on investments in its proprietary investment products, or on other investments that would result in fees or other payments to the firm, if the firm complies with a fee-leveling requirement or the advice is furnished using a certified computer model. </w:t>
      </w:r>
      <w:r w:rsidR="00D45927">
        <w:rPr>
          <w:color w:val="000000"/>
        </w:rPr>
        <w:t xml:space="preserve"> </w:t>
      </w:r>
      <w:r w:rsidRPr="003B0F56" w:rsidR="00522160">
        <w:rPr>
          <w:color w:val="000000"/>
        </w:rPr>
        <w:t xml:space="preserve">The final regulations became effective on December 27, 2011.  </w:t>
      </w:r>
    </w:p>
    <w:p w:rsidRPr="003B0F56" w:rsidR="00151EC8" w:rsidP="00F72C36" w:rsidRDefault="00151EC8" w14:paraId="727C80EF" w14:textId="77777777">
      <w:pPr>
        <w:ind w:left="720"/>
        <w:rPr>
          <w:color w:val="000000"/>
        </w:rPr>
      </w:pPr>
    </w:p>
    <w:p w:rsidRPr="003B0F56" w:rsidR="00484D5E" w:rsidP="00F72C36" w:rsidRDefault="00CD2BA4" w14:paraId="2D6B3FB8" w14:textId="30E026EE">
      <w:pPr>
        <w:ind w:left="720"/>
        <w:rPr>
          <w:color w:val="000000"/>
        </w:rPr>
      </w:pPr>
      <w:r w:rsidRPr="003B0F56">
        <w:rPr>
          <w:color w:val="000000"/>
        </w:rPr>
        <w:t xml:space="preserve">The </w:t>
      </w:r>
      <w:r w:rsidRPr="003B0F56" w:rsidR="00151EC8">
        <w:rPr>
          <w:color w:val="000000"/>
        </w:rPr>
        <w:t xml:space="preserve">final </w:t>
      </w:r>
      <w:r w:rsidRPr="003B0F56" w:rsidR="00EB2A56">
        <w:rPr>
          <w:color w:val="000000"/>
        </w:rPr>
        <w:t xml:space="preserve">regulations </w:t>
      </w:r>
      <w:r w:rsidR="00EB2A56">
        <w:rPr>
          <w:color w:val="000000"/>
        </w:rPr>
        <w:t>require</w:t>
      </w:r>
      <w:r w:rsidRPr="003B0F56" w:rsidR="00484D5E">
        <w:rPr>
          <w:color w:val="000000"/>
        </w:rPr>
        <w:t xml:space="preserve"> the following collections of information:</w:t>
      </w:r>
    </w:p>
    <w:p w:rsidRPr="003B0F56" w:rsidR="00484D5E" w:rsidP="00F72C36" w:rsidRDefault="00484D5E" w14:paraId="06784918" w14:textId="77777777">
      <w:pPr>
        <w:pStyle w:val="BodyText"/>
        <w:ind w:left="720"/>
        <w:rPr>
          <w:color w:val="000000"/>
          <w:szCs w:val="24"/>
        </w:rPr>
      </w:pPr>
    </w:p>
    <w:p w:rsidRPr="003B0F56" w:rsidR="00484D5E" w:rsidP="00A45FFA" w:rsidRDefault="00484D5E" w14:paraId="4F98C9A0" w14:textId="77777777">
      <w:pPr>
        <w:pStyle w:val="BodyText"/>
        <w:numPr>
          <w:ilvl w:val="0"/>
          <w:numId w:val="13"/>
        </w:numPr>
        <w:ind w:left="1440" w:hanging="720"/>
        <w:rPr>
          <w:b/>
          <w:color w:val="000000"/>
          <w:szCs w:val="24"/>
          <w:u w:val="single"/>
        </w:rPr>
      </w:pPr>
      <w:r w:rsidRPr="003B0F56">
        <w:rPr>
          <w:b/>
          <w:color w:val="000000"/>
          <w:szCs w:val="24"/>
          <w:u w:val="single"/>
        </w:rPr>
        <w:t>Disclosures to Plan Participants and to IRA Participants</w:t>
      </w:r>
      <w:r w:rsidRPr="003B0F56" w:rsidR="00DD03D3">
        <w:rPr>
          <w:b/>
          <w:color w:val="000000"/>
          <w:szCs w:val="24"/>
          <w:u w:val="single"/>
        </w:rPr>
        <w:t xml:space="preserve"> </w:t>
      </w:r>
      <w:r w:rsidRPr="003B0F56" w:rsidR="00DD03D3">
        <w:rPr>
          <w:i/>
          <w:color w:val="000000"/>
          <w:szCs w:val="24"/>
          <w:u w:val="single"/>
        </w:rPr>
        <w:t>[Section 2550.408g-1(b)(7)]</w:t>
      </w:r>
    </w:p>
    <w:p w:rsidRPr="003B0F56" w:rsidR="00484D5E" w:rsidP="00F72C36" w:rsidRDefault="00484D5E" w14:paraId="337BE9E6" w14:textId="77777777">
      <w:pPr>
        <w:pStyle w:val="BodyText"/>
        <w:ind w:left="720"/>
        <w:rPr>
          <w:b/>
          <w:color w:val="000000"/>
          <w:szCs w:val="24"/>
          <w:u w:val="single"/>
        </w:rPr>
      </w:pPr>
    </w:p>
    <w:p w:rsidRPr="003B0F56" w:rsidR="00484D5E" w:rsidP="00A45FFA" w:rsidRDefault="00484D5E" w14:paraId="33C8F02D" w14:textId="77777777">
      <w:pPr>
        <w:ind w:left="1440"/>
        <w:outlineLvl w:val="0"/>
        <w:rPr>
          <w:color w:val="000000"/>
          <w:u w:val="single"/>
        </w:rPr>
      </w:pPr>
      <w:r w:rsidRPr="003B0F56">
        <w:rPr>
          <w:color w:val="000000"/>
          <w:u w:val="single"/>
        </w:rPr>
        <w:t>Initial Disclosures</w:t>
      </w:r>
    </w:p>
    <w:p w:rsidRPr="003B0F56" w:rsidR="00484D5E" w:rsidP="00F72C36" w:rsidRDefault="00484D5E" w14:paraId="3EB2BD19" w14:textId="77777777">
      <w:pPr>
        <w:ind w:left="720"/>
        <w:rPr>
          <w:color w:val="000000"/>
        </w:rPr>
      </w:pPr>
    </w:p>
    <w:p w:rsidRPr="003B0F56" w:rsidR="00484D5E" w:rsidP="00F72C36" w:rsidRDefault="00484D5E" w14:paraId="6A0D3E3F" w14:textId="1E5EC827">
      <w:pPr>
        <w:ind w:left="720"/>
        <w:rPr>
          <w:color w:val="000000"/>
        </w:rPr>
      </w:pPr>
      <w:r w:rsidRPr="003B0F56">
        <w:rPr>
          <w:color w:val="000000"/>
        </w:rPr>
        <w:t xml:space="preserve">In general, under section 2550.408(g)-1(b)(7), a fiduciary adviser </w:t>
      </w:r>
      <w:r w:rsidRPr="003B0F56" w:rsidR="002F5B15">
        <w:rPr>
          <w:color w:val="000000"/>
        </w:rPr>
        <w:t xml:space="preserve">must </w:t>
      </w:r>
      <w:r w:rsidRPr="003B0F56">
        <w:rPr>
          <w:color w:val="000000"/>
        </w:rPr>
        <w:t xml:space="preserve">furnish detailed information to a </w:t>
      </w:r>
      <w:r w:rsidR="00CD546B">
        <w:rPr>
          <w:color w:val="000000"/>
        </w:rPr>
        <w:t>p</w:t>
      </w:r>
      <w:r w:rsidRPr="003B0F56">
        <w:rPr>
          <w:color w:val="000000"/>
        </w:rPr>
        <w:t>articipant about an advice arrangement before initially providing investment advice.  The information includes the following: the relationship between the adviser and the parties that developed the investment advice arrangement or selected the investment options available under the Plan or IRA; to the extent such information is not otherwise provided, the past performance and historical rates of return of investments available under the Plan or IRA; all fees and other compensation the fiduciary adviser or any affiliate is to receive in connection with the provision of investment advice or in connection with the investment; the fiduciary adviser’s material relationship, if any, to any investment under the arrangement; the types of services the fiduciary adviser provides in connection with the provision of investment advice; the manner in which Participant information may be used or disclosed; an acknowledgement that the fiduciary adviser is acting as a fiduciary of the Plan or IRA in connection with providing the investment advice; and notice that the recipient of the advice may separately arrange for advice from another adviser that could have no relationship to, and receive no fees in connection with, the investments.  If applicable, the fiduciary adviser also furnishes in writing to the Plan fiduciary an election, as permitted under the regulation, to be treated as the sole fiduciary providing investment advice through the use of a computer model to an ERISA-covered Plan Participant.</w:t>
      </w:r>
    </w:p>
    <w:p w:rsidRPr="003B0F56" w:rsidR="00484D5E" w:rsidP="00F72C36" w:rsidRDefault="00484D5E" w14:paraId="1919F2BF" w14:textId="77777777">
      <w:pPr>
        <w:pStyle w:val="BodyText"/>
        <w:ind w:left="720"/>
        <w:rPr>
          <w:color w:val="000000"/>
          <w:szCs w:val="24"/>
        </w:rPr>
      </w:pPr>
    </w:p>
    <w:p w:rsidRPr="003B0F56" w:rsidR="00484D5E" w:rsidP="00DD03D3" w:rsidRDefault="00484D5E" w14:paraId="13824688" w14:textId="77777777">
      <w:pPr>
        <w:pStyle w:val="BodyText"/>
        <w:ind w:left="1440"/>
        <w:outlineLvl w:val="0"/>
        <w:rPr>
          <w:color w:val="000000"/>
          <w:szCs w:val="24"/>
        </w:rPr>
      </w:pPr>
      <w:r w:rsidRPr="003B0F56">
        <w:rPr>
          <w:color w:val="000000"/>
          <w:szCs w:val="24"/>
          <w:u w:val="single"/>
        </w:rPr>
        <w:t>Subsequent Disclosures (at least annual/material changes)</w:t>
      </w:r>
    </w:p>
    <w:p w:rsidRPr="003B0F56" w:rsidR="00484D5E" w:rsidP="001568BC" w:rsidRDefault="00484D5E" w14:paraId="07D88B47" w14:textId="77777777">
      <w:pPr>
        <w:pStyle w:val="BodyText"/>
        <w:ind w:left="720"/>
        <w:rPr>
          <w:color w:val="000000"/>
          <w:szCs w:val="24"/>
        </w:rPr>
      </w:pPr>
    </w:p>
    <w:p w:rsidRPr="003B0F56" w:rsidR="00484D5E" w:rsidP="001568BC" w:rsidRDefault="00484D5E" w14:paraId="1963DB4B" w14:textId="77777777">
      <w:pPr>
        <w:pStyle w:val="BodyText"/>
        <w:ind w:left="720"/>
        <w:rPr>
          <w:color w:val="000000"/>
          <w:szCs w:val="24"/>
        </w:rPr>
      </w:pPr>
      <w:r w:rsidRPr="003B0F56">
        <w:rPr>
          <w:color w:val="000000"/>
          <w:szCs w:val="24"/>
        </w:rPr>
        <w:t>After the initial disclosures, 2550.408g-1(</w:t>
      </w:r>
      <w:r w:rsidRPr="003B0F56" w:rsidR="00310AD2">
        <w:rPr>
          <w:color w:val="000000"/>
          <w:szCs w:val="24"/>
        </w:rPr>
        <w:t>b</w:t>
      </w:r>
      <w:r w:rsidRPr="003B0F56">
        <w:rPr>
          <w:color w:val="000000"/>
          <w:szCs w:val="24"/>
        </w:rPr>
        <w:t>)(7)(iv)</w:t>
      </w:r>
      <w:r w:rsidRPr="003B0F56" w:rsidR="00310AD2">
        <w:rPr>
          <w:color w:val="000000"/>
          <w:szCs w:val="24"/>
        </w:rPr>
        <w:t>(B) and (C)</w:t>
      </w:r>
      <w:r w:rsidRPr="003B0F56">
        <w:rPr>
          <w:color w:val="000000"/>
          <w:szCs w:val="24"/>
        </w:rPr>
        <w:t xml:space="preserve"> require the fiduciary adviser to provide the same initial information at least annually or upon Participant request.  If there is any material change to the information, the fiduciary adviser </w:t>
      </w:r>
      <w:r w:rsidRPr="003B0F56" w:rsidR="002F5B15">
        <w:rPr>
          <w:color w:val="000000"/>
          <w:szCs w:val="24"/>
        </w:rPr>
        <w:t xml:space="preserve">must </w:t>
      </w:r>
      <w:r w:rsidRPr="003B0F56">
        <w:rPr>
          <w:color w:val="000000"/>
          <w:szCs w:val="24"/>
        </w:rPr>
        <w:t>inform the Participant of the</w:t>
      </w:r>
      <w:r w:rsidRPr="003B0F56" w:rsidR="00D02B65">
        <w:rPr>
          <w:color w:val="000000"/>
          <w:szCs w:val="24"/>
        </w:rPr>
        <w:t xml:space="preserve"> </w:t>
      </w:r>
      <w:r w:rsidRPr="003B0F56">
        <w:rPr>
          <w:color w:val="000000"/>
          <w:szCs w:val="24"/>
        </w:rPr>
        <w:t>change.  If the computer model is materially changed, the fiduciary adviser must obtain a new certification of compliance with the regulation’s criteria from an eligible expert, as described below.</w:t>
      </w:r>
    </w:p>
    <w:p w:rsidRPr="003B0F56" w:rsidR="00484D5E" w:rsidP="001568BC" w:rsidRDefault="00484D5E" w14:paraId="26E07E13" w14:textId="77777777">
      <w:pPr>
        <w:pStyle w:val="BodyText"/>
        <w:ind w:left="720"/>
        <w:rPr>
          <w:color w:val="000000"/>
          <w:szCs w:val="24"/>
        </w:rPr>
      </w:pPr>
    </w:p>
    <w:p w:rsidRPr="003B0F56" w:rsidR="00484D5E" w:rsidP="001568BC" w:rsidRDefault="00484D5E" w14:paraId="0D5170BA" w14:textId="77777777">
      <w:pPr>
        <w:pStyle w:val="BodyText"/>
        <w:ind w:left="720"/>
        <w:rPr>
          <w:color w:val="000000"/>
          <w:szCs w:val="24"/>
        </w:rPr>
      </w:pPr>
      <w:r w:rsidRPr="003B0F56">
        <w:rPr>
          <w:color w:val="000000"/>
          <w:szCs w:val="24"/>
        </w:rPr>
        <w:t>Section 2550.408g-</w:t>
      </w:r>
      <w:r w:rsidRPr="003B0F56" w:rsidR="00310AD2">
        <w:rPr>
          <w:color w:val="000000"/>
          <w:szCs w:val="24"/>
        </w:rPr>
        <w:t>1(b)(6)</w:t>
      </w:r>
      <w:r w:rsidRPr="003B0F56">
        <w:rPr>
          <w:color w:val="000000"/>
          <w:szCs w:val="24"/>
        </w:rPr>
        <w:t xml:space="preserve"> requires any fiduciary adviser relying on the regulation to engage, at least annually, an independent auditor to conduct an audit of the investment advice arrangement for compliance with the regulation.  The fiduciary adviser must issue </w:t>
      </w:r>
      <w:r w:rsidRPr="003B0F56">
        <w:rPr>
          <w:color w:val="000000"/>
          <w:szCs w:val="24"/>
        </w:rPr>
        <w:lastRenderedPageBreak/>
        <w:t>a written report to a fiduciary of each Plan and each IRA Participant who authorized the use of the investment advice arrangement setting forth the auditor’s findings.  With respect to an IRA, the fiduciary adviser may instead make the report available on its website.  In addition, if the audit report finds noncompliance with respect to an IRA, the fiduciary adviser must send a copy to the U.S. Department of Labor within 30 days of receipt.</w:t>
      </w:r>
    </w:p>
    <w:p w:rsidRPr="003B0F56" w:rsidR="00484D5E" w:rsidP="001568BC" w:rsidRDefault="00484D5E" w14:paraId="085E5089" w14:textId="77777777">
      <w:pPr>
        <w:pStyle w:val="BodyText"/>
        <w:ind w:left="720"/>
        <w:rPr>
          <w:color w:val="000000"/>
          <w:szCs w:val="24"/>
        </w:rPr>
      </w:pPr>
    </w:p>
    <w:p w:rsidRPr="003B0F56" w:rsidR="00484D5E" w:rsidP="007C380C" w:rsidRDefault="00484D5E" w14:paraId="25445DC1" w14:textId="77777777">
      <w:pPr>
        <w:pStyle w:val="BodyText"/>
        <w:numPr>
          <w:ilvl w:val="0"/>
          <w:numId w:val="13"/>
        </w:numPr>
        <w:ind w:left="1440" w:hanging="720"/>
        <w:rPr>
          <w:b/>
          <w:color w:val="000000"/>
          <w:szCs w:val="24"/>
          <w:u w:val="single"/>
        </w:rPr>
      </w:pPr>
      <w:r w:rsidRPr="003B0F56">
        <w:rPr>
          <w:b/>
          <w:color w:val="000000"/>
          <w:szCs w:val="24"/>
          <w:u w:val="single"/>
        </w:rPr>
        <w:t xml:space="preserve">Independent Certification </w:t>
      </w:r>
      <w:r w:rsidRPr="003B0F56">
        <w:rPr>
          <w:i/>
          <w:color w:val="000000"/>
          <w:szCs w:val="24"/>
          <w:u w:val="single"/>
        </w:rPr>
        <w:t>[Section 2550.408g-1(b)(4)(ii)]</w:t>
      </w:r>
    </w:p>
    <w:p w:rsidRPr="003B0F56" w:rsidR="00484D5E" w:rsidP="001568BC" w:rsidRDefault="00484D5E" w14:paraId="4ACD819D" w14:textId="77777777">
      <w:pPr>
        <w:pStyle w:val="BodyText"/>
        <w:ind w:left="720"/>
        <w:rPr>
          <w:b/>
          <w:color w:val="000000"/>
          <w:szCs w:val="24"/>
          <w:u w:val="single"/>
        </w:rPr>
      </w:pPr>
    </w:p>
    <w:p w:rsidRPr="003B0F56" w:rsidR="00484D5E" w:rsidP="001568BC" w:rsidRDefault="00484D5E" w14:paraId="48F24F55" w14:textId="77777777">
      <w:pPr>
        <w:pStyle w:val="BodyText"/>
        <w:ind w:left="720"/>
        <w:rPr>
          <w:b/>
          <w:color w:val="000000"/>
          <w:szCs w:val="24"/>
          <w:u w:val="single"/>
        </w:rPr>
      </w:pPr>
      <w:r w:rsidRPr="003B0F56">
        <w:rPr>
          <w:color w:val="000000"/>
          <w:szCs w:val="24"/>
        </w:rPr>
        <w:t>If the fiduciary adviser provides the investment advice through the use of a computer model, then before providing the advice, the fiduciary adviser must obtain the written certification of an eligible investment expert as to the computer model’s compliance with certain standards (e.g., applies generally accepted investment theories, unbiased operation, objective criteria) set forth in the regulation.</w:t>
      </w:r>
    </w:p>
    <w:p w:rsidRPr="003B0F56" w:rsidR="00372AE1" w:rsidP="001568BC" w:rsidRDefault="00372AE1" w14:paraId="12DA4DEB" w14:textId="77777777">
      <w:pPr>
        <w:pStyle w:val="BodyText"/>
        <w:ind w:left="720"/>
        <w:rPr>
          <w:color w:val="000000"/>
          <w:szCs w:val="24"/>
        </w:rPr>
      </w:pPr>
    </w:p>
    <w:p w:rsidRPr="003B0F56" w:rsidR="00484D5E" w:rsidP="0021152E" w:rsidRDefault="00484D5E" w14:paraId="5BEBE246" w14:textId="77777777">
      <w:pPr>
        <w:pStyle w:val="BodyText"/>
        <w:numPr>
          <w:ilvl w:val="0"/>
          <w:numId w:val="13"/>
        </w:numPr>
        <w:ind w:left="1440" w:hanging="720"/>
        <w:rPr>
          <w:b/>
          <w:color w:val="000000"/>
          <w:szCs w:val="24"/>
          <w:u w:val="single"/>
        </w:rPr>
      </w:pPr>
      <w:r w:rsidRPr="003B0F56">
        <w:rPr>
          <w:b/>
          <w:color w:val="000000"/>
          <w:szCs w:val="24"/>
          <w:u w:val="single"/>
        </w:rPr>
        <w:t xml:space="preserve">Recordkeeping Requirements </w:t>
      </w:r>
      <w:r w:rsidRPr="003B0F56">
        <w:rPr>
          <w:i/>
          <w:color w:val="000000"/>
          <w:szCs w:val="24"/>
          <w:u w:val="single"/>
        </w:rPr>
        <w:t>[Section 2550.408g-1</w:t>
      </w:r>
      <w:r w:rsidRPr="003B0F56" w:rsidR="00B60AA6">
        <w:rPr>
          <w:i/>
          <w:color w:val="000000"/>
          <w:szCs w:val="24"/>
          <w:u w:val="single"/>
        </w:rPr>
        <w:t>(</w:t>
      </w:r>
      <w:r w:rsidRPr="003B0F56" w:rsidR="00E647BA">
        <w:rPr>
          <w:i/>
          <w:color w:val="000000"/>
          <w:szCs w:val="24"/>
          <w:u w:val="single"/>
        </w:rPr>
        <w:t>d</w:t>
      </w:r>
      <w:r w:rsidRPr="003B0F56">
        <w:rPr>
          <w:i/>
          <w:color w:val="000000"/>
          <w:szCs w:val="24"/>
          <w:u w:val="single"/>
        </w:rPr>
        <w:t>)]</w:t>
      </w:r>
    </w:p>
    <w:p w:rsidRPr="003B0F56" w:rsidR="00484D5E" w:rsidP="001568BC" w:rsidRDefault="00484D5E" w14:paraId="03547039" w14:textId="77777777">
      <w:pPr>
        <w:pStyle w:val="BodyText"/>
        <w:ind w:left="720"/>
        <w:rPr>
          <w:b/>
          <w:color w:val="000000"/>
          <w:szCs w:val="24"/>
          <w:u w:val="single"/>
        </w:rPr>
      </w:pPr>
    </w:p>
    <w:p w:rsidRPr="003B0F56" w:rsidR="00484D5E" w:rsidP="001568BC" w:rsidRDefault="00484D5E" w14:paraId="5961F78C" w14:textId="77777777">
      <w:pPr>
        <w:pStyle w:val="BodyText"/>
        <w:ind w:left="720"/>
        <w:rPr>
          <w:color w:val="000000"/>
          <w:szCs w:val="24"/>
        </w:rPr>
      </w:pPr>
      <w:r w:rsidRPr="003B0F56">
        <w:rPr>
          <w:color w:val="000000"/>
          <w:szCs w:val="24"/>
        </w:rPr>
        <w:t>Consistent with the statutory exemption, the final regulation requires fiduciary advisers to maintain records with respect to the investment advice provided in reliance on the regulation necessary to determine whether the applicable requirements of the regulation have been satisfied.  In addition to records of the disclosures described above, the fiduciary adviser must maintain records necessary to determine, among other things, that an independent fiduciary has provided express authorization of the arrangement under which the investment advice is provided, that an independent expert has provided the requisite certification, that the compensation to the fiduciary adviser and its affiliates in connection with the investments is reasonable, that the terms of the purchase, sale, or holding of the investment are at least as favorable to the Plan or IRA as those in an arm’s length transactions would be, and that in cases where the advice is not provided through the use of a computer model, the compensation of the fiduciary adviser is not affected by the particular investments with respect to which the investment advice is provided.</w:t>
      </w:r>
    </w:p>
    <w:p w:rsidRPr="003B0F56" w:rsidR="00484D5E" w:rsidP="001568BC" w:rsidRDefault="00484D5E" w14:paraId="1E62A296" w14:textId="77777777">
      <w:pPr>
        <w:pStyle w:val="BodyText"/>
        <w:ind w:left="720"/>
        <w:rPr>
          <w:color w:val="000000"/>
          <w:szCs w:val="24"/>
        </w:rPr>
      </w:pPr>
    </w:p>
    <w:p w:rsidRPr="003B0F56" w:rsidR="00484D5E" w:rsidP="0021152E" w:rsidRDefault="00484D5E" w14:paraId="49040E1D" w14:textId="77777777">
      <w:pPr>
        <w:pStyle w:val="BodyText"/>
        <w:tabs>
          <w:tab w:val="left" w:pos="360"/>
        </w:tabs>
        <w:ind w:left="1440" w:hanging="720"/>
        <w:rPr>
          <w:b/>
          <w:color w:val="000000"/>
          <w:szCs w:val="24"/>
        </w:rPr>
      </w:pPr>
      <w:r w:rsidRPr="003B0F56">
        <w:rPr>
          <w:b/>
          <w:color w:val="000000"/>
          <w:szCs w:val="24"/>
        </w:rPr>
        <w:t>d.</w:t>
      </w:r>
      <w:r w:rsidRPr="003B0F56">
        <w:rPr>
          <w:b/>
          <w:color w:val="000000"/>
          <w:szCs w:val="24"/>
        </w:rPr>
        <w:tab/>
      </w:r>
      <w:r w:rsidRPr="003B0F56">
        <w:rPr>
          <w:b/>
          <w:color w:val="000000"/>
          <w:szCs w:val="24"/>
          <w:u w:val="single"/>
        </w:rPr>
        <w:t>Audit Requirement</w:t>
      </w:r>
      <w:r w:rsidRPr="003B0F56">
        <w:rPr>
          <w:b/>
          <w:i/>
          <w:color w:val="000000"/>
          <w:szCs w:val="24"/>
          <w:u w:val="single"/>
        </w:rPr>
        <w:t xml:space="preserve"> </w:t>
      </w:r>
      <w:r w:rsidRPr="003B0F56">
        <w:rPr>
          <w:i/>
          <w:color w:val="000000"/>
          <w:szCs w:val="24"/>
          <w:u w:val="single"/>
        </w:rPr>
        <w:t>[Section 2550.408g-1(b)(6)]</w:t>
      </w:r>
    </w:p>
    <w:p w:rsidRPr="003B0F56" w:rsidR="00484D5E" w:rsidP="001568BC" w:rsidRDefault="00484D5E" w14:paraId="3B9E3C29" w14:textId="77777777">
      <w:pPr>
        <w:pStyle w:val="Quick1"/>
        <w:widowControl/>
        <w:numPr>
          <w:ilvl w:val="0"/>
          <w:numId w:val="0"/>
        </w:numPr>
        <w:tabs>
          <w:tab w:val="left" w:pos="-1440"/>
        </w:tabs>
        <w:ind w:left="720"/>
        <w:rPr>
          <w:rFonts w:ascii="Times New Roman" w:hAnsi="Times New Roman"/>
          <w:b/>
          <w:color w:val="000000"/>
        </w:rPr>
      </w:pPr>
    </w:p>
    <w:p w:rsidRPr="003B0F56" w:rsidR="00484D5E" w:rsidP="001568BC" w:rsidRDefault="00484D5E" w14:paraId="4076D1A1" w14:textId="77777777">
      <w:pPr>
        <w:pStyle w:val="BodyText"/>
        <w:ind w:left="720"/>
        <w:rPr>
          <w:b/>
          <w:color w:val="000000"/>
          <w:szCs w:val="24"/>
        </w:rPr>
      </w:pPr>
      <w:r w:rsidRPr="003B0F56">
        <w:rPr>
          <w:color w:val="000000"/>
          <w:szCs w:val="24"/>
        </w:rPr>
        <w:t>The regulation requires any fiduciary adviser relying on the exemption to engage, at least annually, an independent auditor to conduct an audit of the investment advice arrangement for compliance with the conditions of the exemption.  The audit report must be disclosed, and in some cases filed, as described under the answer 1.a., above.</w:t>
      </w:r>
    </w:p>
    <w:p w:rsidRPr="003B0F56" w:rsidR="00D12B46" w:rsidP="001568BC" w:rsidRDefault="00D12B46" w14:paraId="2954D413" w14:textId="77777777">
      <w:pPr>
        <w:pStyle w:val="Quick1"/>
        <w:widowControl/>
        <w:numPr>
          <w:ilvl w:val="0"/>
          <w:numId w:val="0"/>
        </w:numPr>
        <w:ind w:left="720"/>
        <w:rPr>
          <w:rFonts w:ascii="Times New Roman" w:hAnsi="Times New Roman"/>
          <w:color w:val="000000"/>
        </w:rPr>
      </w:pPr>
    </w:p>
    <w:p w:rsidRPr="003B0F56" w:rsidR="006B2B4F" w:rsidP="003B0F56" w:rsidRDefault="00140260" w14:paraId="3658946D" w14:textId="77777777">
      <w:pPr>
        <w:pStyle w:val="Quick1"/>
        <w:widowControl/>
        <w:numPr>
          <w:ilvl w:val="0"/>
          <w:numId w:val="0"/>
        </w:numPr>
        <w:ind w:left="720" w:hanging="720"/>
        <w:rPr>
          <w:rFonts w:ascii="Times New Roman" w:hAnsi="Times New Roman"/>
          <w:i/>
          <w:color w:val="000000"/>
        </w:rPr>
      </w:pPr>
      <w:r w:rsidRPr="00F3441B">
        <w:rPr>
          <w:rFonts w:ascii="Times New Roman" w:hAnsi="Times New Roman"/>
          <w:b/>
          <w:color w:val="000000"/>
        </w:rPr>
        <w:t>2.</w:t>
      </w:r>
      <w:r w:rsidRPr="003B0F56">
        <w:rPr>
          <w:rFonts w:ascii="Times New Roman" w:hAnsi="Times New Roman"/>
          <w:i/>
          <w:color w:val="000000"/>
        </w:rPr>
        <w:tab/>
      </w:r>
      <w:r w:rsidRPr="00F3441B" w:rsidR="006B2B4F">
        <w:rPr>
          <w:rFonts w:ascii="Times New Roman" w:hAnsi="Times New Roman"/>
          <w:b/>
          <w:color w:val="000000"/>
        </w:rPr>
        <w:t>Indicate how, by whom, and for what purpose the information is to be used.  Except for a new collection, indicate the actual use the agency has made of the information received from the current collection.</w:t>
      </w:r>
    </w:p>
    <w:p w:rsidRPr="003B0F56" w:rsidR="0043499E" w:rsidP="001568BC" w:rsidRDefault="0043499E" w14:paraId="7F42E3EC" w14:textId="77777777">
      <w:pPr>
        <w:pStyle w:val="Quick1"/>
        <w:widowControl/>
        <w:numPr>
          <w:ilvl w:val="0"/>
          <w:numId w:val="0"/>
        </w:numPr>
        <w:ind w:left="720"/>
        <w:rPr>
          <w:rFonts w:ascii="Times New Roman" w:hAnsi="Times New Roman"/>
          <w:color w:val="000000"/>
        </w:rPr>
      </w:pPr>
    </w:p>
    <w:p w:rsidRPr="003B0F56" w:rsidR="00484D5E" w:rsidP="001568BC" w:rsidRDefault="00484D5E" w14:paraId="442EDC21" w14:textId="77777777">
      <w:pPr>
        <w:pStyle w:val="BodyText"/>
        <w:ind w:left="720"/>
        <w:rPr>
          <w:color w:val="000000"/>
          <w:szCs w:val="24"/>
        </w:rPr>
      </w:pPr>
      <w:r w:rsidRPr="003B0F56">
        <w:rPr>
          <w:color w:val="000000"/>
          <w:szCs w:val="24"/>
        </w:rPr>
        <w:t>The information collection reques</w:t>
      </w:r>
      <w:r w:rsidRPr="003B0F56" w:rsidR="00125DA9">
        <w:rPr>
          <w:color w:val="000000"/>
          <w:szCs w:val="24"/>
        </w:rPr>
        <w:t>t</w:t>
      </w:r>
      <w:r w:rsidRPr="003B0F56" w:rsidR="00D02B65">
        <w:rPr>
          <w:color w:val="000000"/>
          <w:szCs w:val="24"/>
        </w:rPr>
        <w:t>s</w:t>
      </w:r>
      <w:r w:rsidRPr="003B0F56">
        <w:rPr>
          <w:color w:val="000000"/>
          <w:szCs w:val="24"/>
        </w:rPr>
        <w:t xml:space="preserve"> that are conditions of the regulation include, third-party disclosures, recordkeeping, and audit requirements.  With one exception, the regulation does not require any reporting or filing with the Federal government, but the </w:t>
      </w:r>
      <w:r w:rsidRPr="003B0F56">
        <w:rPr>
          <w:color w:val="000000"/>
          <w:szCs w:val="24"/>
        </w:rPr>
        <w:lastRenderedPageBreak/>
        <w:t xml:space="preserve">designated records must be made available upon request.  The exception is the requirement that the fiduciary adviser </w:t>
      </w:r>
      <w:r w:rsidRPr="003B0F56" w:rsidR="002F5B15">
        <w:rPr>
          <w:color w:val="000000"/>
          <w:szCs w:val="24"/>
        </w:rPr>
        <w:t xml:space="preserve">is </w:t>
      </w:r>
      <w:r w:rsidRPr="003B0F56">
        <w:rPr>
          <w:color w:val="000000"/>
          <w:szCs w:val="24"/>
        </w:rPr>
        <w:t>required under certain circumstances to forward the audit report which is also a required disclosure under the regulation to the Department.  These information collections are designed to safeguard plan assets involved in transactions flowing from investment advice arrangements covered by the regulation.  The information collection requirements allow beneficiaries of accounts described in section 4975(e)(1)(B) through (g) (IRAs) and plan fiduciaries and participants to assess the initial and continued appropriateness of investing assets subject to an investment advice arrangement.  The information will enable the plan fiduciary to fulfill its fiduciary duties under the plan and enable participants to protect the assets of their plan asset accounts, and enable IRA Participants to protect the assets in their accounts.</w:t>
      </w:r>
    </w:p>
    <w:p w:rsidRPr="003B0F56" w:rsidR="00D12B46" w:rsidP="001568BC" w:rsidRDefault="00D12B46" w14:paraId="54BFC085" w14:textId="77777777">
      <w:pPr>
        <w:pStyle w:val="Quick1"/>
        <w:widowControl/>
        <w:numPr>
          <w:ilvl w:val="0"/>
          <w:numId w:val="0"/>
        </w:numPr>
        <w:ind w:left="720"/>
        <w:rPr>
          <w:rStyle w:val="PageNumber"/>
          <w:rFonts w:ascii="Times New Roman" w:hAnsi="Times New Roman"/>
          <w:color w:val="000000"/>
        </w:rPr>
      </w:pPr>
    </w:p>
    <w:p w:rsidRPr="00F3441B" w:rsidR="0043499E" w:rsidP="003B0F56" w:rsidRDefault="00140260" w14:paraId="5B4982AF" w14:textId="77777777">
      <w:pPr>
        <w:pStyle w:val="Quick1"/>
        <w:widowControl/>
        <w:numPr>
          <w:ilvl w:val="0"/>
          <w:numId w:val="0"/>
        </w:numPr>
        <w:ind w:left="720" w:hanging="720"/>
        <w:rPr>
          <w:rFonts w:ascii="Times New Roman" w:hAnsi="Times New Roman"/>
          <w:b/>
          <w:color w:val="000000"/>
        </w:rPr>
      </w:pPr>
      <w:r w:rsidRPr="00F3441B">
        <w:rPr>
          <w:rStyle w:val="PageNumber"/>
          <w:rFonts w:ascii="Times New Roman" w:hAnsi="Times New Roman"/>
          <w:b/>
          <w:color w:val="000000"/>
        </w:rPr>
        <w:t>3.</w:t>
      </w:r>
      <w:r w:rsidRPr="00F3441B">
        <w:rPr>
          <w:rFonts w:ascii="Times New Roman" w:hAnsi="Times New Roman"/>
          <w:b/>
          <w:color w:val="000000"/>
        </w:rPr>
        <w:tab/>
      </w:r>
      <w:r w:rsidRPr="00F3441B" w:rsidR="0043499E">
        <w:rPr>
          <w:rFonts w:ascii="Times New Roman" w:hAnsi="Times New Roman"/>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BF1B60" w:rsidR="003453A6" w:rsidP="00380A8E" w:rsidRDefault="003453A6" w14:paraId="0C90D928" w14:textId="4C2690EC">
      <w:pPr>
        <w:pStyle w:val="Quick1"/>
        <w:widowControl/>
        <w:numPr>
          <w:ilvl w:val="0"/>
          <w:numId w:val="0"/>
        </w:numPr>
        <w:ind w:left="720"/>
        <w:rPr>
          <w:rFonts w:ascii="Times New Roman" w:hAnsi="Times New Roman"/>
        </w:rPr>
      </w:pPr>
    </w:p>
    <w:p w:rsidRPr="00BF1B60" w:rsidR="003453A6" w:rsidP="003453A6" w:rsidRDefault="003453A6" w14:paraId="2D3A61D8" w14:textId="01F1B4E1">
      <w:pPr>
        <w:ind w:left="720"/>
      </w:pPr>
      <w:r w:rsidRPr="00BF1B60">
        <w:t>ERISA and regulations thereunder provide general standards for the delivery of all information required to be furnished to participants, beneficiaries, and other individuals under Title I of ERISA (29 C.F.R. § 2520.104b-1(b))</w:t>
      </w:r>
      <w:r w:rsidRPr="00BF1B60" w:rsidR="00EB2A56">
        <w:t xml:space="preserve">.  </w:t>
      </w:r>
      <w:r w:rsidRPr="00BF1B60">
        <w:t>Plan administrators must use delivery methods reasonably calculated to ensure actual receipt of information by participants, beneficiaries, and other individuals (29 C.F.R. § 2520.104b-1(b)(1))</w:t>
      </w:r>
      <w:r w:rsidRPr="00BF1B60" w:rsidR="00EB2A56">
        <w:t xml:space="preserve">.  </w:t>
      </w:r>
      <w:r w:rsidRPr="00BF1B60">
        <w:t>For example, in-hand delivery to an employee at his or her workplace is acceptable, as is material sent by first class mail</w:t>
      </w:r>
      <w:r w:rsidRPr="00BF1B60" w:rsidR="00EB2A56">
        <w:t xml:space="preserve">.  </w:t>
      </w:r>
      <w:r w:rsidRPr="00BF1B60">
        <w:t>In response to developing internet, email, and similar technologies, the Department first amended ERISA’s delivery standards in 2002 by establishing a safe harbor for the use of electronic media to furnish disclosures</w:t>
      </w:r>
      <w:r w:rsidRPr="00BF1B60" w:rsidR="00DE223F">
        <w:t xml:space="preserve"> </w:t>
      </w:r>
      <w:r w:rsidRPr="00BF1B60">
        <w:t>(the 2002 safe harbor; 29 C.F.R. § 2520.104b-1(c)).  The 2002 safe harbor was not and is not the exclusive means by which a plan administrator may use electronic media to satisfy the general standard</w:t>
      </w:r>
      <w:r w:rsidRPr="00BF1B60" w:rsidR="00EB2A56">
        <w:t xml:space="preserve">.  </w:t>
      </w:r>
      <w:r w:rsidRPr="00BF1B60">
        <w:t>However, plan administrators who satisfy the conditions of the safe harbor are assured that the general delivery requirements have been satisfied.</w:t>
      </w:r>
    </w:p>
    <w:p w:rsidRPr="00BF1B60" w:rsidR="003453A6" w:rsidP="003453A6" w:rsidRDefault="003453A6" w14:paraId="33C85FA8" w14:textId="77777777">
      <w:pPr>
        <w:ind w:left="720"/>
      </w:pPr>
    </w:p>
    <w:p w:rsidRPr="00BF1B60" w:rsidR="003453A6" w:rsidP="003453A6" w:rsidRDefault="003453A6" w14:paraId="0762F71D" w14:textId="00091EA8">
      <w:pPr>
        <w:ind w:left="720"/>
      </w:pPr>
      <w:r w:rsidRPr="00BF1B60">
        <w:t>On May 27, 2020, the Department issued a final regulation providing a new, additional safe harbor for plan administrators to use electronic media, as a default, to furnish disclosures to participants and beneficiaries of pension benefit plans subject to ERISA (29 C.F.R. § 2520.104b-31)</w:t>
      </w:r>
      <w:r w:rsidRPr="00BF1B60" w:rsidR="00EB2A56">
        <w:t xml:space="preserve">.  </w:t>
      </w:r>
      <w:r w:rsidRPr="00BF1B60">
        <w:t>The rule allows plan administrators who satisfy specified conditions to provide participants and beneficiaries with a notice that certain disclosures will be made available on a website, or to furnish disclosures via email</w:t>
      </w:r>
      <w:r w:rsidRPr="00BF1B60" w:rsidR="00EB2A56">
        <w:t xml:space="preserve">.  </w:t>
      </w:r>
      <w:r w:rsidRPr="00BF1B60">
        <w:t>Individuals who prefer to receive disclosures on paper can request paper copies of disclosures and opt out of electronic delivery entirely</w:t>
      </w:r>
      <w:r w:rsidRPr="00BF1B60" w:rsidR="00EB2A56">
        <w:t xml:space="preserve">.  </w:t>
      </w:r>
      <w:r w:rsidRPr="00BF1B60">
        <w:t>The Department expects the rule to enhance the effectiveness of ERISA disclosures and significantly reduce the costs and burden associated with furnishing many of the recurring and most costly pension plan disclosures</w:t>
      </w:r>
      <w:r w:rsidRPr="00BF1B60" w:rsidR="00EB2A56">
        <w:t xml:space="preserve">.  </w:t>
      </w:r>
      <w:r w:rsidRPr="00BF1B60">
        <w:t>The new, additional safe harbor does not supersede the 2002 safe harbor; the 2002 safe harbor remains in place as another option for plan administrators.</w:t>
      </w:r>
    </w:p>
    <w:p w:rsidRPr="00BF1B60" w:rsidR="003453A6" w:rsidP="003453A6" w:rsidRDefault="003453A6" w14:paraId="7AAEC788" w14:textId="77777777"/>
    <w:p w:rsidRPr="00BF1B60" w:rsidR="003453A6" w:rsidP="003453A6" w:rsidRDefault="003453A6" w14:paraId="7E928AB8" w14:textId="3EA46DB6">
      <w:pPr>
        <w:pStyle w:val="Quick1"/>
        <w:widowControl/>
        <w:numPr>
          <w:ilvl w:val="0"/>
          <w:numId w:val="0"/>
        </w:numPr>
        <w:ind w:left="720"/>
        <w:rPr>
          <w:rFonts w:ascii="Times New Roman" w:hAnsi="Times New Roman"/>
        </w:rPr>
      </w:pPr>
      <w:r w:rsidRPr="00BF1B60">
        <w:rPr>
          <w:rFonts w:ascii="Times New Roman" w:hAnsi="Times New Roman"/>
        </w:rPr>
        <w:t>Also, 29 CFR § 2520-107-1 establishes standards concerning the use of electronic media for maintenance and retention of records.</w:t>
      </w:r>
    </w:p>
    <w:p w:rsidRPr="003B0F56" w:rsidR="00D12B46" w:rsidP="001568BC" w:rsidRDefault="00D12B46" w14:paraId="6E734DDD" w14:textId="77777777">
      <w:pPr>
        <w:pStyle w:val="Quick1"/>
        <w:widowControl/>
        <w:numPr>
          <w:ilvl w:val="0"/>
          <w:numId w:val="0"/>
        </w:numPr>
        <w:ind w:left="720"/>
        <w:rPr>
          <w:rFonts w:ascii="Times New Roman" w:hAnsi="Times New Roman"/>
          <w:color w:val="000000"/>
        </w:rPr>
      </w:pPr>
    </w:p>
    <w:p w:rsidRPr="00F3441B" w:rsidR="0043499E" w:rsidP="003B0F56" w:rsidRDefault="00140260" w14:paraId="587F08E0" w14:textId="77777777">
      <w:pPr>
        <w:pStyle w:val="Quick1"/>
        <w:widowControl/>
        <w:numPr>
          <w:ilvl w:val="0"/>
          <w:numId w:val="0"/>
        </w:numPr>
        <w:ind w:left="720" w:hanging="720"/>
        <w:rPr>
          <w:rFonts w:ascii="Times New Roman" w:hAnsi="Times New Roman"/>
          <w:b/>
          <w:color w:val="000000"/>
        </w:rPr>
      </w:pPr>
      <w:r w:rsidRPr="00F3441B">
        <w:rPr>
          <w:rFonts w:ascii="Times New Roman" w:hAnsi="Times New Roman"/>
          <w:b/>
          <w:color w:val="000000"/>
        </w:rPr>
        <w:t>4.</w:t>
      </w:r>
      <w:r w:rsidRPr="00F3441B">
        <w:rPr>
          <w:rFonts w:ascii="Times New Roman" w:hAnsi="Times New Roman"/>
          <w:b/>
          <w:color w:val="000000"/>
        </w:rPr>
        <w:tab/>
      </w:r>
      <w:r w:rsidRPr="00F3441B" w:rsidR="0043499E">
        <w:rPr>
          <w:rFonts w:ascii="Times New Roman" w:hAnsi="Times New Roman"/>
          <w:b/>
          <w:color w:val="000000"/>
        </w:rPr>
        <w:t>Describe efforts to identify duplication.  Show specifically why any similar information already available cannot be used or modified for use for the purposes described in Item 2 above.</w:t>
      </w:r>
    </w:p>
    <w:p w:rsidRPr="003B0F56" w:rsidR="0043499E" w:rsidP="001568BC" w:rsidRDefault="0043499E" w14:paraId="1C84614E" w14:textId="77777777">
      <w:pPr>
        <w:pStyle w:val="Quick1"/>
        <w:widowControl/>
        <w:numPr>
          <w:ilvl w:val="0"/>
          <w:numId w:val="0"/>
        </w:numPr>
        <w:ind w:left="720"/>
        <w:rPr>
          <w:rFonts w:ascii="Times New Roman" w:hAnsi="Times New Roman"/>
          <w:color w:val="000000"/>
        </w:rPr>
      </w:pPr>
    </w:p>
    <w:p w:rsidRPr="003B0F56" w:rsidR="00484D5E" w:rsidP="001568BC" w:rsidRDefault="00484D5E" w14:paraId="1D959E57" w14:textId="77777777">
      <w:pPr>
        <w:pStyle w:val="BodyText"/>
        <w:ind w:left="720"/>
        <w:rPr>
          <w:color w:val="000000"/>
          <w:szCs w:val="24"/>
        </w:rPr>
      </w:pPr>
      <w:r w:rsidRPr="003B0F56">
        <w:rPr>
          <w:color w:val="000000"/>
          <w:szCs w:val="24"/>
        </w:rPr>
        <w:t>The Department has attempted to avoid duplication of information collection requirements.  The required disclosures are unique to the circumstances of a particular investment advice arrangement and do not replicate any other requirements imposed by state or federal regulations.  Although the SEC requires somewhat similar information in Form ADV, the information required under the regulation is more specifically tailored to the investments recommended under an investment advice arrangement.  Accordingly, the information is not duplicative of that required by the SEC.</w:t>
      </w:r>
    </w:p>
    <w:p w:rsidRPr="003B0F56" w:rsidR="00484D5E" w:rsidP="001568BC" w:rsidRDefault="00484D5E" w14:paraId="0FE84181" w14:textId="77777777">
      <w:pPr>
        <w:pStyle w:val="BodyText"/>
        <w:ind w:left="720"/>
        <w:rPr>
          <w:color w:val="000000"/>
          <w:szCs w:val="24"/>
        </w:rPr>
      </w:pPr>
    </w:p>
    <w:p w:rsidRPr="003B0F56" w:rsidR="00484D5E" w:rsidP="001568BC" w:rsidRDefault="00484D5E" w14:paraId="5C25B9CB" w14:textId="77777777">
      <w:pPr>
        <w:pStyle w:val="BodyText"/>
        <w:ind w:left="720"/>
        <w:rPr>
          <w:color w:val="000000"/>
          <w:szCs w:val="24"/>
        </w:rPr>
      </w:pPr>
      <w:r w:rsidRPr="003B0F56">
        <w:rPr>
          <w:color w:val="000000"/>
          <w:szCs w:val="24"/>
        </w:rPr>
        <w:t>Many of the records required to be kept for this regulation are most likely records the parties are already required to generate and store to satisfy other requirements of federal and state securities and accounting laws, as well in the course of following usual and</w:t>
      </w:r>
      <w:r w:rsidR="003B0F56">
        <w:rPr>
          <w:color w:val="000000"/>
          <w:szCs w:val="24"/>
        </w:rPr>
        <w:t xml:space="preserve"> customary business practices.</w:t>
      </w:r>
    </w:p>
    <w:p w:rsidRPr="003B0F56" w:rsidR="00D12B46" w:rsidP="001568BC" w:rsidRDefault="00D12B46" w14:paraId="2E5588F9" w14:textId="77777777">
      <w:pPr>
        <w:pStyle w:val="BodyText"/>
        <w:ind w:left="720"/>
        <w:rPr>
          <w:color w:val="000000"/>
          <w:szCs w:val="24"/>
        </w:rPr>
      </w:pPr>
    </w:p>
    <w:p w:rsidRPr="00F3441B" w:rsidR="0043499E" w:rsidP="003B0F56" w:rsidRDefault="00140260" w14:paraId="22748556" w14:textId="77777777">
      <w:pPr>
        <w:pStyle w:val="Quick1"/>
        <w:widowControl/>
        <w:numPr>
          <w:ilvl w:val="0"/>
          <w:numId w:val="0"/>
        </w:numPr>
        <w:ind w:left="720" w:hanging="720"/>
        <w:rPr>
          <w:rFonts w:ascii="Times New Roman" w:hAnsi="Times New Roman"/>
          <w:b/>
          <w:color w:val="000000"/>
        </w:rPr>
      </w:pPr>
      <w:r w:rsidRPr="00F3441B">
        <w:rPr>
          <w:rFonts w:ascii="Times New Roman" w:hAnsi="Times New Roman"/>
          <w:b/>
          <w:iCs/>
          <w:color w:val="000000"/>
        </w:rPr>
        <w:t>5.</w:t>
      </w:r>
      <w:r w:rsidRPr="00F3441B">
        <w:rPr>
          <w:rFonts w:ascii="Times New Roman" w:hAnsi="Times New Roman"/>
          <w:b/>
          <w:iCs/>
          <w:color w:val="000000"/>
        </w:rPr>
        <w:tab/>
      </w:r>
      <w:r w:rsidRPr="00F3441B" w:rsidR="0043499E">
        <w:rPr>
          <w:rFonts w:ascii="Times New Roman" w:hAnsi="Times New Roman"/>
          <w:b/>
          <w:iCs/>
          <w:color w:val="000000"/>
        </w:rPr>
        <w:t>If the collection of information impacts small businesses or other small entities describe any methods used to minimize burden.</w:t>
      </w:r>
    </w:p>
    <w:p w:rsidRPr="003B0F56" w:rsidR="00ED08A3" w:rsidP="001568BC" w:rsidRDefault="00ED08A3" w14:paraId="6B2BF5A7" w14:textId="77777777">
      <w:pPr>
        <w:pStyle w:val="Quick1"/>
        <w:widowControl/>
        <w:numPr>
          <w:ilvl w:val="0"/>
          <w:numId w:val="0"/>
        </w:numPr>
        <w:ind w:left="720"/>
        <w:rPr>
          <w:rFonts w:ascii="Times New Roman" w:hAnsi="Times New Roman"/>
          <w:i/>
          <w:iCs/>
          <w:color w:val="000000"/>
        </w:rPr>
      </w:pPr>
    </w:p>
    <w:p w:rsidRPr="003B0F56" w:rsidR="00484D5E" w:rsidP="001568BC" w:rsidRDefault="00484D5E" w14:paraId="107BF777" w14:textId="77777777">
      <w:pPr>
        <w:pStyle w:val="BodyText"/>
        <w:ind w:left="720"/>
        <w:rPr>
          <w:color w:val="000000"/>
          <w:szCs w:val="24"/>
        </w:rPr>
      </w:pPr>
      <w:r w:rsidRPr="003B0F56">
        <w:rPr>
          <w:color w:val="000000"/>
          <w:szCs w:val="24"/>
        </w:rPr>
        <w:t>The information collections apply only if a fiduciary adviser, and if applicable a plan fiduciary, decides to rely on the regulation in undertaking investment advice arrangements.  Because reliance on the regulation is voluntary, and because the information collections are designed specifically to protect the rights of Participants in Plans or IRAs for which such reliance is sought, the regulation does not provide special reduced requirements for small plans or small employers.  The Department believes that the information collections are as important to Participants in small plans (or associated with small employers) as they are to Participants in large plans (or associated with large employers).</w:t>
      </w:r>
    </w:p>
    <w:p w:rsidRPr="003B0F56" w:rsidR="00D12B46" w:rsidP="001568BC" w:rsidRDefault="00D12B46" w14:paraId="7ED14401" w14:textId="77777777">
      <w:pPr>
        <w:pStyle w:val="BodyText"/>
        <w:ind w:left="720"/>
        <w:rPr>
          <w:color w:val="000000"/>
          <w:szCs w:val="24"/>
        </w:rPr>
      </w:pPr>
    </w:p>
    <w:p w:rsidRPr="00F3441B" w:rsidR="0043499E" w:rsidP="00AF01D9" w:rsidRDefault="00140260" w14:paraId="3D2AC7E9" w14:textId="77777777">
      <w:pPr>
        <w:pStyle w:val="Quick1"/>
        <w:widowControl/>
        <w:numPr>
          <w:ilvl w:val="0"/>
          <w:numId w:val="0"/>
        </w:numPr>
        <w:ind w:left="720" w:hanging="720"/>
        <w:rPr>
          <w:rFonts w:ascii="Times New Roman" w:hAnsi="Times New Roman"/>
          <w:b/>
          <w:color w:val="000000"/>
        </w:rPr>
      </w:pPr>
      <w:r w:rsidRPr="00F3441B">
        <w:rPr>
          <w:rFonts w:ascii="Times New Roman" w:hAnsi="Times New Roman"/>
          <w:b/>
          <w:iCs/>
          <w:color w:val="000000"/>
        </w:rPr>
        <w:t>6.</w:t>
      </w:r>
      <w:r w:rsidRPr="00F3441B">
        <w:rPr>
          <w:rFonts w:ascii="Times New Roman" w:hAnsi="Times New Roman"/>
          <w:b/>
          <w:iCs/>
          <w:color w:val="000000"/>
        </w:rPr>
        <w:tab/>
      </w:r>
      <w:r w:rsidRPr="00F3441B" w:rsidR="0043499E">
        <w:rPr>
          <w:rFonts w:ascii="Times New Roman" w:hAnsi="Times New Roman"/>
          <w:b/>
          <w:iCs/>
          <w:color w:val="000000"/>
        </w:rPr>
        <w:t>Describe the consequence to Federal program or policy activities if the collection is not conducted or is conducted less frequently, as well as any technical or legal obstacles to reducing burden.</w:t>
      </w:r>
    </w:p>
    <w:p w:rsidRPr="003B0F56" w:rsidR="0043499E" w:rsidP="001568BC" w:rsidRDefault="0043499E" w14:paraId="2D43FEB3" w14:textId="77777777">
      <w:pPr>
        <w:pStyle w:val="Quick1"/>
        <w:widowControl/>
        <w:numPr>
          <w:ilvl w:val="0"/>
          <w:numId w:val="0"/>
        </w:numPr>
        <w:ind w:left="720"/>
        <w:rPr>
          <w:rFonts w:ascii="Times New Roman" w:hAnsi="Times New Roman"/>
          <w:color w:val="000000"/>
        </w:rPr>
      </w:pPr>
    </w:p>
    <w:p w:rsidRPr="003B0F56" w:rsidR="002B4190" w:rsidP="001568BC" w:rsidRDefault="002B4190" w14:paraId="248EF6B1" w14:textId="77777777">
      <w:pPr>
        <w:pStyle w:val="BodyText"/>
        <w:ind w:left="720"/>
        <w:rPr>
          <w:color w:val="000000"/>
          <w:szCs w:val="24"/>
        </w:rPr>
      </w:pPr>
      <w:r w:rsidRPr="003B0F56">
        <w:rPr>
          <w:color w:val="000000"/>
          <w:szCs w:val="24"/>
        </w:rPr>
        <w:t xml:space="preserve">The conditions of the </w:t>
      </w:r>
      <w:r w:rsidRPr="003B0F56" w:rsidR="00271FD5">
        <w:rPr>
          <w:color w:val="000000"/>
          <w:szCs w:val="24"/>
        </w:rPr>
        <w:t>regulation</w:t>
      </w:r>
      <w:r w:rsidRPr="003B0F56">
        <w:rPr>
          <w:color w:val="000000"/>
          <w:szCs w:val="24"/>
        </w:rPr>
        <w:t xml:space="preserve"> are only mandatory if </w:t>
      </w:r>
      <w:r w:rsidRPr="003B0F56" w:rsidR="004F754B">
        <w:rPr>
          <w:color w:val="000000"/>
          <w:szCs w:val="24"/>
        </w:rPr>
        <w:t>a f</w:t>
      </w:r>
      <w:r w:rsidRPr="003B0F56">
        <w:rPr>
          <w:color w:val="000000"/>
          <w:szCs w:val="24"/>
        </w:rPr>
        <w:t xml:space="preserve">iduciary </w:t>
      </w:r>
      <w:r w:rsidRPr="003B0F56" w:rsidR="004F754B">
        <w:rPr>
          <w:color w:val="000000"/>
          <w:szCs w:val="24"/>
        </w:rPr>
        <w:t>a</w:t>
      </w:r>
      <w:r w:rsidRPr="003B0F56">
        <w:rPr>
          <w:color w:val="000000"/>
          <w:szCs w:val="24"/>
        </w:rPr>
        <w:t>dviser voluntarily decide</w:t>
      </w:r>
      <w:r w:rsidRPr="003B0F56" w:rsidR="00E84134">
        <w:rPr>
          <w:color w:val="000000"/>
          <w:szCs w:val="24"/>
        </w:rPr>
        <w:t>s</w:t>
      </w:r>
      <w:r w:rsidRPr="003B0F56">
        <w:rPr>
          <w:color w:val="000000"/>
          <w:szCs w:val="24"/>
        </w:rPr>
        <w:t xml:space="preserve"> to rely on the </w:t>
      </w:r>
      <w:r w:rsidRPr="003B0F56" w:rsidR="00271FD5">
        <w:rPr>
          <w:color w:val="000000"/>
          <w:szCs w:val="24"/>
        </w:rPr>
        <w:t>regulation</w:t>
      </w:r>
      <w:r w:rsidRPr="003B0F56">
        <w:rPr>
          <w:color w:val="000000"/>
          <w:szCs w:val="24"/>
        </w:rPr>
        <w:t xml:space="preserve"> and Participants </w:t>
      </w:r>
      <w:r w:rsidRPr="003B0F56" w:rsidR="004F754B">
        <w:rPr>
          <w:color w:val="000000"/>
          <w:szCs w:val="24"/>
        </w:rPr>
        <w:t xml:space="preserve">and Plan fiduciaries </w:t>
      </w:r>
      <w:r w:rsidRPr="003B0F56">
        <w:rPr>
          <w:color w:val="000000"/>
          <w:szCs w:val="24"/>
        </w:rPr>
        <w:t xml:space="preserve">voluntarily elect to receive investment advice under arrangements described in </w:t>
      </w:r>
      <w:r w:rsidRPr="003B0F56" w:rsidR="000D455D">
        <w:rPr>
          <w:color w:val="000000"/>
          <w:szCs w:val="24"/>
        </w:rPr>
        <w:t>the regulation</w:t>
      </w:r>
      <w:r w:rsidRPr="003B0F56">
        <w:rPr>
          <w:color w:val="000000"/>
          <w:szCs w:val="24"/>
        </w:rPr>
        <w:t xml:space="preserve">.  </w:t>
      </w:r>
      <w:r w:rsidRPr="003B0F56" w:rsidR="000D455D">
        <w:rPr>
          <w:color w:val="000000"/>
          <w:szCs w:val="24"/>
        </w:rPr>
        <w:t>W</w:t>
      </w:r>
      <w:r w:rsidRPr="003B0F56">
        <w:rPr>
          <w:color w:val="000000"/>
          <w:szCs w:val="24"/>
        </w:rPr>
        <w:t xml:space="preserve">ithout the disclosure </w:t>
      </w:r>
      <w:r w:rsidRPr="003B0F56" w:rsidR="000D455D">
        <w:rPr>
          <w:color w:val="000000"/>
          <w:szCs w:val="24"/>
        </w:rPr>
        <w:t>and audit re</w:t>
      </w:r>
      <w:r w:rsidRPr="003B0F56">
        <w:rPr>
          <w:color w:val="000000"/>
          <w:szCs w:val="24"/>
        </w:rPr>
        <w:t xml:space="preserve">quirements, </w:t>
      </w:r>
      <w:r w:rsidRPr="003B0F56" w:rsidR="004F754B">
        <w:rPr>
          <w:color w:val="000000"/>
          <w:szCs w:val="24"/>
        </w:rPr>
        <w:t>P</w:t>
      </w:r>
      <w:r w:rsidRPr="003B0F56">
        <w:rPr>
          <w:color w:val="000000"/>
          <w:szCs w:val="24"/>
        </w:rPr>
        <w:t>lan</w:t>
      </w:r>
      <w:r w:rsidRPr="003B0F56" w:rsidR="004F754B">
        <w:rPr>
          <w:color w:val="000000"/>
          <w:szCs w:val="24"/>
        </w:rPr>
        <w:t xml:space="preserve"> fiduciaries</w:t>
      </w:r>
      <w:r w:rsidRPr="003B0F56">
        <w:rPr>
          <w:color w:val="000000"/>
          <w:szCs w:val="24"/>
        </w:rPr>
        <w:t xml:space="preserve"> may not receive information about an investment advice arrangement needed to fulfill their fiduciary responsibilities with respect to a </w:t>
      </w:r>
      <w:r w:rsidRPr="003B0F56" w:rsidR="004F754B">
        <w:rPr>
          <w:color w:val="000000"/>
          <w:szCs w:val="24"/>
        </w:rPr>
        <w:t>P</w:t>
      </w:r>
      <w:r w:rsidRPr="003B0F56">
        <w:rPr>
          <w:color w:val="000000"/>
          <w:szCs w:val="24"/>
        </w:rPr>
        <w:t>lan</w:t>
      </w:r>
      <w:r w:rsidRPr="003B0F56" w:rsidR="000D455D">
        <w:rPr>
          <w:color w:val="000000"/>
          <w:szCs w:val="24"/>
        </w:rPr>
        <w:t xml:space="preserve"> and Participants may not have sufficient information to evaluate investment recommendations, C</w:t>
      </w:r>
      <w:r w:rsidRPr="003B0F56">
        <w:rPr>
          <w:color w:val="000000"/>
          <w:szCs w:val="24"/>
        </w:rPr>
        <w:t>onsequently</w:t>
      </w:r>
      <w:r w:rsidRPr="003B0F56" w:rsidR="000D455D">
        <w:rPr>
          <w:color w:val="000000"/>
          <w:szCs w:val="24"/>
        </w:rPr>
        <w:t>,</w:t>
      </w:r>
      <w:r w:rsidRPr="003B0F56">
        <w:rPr>
          <w:color w:val="000000"/>
          <w:szCs w:val="24"/>
        </w:rPr>
        <w:t xml:space="preserve"> </w:t>
      </w:r>
      <w:r w:rsidRPr="003B0F56" w:rsidR="004F754B">
        <w:rPr>
          <w:color w:val="000000"/>
          <w:szCs w:val="24"/>
        </w:rPr>
        <w:t>P</w:t>
      </w:r>
      <w:r w:rsidRPr="003B0F56">
        <w:rPr>
          <w:color w:val="000000"/>
          <w:szCs w:val="24"/>
        </w:rPr>
        <w:t xml:space="preserve">articipants’ investments </w:t>
      </w:r>
      <w:r w:rsidRPr="003B0F56" w:rsidR="000D455D">
        <w:rPr>
          <w:color w:val="000000"/>
          <w:szCs w:val="24"/>
        </w:rPr>
        <w:t>under</w:t>
      </w:r>
      <w:r w:rsidRPr="003B0F56">
        <w:rPr>
          <w:color w:val="000000"/>
          <w:szCs w:val="24"/>
        </w:rPr>
        <w:t xml:space="preserve"> </w:t>
      </w:r>
      <w:r w:rsidRPr="003B0F56" w:rsidR="004F754B">
        <w:rPr>
          <w:color w:val="000000"/>
          <w:szCs w:val="24"/>
        </w:rPr>
        <w:t>P</w:t>
      </w:r>
      <w:r w:rsidRPr="003B0F56">
        <w:rPr>
          <w:color w:val="000000"/>
          <w:szCs w:val="24"/>
        </w:rPr>
        <w:t>lan</w:t>
      </w:r>
      <w:r w:rsidRPr="003B0F56" w:rsidR="000D455D">
        <w:rPr>
          <w:color w:val="000000"/>
          <w:szCs w:val="24"/>
        </w:rPr>
        <w:t xml:space="preserve">s and </w:t>
      </w:r>
      <w:r w:rsidRPr="003B0F56" w:rsidR="000D455D">
        <w:rPr>
          <w:color w:val="000000"/>
          <w:szCs w:val="24"/>
        </w:rPr>
        <w:lastRenderedPageBreak/>
        <w:t>IRAs</w:t>
      </w:r>
      <w:r w:rsidRPr="003B0F56" w:rsidR="004F754B">
        <w:rPr>
          <w:color w:val="000000"/>
          <w:szCs w:val="24"/>
        </w:rPr>
        <w:t xml:space="preserve"> </w:t>
      </w:r>
      <w:r w:rsidRPr="003B0F56">
        <w:rPr>
          <w:color w:val="000000"/>
          <w:szCs w:val="24"/>
        </w:rPr>
        <w:t xml:space="preserve">may not be adequately protected.  The Department has determined that, after a </w:t>
      </w:r>
      <w:r w:rsidRPr="003B0F56" w:rsidR="004F754B">
        <w:rPr>
          <w:color w:val="000000"/>
          <w:szCs w:val="24"/>
        </w:rPr>
        <w:t>Participant</w:t>
      </w:r>
      <w:r w:rsidRPr="003B0F56">
        <w:rPr>
          <w:color w:val="000000"/>
          <w:szCs w:val="24"/>
        </w:rPr>
        <w:t xml:space="preserve"> has made an initial decision to participate in an investment advice arrangement, annual subsequent disclosures are the minimum protection necessary to the Participant </w:t>
      </w:r>
      <w:r w:rsidRPr="003B0F56" w:rsidR="004F754B">
        <w:rPr>
          <w:color w:val="000000"/>
          <w:szCs w:val="24"/>
        </w:rPr>
        <w:t xml:space="preserve">or Plan fiduciary </w:t>
      </w:r>
      <w:r w:rsidRPr="003B0F56">
        <w:rPr>
          <w:color w:val="000000"/>
          <w:szCs w:val="24"/>
        </w:rPr>
        <w:t xml:space="preserve">to re-evaluate the appropriateness of the investment </w:t>
      </w:r>
      <w:r w:rsidRPr="003B0F56" w:rsidR="004F754B">
        <w:rPr>
          <w:color w:val="000000"/>
          <w:szCs w:val="24"/>
        </w:rPr>
        <w:t>advice</w:t>
      </w:r>
      <w:r w:rsidRPr="003B0F56" w:rsidR="008D35D5">
        <w:rPr>
          <w:color w:val="000000"/>
          <w:szCs w:val="24"/>
        </w:rPr>
        <w:t xml:space="preserve"> arrangement</w:t>
      </w:r>
      <w:r w:rsidRPr="003B0F56" w:rsidR="000D455D">
        <w:rPr>
          <w:color w:val="000000"/>
          <w:szCs w:val="24"/>
        </w:rPr>
        <w:t>.</w:t>
      </w:r>
    </w:p>
    <w:p w:rsidRPr="003B0F56" w:rsidR="000D455D" w:rsidP="001568BC" w:rsidRDefault="000D455D" w14:paraId="1B9A99BA" w14:textId="77777777">
      <w:pPr>
        <w:pStyle w:val="BodyText"/>
        <w:ind w:left="720"/>
        <w:rPr>
          <w:color w:val="000000"/>
          <w:szCs w:val="24"/>
        </w:rPr>
      </w:pPr>
    </w:p>
    <w:p w:rsidRPr="003B0F56" w:rsidR="000D455D" w:rsidP="001568BC" w:rsidRDefault="000D455D" w14:paraId="15083B9B" w14:textId="77777777">
      <w:pPr>
        <w:pStyle w:val="BodyText"/>
        <w:ind w:left="720"/>
        <w:rPr>
          <w:color w:val="000000"/>
          <w:szCs w:val="24"/>
        </w:rPr>
      </w:pPr>
      <w:r w:rsidRPr="003B0F56">
        <w:rPr>
          <w:color w:val="000000"/>
          <w:szCs w:val="24"/>
        </w:rPr>
        <w:t xml:space="preserve">Without the recordkeeping requirements, the Department would not be able to enforce the conditions to which the investment advice </w:t>
      </w:r>
      <w:r w:rsidRPr="003B0F56" w:rsidR="0087375C">
        <w:rPr>
          <w:color w:val="000000"/>
          <w:szCs w:val="24"/>
        </w:rPr>
        <w:t>arrangement</w:t>
      </w:r>
      <w:r w:rsidRPr="003B0F56">
        <w:rPr>
          <w:color w:val="000000"/>
          <w:szCs w:val="24"/>
        </w:rPr>
        <w:t>s described in the regulation are subject.</w:t>
      </w:r>
    </w:p>
    <w:p w:rsidRPr="003B0F56" w:rsidR="00D12B46" w:rsidP="001568BC" w:rsidRDefault="00D12B46" w14:paraId="77E36446" w14:textId="77777777">
      <w:pPr>
        <w:pStyle w:val="Quick1"/>
        <w:widowControl/>
        <w:numPr>
          <w:ilvl w:val="0"/>
          <w:numId w:val="0"/>
        </w:numPr>
        <w:ind w:left="720"/>
        <w:rPr>
          <w:rFonts w:ascii="Times New Roman" w:hAnsi="Times New Roman"/>
          <w:color w:val="000000"/>
        </w:rPr>
      </w:pPr>
    </w:p>
    <w:p w:rsidRPr="00961173" w:rsidR="0043499E" w:rsidP="00AF01D9" w:rsidRDefault="00140260" w14:paraId="698ACFC2" w14:textId="77777777">
      <w:pPr>
        <w:pStyle w:val="Quick1"/>
        <w:widowControl/>
        <w:numPr>
          <w:ilvl w:val="0"/>
          <w:numId w:val="0"/>
        </w:numPr>
        <w:tabs>
          <w:tab w:val="left" w:pos="-1440"/>
        </w:tabs>
        <w:ind w:left="720" w:hanging="720"/>
        <w:rPr>
          <w:rFonts w:ascii="Times New Roman" w:hAnsi="Times New Roman"/>
          <w:b/>
          <w:color w:val="000000"/>
        </w:rPr>
      </w:pPr>
      <w:r w:rsidRPr="00961173">
        <w:rPr>
          <w:rFonts w:ascii="Times New Roman" w:hAnsi="Times New Roman"/>
          <w:b/>
          <w:color w:val="000000"/>
        </w:rPr>
        <w:t>7.</w:t>
      </w:r>
      <w:r w:rsidRPr="00961173">
        <w:rPr>
          <w:rFonts w:ascii="Times New Roman" w:hAnsi="Times New Roman"/>
          <w:b/>
          <w:color w:val="000000"/>
        </w:rPr>
        <w:tab/>
      </w:r>
      <w:r w:rsidRPr="00961173" w:rsidR="0043499E">
        <w:rPr>
          <w:rFonts w:ascii="Times New Roman" w:hAnsi="Times New Roman"/>
          <w:b/>
          <w:color w:val="000000"/>
        </w:rPr>
        <w:t>Explain any special circumstances that would cause an information collection to be conducted in a manner:</w:t>
      </w:r>
    </w:p>
    <w:p w:rsidRPr="00961173" w:rsidR="0043499E" w:rsidP="00880CA4" w:rsidRDefault="0043499E" w14:paraId="0D5128E9" w14:textId="77777777">
      <w:pPr>
        <w:tabs>
          <w:tab w:val="left" w:pos="-1440"/>
        </w:tabs>
        <w:ind w:left="1440" w:hanging="720"/>
        <w:rPr>
          <w:b/>
          <w:color w:val="000000"/>
        </w:rPr>
      </w:pPr>
      <w:r w:rsidRPr="00961173">
        <w:rPr>
          <w:b/>
          <w:color w:val="000000"/>
        </w:rPr>
        <w:t>•</w:t>
      </w:r>
      <w:r w:rsidRPr="00961173" w:rsidR="00880CA4">
        <w:rPr>
          <w:b/>
          <w:color w:val="000000"/>
        </w:rPr>
        <w:tab/>
      </w:r>
      <w:r w:rsidRPr="00961173">
        <w:rPr>
          <w:b/>
          <w:color w:val="000000"/>
        </w:rPr>
        <w:t>requiring respondents to report information to the agency more often than quarterly;</w:t>
      </w:r>
    </w:p>
    <w:p w:rsidRPr="00961173" w:rsidR="0043499E" w:rsidP="00880CA4" w:rsidRDefault="0043499E" w14:paraId="7D9B278A" w14:textId="77777777">
      <w:pPr>
        <w:numPr>
          <w:ilvl w:val="0"/>
          <w:numId w:val="18"/>
        </w:numPr>
        <w:tabs>
          <w:tab w:val="left" w:pos="-1440"/>
        </w:tabs>
        <w:ind w:left="1440" w:hanging="720"/>
        <w:rPr>
          <w:b/>
          <w:color w:val="000000"/>
        </w:rPr>
      </w:pPr>
      <w:r w:rsidRPr="00961173">
        <w:rPr>
          <w:b/>
          <w:color w:val="000000"/>
        </w:rPr>
        <w:t>requiring respondents to prepare a written response to a collection of information in fewer than 30 days after receipt of it;</w:t>
      </w:r>
    </w:p>
    <w:p w:rsidRPr="00961173" w:rsidR="0043499E" w:rsidP="00880CA4" w:rsidRDefault="0043499E" w14:paraId="4448E27A" w14:textId="77777777">
      <w:pPr>
        <w:numPr>
          <w:ilvl w:val="0"/>
          <w:numId w:val="18"/>
        </w:numPr>
        <w:tabs>
          <w:tab w:val="left" w:pos="-1440"/>
        </w:tabs>
        <w:ind w:left="1440" w:hanging="720"/>
        <w:rPr>
          <w:b/>
          <w:color w:val="000000"/>
        </w:rPr>
      </w:pPr>
      <w:r w:rsidRPr="00961173">
        <w:rPr>
          <w:b/>
          <w:color w:val="000000"/>
        </w:rPr>
        <w:t>requiring respondents to submit more than an original and two copies of any document;</w:t>
      </w:r>
    </w:p>
    <w:p w:rsidRPr="00961173" w:rsidR="0043499E" w:rsidP="00880CA4" w:rsidRDefault="0043499E" w14:paraId="3B253A36" w14:textId="77777777">
      <w:pPr>
        <w:numPr>
          <w:ilvl w:val="0"/>
          <w:numId w:val="18"/>
        </w:numPr>
        <w:tabs>
          <w:tab w:val="left" w:pos="-1440"/>
        </w:tabs>
        <w:ind w:left="1440" w:hanging="720"/>
        <w:rPr>
          <w:b/>
          <w:color w:val="000000"/>
        </w:rPr>
      </w:pPr>
      <w:r w:rsidRPr="00961173">
        <w:rPr>
          <w:b/>
          <w:color w:val="000000"/>
        </w:rPr>
        <w:t>requiring respondents to retain records, other than health, medical, government contract, grant-in-aid, or tax records for more than three years;</w:t>
      </w:r>
    </w:p>
    <w:p w:rsidRPr="00961173" w:rsidR="0043499E" w:rsidP="00880CA4" w:rsidRDefault="0043499E" w14:paraId="1E3705EE" w14:textId="77777777">
      <w:pPr>
        <w:numPr>
          <w:ilvl w:val="0"/>
          <w:numId w:val="18"/>
        </w:numPr>
        <w:tabs>
          <w:tab w:val="left" w:pos="-1440"/>
        </w:tabs>
        <w:ind w:left="1440" w:hanging="720"/>
        <w:rPr>
          <w:b/>
          <w:color w:val="000000"/>
        </w:rPr>
      </w:pPr>
      <w:r w:rsidRPr="00961173">
        <w:rPr>
          <w:b/>
          <w:color w:val="000000"/>
        </w:rPr>
        <w:t>in connection with a statistical survey, that is not designed to produce valid and reliable results that can be generalized to the universe of study;</w:t>
      </w:r>
    </w:p>
    <w:p w:rsidRPr="00961173" w:rsidR="0043499E" w:rsidP="00880CA4" w:rsidRDefault="0043499E" w14:paraId="3FEB4CE9" w14:textId="77777777">
      <w:pPr>
        <w:numPr>
          <w:ilvl w:val="0"/>
          <w:numId w:val="18"/>
        </w:numPr>
        <w:tabs>
          <w:tab w:val="left" w:pos="-1440"/>
        </w:tabs>
        <w:ind w:left="1440" w:hanging="720"/>
        <w:rPr>
          <w:b/>
          <w:color w:val="000000"/>
        </w:rPr>
      </w:pPr>
      <w:r w:rsidRPr="00961173">
        <w:rPr>
          <w:b/>
          <w:color w:val="000000"/>
        </w:rPr>
        <w:t>requiring the use of a statistical data classification that has not been reviewed and approved by OMB;</w:t>
      </w:r>
    </w:p>
    <w:p w:rsidRPr="00961173" w:rsidR="0043499E" w:rsidP="00880CA4" w:rsidRDefault="0043499E" w14:paraId="40F24B21" w14:textId="77777777">
      <w:pPr>
        <w:numPr>
          <w:ilvl w:val="0"/>
          <w:numId w:val="18"/>
        </w:numPr>
        <w:tabs>
          <w:tab w:val="left" w:pos="-1440"/>
        </w:tabs>
        <w:ind w:left="1440" w:hanging="720"/>
        <w:rPr>
          <w:b/>
          <w:color w:val="000000"/>
        </w:rPr>
      </w:pPr>
      <w:r w:rsidRPr="00961173">
        <w:rPr>
          <w:b/>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61173" w:rsidR="0043499E" w:rsidP="00880CA4" w:rsidRDefault="0043499E" w14:paraId="2A390B94" w14:textId="77777777">
      <w:pPr>
        <w:numPr>
          <w:ilvl w:val="0"/>
          <w:numId w:val="18"/>
        </w:numPr>
        <w:tabs>
          <w:tab w:val="left" w:pos="-1440"/>
        </w:tabs>
        <w:ind w:left="1440" w:hanging="720"/>
        <w:rPr>
          <w:b/>
          <w:color w:val="000000"/>
        </w:rPr>
      </w:pPr>
      <w:r w:rsidRPr="00961173">
        <w:rPr>
          <w:b/>
          <w:color w:val="000000"/>
        </w:rPr>
        <w:t>requiring respondents to submit proprietary trade secret, or other confidential information unless the agency can demonstrate that it has instituted procedures to protect the information's confidentiality to the extent permitted by law.</w:t>
      </w:r>
    </w:p>
    <w:p w:rsidRPr="00961173" w:rsidR="0043499E" w:rsidP="001568BC" w:rsidRDefault="0043499E" w14:paraId="697DF764" w14:textId="77777777">
      <w:pPr>
        <w:tabs>
          <w:tab w:val="left" w:pos="-1440"/>
        </w:tabs>
        <w:ind w:left="720"/>
        <w:rPr>
          <w:b/>
          <w:color w:val="000000"/>
        </w:rPr>
      </w:pPr>
    </w:p>
    <w:p w:rsidRPr="003B0F56" w:rsidR="00484D5E" w:rsidP="001568BC" w:rsidRDefault="00484D5E" w14:paraId="2088B43C" w14:textId="77777777">
      <w:pPr>
        <w:ind w:left="720"/>
        <w:rPr>
          <w:color w:val="000000"/>
        </w:rPr>
      </w:pPr>
      <w:r w:rsidRPr="003B0F56">
        <w:rPr>
          <w:color w:val="000000"/>
        </w:rPr>
        <w:t xml:space="preserve">After a material modification in certain previously disclosed information, a written response may be required within 30 or fewer days.  Under the regulation, the fiduciary adviser must disclose at a time reasonably contemporaneous with a material modification to the following information: the relationship between the adviser and the parties that developed the investment advice arrangement or selected the investment options available under the Plan or IRA; if not otherwise publicly available, past performance and historical rates of return of investments available under the plan or IRA; publicly available; all fees and other compensation the fiduciary adviser or any affiliate is to receive in connection with the investment; the fiduciary adviser’s material relationship, if any, to any investment under the arrangement; and types of services the fiduciary adviser provides in connection with the investment advice.  Further, if there is a material change </w:t>
      </w:r>
      <w:r w:rsidRPr="003B0F56">
        <w:rPr>
          <w:color w:val="000000"/>
        </w:rPr>
        <w:lastRenderedPageBreak/>
        <w:t>to the computer model used to generate the investments in the initial disclosure, the fiduciary adviser must obtain a new certification before using the modified model.  It is important that the information be provided and certification be obtained in a timely manner so that Participants and Plan fiduciaries can promptly monitor the investment advice arrangement in order to safeguard Plan and IRA assets.</w:t>
      </w:r>
    </w:p>
    <w:p w:rsidRPr="003B0F56" w:rsidR="00C659D5" w:rsidP="001568BC" w:rsidRDefault="00C659D5" w14:paraId="377733C5" w14:textId="77777777">
      <w:pPr>
        <w:ind w:left="720"/>
        <w:rPr>
          <w:color w:val="000000"/>
        </w:rPr>
      </w:pPr>
    </w:p>
    <w:p w:rsidRPr="003B0F56" w:rsidR="00484D5E" w:rsidP="001568BC" w:rsidRDefault="00484D5E" w14:paraId="7309DB77" w14:textId="77777777">
      <w:pPr>
        <w:pStyle w:val="BodyText"/>
        <w:ind w:left="720"/>
        <w:rPr>
          <w:color w:val="000000"/>
          <w:szCs w:val="24"/>
        </w:rPr>
      </w:pPr>
      <w:r w:rsidRPr="003B0F56">
        <w:rPr>
          <w:color w:val="000000"/>
          <w:szCs w:val="24"/>
        </w:rPr>
        <w:t>Because the regulation provides guidance on statutory provisions which themselves are subject to a record retention requirement of a period of not less than six years</w:t>
      </w:r>
      <w:r w:rsidRPr="003B0F56" w:rsidR="00786EB3">
        <w:rPr>
          <w:color w:val="000000"/>
          <w:szCs w:val="24"/>
        </w:rPr>
        <w:t xml:space="preserve"> under</w:t>
      </w:r>
      <w:r w:rsidRPr="003B0F56">
        <w:rPr>
          <w:color w:val="000000"/>
          <w:szCs w:val="24"/>
        </w:rPr>
        <w:t xml:space="preserve"> ERISA section 107, the exclusion from the three</w:t>
      </w:r>
      <w:r w:rsidRPr="003B0F56" w:rsidR="00786EB3">
        <w:rPr>
          <w:color w:val="000000"/>
          <w:szCs w:val="24"/>
        </w:rPr>
        <w:t>-</w:t>
      </w:r>
      <w:r w:rsidRPr="003B0F56">
        <w:rPr>
          <w:color w:val="000000"/>
          <w:szCs w:val="24"/>
        </w:rPr>
        <w:t>year guideline for record retention set forth in 5 CFR 1320.5 is applicable.</w:t>
      </w:r>
    </w:p>
    <w:p w:rsidRPr="003B0F56" w:rsidR="00D12B46" w:rsidP="001568BC" w:rsidRDefault="00D12B46" w14:paraId="5C354855" w14:textId="77777777">
      <w:pPr>
        <w:tabs>
          <w:tab w:val="left" w:pos="-1440"/>
        </w:tabs>
        <w:ind w:left="720"/>
        <w:rPr>
          <w:color w:val="000000"/>
        </w:rPr>
      </w:pPr>
    </w:p>
    <w:p w:rsidRPr="007A284A" w:rsidR="0043499E" w:rsidP="00880CA4" w:rsidRDefault="0043499E" w14:paraId="0324D87F" w14:textId="77777777">
      <w:pPr>
        <w:tabs>
          <w:tab w:val="left" w:pos="-1440"/>
        </w:tabs>
        <w:ind w:left="720" w:hanging="720"/>
        <w:rPr>
          <w:b/>
          <w:iCs/>
          <w:color w:val="000000"/>
        </w:rPr>
      </w:pPr>
      <w:r w:rsidRPr="007A284A">
        <w:rPr>
          <w:b/>
          <w:iCs/>
          <w:color w:val="000000"/>
        </w:rPr>
        <w:t>8.</w:t>
      </w:r>
      <w:r w:rsidRPr="007A284A">
        <w:rPr>
          <w:b/>
          <w:iCs/>
          <w:color w:val="00000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A284A" w:rsidR="004841CB" w:rsidP="00C072A4" w:rsidRDefault="004841CB" w14:paraId="37923E07" w14:textId="77777777">
      <w:pPr>
        <w:ind w:left="720"/>
        <w:rPr>
          <w:b/>
          <w:iCs/>
          <w:color w:val="000000"/>
        </w:rPr>
      </w:pPr>
    </w:p>
    <w:p w:rsidRPr="007A284A" w:rsidR="0043499E" w:rsidP="00C072A4" w:rsidRDefault="0043499E" w14:paraId="00626DBD" w14:textId="77777777">
      <w:pPr>
        <w:ind w:left="720"/>
        <w:rPr>
          <w:b/>
          <w:iCs/>
          <w:color w:val="000000"/>
        </w:rPr>
      </w:pPr>
      <w:r w:rsidRPr="007A284A">
        <w:rPr>
          <w:b/>
          <w:i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A284A" w:rsidR="0043499E" w:rsidP="00C072A4" w:rsidRDefault="0043499E" w14:paraId="5B1891F2" w14:textId="77777777">
      <w:pPr>
        <w:ind w:left="720"/>
        <w:rPr>
          <w:b/>
          <w:iCs/>
          <w:color w:val="000000"/>
        </w:rPr>
      </w:pPr>
    </w:p>
    <w:p w:rsidRPr="007A284A" w:rsidR="0043499E" w:rsidP="00C072A4" w:rsidRDefault="0043499E" w14:paraId="58A3EA26" w14:textId="77777777">
      <w:pPr>
        <w:ind w:left="720"/>
        <w:rPr>
          <w:b/>
          <w:color w:val="000000"/>
        </w:rPr>
      </w:pPr>
      <w:r w:rsidRPr="007A284A">
        <w:rPr>
          <w:b/>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B0F56" w:rsidR="0043499E" w:rsidP="00C072A4" w:rsidRDefault="0043499E" w14:paraId="235A97FC" w14:textId="77777777">
      <w:pPr>
        <w:ind w:left="720"/>
        <w:rPr>
          <w:color w:val="000000"/>
        </w:rPr>
      </w:pPr>
    </w:p>
    <w:p w:rsidRPr="003B0F56" w:rsidR="00B60AA6" w:rsidP="00C072A4" w:rsidRDefault="00EA207E" w14:paraId="658572C4" w14:textId="7ADBE948">
      <w:pPr>
        <w:ind w:left="720"/>
        <w:rPr>
          <w:color w:val="000000"/>
        </w:rPr>
      </w:pPr>
      <w:r w:rsidRPr="003B0F56">
        <w:rPr>
          <w:color w:val="000000"/>
        </w:rPr>
        <w:t xml:space="preserve">The Department’s Federal Register Notice soliciting comments on the extension of the information collection, as required by 5 CFR 1320.8(d), was published in the Federal Register on </w:t>
      </w:r>
      <w:r w:rsidR="002741D3">
        <w:rPr>
          <w:color w:val="000000"/>
        </w:rPr>
        <w:t>October 20</w:t>
      </w:r>
      <w:r w:rsidRPr="003B0F56">
        <w:rPr>
          <w:color w:val="000000"/>
        </w:rPr>
        <w:t>, 20</w:t>
      </w:r>
      <w:r w:rsidR="002741D3">
        <w:rPr>
          <w:color w:val="000000"/>
        </w:rPr>
        <w:t>20</w:t>
      </w:r>
      <w:r w:rsidRPr="003B0F56">
        <w:rPr>
          <w:color w:val="000000"/>
        </w:rPr>
        <w:t xml:space="preserve"> (</w:t>
      </w:r>
      <w:r w:rsidRPr="003B0F56" w:rsidR="000E31A7">
        <w:rPr>
          <w:color w:val="000000"/>
        </w:rPr>
        <w:t>8</w:t>
      </w:r>
      <w:r w:rsidR="002741D3">
        <w:rPr>
          <w:color w:val="000000"/>
        </w:rPr>
        <w:t>5</w:t>
      </w:r>
      <w:r w:rsidRPr="003B0F56">
        <w:rPr>
          <w:color w:val="000000"/>
        </w:rPr>
        <w:t xml:space="preserve"> FR </w:t>
      </w:r>
      <w:r w:rsidR="002741D3">
        <w:rPr>
          <w:color w:val="000000"/>
        </w:rPr>
        <w:t>66580</w:t>
      </w:r>
      <w:r w:rsidRPr="003B0F56">
        <w:rPr>
          <w:color w:val="000000"/>
        </w:rPr>
        <w:t>).  The public was provided with 60 days to comment on the submission, and no public comments were received.</w:t>
      </w:r>
    </w:p>
    <w:p w:rsidRPr="007A284A" w:rsidR="00D12B46" w:rsidP="00C072A4" w:rsidRDefault="00D12B46" w14:paraId="4B90A956" w14:textId="77777777">
      <w:pPr>
        <w:ind w:left="720"/>
        <w:rPr>
          <w:b/>
          <w:color w:val="000000"/>
        </w:rPr>
      </w:pPr>
    </w:p>
    <w:p w:rsidRPr="007A284A" w:rsidR="0043499E" w:rsidP="00C072A4" w:rsidRDefault="0043499E" w14:paraId="07BD23CF" w14:textId="77777777">
      <w:pPr>
        <w:ind w:left="720" w:hanging="720"/>
        <w:rPr>
          <w:b/>
          <w:color w:val="000000"/>
        </w:rPr>
      </w:pPr>
      <w:r w:rsidRPr="007A284A">
        <w:rPr>
          <w:b/>
          <w:color w:val="000000"/>
        </w:rPr>
        <w:t>9.</w:t>
      </w:r>
      <w:r w:rsidRPr="007A284A">
        <w:rPr>
          <w:b/>
          <w:color w:val="000000"/>
        </w:rPr>
        <w:tab/>
        <w:t>Explain any decision to provide any payment or gift to respondents, other than remuneration of contractors or grantees.</w:t>
      </w:r>
    </w:p>
    <w:p w:rsidRPr="003B0F56" w:rsidR="0043499E" w:rsidP="00C072A4" w:rsidRDefault="0043499E" w14:paraId="7E136E53" w14:textId="77777777">
      <w:pPr>
        <w:ind w:left="720"/>
        <w:rPr>
          <w:color w:val="000000"/>
        </w:rPr>
      </w:pPr>
    </w:p>
    <w:p w:rsidR="000065EC" w:rsidP="00C072A4" w:rsidRDefault="000065EC" w14:paraId="4A7C53D9" w14:textId="77777777">
      <w:pPr>
        <w:pStyle w:val="Quick1"/>
        <w:widowControl/>
        <w:numPr>
          <w:ilvl w:val="0"/>
          <w:numId w:val="0"/>
        </w:numPr>
        <w:tabs>
          <w:tab w:val="left" w:pos="-1440"/>
        </w:tabs>
        <w:ind w:left="720"/>
        <w:outlineLvl w:val="0"/>
        <w:rPr>
          <w:rFonts w:ascii="Times New Roman" w:hAnsi="Times New Roman"/>
          <w:color w:val="000000"/>
        </w:rPr>
      </w:pPr>
      <w:r w:rsidRPr="003B0F56">
        <w:rPr>
          <w:rFonts w:ascii="Times New Roman" w:hAnsi="Times New Roman"/>
          <w:color w:val="000000"/>
        </w:rPr>
        <w:t>Not applicable.</w:t>
      </w:r>
    </w:p>
    <w:p w:rsidRPr="007A284A" w:rsidR="00C072A4" w:rsidP="00C072A4" w:rsidRDefault="00C072A4" w14:paraId="1EA982AD" w14:textId="77777777">
      <w:pPr>
        <w:pStyle w:val="Quick1"/>
        <w:widowControl/>
        <w:numPr>
          <w:ilvl w:val="0"/>
          <w:numId w:val="0"/>
        </w:numPr>
        <w:tabs>
          <w:tab w:val="left" w:pos="-1440"/>
        </w:tabs>
        <w:ind w:left="720"/>
        <w:outlineLvl w:val="0"/>
        <w:rPr>
          <w:rFonts w:ascii="Times New Roman" w:hAnsi="Times New Roman"/>
          <w:b/>
          <w:color w:val="000000"/>
        </w:rPr>
      </w:pPr>
    </w:p>
    <w:p w:rsidRPr="003B0F56" w:rsidR="0043499E" w:rsidP="00C072A4" w:rsidRDefault="0043499E" w14:paraId="6806EE54" w14:textId="77777777">
      <w:pPr>
        <w:ind w:left="720" w:hanging="720"/>
        <w:rPr>
          <w:iCs/>
          <w:color w:val="000000"/>
        </w:rPr>
      </w:pPr>
      <w:r w:rsidRPr="007A284A">
        <w:rPr>
          <w:b/>
          <w:iCs/>
          <w:color w:val="000000"/>
        </w:rPr>
        <w:t>10.</w:t>
      </w:r>
      <w:r w:rsidRPr="007A284A">
        <w:rPr>
          <w:b/>
          <w:iCs/>
          <w:color w:val="000000"/>
        </w:rPr>
        <w:tab/>
        <w:t>Describe any assurance of confidentiality provided to respondents and the basis for the assurance in statute, regulation, or agency policy</w:t>
      </w:r>
      <w:r w:rsidRPr="003B0F56">
        <w:rPr>
          <w:i/>
          <w:iCs/>
          <w:color w:val="000000"/>
        </w:rPr>
        <w:t>.</w:t>
      </w:r>
    </w:p>
    <w:p w:rsidRPr="003B0F56" w:rsidR="0043499E" w:rsidP="00C072A4" w:rsidRDefault="0043499E" w14:paraId="6CF1F14B" w14:textId="77777777">
      <w:pPr>
        <w:ind w:left="720"/>
        <w:rPr>
          <w:iCs/>
          <w:color w:val="000000"/>
        </w:rPr>
      </w:pPr>
    </w:p>
    <w:p w:rsidRPr="003B0F56" w:rsidR="009035AD" w:rsidP="00C072A4" w:rsidRDefault="009035AD" w14:paraId="18C2AFDA" w14:textId="77777777">
      <w:pPr>
        <w:pStyle w:val="Quick1"/>
        <w:widowControl/>
        <w:numPr>
          <w:ilvl w:val="0"/>
          <w:numId w:val="0"/>
        </w:numPr>
        <w:tabs>
          <w:tab w:val="left" w:pos="-1440"/>
        </w:tabs>
        <w:ind w:left="720"/>
        <w:outlineLvl w:val="0"/>
        <w:rPr>
          <w:rFonts w:ascii="Times New Roman" w:hAnsi="Times New Roman"/>
          <w:color w:val="000000"/>
        </w:rPr>
      </w:pPr>
      <w:r w:rsidRPr="003B0F56">
        <w:rPr>
          <w:rFonts w:ascii="Times New Roman" w:hAnsi="Times New Roman"/>
          <w:color w:val="000000"/>
        </w:rPr>
        <w:t xml:space="preserve">Not </w:t>
      </w:r>
      <w:r w:rsidRPr="003B0F56" w:rsidR="00F41510">
        <w:rPr>
          <w:rFonts w:ascii="Times New Roman" w:hAnsi="Times New Roman"/>
          <w:color w:val="000000"/>
        </w:rPr>
        <w:t>a</w:t>
      </w:r>
      <w:r w:rsidRPr="003B0F56">
        <w:rPr>
          <w:rFonts w:ascii="Times New Roman" w:hAnsi="Times New Roman"/>
          <w:color w:val="000000"/>
        </w:rPr>
        <w:t>pplicable</w:t>
      </w:r>
      <w:r w:rsidRPr="003B0F56" w:rsidR="00F41510">
        <w:rPr>
          <w:rFonts w:ascii="Times New Roman" w:hAnsi="Times New Roman"/>
          <w:color w:val="000000"/>
        </w:rPr>
        <w:t>.</w:t>
      </w:r>
    </w:p>
    <w:p w:rsidRPr="003B0F56" w:rsidR="00D12B46" w:rsidP="00C072A4" w:rsidRDefault="00D12B46" w14:paraId="7FE0FD5B" w14:textId="77777777">
      <w:pPr>
        <w:ind w:left="720"/>
        <w:rPr>
          <w:iCs/>
          <w:color w:val="000000"/>
        </w:rPr>
      </w:pPr>
    </w:p>
    <w:p w:rsidRPr="007A284A" w:rsidR="0043499E" w:rsidP="00A66FD8" w:rsidRDefault="0043499E" w14:paraId="756490FA" w14:textId="77777777">
      <w:pPr>
        <w:tabs>
          <w:tab w:val="left" w:pos="-1440"/>
        </w:tabs>
        <w:ind w:left="720" w:hanging="720"/>
        <w:rPr>
          <w:b/>
          <w:iCs/>
          <w:color w:val="000000"/>
        </w:rPr>
      </w:pPr>
      <w:r w:rsidRPr="007A284A">
        <w:rPr>
          <w:b/>
          <w:iCs/>
          <w:color w:val="000000"/>
        </w:rPr>
        <w:lastRenderedPageBreak/>
        <w:t>11.</w:t>
      </w:r>
      <w:r w:rsidRPr="007A284A">
        <w:rPr>
          <w:b/>
          <w:iCs/>
          <w:color w:val="00000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B0F56" w:rsidR="0043499E" w:rsidP="00A66FD8" w:rsidRDefault="0043499E" w14:paraId="2E1AD004" w14:textId="77777777">
      <w:pPr>
        <w:tabs>
          <w:tab w:val="left" w:pos="-1440"/>
        </w:tabs>
        <w:ind w:left="720"/>
        <w:rPr>
          <w:iCs/>
          <w:color w:val="000000"/>
        </w:rPr>
      </w:pPr>
    </w:p>
    <w:p w:rsidRPr="003B0F56" w:rsidR="009035AD" w:rsidP="00A66FD8" w:rsidRDefault="009035AD" w14:paraId="55AAF368" w14:textId="77777777">
      <w:pPr>
        <w:pStyle w:val="Quick1"/>
        <w:widowControl/>
        <w:numPr>
          <w:ilvl w:val="0"/>
          <w:numId w:val="0"/>
        </w:numPr>
        <w:tabs>
          <w:tab w:val="left" w:pos="-1440"/>
        </w:tabs>
        <w:ind w:left="720"/>
        <w:rPr>
          <w:rFonts w:ascii="Times New Roman" w:hAnsi="Times New Roman"/>
          <w:color w:val="000000"/>
        </w:rPr>
      </w:pPr>
      <w:r w:rsidRPr="003B0F56">
        <w:rPr>
          <w:rFonts w:ascii="Times New Roman" w:hAnsi="Times New Roman"/>
          <w:color w:val="000000"/>
        </w:rPr>
        <w:t xml:space="preserve">Not </w:t>
      </w:r>
      <w:r w:rsidRPr="003B0F56" w:rsidR="00F41510">
        <w:rPr>
          <w:rFonts w:ascii="Times New Roman" w:hAnsi="Times New Roman"/>
          <w:color w:val="000000"/>
        </w:rPr>
        <w:t>a</w:t>
      </w:r>
      <w:r w:rsidRPr="003B0F56">
        <w:rPr>
          <w:rFonts w:ascii="Times New Roman" w:hAnsi="Times New Roman"/>
          <w:color w:val="000000"/>
        </w:rPr>
        <w:t>pplicable</w:t>
      </w:r>
      <w:r w:rsidRPr="003B0F56" w:rsidR="00F41510">
        <w:rPr>
          <w:rFonts w:ascii="Times New Roman" w:hAnsi="Times New Roman"/>
          <w:color w:val="000000"/>
        </w:rPr>
        <w:t>.</w:t>
      </w:r>
    </w:p>
    <w:p w:rsidRPr="003B0F56" w:rsidR="004841CB" w:rsidP="00A66FD8" w:rsidRDefault="004841CB" w14:paraId="1A48C156" w14:textId="77777777">
      <w:pPr>
        <w:tabs>
          <w:tab w:val="left" w:pos="-1440"/>
        </w:tabs>
        <w:ind w:left="720"/>
        <w:rPr>
          <w:iCs/>
          <w:color w:val="000000"/>
        </w:rPr>
      </w:pPr>
    </w:p>
    <w:p w:rsidRPr="007A284A" w:rsidR="006962D3" w:rsidP="00A66FD8" w:rsidRDefault="006962D3" w14:paraId="742DD0F0" w14:textId="77777777">
      <w:pPr>
        <w:tabs>
          <w:tab w:val="left" w:pos="-1440"/>
        </w:tabs>
        <w:ind w:left="720" w:hanging="720"/>
        <w:rPr>
          <w:b/>
          <w:iCs/>
          <w:color w:val="000000"/>
        </w:rPr>
      </w:pPr>
      <w:r w:rsidRPr="007A284A">
        <w:rPr>
          <w:b/>
          <w:iCs/>
          <w:color w:val="000000"/>
        </w:rPr>
        <w:t>12.</w:t>
      </w:r>
      <w:r w:rsidRPr="007A284A">
        <w:rPr>
          <w:b/>
          <w:iCs/>
          <w:color w:val="000000"/>
        </w:rPr>
        <w:tab/>
        <w:t>Provide estimates of the hour burden of the collection of information.  The statement should:</w:t>
      </w:r>
    </w:p>
    <w:p w:rsidRPr="007A284A" w:rsidR="006962D3" w:rsidP="00A66FD8" w:rsidRDefault="006962D3" w14:paraId="1CB57915" w14:textId="77777777">
      <w:pPr>
        <w:tabs>
          <w:tab w:val="left" w:pos="-1440"/>
        </w:tabs>
        <w:ind w:left="1440" w:hanging="720"/>
        <w:rPr>
          <w:b/>
          <w:iCs/>
          <w:color w:val="000000"/>
        </w:rPr>
      </w:pPr>
      <w:r w:rsidRPr="007A284A">
        <w:rPr>
          <w:b/>
          <w:iCs/>
          <w:color w:val="000000"/>
        </w:rPr>
        <w:t>•</w:t>
      </w:r>
      <w:r w:rsidRPr="007A284A">
        <w:rPr>
          <w:b/>
          <w:iCs/>
          <w:color w:val="00000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A284A" w:rsidR="006962D3" w:rsidP="00A66FD8" w:rsidRDefault="006962D3" w14:paraId="78F2D1B3" w14:textId="77777777">
      <w:pPr>
        <w:tabs>
          <w:tab w:val="left" w:pos="-1440"/>
        </w:tabs>
        <w:ind w:left="1440" w:hanging="720"/>
        <w:rPr>
          <w:b/>
          <w:iCs/>
          <w:color w:val="000000"/>
        </w:rPr>
      </w:pPr>
      <w:r w:rsidRPr="007A284A">
        <w:rPr>
          <w:b/>
          <w:iCs/>
          <w:color w:val="000000"/>
        </w:rPr>
        <w:t>•</w:t>
      </w:r>
      <w:r w:rsidRPr="007A284A">
        <w:rPr>
          <w:b/>
          <w:iCs/>
          <w:color w:val="000000"/>
        </w:rPr>
        <w:tab/>
        <w:t>If this request for approval covers more than one form, provide separate hour burden estimates for each form and aggregate the hour burdens</w:t>
      </w:r>
      <w:r w:rsidRPr="007A284A" w:rsidR="00EA207E">
        <w:rPr>
          <w:b/>
          <w:iCs/>
          <w:color w:val="000000"/>
        </w:rPr>
        <w:t>.</w:t>
      </w:r>
    </w:p>
    <w:p w:rsidRPr="007A284A" w:rsidR="006962D3" w:rsidP="00324723" w:rsidRDefault="006962D3" w14:paraId="1663AD47" w14:textId="77777777">
      <w:pPr>
        <w:tabs>
          <w:tab w:val="left" w:pos="-1440"/>
        </w:tabs>
        <w:ind w:left="1440" w:hanging="720"/>
        <w:rPr>
          <w:b/>
          <w:iCs/>
          <w:color w:val="000000"/>
        </w:rPr>
      </w:pPr>
      <w:r w:rsidRPr="007A284A">
        <w:rPr>
          <w:b/>
          <w:iCs/>
          <w:color w:val="000000"/>
        </w:rPr>
        <w:t>•</w:t>
      </w:r>
      <w:r w:rsidRPr="007A284A">
        <w:rPr>
          <w:b/>
          <w:iCs/>
          <w:color w:val="00000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24723" w:rsidR="00324723">
        <w:rPr>
          <w:b/>
          <w:iCs/>
        </w:rPr>
        <w:t xml:space="preserve"> </w:t>
      </w:r>
      <w:r w:rsidR="00324723">
        <w:rPr>
          <w:b/>
          <w:iCs/>
        </w:rPr>
        <w:t xml:space="preserve"> </w:t>
      </w:r>
      <w:r w:rsidRPr="00324723" w:rsidR="00324723">
        <w:rPr>
          <w:b/>
          <w:iCs/>
          <w:color w:val="000000"/>
        </w:rPr>
        <w:t>Instead, this cost should be included in Item 14.</w:t>
      </w:r>
    </w:p>
    <w:p w:rsidRPr="007A284A" w:rsidR="006962D3" w:rsidP="00A66FD8" w:rsidRDefault="006962D3" w14:paraId="08FB29FA" w14:textId="77777777">
      <w:pPr>
        <w:ind w:left="720"/>
        <w:rPr>
          <w:b/>
          <w:color w:val="000000"/>
        </w:rPr>
      </w:pPr>
    </w:p>
    <w:p w:rsidRPr="003B0F56" w:rsidR="006962D3" w:rsidP="00A66FD8" w:rsidRDefault="006962D3" w14:paraId="2686239A" w14:textId="2D74B43B">
      <w:pPr>
        <w:ind w:left="720"/>
        <w:rPr>
          <w:color w:val="000000"/>
        </w:rPr>
      </w:pPr>
      <w:r w:rsidRPr="003B0F56">
        <w:rPr>
          <w:color w:val="000000"/>
        </w:rPr>
        <w:t xml:space="preserve">The Department has made certain specific basic assumptions in order to establish a reasonable estimate of the paperwork burden of this information collection.  Most importantly, given the nature of the information collection requirements, the Department assumes a combination of personnel will perform the information collection.  </w:t>
      </w:r>
      <w:r w:rsidRPr="003B0F56" w:rsidR="00DD70DC">
        <w:rPr>
          <w:color w:val="000000"/>
        </w:rPr>
        <w:t>T</w:t>
      </w:r>
      <w:r w:rsidRPr="003B0F56">
        <w:rPr>
          <w:color w:val="000000"/>
        </w:rPr>
        <w:t xml:space="preserve">he Department assumes </w:t>
      </w:r>
      <w:r w:rsidRPr="003B0F56" w:rsidR="00F945A0">
        <w:rPr>
          <w:color w:val="000000"/>
        </w:rPr>
        <w:t xml:space="preserve">an </w:t>
      </w:r>
      <w:r w:rsidRPr="003B0F56">
        <w:rPr>
          <w:color w:val="000000"/>
        </w:rPr>
        <w:t xml:space="preserve">hourly wage rate for </w:t>
      </w:r>
      <w:r w:rsidR="003446F3">
        <w:rPr>
          <w:color w:val="000000"/>
        </w:rPr>
        <w:t>2019</w:t>
      </w:r>
      <w:r w:rsidRPr="003B0F56" w:rsidR="008950EC">
        <w:rPr>
          <w:color w:val="000000"/>
        </w:rPr>
        <w:t>,</w:t>
      </w:r>
      <w:r w:rsidRPr="003B0F56" w:rsidR="0013062D">
        <w:rPr>
          <w:rStyle w:val="FootnoteReference"/>
          <w:color w:val="000000"/>
        </w:rPr>
        <w:footnoteReference w:id="1"/>
      </w:r>
      <w:r w:rsidRPr="003B0F56" w:rsidR="008950EC">
        <w:rPr>
          <w:color w:val="000000"/>
        </w:rPr>
        <w:t xml:space="preserve"> including wages and benefits,</w:t>
      </w:r>
      <w:r w:rsidRPr="003B0F56">
        <w:rPr>
          <w:color w:val="000000"/>
        </w:rPr>
        <w:t xml:space="preserve"> of $</w:t>
      </w:r>
      <w:r w:rsidR="003446F3">
        <w:rPr>
          <w:color w:val="000000"/>
        </w:rPr>
        <w:t>165.63</w:t>
      </w:r>
      <w:r w:rsidRPr="003B0F56" w:rsidR="007A4FE4">
        <w:rPr>
          <w:color w:val="000000"/>
        </w:rPr>
        <w:t xml:space="preserve"> </w:t>
      </w:r>
      <w:r w:rsidRPr="003B0F56">
        <w:rPr>
          <w:color w:val="000000"/>
        </w:rPr>
        <w:t>for financial manager</w:t>
      </w:r>
      <w:r w:rsidRPr="003B0F56" w:rsidR="008950EC">
        <w:rPr>
          <w:color w:val="000000"/>
        </w:rPr>
        <w:t>s</w:t>
      </w:r>
      <w:r w:rsidRPr="003B0F56" w:rsidR="00F945A0">
        <w:rPr>
          <w:color w:val="000000"/>
        </w:rPr>
        <w:t xml:space="preserve">, </w:t>
      </w:r>
      <w:r w:rsidRPr="003B0F56">
        <w:rPr>
          <w:color w:val="000000"/>
        </w:rPr>
        <w:t>$</w:t>
      </w:r>
      <w:r w:rsidR="003446F3">
        <w:rPr>
          <w:color w:val="000000"/>
        </w:rPr>
        <w:t>55.14</w:t>
      </w:r>
      <w:r w:rsidRPr="003B0F56" w:rsidR="007A4FE4">
        <w:rPr>
          <w:color w:val="000000"/>
        </w:rPr>
        <w:t xml:space="preserve"> </w:t>
      </w:r>
      <w:r w:rsidRPr="003B0F56">
        <w:rPr>
          <w:color w:val="000000"/>
        </w:rPr>
        <w:t>for clerical personnel</w:t>
      </w:r>
      <w:r w:rsidRPr="003B0F56" w:rsidR="00F945A0">
        <w:rPr>
          <w:color w:val="000000"/>
        </w:rPr>
        <w:t>, $</w:t>
      </w:r>
      <w:r w:rsidR="003446F3">
        <w:rPr>
          <w:color w:val="000000"/>
        </w:rPr>
        <w:t>138.41</w:t>
      </w:r>
      <w:r w:rsidRPr="003B0F56" w:rsidR="007A4FE4">
        <w:rPr>
          <w:color w:val="000000"/>
        </w:rPr>
        <w:t xml:space="preserve"> </w:t>
      </w:r>
      <w:r w:rsidRPr="003B0F56" w:rsidR="00F945A0">
        <w:rPr>
          <w:color w:val="000000"/>
        </w:rPr>
        <w:t>for legal professionals, and $</w:t>
      </w:r>
      <w:r w:rsidR="003446F3">
        <w:rPr>
          <w:color w:val="000000"/>
        </w:rPr>
        <w:t>110.34</w:t>
      </w:r>
      <w:r w:rsidRPr="003B0F56" w:rsidR="007A4FE4">
        <w:rPr>
          <w:color w:val="000000"/>
        </w:rPr>
        <w:t xml:space="preserve"> </w:t>
      </w:r>
      <w:r w:rsidRPr="003B0F56" w:rsidR="00F945A0">
        <w:rPr>
          <w:color w:val="000000"/>
        </w:rPr>
        <w:t>for computer programmers</w:t>
      </w:r>
      <w:r w:rsidRPr="003B0F56">
        <w:rPr>
          <w:color w:val="000000"/>
        </w:rPr>
        <w:t>.</w:t>
      </w:r>
    </w:p>
    <w:p w:rsidRPr="003B0F56" w:rsidR="006962D3" w:rsidP="00A66FD8" w:rsidRDefault="006962D3" w14:paraId="0310A53D" w14:textId="77777777">
      <w:pPr>
        <w:ind w:left="720"/>
        <w:rPr>
          <w:color w:val="000000"/>
        </w:rPr>
      </w:pPr>
    </w:p>
    <w:p w:rsidRPr="003B0F56" w:rsidR="006962D3" w:rsidP="00A66FD8" w:rsidRDefault="006962D3" w14:paraId="309FC3EB" w14:textId="297A872A">
      <w:pPr>
        <w:ind w:left="720"/>
        <w:rPr>
          <w:color w:val="000000"/>
        </w:rPr>
      </w:pPr>
      <w:r w:rsidRPr="003B0F56">
        <w:rPr>
          <w:color w:val="000000"/>
        </w:rPr>
        <w:t xml:space="preserve">The Department assumes that there are </w:t>
      </w:r>
      <w:r w:rsidR="00D61C84">
        <w:rPr>
          <w:color w:val="000000"/>
        </w:rPr>
        <w:t>11,396</w:t>
      </w:r>
      <w:r w:rsidRPr="003B0F56" w:rsidR="00E50EEF">
        <w:rPr>
          <w:color w:val="000000"/>
        </w:rPr>
        <w:t xml:space="preserve"> </w:t>
      </w:r>
      <w:r w:rsidRPr="003B0F56" w:rsidR="00D64996">
        <w:rPr>
          <w:color w:val="000000"/>
        </w:rPr>
        <w:t>investment advisory</w:t>
      </w:r>
      <w:r w:rsidRPr="003B0F56">
        <w:rPr>
          <w:color w:val="000000"/>
        </w:rPr>
        <w:t xml:space="preserve"> firms (including broker-dealers) </w:t>
      </w:r>
      <w:r w:rsidR="000240F8">
        <w:rPr>
          <w:color w:val="000000"/>
        </w:rPr>
        <w:t xml:space="preserve">who </w:t>
      </w:r>
      <w:r w:rsidRPr="003B0F56">
        <w:rPr>
          <w:color w:val="000000"/>
        </w:rPr>
        <w:t xml:space="preserve">will take advantage of this statutory exemption to provide advice to both </w:t>
      </w:r>
      <w:r w:rsidRPr="003B0F56" w:rsidR="00540106">
        <w:rPr>
          <w:color w:val="000000"/>
        </w:rPr>
        <w:t>P</w:t>
      </w:r>
      <w:r w:rsidRPr="003B0F56">
        <w:rPr>
          <w:color w:val="000000"/>
        </w:rPr>
        <w:t>lans and IRAs.</w:t>
      </w:r>
      <w:r w:rsidRPr="003B0F56">
        <w:rPr>
          <w:rStyle w:val="FootnoteReference"/>
          <w:color w:val="000000"/>
        </w:rPr>
        <w:footnoteReference w:id="2"/>
      </w:r>
      <w:r w:rsidRPr="003B0F56">
        <w:rPr>
          <w:color w:val="000000"/>
        </w:rPr>
        <w:t xml:space="preserve"> </w:t>
      </w:r>
      <w:r w:rsidR="00B95D67">
        <w:rPr>
          <w:color w:val="000000"/>
        </w:rPr>
        <w:t xml:space="preserve"> </w:t>
      </w:r>
      <w:r w:rsidRPr="003B0F56">
        <w:rPr>
          <w:color w:val="000000"/>
        </w:rPr>
        <w:t xml:space="preserve">The number of investment advisory firms </w:t>
      </w:r>
      <w:r w:rsidRPr="003B0F56" w:rsidR="00B8794B">
        <w:rPr>
          <w:color w:val="000000"/>
        </w:rPr>
        <w:t>using</w:t>
      </w:r>
      <w:r w:rsidRPr="003B0F56">
        <w:rPr>
          <w:color w:val="000000"/>
        </w:rPr>
        <w:t xml:space="preserve"> this statutory </w:t>
      </w:r>
      <w:r w:rsidRPr="003B0F56">
        <w:rPr>
          <w:color w:val="000000"/>
        </w:rPr>
        <w:lastRenderedPageBreak/>
        <w:t xml:space="preserve">exemptive relief is assumed to be constant over time.  The Department also estimates that under the statutory exemption </w:t>
      </w:r>
      <w:r w:rsidR="00D61C84">
        <w:rPr>
          <w:color w:val="000000"/>
        </w:rPr>
        <w:t>83,464</w:t>
      </w:r>
      <w:r w:rsidRPr="003B0F56" w:rsidR="00E50EEF">
        <w:rPr>
          <w:color w:val="000000"/>
        </w:rPr>
        <w:t xml:space="preserve"> </w:t>
      </w:r>
      <w:r w:rsidRPr="003B0F56" w:rsidR="00CF1E36">
        <w:rPr>
          <w:color w:val="000000"/>
        </w:rPr>
        <w:t>Plans w</w:t>
      </w:r>
      <w:r w:rsidRPr="003B0F56">
        <w:rPr>
          <w:color w:val="000000"/>
        </w:rPr>
        <w:t xml:space="preserve">ill seek to provide advice to their </w:t>
      </w:r>
      <w:r w:rsidRPr="003B0F56" w:rsidR="00D64996">
        <w:rPr>
          <w:color w:val="000000"/>
        </w:rPr>
        <w:t>Participants</w:t>
      </w:r>
      <w:r w:rsidRPr="003B0F56">
        <w:rPr>
          <w:color w:val="000000"/>
        </w:rPr>
        <w:t xml:space="preserve">.  These </w:t>
      </w:r>
      <w:r w:rsidRPr="003B0F56" w:rsidR="00531E9B">
        <w:rPr>
          <w:color w:val="000000"/>
        </w:rPr>
        <w:t>P</w:t>
      </w:r>
      <w:r w:rsidRPr="003B0F56">
        <w:rPr>
          <w:color w:val="000000"/>
        </w:rPr>
        <w:t xml:space="preserve">lans represent </w:t>
      </w:r>
      <w:r w:rsidRPr="00D61C84" w:rsidR="00D61C84">
        <w:rPr>
          <w:color w:val="000000"/>
        </w:rPr>
        <w:t>18,039,974</w:t>
      </w:r>
      <w:r w:rsidR="00D61C84">
        <w:rPr>
          <w:color w:val="000000"/>
        </w:rPr>
        <w:t xml:space="preserve"> </w:t>
      </w:r>
      <w:r w:rsidRPr="003B0F56" w:rsidR="00D64996">
        <w:rPr>
          <w:color w:val="000000"/>
        </w:rPr>
        <w:t>Participants</w:t>
      </w:r>
      <w:r w:rsidRPr="003B0F56">
        <w:rPr>
          <w:color w:val="000000"/>
        </w:rPr>
        <w:t xml:space="preserve">, of which </w:t>
      </w:r>
      <w:r w:rsidRPr="00D61C84" w:rsidR="00D61C84">
        <w:rPr>
          <w:color w:val="000000"/>
        </w:rPr>
        <w:t>2,948,730</w:t>
      </w:r>
      <w:r w:rsidR="00D61C84">
        <w:rPr>
          <w:color w:val="000000"/>
        </w:rPr>
        <w:t xml:space="preserve"> </w:t>
      </w:r>
      <w:r w:rsidRPr="003B0F56">
        <w:rPr>
          <w:color w:val="000000"/>
        </w:rPr>
        <w:t xml:space="preserve">will seek advice from the investment advisory firm </w:t>
      </w:r>
      <w:r w:rsidRPr="003B0F56" w:rsidR="00F71C9D">
        <w:rPr>
          <w:color w:val="000000"/>
        </w:rPr>
        <w:t>servicing</w:t>
      </w:r>
      <w:r w:rsidRPr="003B0F56">
        <w:rPr>
          <w:color w:val="000000"/>
        </w:rPr>
        <w:t xml:space="preserve"> their employer sponsored retirement investment plan. </w:t>
      </w:r>
      <w:r w:rsidR="003026F8">
        <w:rPr>
          <w:color w:val="000000"/>
        </w:rPr>
        <w:t xml:space="preserve"> </w:t>
      </w:r>
      <w:r w:rsidRPr="003B0F56">
        <w:rPr>
          <w:color w:val="000000"/>
        </w:rPr>
        <w:t xml:space="preserve">IRAs can also make use of this statutory exemption, and the Department estimates that </w:t>
      </w:r>
      <w:r w:rsidRPr="00D61C84" w:rsidR="00D61C84">
        <w:rPr>
          <w:color w:val="000000"/>
        </w:rPr>
        <w:t>20,084,300</w:t>
      </w:r>
      <w:r w:rsidRPr="003B0F56" w:rsidR="00E50EEF">
        <w:rPr>
          <w:color w:val="000000"/>
        </w:rPr>
        <w:t xml:space="preserve"> </w:t>
      </w:r>
      <w:r w:rsidRPr="003B0F56">
        <w:rPr>
          <w:color w:val="000000"/>
        </w:rPr>
        <w:t xml:space="preserve">million IRA </w:t>
      </w:r>
      <w:r w:rsidRPr="003B0F56" w:rsidR="00B948AB">
        <w:rPr>
          <w:color w:val="000000"/>
        </w:rPr>
        <w:t xml:space="preserve">Participants </w:t>
      </w:r>
      <w:r w:rsidRPr="003B0F56">
        <w:rPr>
          <w:color w:val="000000"/>
        </w:rPr>
        <w:t>will seek advice under this statutory exemption.</w:t>
      </w:r>
    </w:p>
    <w:p w:rsidRPr="003B0F56" w:rsidR="00172B71" w:rsidP="00A66FD8" w:rsidRDefault="00172B71" w14:paraId="7C2BCF09" w14:textId="77777777">
      <w:pPr>
        <w:ind w:left="720"/>
        <w:rPr>
          <w:color w:val="000000"/>
        </w:rPr>
      </w:pPr>
    </w:p>
    <w:tbl>
      <w:tblPr>
        <w:tblW w:w="7112" w:type="dxa"/>
        <w:tblInd w:w="720" w:type="dxa"/>
        <w:tblLook w:val="04A0" w:firstRow="1" w:lastRow="0" w:firstColumn="1" w:lastColumn="0" w:noHBand="0" w:noVBand="1"/>
      </w:tblPr>
      <w:tblGrid>
        <w:gridCol w:w="4589"/>
        <w:gridCol w:w="2523"/>
      </w:tblGrid>
      <w:tr w:rsidRPr="003B0F56" w:rsidR="003D0F8C" w:rsidTr="00A81396" w14:paraId="540F3A61" w14:textId="77777777">
        <w:trPr>
          <w:trHeight w:val="330"/>
        </w:trPr>
        <w:tc>
          <w:tcPr>
            <w:tcW w:w="7112" w:type="dxa"/>
            <w:gridSpan w:val="2"/>
            <w:tcBorders>
              <w:top w:val="nil"/>
              <w:left w:val="nil"/>
              <w:bottom w:val="single" w:color="auto" w:sz="8" w:space="0"/>
              <w:right w:val="nil"/>
            </w:tcBorders>
            <w:shd w:val="clear" w:color="auto" w:fill="auto"/>
            <w:vAlign w:val="bottom"/>
            <w:hideMark/>
          </w:tcPr>
          <w:p w:rsidRPr="003B0F56" w:rsidR="003D0F8C" w:rsidRDefault="003D0F8C" w14:paraId="37B273BF" w14:textId="77777777">
            <w:r w:rsidRPr="003B0F56">
              <w:t>Table 1.--Number of Entities</w:t>
            </w:r>
          </w:p>
        </w:tc>
      </w:tr>
      <w:tr w:rsidRPr="003B0F56" w:rsidR="003D0F8C" w:rsidTr="00A81396" w14:paraId="0B345CEC" w14:textId="77777777">
        <w:trPr>
          <w:trHeight w:val="330"/>
        </w:trPr>
        <w:tc>
          <w:tcPr>
            <w:tcW w:w="4589" w:type="dxa"/>
            <w:tcBorders>
              <w:top w:val="nil"/>
              <w:left w:val="single" w:color="auto" w:sz="8" w:space="0"/>
              <w:bottom w:val="single" w:color="auto" w:sz="8" w:space="0"/>
              <w:right w:val="single" w:color="auto" w:sz="8" w:space="0"/>
            </w:tcBorders>
            <w:shd w:val="clear" w:color="auto" w:fill="auto"/>
            <w:hideMark/>
          </w:tcPr>
          <w:p w:rsidRPr="003B0F56" w:rsidR="003D0F8C" w:rsidRDefault="003D0F8C" w14:paraId="673F8CD4" w14:textId="77777777">
            <w:pPr>
              <w:jc w:val="center"/>
              <w:rPr>
                <w:b/>
                <w:bCs/>
              </w:rPr>
            </w:pPr>
            <w:r w:rsidRPr="003B0F56">
              <w:rPr>
                <w:b/>
                <w:bCs/>
              </w:rPr>
              <w:t>Entities</w:t>
            </w:r>
          </w:p>
        </w:tc>
        <w:tc>
          <w:tcPr>
            <w:tcW w:w="2523" w:type="dxa"/>
            <w:tcBorders>
              <w:top w:val="nil"/>
              <w:left w:val="nil"/>
              <w:bottom w:val="single" w:color="auto" w:sz="8" w:space="0"/>
              <w:right w:val="single" w:color="auto" w:sz="8" w:space="0"/>
            </w:tcBorders>
            <w:shd w:val="clear" w:color="auto" w:fill="auto"/>
            <w:hideMark/>
          </w:tcPr>
          <w:p w:rsidRPr="003B0F56" w:rsidR="003D0F8C" w:rsidRDefault="003D0F8C" w14:paraId="0C0A88F2" w14:textId="77777777">
            <w:pPr>
              <w:jc w:val="center"/>
              <w:rPr>
                <w:b/>
                <w:bCs/>
              </w:rPr>
            </w:pPr>
            <w:r w:rsidRPr="003B0F56">
              <w:rPr>
                <w:b/>
                <w:bCs/>
              </w:rPr>
              <w:t>Estimated Number</w:t>
            </w:r>
          </w:p>
        </w:tc>
      </w:tr>
      <w:tr w:rsidRPr="003B0F56" w:rsidR="00D61C84" w:rsidTr="00A81396" w14:paraId="5B4EE1DC" w14:textId="77777777">
        <w:trPr>
          <w:trHeight w:val="330"/>
        </w:trPr>
        <w:tc>
          <w:tcPr>
            <w:tcW w:w="4589" w:type="dxa"/>
            <w:tcBorders>
              <w:top w:val="nil"/>
              <w:left w:val="single" w:color="auto" w:sz="8" w:space="0"/>
              <w:bottom w:val="single" w:color="auto" w:sz="8" w:space="0"/>
              <w:right w:val="single" w:color="auto" w:sz="8" w:space="0"/>
            </w:tcBorders>
            <w:shd w:val="clear" w:color="auto" w:fill="auto"/>
            <w:hideMark/>
          </w:tcPr>
          <w:p w:rsidRPr="003B0F56" w:rsidR="00D61C84" w:rsidP="00D61C84" w:rsidRDefault="00D61C84" w14:paraId="72DD7544" w14:textId="77777777">
            <w:r w:rsidRPr="003B0F56">
              <w:t>Investment advisory firms</w:t>
            </w:r>
          </w:p>
        </w:tc>
        <w:tc>
          <w:tcPr>
            <w:tcW w:w="2523" w:type="dxa"/>
            <w:tcBorders>
              <w:top w:val="nil"/>
              <w:left w:val="nil"/>
              <w:bottom w:val="single" w:color="auto" w:sz="8" w:space="0"/>
              <w:right w:val="single" w:color="auto" w:sz="8" w:space="0"/>
            </w:tcBorders>
            <w:shd w:val="clear" w:color="auto" w:fill="auto"/>
            <w:hideMark/>
          </w:tcPr>
          <w:p w:rsidRPr="003B0F56" w:rsidR="00D61C84" w:rsidP="00D61C84" w:rsidRDefault="00D61C84" w14:paraId="34E8A000" w14:textId="5CA019C4">
            <w:pPr>
              <w:jc w:val="right"/>
            </w:pPr>
            <w:r w:rsidRPr="003614D8">
              <w:t>11,396</w:t>
            </w:r>
          </w:p>
        </w:tc>
      </w:tr>
      <w:tr w:rsidRPr="003B0F56" w:rsidR="00D61C84" w:rsidTr="00A81396" w14:paraId="32B8D3FD" w14:textId="77777777">
        <w:trPr>
          <w:trHeight w:val="330"/>
        </w:trPr>
        <w:tc>
          <w:tcPr>
            <w:tcW w:w="4589" w:type="dxa"/>
            <w:tcBorders>
              <w:top w:val="nil"/>
              <w:left w:val="single" w:color="auto" w:sz="8" w:space="0"/>
              <w:bottom w:val="single" w:color="auto" w:sz="8" w:space="0"/>
              <w:right w:val="single" w:color="auto" w:sz="8" w:space="0"/>
            </w:tcBorders>
            <w:shd w:val="clear" w:color="auto" w:fill="auto"/>
            <w:hideMark/>
          </w:tcPr>
          <w:p w:rsidRPr="003B0F56" w:rsidR="00D61C84" w:rsidP="00D61C84" w:rsidRDefault="00D61C84" w14:paraId="7C3BA829" w14:textId="77777777">
            <w:r w:rsidRPr="003B0F56">
              <w:t>DC Plans utilizing the statutory exemption</w:t>
            </w:r>
          </w:p>
        </w:tc>
        <w:tc>
          <w:tcPr>
            <w:tcW w:w="2523" w:type="dxa"/>
            <w:tcBorders>
              <w:top w:val="nil"/>
              <w:left w:val="nil"/>
              <w:bottom w:val="single" w:color="auto" w:sz="8" w:space="0"/>
              <w:right w:val="single" w:color="auto" w:sz="8" w:space="0"/>
            </w:tcBorders>
            <w:shd w:val="clear" w:color="auto" w:fill="auto"/>
            <w:hideMark/>
          </w:tcPr>
          <w:p w:rsidRPr="003B0F56" w:rsidR="00D61C84" w:rsidP="00D61C84" w:rsidRDefault="00D61C84" w14:paraId="17AF14AC" w14:textId="0509674C">
            <w:pPr>
              <w:jc w:val="right"/>
            </w:pPr>
            <w:r w:rsidRPr="003614D8">
              <w:t>83,464</w:t>
            </w:r>
          </w:p>
        </w:tc>
      </w:tr>
      <w:tr w:rsidRPr="003B0F56" w:rsidR="00D61C84" w:rsidTr="00A81396" w14:paraId="0B973D19" w14:textId="77777777">
        <w:trPr>
          <w:trHeight w:val="330"/>
        </w:trPr>
        <w:tc>
          <w:tcPr>
            <w:tcW w:w="4589" w:type="dxa"/>
            <w:tcBorders>
              <w:top w:val="nil"/>
              <w:left w:val="single" w:color="auto" w:sz="8" w:space="0"/>
              <w:bottom w:val="single" w:color="auto" w:sz="8" w:space="0"/>
              <w:right w:val="single" w:color="auto" w:sz="8" w:space="0"/>
            </w:tcBorders>
            <w:shd w:val="clear" w:color="auto" w:fill="auto"/>
            <w:hideMark/>
          </w:tcPr>
          <w:p w:rsidRPr="003B0F56" w:rsidR="00D61C84" w:rsidP="00D61C84" w:rsidRDefault="00D61C84" w14:paraId="77A97204" w14:textId="77777777">
            <w:r w:rsidRPr="003B0F56">
              <w:t>DC Plan Participants offered advice</w:t>
            </w:r>
          </w:p>
        </w:tc>
        <w:tc>
          <w:tcPr>
            <w:tcW w:w="2523" w:type="dxa"/>
            <w:tcBorders>
              <w:top w:val="nil"/>
              <w:left w:val="nil"/>
              <w:bottom w:val="single" w:color="auto" w:sz="8" w:space="0"/>
              <w:right w:val="single" w:color="auto" w:sz="8" w:space="0"/>
            </w:tcBorders>
            <w:shd w:val="clear" w:color="auto" w:fill="auto"/>
            <w:hideMark/>
          </w:tcPr>
          <w:p w:rsidRPr="003B0F56" w:rsidR="00D61C84" w:rsidP="00D61C84" w:rsidRDefault="00D61C84" w14:paraId="3A87ECE1" w14:textId="54CC8216">
            <w:pPr>
              <w:jc w:val="right"/>
            </w:pPr>
            <w:r w:rsidRPr="003614D8">
              <w:t>18,039,974</w:t>
            </w:r>
          </w:p>
        </w:tc>
      </w:tr>
      <w:tr w:rsidRPr="003B0F56" w:rsidR="00D61C84" w:rsidTr="00A81396" w14:paraId="502472E2" w14:textId="77777777">
        <w:trPr>
          <w:trHeight w:val="330"/>
        </w:trPr>
        <w:tc>
          <w:tcPr>
            <w:tcW w:w="4589" w:type="dxa"/>
            <w:tcBorders>
              <w:top w:val="nil"/>
              <w:left w:val="single" w:color="auto" w:sz="8" w:space="0"/>
              <w:bottom w:val="single" w:color="auto" w:sz="8" w:space="0"/>
              <w:right w:val="single" w:color="auto" w:sz="8" w:space="0"/>
            </w:tcBorders>
            <w:shd w:val="clear" w:color="auto" w:fill="auto"/>
            <w:hideMark/>
          </w:tcPr>
          <w:p w:rsidRPr="003B0F56" w:rsidR="00D61C84" w:rsidP="00D61C84" w:rsidRDefault="00D61C84" w14:paraId="440F94E4" w14:textId="77777777">
            <w:r w:rsidRPr="003B0F56">
              <w:t>DC Plan Participants utilizing advice</w:t>
            </w:r>
          </w:p>
        </w:tc>
        <w:tc>
          <w:tcPr>
            <w:tcW w:w="2523" w:type="dxa"/>
            <w:tcBorders>
              <w:top w:val="nil"/>
              <w:left w:val="nil"/>
              <w:bottom w:val="single" w:color="auto" w:sz="8" w:space="0"/>
              <w:right w:val="single" w:color="auto" w:sz="8" w:space="0"/>
            </w:tcBorders>
            <w:shd w:val="clear" w:color="auto" w:fill="auto"/>
            <w:hideMark/>
          </w:tcPr>
          <w:p w:rsidRPr="003B0F56" w:rsidR="00D61C84" w:rsidP="00D61C84" w:rsidRDefault="00D61C84" w14:paraId="24CFBA22" w14:textId="44A757AA">
            <w:pPr>
              <w:jc w:val="right"/>
            </w:pPr>
            <w:r w:rsidRPr="003614D8">
              <w:t>2,948,730</w:t>
            </w:r>
          </w:p>
        </w:tc>
      </w:tr>
      <w:tr w:rsidRPr="003B0F56" w:rsidR="00D61C84" w:rsidTr="00A81396" w14:paraId="34B0B9B8" w14:textId="77777777">
        <w:trPr>
          <w:trHeight w:val="330"/>
        </w:trPr>
        <w:tc>
          <w:tcPr>
            <w:tcW w:w="4589" w:type="dxa"/>
            <w:tcBorders>
              <w:top w:val="nil"/>
              <w:left w:val="single" w:color="auto" w:sz="8" w:space="0"/>
              <w:bottom w:val="single" w:color="auto" w:sz="8" w:space="0"/>
              <w:right w:val="single" w:color="auto" w:sz="8" w:space="0"/>
            </w:tcBorders>
            <w:shd w:val="clear" w:color="auto" w:fill="auto"/>
            <w:hideMark/>
          </w:tcPr>
          <w:p w:rsidRPr="003B0F56" w:rsidR="00D61C84" w:rsidP="00D61C84" w:rsidRDefault="00D61C84" w14:paraId="21581B59" w14:textId="77777777">
            <w:r w:rsidRPr="003B0F56">
              <w:t>IRA Beneficiaries</w:t>
            </w:r>
          </w:p>
        </w:tc>
        <w:tc>
          <w:tcPr>
            <w:tcW w:w="2523" w:type="dxa"/>
            <w:tcBorders>
              <w:top w:val="nil"/>
              <w:left w:val="nil"/>
              <w:bottom w:val="single" w:color="auto" w:sz="8" w:space="0"/>
              <w:right w:val="single" w:color="auto" w:sz="8" w:space="0"/>
            </w:tcBorders>
            <w:shd w:val="clear" w:color="auto" w:fill="auto"/>
            <w:hideMark/>
          </w:tcPr>
          <w:p w:rsidRPr="003B0F56" w:rsidR="00D61C84" w:rsidP="00D61C84" w:rsidRDefault="00D61C84" w14:paraId="4C1DF79A" w14:textId="62DAEE25">
            <w:pPr>
              <w:jc w:val="right"/>
            </w:pPr>
            <w:r w:rsidRPr="003614D8">
              <w:t>20,084,300</w:t>
            </w:r>
          </w:p>
        </w:tc>
      </w:tr>
    </w:tbl>
    <w:p w:rsidRPr="003B0F56" w:rsidR="00E50EEF" w:rsidP="003D0FCC" w:rsidRDefault="00E50EEF" w14:paraId="7AD19B76" w14:textId="77777777">
      <w:pPr>
        <w:ind w:left="720"/>
        <w:rPr>
          <w:b/>
          <w:color w:val="000000"/>
          <w:u w:val="single"/>
        </w:rPr>
      </w:pPr>
    </w:p>
    <w:p w:rsidRPr="003B0F56" w:rsidR="006962D3" w:rsidP="00287FAE" w:rsidRDefault="003D0FCC" w14:paraId="5645F2FB" w14:textId="77777777">
      <w:pPr>
        <w:ind w:left="1440" w:hanging="720"/>
        <w:outlineLvl w:val="0"/>
        <w:rPr>
          <w:color w:val="000000"/>
        </w:rPr>
      </w:pPr>
      <w:r w:rsidRPr="00287FAE">
        <w:rPr>
          <w:b/>
          <w:color w:val="000000"/>
        </w:rPr>
        <w:t>a.</w:t>
      </w:r>
      <w:r w:rsidRPr="00287FAE">
        <w:rPr>
          <w:b/>
          <w:color w:val="000000"/>
        </w:rPr>
        <w:tab/>
      </w:r>
      <w:r w:rsidRPr="003B0F56" w:rsidR="006962D3">
        <w:rPr>
          <w:b/>
          <w:color w:val="000000"/>
          <w:u w:val="single"/>
        </w:rPr>
        <w:t>Disclosure Package from Investment Advisory Firms to Participants</w:t>
      </w:r>
    </w:p>
    <w:p w:rsidRPr="003B0F56" w:rsidR="006962D3" w:rsidP="00287FAE" w:rsidRDefault="006962D3" w14:paraId="54875D6D" w14:textId="77777777">
      <w:pPr>
        <w:ind w:left="720"/>
        <w:rPr>
          <w:color w:val="000000"/>
        </w:rPr>
      </w:pPr>
    </w:p>
    <w:p w:rsidRPr="003B0F56" w:rsidR="006962D3" w:rsidP="00287FAE" w:rsidRDefault="006962D3" w14:paraId="6817FB0F" w14:textId="77777777">
      <w:pPr>
        <w:ind w:left="720"/>
        <w:rPr>
          <w:color w:val="000000"/>
        </w:rPr>
      </w:pPr>
      <w:r w:rsidRPr="003B0F56">
        <w:rPr>
          <w:color w:val="000000"/>
        </w:rPr>
        <w:t xml:space="preserve">Each </w:t>
      </w:r>
      <w:r w:rsidRPr="003B0F56" w:rsidR="00D64996">
        <w:rPr>
          <w:color w:val="000000"/>
        </w:rPr>
        <w:t>investment advisory</w:t>
      </w:r>
      <w:r w:rsidRPr="003B0F56">
        <w:rPr>
          <w:color w:val="000000"/>
        </w:rPr>
        <w:t xml:space="preserve"> firm is required to make certain disclosures initially (in advance of giving advice), annually and upon request.  As more fully discussed in the answer to </w:t>
      </w:r>
      <w:r w:rsidRPr="003B0F56" w:rsidR="00B60AA6">
        <w:rPr>
          <w:color w:val="000000"/>
        </w:rPr>
        <w:t xml:space="preserve">Item </w:t>
      </w:r>
      <w:r w:rsidRPr="003B0F56">
        <w:rPr>
          <w:color w:val="000000"/>
        </w:rPr>
        <w:t>1.a</w:t>
      </w:r>
      <w:r w:rsidRPr="003B0F56" w:rsidR="00466ECC">
        <w:rPr>
          <w:color w:val="000000"/>
        </w:rPr>
        <w:t>.,</w:t>
      </w:r>
      <w:r w:rsidRPr="003B0F56">
        <w:rPr>
          <w:color w:val="000000"/>
        </w:rPr>
        <w:t xml:space="preserve"> above, </w:t>
      </w:r>
      <w:r w:rsidRPr="003B0F56" w:rsidR="002E430E">
        <w:rPr>
          <w:color w:val="000000"/>
        </w:rPr>
        <w:t xml:space="preserve"> the disclosure package required under the statutory exemption includes the following information regarding the </w:t>
      </w:r>
      <w:r w:rsidRPr="003B0F56" w:rsidR="004F7D3F">
        <w:rPr>
          <w:color w:val="000000"/>
        </w:rPr>
        <w:t xml:space="preserve">investment advice </w:t>
      </w:r>
      <w:r w:rsidRPr="003B0F56" w:rsidR="002E430E">
        <w:rPr>
          <w:color w:val="000000"/>
        </w:rPr>
        <w:t>arrangement: the relationship between the advisory firm and the investments recommended; if not otherwise publicly available</w:t>
      </w:r>
      <w:r w:rsidRPr="003B0F56" w:rsidR="00174468">
        <w:rPr>
          <w:color w:val="000000"/>
        </w:rPr>
        <w:t>,</w:t>
      </w:r>
      <w:r w:rsidRPr="003B0F56" w:rsidR="002E430E">
        <w:rPr>
          <w:color w:val="000000"/>
        </w:rPr>
        <w:t xml:space="preserve"> investment past performance; all fees and other compensation the fiduciary and its affiliates receive in connection with investments, services the fiduciary adviser provides in connection with the investment advice; acknowledgment that the adviser will act as a fiduciary; the manner in which the advisee’s information may be used or disclosed; and a notice of opportunity to engage in </w:t>
      </w:r>
      <w:r w:rsidRPr="003B0F56" w:rsidR="00D6536F">
        <w:rPr>
          <w:color w:val="000000"/>
        </w:rPr>
        <w:t>non-conflicted</w:t>
      </w:r>
      <w:r w:rsidRPr="003B0F56" w:rsidR="002E430E">
        <w:rPr>
          <w:color w:val="000000"/>
        </w:rPr>
        <w:t xml:space="preserve"> advice </w:t>
      </w:r>
      <w:r w:rsidRPr="003B0F56" w:rsidR="0087375C">
        <w:rPr>
          <w:color w:val="000000"/>
        </w:rPr>
        <w:t>arrangement</w:t>
      </w:r>
      <w:r w:rsidRPr="003B0F56" w:rsidR="002E430E">
        <w:rPr>
          <w:color w:val="000000"/>
        </w:rPr>
        <w:t>s</w:t>
      </w:r>
      <w:r w:rsidRPr="003B0F56" w:rsidR="00511259">
        <w:rPr>
          <w:color w:val="000000"/>
        </w:rPr>
        <w:t>.</w:t>
      </w:r>
      <w:r w:rsidRPr="003B0F56" w:rsidR="002E430E">
        <w:rPr>
          <w:color w:val="000000"/>
        </w:rPr>
        <w:t xml:space="preserve"> </w:t>
      </w:r>
      <w:r w:rsidRPr="003B0F56" w:rsidR="00511259">
        <w:rPr>
          <w:color w:val="000000"/>
        </w:rPr>
        <w:t xml:space="preserve"> </w:t>
      </w:r>
      <w:r w:rsidRPr="003B0F56">
        <w:rPr>
          <w:color w:val="000000"/>
        </w:rPr>
        <w:t xml:space="preserve">The Department assumes that investment advisory firms will compile all of these notices into </w:t>
      </w:r>
      <w:r w:rsidRPr="003B0F56" w:rsidR="00403DEC">
        <w:rPr>
          <w:color w:val="000000"/>
        </w:rPr>
        <w:t>a single</w:t>
      </w:r>
      <w:r w:rsidRPr="003B0F56">
        <w:rPr>
          <w:color w:val="000000"/>
        </w:rPr>
        <w:t xml:space="preserve"> </w:t>
      </w:r>
      <w:r w:rsidRPr="003B0F56" w:rsidR="001D7079">
        <w:rPr>
          <w:color w:val="000000"/>
        </w:rPr>
        <w:t xml:space="preserve">four </w:t>
      </w:r>
      <w:r w:rsidRPr="003B0F56">
        <w:rPr>
          <w:color w:val="000000"/>
        </w:rPr>
        <w:t xml:space="preserve">page disclosure package for each </w:t>
      </w:r>
      <w:r w:rsidRPr="003B0F56" w:rsidR="00301380">
        <w:rPr>
          <w:color w:val="000000"/>
        </w:rPr>
        <w:t>p</w:t>
      </w:r>
      <w:r w:rsidRPr="003B0F56" w:rsidR="00D64996">
        <w:rPr>
          <w:color w:val="000000"/>
        </w:rPr>
        <w:t>articipant</w:t>
      </w:r>
      <w:r w:rsidRPr="003B0F56">
        <w:rPr>
          <w:color w:val="000000"/>
        </w:rPr>
        <w:t xml:space="preserve"> given advice.</w:t>
      </w:r>
    </w:p>
    <w:p w:rsidRPr="003B0F56" w:rsidR="006962D3" w:rsidP="00287FAE" w:rsidRDefault="006962D3" w14:paraId="7B074DD4" w14:textId="77777777">
      <w:pPr>
        <w:ind w:left="720"/>
        <w:rPr>
          <w:color w:val="000000"/>
        </w:rPr>
      </w:pPr>
    </w:p>
    <w:p w:rsidRPr="003B0F56" w:rsidR="0038420C" w:rsidP="00287FAE" w:rsidRDefault="006962D3" w14:paraId="6241C6FC" w14:textId="77777777">
      <w:pPr>
        <w:ind w:left="720"/>
        <w:rPr>
          <w:color w:val="000000"/>
        </w:rPr>
      </w:pPr>
      <w:r w:rsidRPr="003B0F56">
        <w:rPr>
          <w:color w:val="000000"/>
        </w:rPr>
        <w:t xml:space="preserve">The Department assumes that </w:t>
      </w:r>
      <w:r w:rsidRPr="003B0F56" w:rsidR="00D64996">
        <w:rPr>
          <w:color w:val="000000"/>
        </w:rPr>
        <w:t>investment advisory</w:t>
      </w:r>
      <w:r w:rsidRPr="003B0F56">
        <w:rPr>
          <w:color w:val="000000"/>
        </w:rPr>
        <w:t xml:space="preserve"> firms will distribute this disclosure package only to </w:t>
      </w:r>
      <w:r w:rsidRPr="003B0F56" w:rsidR="00301380">
        <w:rPr>
          <w:color w:val="000000"/>
        </w:rPr>
        <w:t>p</w:t>
      </w:r>
      <w:r w:rsidRPr="003B0F56">
        <w:rPr>
          <w:color w:val="000000"/>
        </w:rPr>
        <w:t xml:space="preserve">articipants who seek advice under this statutory exemption.  The Department further assumes that the initial disclosure package will be disbursed at the time the </w:t>
      </w:r>
      <w:r w:rsidRPr="003B0F56" w:rsidR="00301380">
        <w:rPr>
          <w:color w:val="000000"/>
        </w:rPr>
        <w:t>p</w:t>
      </w:r>
      <w:r w:rsidRPr="003B0F56" w:rsidR="00D64996">
        <w:rPr>
          <w:color w:val="000000"/>
        </w:rPr>
        <w:t>articipant</w:t>
      </w:r>
      <w:r w:rsidRPr="003B0F56">
        <w:rPr>
          <w:color w:val="000000"/>
        </w:rPr>
        <w:t xml:space="preserve"> initiates contact with the firm.  The Department acknowledges that </w:t>
      </w:r>
      <w:r w:rsidRPr="003B0F56" w:rsidR="00D64996">
        <w:rPr>
          <w:color w:val="000000"/>
        </w:rPr>
        <w:t>investment advisory</w:t>
      </w:r>
      <w:r w:rsidRPr="003B0F56">
        <w:rPr>
          <w:color w:val="000000"/>
        </w:rPr>
        <w:t xml:space="preserve"> firms might for other reasons decide to make disclosures to all of the </w:t>
      </w:r>
      <w:r w:rsidRPr="003B0F56" w:rsidR="00301380">
        <w:rPr>
          <w:color w:val="000000"/>
        </w:rPr>
        <w:t>p</w:t>
      </w:r>
      <w:r w:rsidRPr="003B0F56">
        <w:rPr>
          <w:color w:val="000000"/>
        </w:rPr>
        <w:t xml:space="preserve">articipants of any particular </w:t>
      </w:r>
      <w:r w:rsidRPr="003B0F56" w:rsidR="002E2877">
        <w:rPr>
          <w:color w:val="000000"/>
        </w:rPr>
        <w:t>p</w:t>
      </w:r>
      <w:r w:rsidRPr="003B0F56">
        <w:rPr>
          <w:color w:val="000000"/>
        </w:rPr>
        <w:t xml:space="preserve">lan; the Department assumes that investment advisory firms will only do so if disbursement through electronic means is available, thus there is no distribution costs associated with this type of mass market disclosure.  </w:t>
      </w:r>
    </w:p>
    <w:p w:rsidRPr="003B0F56" w:rsidR="0038420C" w:rsidP="00287FAE" w:rsidRDefault="0038420C" w14:paraId="107B8CE3" w14:textId="77777777">
      <w:pPr>
        <w:ind w:left="720"/>
        <w:rPr>
          <w:color w:val="000000"/>
        </w:rPr>
      </w:pPr>
    </w:p>
    <w:p w:rsidRPr="003B0F56" w:rsidR="006962D3" w:rsidP="00287FAE" w:rsidRDefault="006962D3" w14:paraId="6ED8A40C" w14:textId="77777777">
      <w:pPr>
        <w:ind w:left="720"/>
        <w:rPr>
          <w:color w:val="000000"/>
        </w:rPr>
      </w:pPr>
      <w:r w:rsidRPr="003B0F56">
        <w:rPr>
          <w:color w:val="000000"/>
        </w:rPr>
        <w:t>Under the statutory exemption</w:t>
      </w:r>
      <w:r w:rsidRPr="003B0F56" w:rsidR="00466ECC">
        <w:rPr>
          <w:color w:val="000000"/>
        </w:rPr>
        <w:t>,</w:t>
      </w:r>
      <w:r w:rsidRPr="003B0F56">
        <w:rPr>
          <w:color w:val="000000"/>
        </w:rPr>
        <w:t xml:space="preserve"> </w:t>
      </w:r>
      <w:r w:rsidRPr="003B0F56" w:rsidR="00D64996">
        <w:rPr>
          <w:color w:val="000000"/>
        </w:rPr>
        <w:t>investment advisory</w:t>
      </w:r>
      <w:r w:rsidRPr="003B0F56">
        <w:rPr>
          <w:color w:val="000000"/>
        </w:rPr>
        <w:t xml:space="preserve"> firms are required to provide disclosures annually as well as initially.  </w:t>
      </w:r>
      <w:bookmarkStart w:name="OLE_LINK3" w:id="1"/>
      <w:bookmarkStart w:name="OLE_LINK4" w:id="2"/>
      <w:r w:rsidRPr="003B0F56">
        <w:rPr>
          <w:color w:val="000000"/>
        </w:rPr>
        <w:t xml:space="preserve">The Department assumes that </w:t>
      </w:r>
      <w:r w:rsidRPr="003B0F56" w:rsidR="00D64996">
        <w:rPr>
          <w:color w:val="000000"/>
        </w:rPr>
        <w:t xml:space="preserve">investment </w:t>
      </w:r>
      <w:r w:rsidRPr="003B0F56" w:rsidR="00D64996">
        <w:rPr>
          <w:color w:val="000000"/>
        </w:rPr>
        <w:lastRenderedPageBreak/>
        <w:t>advisory</w:t>
      </w:r>
      <w:r w:rsidRPr="003B0F56">
        <w:rPr>
          <w:color w:val="000000"/>
        </w:rPr>
        <w:t xml:space="preserve"> firms </w:t>
      </w:r>
      <w:r w:rsidRPr="003B0F56" w:rsidR="00F71FA4">
        <w:rPr>
          <w:color w:val="000000"/>
        </w:rPr>
        <w:t xml:space="preserve">will </w:t>
      </w:r>
      <w:r w:rsidRPr="003B0F56">
        <w:rPr>
          <w:color w:val="000000"/>
        </w:rPr>
        <w:t>distribute the same disclosures throughout the year and that they only update their disclosure content for the annual disclosures.  The Department further assumes that few disclosures are requested each year (one per firm on average) and most requested disclosures are distributed either electronically at a negligible cost or in person at small costs.</w:t>
      </w:r>
    </w:p>
    <w:bookmarkEnd w:id="1"/>
    <w:bookmarkEnd w:id="2"/>
    <w:p w:rsidRPr="003B0F56" w:rsidR="006962D3" w:rsidP="00287FAE" w:rsidRDefault="006962D3" w14:paraId="081A5A6C" w14:textId="77777777">
      <w:pPr>
        <w:ind w:left="720"/>
        <w:rPr>
          <w:color w:val="000000"/>
        </w:rPr>
      </w:pPr>
    </w:p>
    <w:p w:rsidRPr="00D13528" w:rsidR="006962D3" w:rsidP="00D13528" w:rsidRDefault="00907086" w14:paraId="760B90A9" w14:textId="77777777">
      <w:pPr>
        <w:ind w:left="1440"/>
        <w:outlineLvl w:val="0"/>
        <w:rPr>
          <w:color w:val="000000"/>
          <w:u w:val="single"/>
        </w:rPr>
      </w:pPr>
      <w:r w:rsidRPr="00D13528">
        <w:rPr>
          <w:color w:val="000000"/>
          <w:u w:val="single"/>
        </w:rPr>
        <w:t xml:space="preserve">Annual </w:t>
      </w:r>
      <w:r w:rsidRPr="00D13528" w:rsidR="006962D3">
        <w:rPr>
          <w:color w:val="000000"/>
          <w:u w:val="single"/>
        </w:rPr>
        <w:t>Disclosure Package</w:t>
      </w:r>
      <w:r w:rsidRPr="00D13528">
        <w:rPr>
          <w:color w:val="000000"/>
          <w:u w:val="single"/>
        </w:rPr>
        <w:t xml:space="preserve"> Updates</w:t>
      </w:r>
    </w:p>
    <w:p w:rsidRPr="003B0F56" w:rsidR="006962D3" w:rsidP="00287FAE" w:rsidRDefault="006962D3" w14:paraId="34B9A2C6" w14:textId="77777777">
      <w:pPr>
        <w:ind w:left="720"/>
        <w:rPr>
          <w:color w:val="000000"/>
        </w:rPr>
      </w:pPr>
    </w:p>
    <w:p w:rsidRPr="003B0F56" w:rsidR="006962D3" w:rsidP="00287FAE" w:rsidRDefault="006962D3" w14:paraId="50A657AD" w14:textId="1408EA2C">
      <w:pPr>
        <w:ind w:left="720"/>
        <w:rPr>
          <w:color w:val="000000"/>
        </w:rPr>
      </w:pPr>
      <w:r w:rsidRPr="003B0F56">
        <w:rPr>
          <w:color w:val="000000"/>
        </w:rPr>
        <w:t xml:space="preserve">For the annual updating of disclosures the Department assumes that the preparation time needed for updating the notices that are (a) the same for all </w:t>
      </w:r>
      <w:r w:rsidRPr="003B0F56" w:rsidR="00D64996">
        <w:rPr>
          <w:color w:val="000000"/>
        </w:rPr>
        <w:t>Participant</w:t>
      </w:r>
      <w:r w:rsidRPr="003B0F56">
        <w:rPr>
          <w:color w:val="000000"/>
        </w:rPr>
        <w:t xml:space="preserve">s will be about three hours for each of </w:t>
      </w:r>
      <w:r w:rsidRPr="003B0F56" w:rsidR="00E50EEF">
        <w:rPr>
          <w:color w:val="000000"/>
        </w:rPr>
        <w:t xml:space="preserve">the </w:t>
      </w:r>
      <w:r w:rsidR="00381B00">
        <w:rPr>
          <w:color w:val="000000"/>
        </w:rPr>
        <w:t>11,396</w:t>
      </w:r>
      <w:r w:rsidRPr="003B0F56" w:rsidR="00E50EEF">
        <w:rPr>
          <w:color w:val="000000"/>
        </w:rPr>
        <w:t xml:space="preserve"> </w:t>
      </w:r>
      <w:r w:rsidRPr="003B0F56">
        <w:rPr>
          <w:color w:val="000000"/>
        </w:rPr>
        <w:t xml:space="preserve">investment advisory firms, (b) the same for all </w:t>
      </w:r>
      <w:r w:rsidRPr="003B0F56" w:rsidR="00CF1E36">
        <w:rPr>
          <w:color w:val="000000"/>
        </w:rPr>
        <w:t>P</w:t>
      </w:r>
      <w:r w:rsidRPr="003B0F56">
        <w:rPr>
          <w:color w:val="000000"/>
        </w:rPr>
        <w:t xml:space="preserve">lan </w:t>
      </w:r>
      <w:r w:rsidRPr="003B0F56" w:rsidR="008F7D77">
        <w:rPr>
          <w:color w:val="000000"/>
        </w:rPr>
        <w:t>P</w:t>
      </w:r>
      <w:r w:rsidRPr="003B0F56">
        <w:rPr>
          <w:color w:val="000000"/>
        </w:rPr>
        <w:t xml:space="preserve">articipants will average one hour and a half for each of </w:t>
      </w:r>
      <w:r w:rsidRPr="003B0F56" w:rsidR="00E45311">
        <w:rPr>
          <w:color w:val="000000"/>
        </w:rPr>
        <w:t xml:space="preserve">the </w:t>
      </w:r>
      <w:r w:rsidR="00381B00">
        <w:rPr>
          <w:color w:val="000000"/>
        </w:rPr>
        <w:t>83,464</w:t>
      </w:r>
      <w:r w:rsidRPr="003B0F56" w:rsidR="00E50EEF">
        <w:rPr>
          <w:color w:val="000000"/>
        </w:rPr>
        <w:t xml:space="preserve"> </w:t>
      </w:r>
      <w:r w:rsidRPr="003B0F56" w:rsidR="005376D7">
        <w:rPr>
          <w:color w:val="000000"/>
        </w:rPr>
        <w:t>Plans</w:t>
      </w:r>
      <w:r w:rsidRPr="003B0F56">
        <w:rPr>
          <w:color w:val="000000"/>
        </w:rPr>
        <w:t xml:space="preserve">, and (c) individualized for IRAs will average 50 hours for each of </w:t>
      </w:r>
      <w:r w:rsidRPr="003B0F56" w:rsidR="00E50EEF">
        <w:rPr>
          <w:color w:val="000000"/>
        </w:rPr>
        <w:t xml:space="preserve">the </w:t>
      </w:r>
      <w:r w:rsidR="00381B00">
        <w:rPr>
          <w:color w:val="000000"/>
        </w:rPr>
        <w:t>11,396</w:t>
      </w:r>
      <w:r w:rsidRPr="003B0F56" w:rsidR="00E50EEF">
        <w:rPr>
          <w:color w:val="000000"/>
        </w:rPr>
        <w:t xml:space="preserve"> </w:t>
      </w:r>
      <w:r w:rsidRPr="003B0F56">
        <w:rPr>
          <w:color w:val="000000"/>
        </w:rPr>
        <w:t xml:space="preserve">investment advisory firms.  Thus the annual hour burden is </w:t>
      </w:r>
      <w:r w:rsidR="00381B00">
        <w:rPr>
          <w:color w:val="000000"/>
        </w:rPr>
        <w:t>729,184</w:t>
      </w:r>
      <w:r w:rsidRPr="003B0F56" w:rsidR="00E50EEF">
        <w:rPr>
          <w:color w:val="000000"/>
        </w:rPr>
        <w:t xml:space="preserve"> </w:t>
      </w:r>
      <w:r w:rsidRPr="003B0F56">
        <w:rPr>
          <w:color w:val="000000"/>
        </w:rPr>
        <w:t>with an equivalent cost of $</w:t>
      </w:r>
      <w:r w:rsidR="00381B00">
        <w:rPr>
          <w:color w:val="000000"/>
        </w:rPr>
        <w:t>100,926,356</w:t>
      </w:r>
      <w:r w:rsidRPr="003B0F56">
        <w:rPr>
          <w:color w:val="000000"/>
        </w:rPr>
        <w:t>.</w:t>
      </w:r>
    </w:p>
    <w:p w:rsidRPr="003B0F56" w:rsidR="00E50EEF" w:rsidP="00287FAE" w:rsidRDefault="00E50EEF" w14:paraId="187E6835" w14:textId="77777777">
      <w:pPr>
        <w:ind w:left="720"/>
        <w:rPr>
          <w:color w:val="000000"/>
        </w:rPr>
      </w:pPr>
    </w:p>
    <w:tbl>
      <w:tblPr>
        <w:tblW w:w="10497" w:type="dxa"/>
        <w:tblInd w:w="-503" w:type="dxa"/>
        <w:tblLook w:val="04A0" w:firstRow="1" w:lastRow="0" w:firstColumn="1" w:lastColumn="0" w:noHBand="0" w:noVBand="1"/>
      </w:tblPr>
      <w:tblGrid>
        <w:gridCol w:w="2596"/>
        <w:gridCol w:w="1536"/>
        <w:gridCol w:w="857"/>
        <w:gridCol w:w="1776"/>
        <w:gridCol w:w="996"/>
        <w:gridCol w:w="2736"/>
      </w:tblGrid>
      <w:tr w:rsidRPr="003B0F56" w:rsidR="00E50EEF" w:rsidTr="00497C99" w14:paraId="2B6C2C8D" w14:textId="77777777">
        <w:trPr>
          <w:trHeight w:val="379"/>
        </w:trPr>
        <w:tc>
          <w:tcPr>
            <w:tcW w:w="10497" w:type="dxa"/>
            <w:gridSpan w:val="6"/>
            <w:tcBorders>
              <w:top w:val="nil"/>
              <w:left w:val="nil"/>
              <w:bottom w:val="single" w:color="auto" w:sz="8" w:space="0"/>
              <w:right w:val="nil"/>
            </w:tcBorders>
            <w:shd w:val="clear" w:color="auto" w:fill="auto"/>
            <w:vAlign w:val="bottom"/>
            <w:hideMark/>
          </w:tcPr>
          <w:p w:rsidRPr="003B0F56" w:rsidR="00E50EEF" w:rsidRDefault="00E50EEF" w14:paraId="4470835C" w14:textId="77777777">
            <w:r w:rsidRPr="00F5050E">
              <w:t>Table 2.--Annual Disclosure Package Update Hour Burden Estimates</w:t>
            </w:r>
          </w:p>
        </w:tc>
      </w:tr>
      <w:tr w:rsidRPr="003B0F56" w:rsidR="00E50EEF" w:rsidTr="00497C99" w14:paraId="1158B3B7" w14:textId="77777777">
        <w:trPr>
          <w:trHeight w:val="379"/>
        </w:trPr>
        <w:tc>
          <w:tcPr>
            <w:tcW w:w="2596" w:type="dxa"/>
            <w:tcBorders>
              <w:top w:val="nil"/>
              <w:left w:val="single" w:color="auto" w:sz="8" w:space="0"/>
              <w:bottom w:val="single" w:color="auto" w:sz="8" w:space="0"/>
              <w:right w:val="single" w:color="auto" w:sz="8" w:space="0"/>
            </w:tcBorders>
            <w:shd w:val="clear" w:color="auto" w:fill="auto"/>
            <w:hideMark/>
          </w:tcPr>
          <w:p w:rsidRPr="003B0F56" w:rsidR="00E50EEF" w:rsidRDefault="00E50EEF" w14:paraId="6FF5E5AD" w14:textId="77777777">
            <w:pPr>
              <w:jc w:val="center"/>
              <w:rPr>
                <w:b/>
                <w:bCs/>
              </w:rPr>
            </w:pPr>
            <w:r w:rsidRPr="003B0F56">
              <w:rPr>
                <w:b/>
                <w:bCs/>
              </w:rPr>
              <w:t>Disclosure Types</w:t>
            </w:r>
          </w:p>
        </w:tc>
        <w:tc>
          <w:tcPr>
            <w:tcW w:w="1536" w:type="dxa"/>
            <w:tcBorders>
              <w:top w:val="nil"/>
              <w:left w:val="nil"/>
              <w:bottom w:val="single" w:color="auto" w:sz="8" w:space="0"/>
              <w:right w:val="single" w:color="auto" w:sz="8" w:space="0"/>
            </w:tcBorders>
            <w:shd w:val="clear" w:color="auto" w:fill="auto"/>
            <w:hideMark/>
          </w:tcPr>
          <w:p w:rsidRPr="003B0F56" w:rsidR="00E50EEF" w:rsidRDefault="00E50EEF" w14:paraId="4779107D" w14:textId="77777777">
            <w:pPr>
              <w:jc w:val="center"/>
              <w:rPr>
                <w:b/>
                <w:bCs/>
              </w:rPr>
            </w:pPr>
            <w:r w:rsidRPr="003B0F56">
              <w:rPr>
                <w:b/>
                <w:bCs/>
              </w:rPr>
              <w:t>Number of Entities</w:t>
            </w:r>
          </w:p>
        </w:tc>
        <w:tc>
          <w:tcPr>
            <w:tcW w:w="857" w:type="dxa"/>
            <w:tcBorders>
              <w:top w:val="nil"/>
              <w:left w:val="nil"/>
              <w:bottom w:val="single" w:color="auto" w:sz="8" w:space="0"/>
              <w:right w:val="single" w:color="auto" w:sz="8" w:space="0"/>
            </w:tcBorders>
            <w:shd w:val="clear" w:color="auto" w:fill="auto"/>
            <w:hideMark/>
          </w:tcPr>
          <w:p w:rsidRPr="003B0F56" w:rsidR="00E50EEF" w:rsidRDefault="00E50EEF" w14:paraId="0A7A61F5" w14:textId="77777777">
            <w:pPr>
              <w:jc w:val="center"/>
              <w:rPr>
                <w:b/>
                <w:bCs/>
              </w:rPr>
            </w:pPr>
            <w:r w:rsidRPr="003B0F56">
              <w:rPr>
                <w:b/>
                <w:bCs/>
              </w:rPr>
              <w:t>Hours per Entity</w:t>
            </w:r>
          </w:p>
        </w:tc>
        <w:tc>
          <w:tcPr>
            <w:tcW w:w="1776" w:type="dxa"/>
            <w:tcBorders>
              <w:top w:val="nil"/>
              <w:left w:val="nil"/>
              <w:bottom w:val="single" w:color="auto" w:sz="8" w:space="0"/>
              <w:right w:val="single" w:color="auto" w:sz="8" w:space="0"/>
            </w:tcBorders>
            <w:shd w:val="clear" w:color="auto" w:fill="auto"/>
            <w:hideMark/>
          </w:tcPr>
          <w:p w:rsidRPr="003B0F56" w:rsidR="00E50EEF" w:rsidRDefault="00E50EEF" w14:paraId="140C9F9D" w14:textId="77777777">
            <w:pPr>
              <w:jc w:val="center"/>
              <w:rPr>
                <w:b/>
                <w:bCs/>
              </w:rPr>
            </w:pPr>
            <w:r w:rsidRPr="003B0F56">
              <w:rPr>
                <w:b/>
                <w:bCs/>
              </w:rPr>
              <w:t>Annual Hour Burden</w:t>
            </w:r>
          </w:p>
        </w:tc>
        <w:tc>
          <w:tcPr>
            <w:tcW w:w="996" w:type="dxa"/>
            <w:tcBorders>
              <w:top w:val="nil"/>
              <w:left w:val="nil"/>
              <w:bottom w:val="single" w:color="auto" w:sz="8" w:space="0"/>
              <w:right w:val="single" w:color="auto" w:sz="8" w:space="0"/>
            </w:tcBorders>
            <w:shd w:val="clear" w:color="auto" w:fill="auto"/>
            <w:hideMark/>
          </w:tcPr>
          <w:p w:rsidRPr="003B0F56" w:rsidR="00E50EEF" w:rsidRDefault="00E50EEF" w14:paraId="435418EF" w14:textId="77777777">
            <w:pPr>
              <w:jc w:val="center"/>
              <w:rPr>
                <w:b/>
                <w:bCs/>
              </w:rPr>
            </w:pPr>
            <w:r w:rsidRPr="003B0F56">
              <w:rPr>
                <w:b/>
                <w:bCs/>
              </w:rPr>
              <w:t>Hourly Rate</w:t>
            </w:r>
          </w:p>
        </w:tc>
        <w:tc>
          <w:tcPr>
            <w:tcW w:w="2736" w:type="dxa"/>
            <w:tcBorders>
              <w:top w:val="nil"/>
              <w:left w:val="nil"/>
              <w:bottom w:val="single" w:color="auto" w:sz="8" w:space="0"/>
              <w:right w:val="single" w:color="auto" w:sz="8" w:space="0"/>
            </w:tcBorders>
            <w:shd w:val="clear" w:color="auto" w:fill="auto"/>
            <w:hideMark/>
          </w:tcPr>
          <w:p w:rsidRPr="003B0F56" w:rsidR="00E50EEF" w:rsidRDefault="00E50EEF" w14:paraId="0C4D6CEF" w14:textId="77777777">
            <w:pPr>
              <w:jc w:val="center"/>
              <w:rPr>
                <w:b/>
                <w:bCs/>
              </w:rPr>
            </w:pPr>
            <w:r w:rsidRPr="003B0F56">
              <w:rPr>
                <w:b/>
                <w:bCs/>
              </w:rPr>
              <w:t>Equivalent Cost</w:t>
            </w:r>
          </w:p>
        </w:tc>
      </w:tr>
      <w:tr w:rsidRPr="003B0F56" w:rsidR="00896DC0" w:rsidTr="00497C99" w14:paraId="510CA588" w14:textId="77777777">
        <w:trPr>
          <w:trHeight w:val="379"/>
        </w:trPr>
        <w:tc>
          <w:tcPr>
            <w:tcW w:w="2596" w:type="dxa"/>
            <w:tcBorders>
              <w:top w:val="nil"/>
              <w:left w:val="single" w:color="auto" w:sz="8" w:space="0"/>
              <w:bottom w:val="single" w:color="auto" w:sz="8" w:space="0"/>
              <w:right w:val="single" w:color="auto" w:sz="8" w:space="0"/>
            </w:tcBorders>
            <w:shd w:val="clear" w:color="auto" w:fill="auto"/>
            <w:hideMark/>
          </w:tcPr>
          <w:p w:rsidRPr="003B0F56" w:rsidR="00896DC0" w:rsidP="00896DC0" w:rsidRDefault="00896DC0" w14:paraId="12F33160" w14:textId="77777777">
            <w:r w:rsidRPr="003B0F56">
              <w:t>Disclosures uniform to all recipients</w:t>
            </w:r>
          </w:p>
        </w:tc>
        <w:tc>
          <w:tcPr>
            <w:tcW w:w="1536" w:type="dxa"/>
            <w:tcBorders>
              <w:top w:val="nil"/>
              <w:left w:val="nil"/>
              <w:bottom w:val="single" w:color="auto" w:sz="8" w:space="0"/>
              <w:right w:val="single" w:color="auto" w:sz="8" w:space="0"/>
            </w:tcBorders>
            <w:shd w:val="clear" w:color="auto" w:fill="auto"/>
            <w:hideMark/>
          </w:tcPr>
          <w:p w:rsidRPr="003B0F56" w:rsidR="00896DC0" w:rsidP="00896DC0" w:rsidRDefault="00896DC0" w14:paraId="16B9E4B4" w14:textId="350C6750">
            <w:pPr>
              <w:jc w:val="right"/>
            </w:pPr>
            <w:r w:rsidRPr="00D302BF">
              <w:t>11,396</w:t>
            </w:r>
          </w:p>
        </w:tc>
        <w:tc>
          <w:tcPr>
            <w:tcW w:w="857" w:type="dxa"/>
            <w:tcBorders>
              <w:top w:val="nil"/>
              <w:left w:val="nil"/>
              <w:bottom w:val="single" w:color="auto" w:sz="8" w:space="0"/>
              <w:right w:val="single" w:color="auto" w:sz="8" w:space="0"/>
            </w:tcBorders>
            <w:shd w:val="clear" w:color="auto" w:fill="auto"/>
            <w:hideMark/>
          </w:tcPr>
          <w:p w:rsidRPr="003B0F56" w:rsidR="00896DC0" w:rsidP="00896DC0" w:rsidRDefault="00896DC0" w14:paraId="74878309" w14:textId="37E42CEC">
            <w:pPr>
              <w:jc w:val="right"/>
            </w:pPr>
            <w:r w:rsidRPr="00D302BF">
              <w:t>3</w:t>
            </w:r>
          </w:p>
        </w:tc>
        <w:tc>
          <w:tcPr>
            <w:tcW w:w="1776" w:type="dxa"/>
            <w:tcBorders>
              <w:top w:val="nil"/>
              <w:left w:val="nil"/>
              <w:bottom w:val="single" w:color="auto" w:sz="8" w:space="0"/>
              <w:right w:val="single" w:color="auto" w:sz="8" w:space="0"/>
            </w:tcBorders>
            <w:shd w:val="clear" w:color="auto" w:fill="auto"/>
            <w:hideMark/>
          </w:tcPr>
          <w:p w:rsidRPr="003B0F56" w:rsidR="00896DC0" w:rsidP="00896DC0" w:rsidRDefault="00896DC0" w14:paraId="0DBAF293" w14:textId="479C30CD">
            <w:pPr>
              <w:jc w:val="right"/>
            </w:pPr>
            <w:r w:rsidRPr="00D302BF">
              <w:t>34,188</w:t>
            </w:r>
          </w:p>
        </w:tc>
        <w:tc>
          <w:tcPr>
            <w:tcW w:w="996" w:type="dxa"/>
            <w:tcBorders>
              <w:top w:val="nil"/>
              <w:left w:val="nil"/>
              <w:bottom w:val="single" w:color="auto" w:sz="8" w:space="0"/>
              <w:right w:val="single" w:color="auto" w:sz="8" w:space="0"/>
            </w:tcBorders>
            <w:shd w:val="clear" w:color="auto" w:fill="auto"/>
            <w:hideMark/>
          </w:tcPr>
          <w:p w:rsidRPr="003B0F56" w:rsidR="00896DC0" w:rsidP="00896DC0" w:rsidRDefault="00896DC0" w14:paraId="57F8A015" w14:textId="4E0904DC">
            <w:pPr>
              <w:jc w:val="right"/>
            </w:pPr>
            <w:r w:rsidRPr="00D302BF">
              <w:t xml:space="preserve">$138.41 </w:t>
            </w:r>
          </w:p>
        </w:tc>
        <w:tc>
          <w:tcPr>
            <w:tcW w:w="2736" w:type="dxa"/>
            <w:tcBorders>
              <w:top w:val="nil"/>
              <w:left w:val="nil"/>
              <w:bottom w:val="single" w:color="auto" w:sz="8" w:space="0"/>
              <w:right w:val="single" w:color="auto" w:sz="8" w:space="0"/>
            </w:tcBorders>
            <w:shd w:val="clear" w:color="auto" w:fill="auto"/>
            <w:hideMark/>
          </w:tcPr>
          <w:p w:rsidRPr="003B0F56" w:rsidR="00896DC0" w:rsidP="00896DC0" w:rsidRDefault="00896DC0" w14:paraId="782225AF" w14:textId="4B0C4456">
            <w:pPr>
              <w:jc w:val="right"/>
            </w:pPr>
            <w:r w:rsidRPr="00D302BF">
              <w:t xml:space="preserve">$4,731,961 </w:t>
            </w:r>
          </w:p>
        </w:tc>
      </w:tr>
      <w:tr w:rsidRPr="003B0F56" w:rsidR="00896DC0" w:rsidTr="00497C99" w14:paraId="118EAA3C" w14:textId="77777777">
        <w:trPr>
          <w:trHeight w:val="379"/>
        </w:trPr>
        <w:tc>
          <w:tcPr>
            <w:tcW w:w="2596" w:type="dxa"/>
            <w:tcBorders>
              <w:top w:val="nil"/>
              <w:left w:val="single" w:color="auto" w:sz="8" w:space="0"/>
              <w:bottom w:val="single" w:color="auto" w:sz="8" w:space="0"/>
              <w:right w:val="single" w:color="auto" w:sz="8" w:space="0"/>
            </w:tcBorders>
            <w:shd w:val="clear" w:color="auto" w:fill="auto"/>
            <w:hideMark/>
          </w:tcPr>
          <w:p w:rsidRPr="003B0F56" w:rsidR="00896DC0" w:rsidP="00896DC0" w:rsidRDefault="00896DC0" w14:paraId="6D372F17" w14:textId="77777777">
            <w:r w:rsidRPr="003B0F56">
              <w:t>Disclosures specific to individual DC plans</w:t>
            </w:r>
          </w:p>
        </w:tc>
        <w:tc>
          <w:tcPr>
            <w:tcW w:w="1536" w:type="dxa"/>
            <w:tcBorders>
              <w:top w:val="nil"/>
              <w:left w:val="nil"/>
              <w:bottom w:val="single" w:color="auto" w:sz="8" w:space="0"/>
              <w:right w:val="single" w:color="auto" w:sz="8" w:space="0"/>
            </w:tcBorders>
            <w:shd w:val="clear" w:color="auto" w:fill="auto"/>
            <w:hideMark/>
          </w:tcPr>
          <w:p w:rsidRPr="003B0F56" w:rsidR="00896DC0" w:rsidP="00896DC0" w:rsidRDefault="00896DC0" w14:paraId="791679A4" w14:textId="30A67DF8">
            <w:pPr>
              <w:jc w:val="right"/>
            </w:pPr>
            <w:r w:rsidRPr="00D302BF">
              <w:t>83,464</w:t>
            </w:r>
          </w:p>
        </w:tc>
        <w:tc>
          <w:tcPr>
            <w:tcW w:w="857" w:type="dxa"/>
            <w:tcBorders>
              <w:top w:val="nil"/>
              <w:left w:val="nil"/>
              <w:bottom w:val="single" w:color="auto" w:sz="8" w:space="0"/>
              <w:right w:val="single" w:color="auto" w:sz="8" w:space="0"/>
            </w:tcBorders>
            <w:shd w:val="clear" w:color="auto" w:fill="auto"/>
            <w:hideMark/>
          </w:tcPr>
          <w:p w:rsidRPr="003B0F56" w:rsidR="00896DC0" w:rsidP="00896DC0" w:rsidRDefault="00896DC0" w14:paraId="6E45852E" w14:textId="7E3B6E0E">
            <w:pPr>
              <w:jc w:val="right"/>
            </w:pPr>
            <w:r w:rsidRPr="00D302BF">
              <w:t>1.5</w:t>
            </w:r>
          </w:p>
        </w:tc>
        <w:tc>
          <w:tcPr>
            <w:tcW w:w="1776" w:type="dxa"/>
            <w:tcBorders>
              <w:top w:val="nil"/>
              <w:left w:val="nil"/>
              <w:bottom w:val="single" w:color="auto" w:sz="8" w:space="0"/>
              <w:right w:val="single" w:color="auto" w:sz="8" w:space="0"/>
            </w:tcBorders>
            <w:shd w:val="clear" w:color="auto" w:fill="auto"/>
            <w:hideMark/>
          </w:tcPr>
          <w:p w:rsidRPr="003B0F56" w:rsidR="00896DC0" w:rsidP="00896DC0" w:rsidRDefault="00896DC0" w14:paraId="7C13389B" w14:textId="48F9FC8E">
            <w:pPr>
              <w:jc w:val="right"/>
            </w:pPr>
            <w:r w:rsidRPr="00D302BF">
              <w:t>125,196</w:t>
            </w:r>
          </w:p>
        </w:tc>
        <w:tc>
          <w:tcPr>
            <w:tcW w:w="996" w:type="dxa"/>
            <w:tcBorders>
              <w:top w:val="nil"/>
              <w:left w:val="nil"/>
              <w:bottom w:val="single" w:color="auto" w:sz="8" w:space="0"/>
              <w:right w:val="single" w:color="auto" w:sz="8" w:space="0"/>
            </w:tcBorders>
            <w:shd w:val="clear" w:color="auto" w:fill="auto"/>
            <w:hideMark/>
          </w:tcPr>
          <w:p w:rsidRPr="003B0F56" w:rsidR="00896DC0" w:rsidP="00896DC0" w:rsidRDefault="00896DC0" w14:paraId="086F9F1A" w14:textId="395ABBF6">
            <w:pPr>
              <w:jc w:val="right"/>
            </w:pPr>
            <w:r w:rsidRPr="00D302BF">
              <w:t xml:space="preserve">$138.41 </w:t>
            </w:r>
          </w:p>
        </w:tc>
        <w:tc>
          <w:tcPr>
            <w:tcW w:w="2736" w:type="dxa"/>
            <w:tcBorders>
              <w:top w:val="nil"/>
              <w:left w:val="nil"/>
              <w:bottom w:val="single" w:color="auto" w:sz="8" w:space="0"/>
              <w:right w:val="single" w:color="auto" w:sz="8" w:space="0"/>
            </w:tcBorders>
            <w:shd w:val="clear" w:color="auto" w:fill="auto"/>
            <w:hideMark/>
          </w:tcPr>
          <w:p w:rsidRPr="003B0F56" w:rsidR="00896DC0" w:rsidP="00896DC0" w:rsidRDefault="00896DC0" w14:paraId="3D37679C" w14:textId="68E9A72E">
            <w:pPr>
              <w:jc w:val="right"/>
            </w:pPr>
            <w:r w:rsidRPr="00D302BF">
              <w:t xml:space="preserve">$17,328,377 </w:t>
            </w:r>
          </w:p>
        </w:tc>
      </w:tr>
      <w:tr w:rsidRPr="003B0F56" w:rsidR="00896DC0" w:rsidTr="00497C99" w14:paraId="619F903D" w14:textId="77777777">
        <w:trPr>
          <w:trHeight w:val="379"/>
        </w:trPr>
        <w:tc>
          <w:tcPr>
            <w:tcW w:w="2596" w:type="dxa"/>
            <w:tcBorders>
              <w:top w:val="nil"/>
              <w:left w:val="single" w:color="auto" w:sz="8" w:space="0"/>
              <w:bottom w:val="single" w:color="auto" w:sz="8" w:space="0"/>
              <w:right w:val="single" w:color="auto" w:sz="8" w:space="0"/>
            </w:tcBorders>
            <w:shd w:val="clear" w:color="auto" w:fill="auto"/>
            <w:hideMark/>
          </w:tcPr>
          <w:p w:rsidRPr="003B0F56" w:rsidR="00896DC0" w:rsidP="00896DC0" w:rsidRDefault="00896DC0" w14:paraId="29257C1E" w14:textId="77777777">
            <w:r w:rsidRPr="003B0F56">
              <w:t>Disclosures specific to individual IRA holders</w:t>
            </w:r>
          </w:p>
        </w:tc>
        <w:tc>
          <w:tcPr>
            <w:tcW w:w="1536" w:type="dxa"/>
            <w:tcBorders>
              <w:top w:val="nil"/>
              <w:left w:val="nil"/>
              <w:bottom w:val="single" w:color="auto" w:sz="8" w:space="0"/>
              <w:right w:val="single" w:color="auto" w:sz="8" w:space="0"/>
            </w:tcBorders>
            <w:shd w:val="clear" w:color="auto" w:fill="auto"/>
            <w:hideMark/>
          </w:tcPr>
          <w:p w:rsidRPr="003B0F56" w:rsidR="00896DC0" w:rsidP="00896DC0" w:rsidRDefault="00896DC0" w14:paraId="1E1746D8" w14:textId="66BF6F3E">
            <w:pPr>
              <w:jc w:val="right"/>
            </w:pPr>
            <w:r w:rsidRPr="00D302BF">
              <w:t>11,396</w:t>
            </w:r>
          </w:p>
        </w:tc>
        <w:tc>
          <w:tcPr>
            <w:tcW w:w="857" w:type="dxa"/>
            <w:tcBorders>
              <w:top w:val="nil"/>
              <w:left w:val="nil"/>
              <w:bottom w:val="single" w:color="auto" w:sz="8" w:space="0"/>
              <w:right w:val="single" w:color="auto" w:sz="8" w:space="0"/>
            </w:tcBorders>
            <w:shd w:val="clear" w:color="auto" w:fill="auto"/>
            <w:hideMark/>
          </w:tcPr>
          <w:p w:rsidRPr="003B0F56" w:rsidR="00896DC0" w:rsidP="00896DC0" w:rsidRDefault="00896DC0" w14:paraId="7E058BEE" w14:textId="591B8E11">
            <w:pPr>
              <w:jc w:val="right"/>
            </w:pPr>
            <w:r w:rsidRPr="00D302BF">
              <w:t>50</w:t>
            </w:r>
          </w:p>
        </w:tc>
        <w:tc>
          <w:tcPr>
            <w:tcW w:w="1776" w:type="dxa"/>
            <w:tcBorders>
              <w:top w:val="nil"/>
              <w:left w:val="nil"/>
              <w:bottom w:val="single" w:color="auto" w:sz="8" w:space="0"/>
              <w:right w:val="single" w:color="auto" w:sz="8" w:space="0"/>
            </w:tcBorders>
            <w:shd w:val="clear" w:color="auto" w:fill="auto"/>
            <w:hideMark/>
          </w:tcPr>
          <w:p w:rsidRPr="003B0F56" w:rsidR="00896DC0" w:rsidP="00896DC0" w:rsidRDefault="00896DC0" w14:paraId="35D623E5" w14:textId="1125F546">
            <w:pPr>
              <w:jc w:val="right"/>
            </w:pPr>
            <w:r w:rsidRPr="00D302BF">
              <w:t>569,800</w:t>
            </w:r>
          </w:p>
        </w:tc>
        <w:tc>
          <w:tcPr>
            <w:tcW w:w="996" w:type="dxa"/>
            <w:tcBorders>
              <w:top w:val="nil"/>
              <w:left w:val="nil"/>
              <w:bottom w:val="single" w:color="auto" w:sz="8" w:space="0"/>
              <w:right w:val="single" w:color="auto" w:sz="8" w:space="0"/>
            </w:tcBorders>
            <w:shd w:val="clear" w:color="auto" w:fill="auto"/>
            <w:hideMark/>
          </w:tcPr>
          <w:p w:rsidRPr="003B0F56" w:rsidR="00896DC0" w:rsidP="00896DC0" w:rsidRDefault="00896DC0" w14:paraId="732BDA89" w14:textId="783F42C3">
            <w:pPr>
              <w:jc w:val="right"/>
            </w:pPr>
            <w:r w:rsidRPr="00D302BF">
              <w:t xml:space="preserve">$138.41 </w:t>
            </w:r>
          </w:p>
        </w:tc>
        <w:tc>
          <w:tcPr>
            <w:tcW w:w="2736" w:type="dxa"/>
            <w:tcBorders>
              <w:top w:val="nil"/>
              <w:left w:val="nil"/>
              <w:bottom w:val="single" w:color="auto" w:sz="8" w:space="0"/>
              <w:right w:val="single" w:color="auto" w:sz="8" w:space="0"/>
            </w:tcBorders>
            <w:shd w:val="clear" w:color="auto" w:fill="auto"/>
            <w:hideMark/>
          </w:tcPr>
          <w:p w:rsidRPr="003B0F56" w:rsidR="00896DC0" w:rsidP="00896DC0" w:rsidRDefault="00896DC0" w14:paraId="746BAB82" w14:textId="2DF125DB">
            <w:pPr>
              <w:jc w:val="right"/>
            </w:pPr>
            <w:r w:rsidRPr="00D302BF">
              <w:t xml:space="preserve">$78,866,018 </w:t>
            </w:r>
          </w:p>
        </w:tc>
      </w:tr>
      <w:tr w:rsidRPr="003B0F56" w:rsidR="00896DC0" w:rsidTr="00497C99" w14:paraId="0C70AD0C" w14:textId="77777777">
        <w:trPr>
          <w:trHeight w:val="379"/>
        </w:trPr>
        <w:tc>
          <w:tcPr>
            <w:tcW w:w="2596" w:type="dxa"/>
            <w:tcBorders>
              <w:top w:val="nil"/>
              <w:left w:val="single" w:color="auto" w:sz="8" w:space="0"/>
              <w:bottom w:val="single" w:color="auto" w:sz="8" w:space="0"/>
              <w:right w:val="single" w:color="auto" w:sz="8" w:space="0"/>
            </w:tcBorders>
            <w:shd w:val="clear" w:color="auto" w:fill="auto"/>
            <w:hideMark/>
          </w:tcPr>
          <w:p w:rsidRPr="003B0F56" w:rsidR="00896DC0" w:rsidP="00896DC0" w:rsidRDefault="00896DC0" w14:paraId="416D514C" w14:textId="77777777">
            <w:r w:rsidRPr="003B0F56">
              <w:t>TOTAL</w:t>
            </w:r>
          </w:p>
        </w:tc>
        <w:tc>
          <w:tcPr>
            <w:tcW w:w="1536" w:type="dxa"/>
            <w:tcBorders>
              <w:top w:val="nil"/>
              <w:left w:val="nil"/>
              <w:bottom w:val="single" w:color="auto" w:sz="8" w:space="0"/>
              <w:right w:val="single" w:color="auto" w:sz="8" w:space="0"/>
            </w:tcBorders>
            <w:shd w:val="clear" w:color="auto" w:fill="auto"/>
            <w:hideMark/>
          </w:tcPr>
          <w:p w:rsidRPr="003B0F56" w:rsidR="00896DC0" w:rsidP="00896DC0" w:rsidRDefault="00896DC0" w14:paraId="19D4A1FC" w14:textId="77777777">
            <w:pPr>
              <w:jc w:val="right"/>
            </w:pPr>
          </w:p>
        </w:tc>
        <w:tc>
          <w:tcPr>
            <w:tcW w:w="857" w:type="dxa"/>
            <w:tcBorders>
              <w:top w:val="nil"/>
              <w:left w:val="nil"/>
              <w:bottom w:val="single" w:color="auto" w:sz="8" w:space="0"/>
              <w:right w:val="single" w:color="auto" w:sz="8" w:space="0"/>
            </w:tcBorders>
            <w:shd w:val="clear" w:color="auto" w:fill="auto"/>
            <w:hideMark/>
          </w:tcPr>
          <w:p w:rsidRPr="003B0F56" w:rsidR="00896DC0" w:rsidP="00896DC0" w:rsidRDefault="00896DC0" w14:paraId="0D56FE11" w14:textId="77777777">
            <w:pPr>
              <w:jc w:val="right"/>
            </w:pPr>
          </w:p>
        </w:tc>
        <w:tc>
          <w:tcPr>
            <w:tcW w:w="1776" w:type="dxa"/>
            <w:tcBorders>
              <w:top w:val="nil"/>
              <w:left w:val="nil"/>
              <w:bottom w:val="single" w:color="auto" w:sz="8" w:space="0"/>
              <w:right w:val="single" w:color="auto" w:sz="8" w:space="0"/>
            </w:tcBorders>
            <w:shd w:val="clear" w:color="auto" w:fill="auto"/>
            <w:hideMark/>
          </w:tcPr>
          <w:p w:rsidRPr="003B0F56" w:rsidR="00896DC0" w:rsidP="00896DC0" w:rsidRDefault="00896DC0" w14:paraId="5D5D8A85" w14:textId="17461582">
            <w:pPr>
              <w:jc w:val="right"/>
            </w:pPr>
            <w:r w:rsidRPr="00D302BF">
              <w:t>729,184</w:t>
            </w:r>
          </w:p>
        </w:tc>
        <w:tc>
          <w:tcPr>
            <w:tcW w:w="996" w:type="dxa"/>
            <w:tcBorders>
              <w:top w:val="nil"/>
              <w:left w:val="nil"/>
              <w:bottom w:val="single" w:color="auto" w:sz="8" w:space="0"/>
              <w:right w:val="single" w:color="auto" w:sz="8" w:space="0"/>
            </w:tcBorders>
            <w:shd w:val="clear" w:color="auto" w:fill="auto"/>
            <w:hideMark/>
          </w:tcPr>
          <w:p w:rsidRPr="003B0F56" w:rsidR="00896DC0" w:rsidP="00896DC0" w:rsidRDefault="00896DC0" w14:paraId="689800EE" w14:textId="77777777">
            <w:pPr>
              <w:jc w:val="right"/>
            </w:pPr>
          </w:p>
        </w:tc>
        <w:tc>
          <w:tcPr>
            <w:tcW w:w="2736" w:type="dxa"/>
            <w:tcBorders>
              <w:top w:val="nil"/>
              <w:left w:val="nil"/>
              <w:bottom w:val="single" w:color="auto" w:sz="8" w:space="0"/>
              <w:right w:val="single" w:color="auto" w:sz="8" w:space="0"/>
            </w:tcBorders>
            <w:shd w:val="clear" w:color="auto" w:fill="auto"/>
            <w:hideMark/>
          </w:tcPr>
          <w:p w:rsidRPr="003B0F56" w:rsidR="00896DC0" w:rsidP="00896DC0" w:rsidRDefault="00896DC0" w14:paraId="2A68AAE4" w14:textId="76B3D29F">
            <w:pPr>
              <w:jc w:val="right"/>
            </w:pPr>
            <w:r w:rsidRPr="00D302BF">
              <w:t>$100,926,356</w:t>
            </w:r>
          </w:p>
        </w:tc>
      </w:tr>
    </w:tbl>
    <w:p w:rsidRPr="003B0F56" w:rsidR="0037394C" w:rsidP="00D13528" w:rsidRDefault="0037394C" w14:paraId="59AB4C05" w14:textId="77777777">
      <w:pPr>
        <w:ind w:left="720"/>
        <w:rPr>
          <w:color w:val="000000"/>
        </w:rPr>
      </w:pPr>
    </w:p>
    <w:p w:rsidRPr="00D13528" w:rsidR="006962D3" w:rsidP="00D13528" w:rsidRDefault="006962D3" w14:paraId="1B905188" w14:textId="77777777">
      <w:pPr>
        <w:ind w:left="1440"/>
        <w:outlineLvl w:val="0"/>
        <w:rPr>
          <w:color w:val="000000"/>
          <w:u w:val="single"/>
        </w:rPr>
      </w:pPr>
      <w:r w:rsidRPr="00D13528">
        <w:rPr>
          <w:color w:val="000000"/>
          <w:u w:val="single"/>
        </w:rPr>
        <w:t>Annual Distribution of Disclosure Package</w:t>
      </w:r>
    </w:p>
    <w:p w:rsidRPr="003B0F56" w:rsidR="006962D3" w:rsidP="00D13528" w:rsidRDefault="006962D3" w14:paraId="0A948F99" w14:textId="77777777">
      <w:pPr>
        <w:ind w:left="720"/>
        <w:rPr>
          <w:color w:val="000000"/>
        </w:rPr>
      </w:pPr>
    </w:p>
    <w:p w:rsidR="008A78EE" w:rsidP="00FD4943" w:rsidRDefault="006962D3" w14:paraId="0055951C" w14:textId="50FECD0A">
      <w:pPr>
        <w:ind w:left="720"/>
        <w:rPr>
          <w:color w:val="000000"/>
        </w:rPr>
      </w:pPr>
      <w:r w:rsidRPr="003B0F56">
        <w:rPr>
          <w:color w:val="000000"/>
        </w:rPr>
        <w:t>All of these disclosures (initial, annual and upon request) can be distributed either electronically or in paper.  The Department estimates that those disclosures distributed upon request will be distributed mostly through electronic means</w:t>
      </w:r>
      <w:r w:rsidRPr="003B0F56" w:rsidR="00532848">
        <w:rPr>
          <w:color w:val="000000"/>
        </w:rPr>
        <w:t>,</w:t>
      </w:r>
      <w:r w:rsidRPr="003B0F56">
        <w:rPr>
          <w:color w:val="000000"/>
        </w:rPr>
        <w:t xml:space="preserve"> and</w:t>
      </w:r>
      <w:r w:rsidRPr="003B0F56" w:rsidR="00532848">
        <w:rPr>
          <w:color w:val="000000"/>
        </w:rPr>
        <w:t>,</w:t>
      </w:r>
      <w:r w:rsidRPr="003B0F56">
        <w:rPr>
          <w:color w:val="000000"/>
        </w:rPr>
        <w:t xml:space="preserve"> thus</w:t>
      </w:r>
      <w:r w:rsidRPr="003B0F56" w:rsidR="00532848">
        <w:rPr>
          <w:color w:val="000000"/>
        </w:rPr>
        <w:t>,</w:t>
      </w:r>
      <w:r w:rsidRPr="003B0F56">
        <w:rPr>
          <w:color w:val="000000"/>
        </w:rPr>
        <w:t xml:space="preserve"> will have a negligible cost to </w:t>
      </w:r>
      <w:r w:rsidRPr="003B0F56" w:rsidR="00425D7C">
        <w:rPr>
          <w:color w:val="000000"/>
        </w:rPr>
        <w:t xml:space="preserve">advice </w:t>
      </w:r>
      <w:r w:rsidRPr="003B0F56">
        <w:rPr>
          <w:color w:val="000000"/>
        </w:rPr>
        <w:t>firms</w:t>
      </w:r>
      <w:r w:rsidRPr="003B0F56" w:rsidR="00EB2A56">
        <w:rPr>
          <w:color w:val="000000"/>
        </w:rPr>
        <w:t>.</w:t>
      </w:r>
      <w:r w:rsidR="00EB2A56">
        <w:rPr>
          <w:color w:val="000000"/>
        </w:rPr>
        <w:t xml:space="preserve">  </w:t>
      </w:r>
      <w:r w:rsidRPr="00DA10AD" w:rsidR="00376BC8">
        <w:rPr>
          <w:color w:val="000000"/>
        </w:rPr>
        <w:t>T</w:t>
      </w:r>
      <w:r w:rsidRPr="00DA10AD">
        <w:rPr>
          <w:color w:val="000000"/>
        </w:rPr>
        <w:t>he Department estimates that</w:t>
      </w:r>
      <w:r w:rsidRPr="00DA10AD" w:rsidR="00DC5F2F">
        <w:rPr>
          <w:color w:val="000000"/>
        </w:rPr>
        <w:t xml:space="preserve"> among DC plans,</w:t>
      </w:r>
      <w:r w:rsidRPr="00146B9F">
        <w:rPr>
          <w:color w:val="000000"/>
        </w:rPr>
        <w:t xml:space="preserve"> </w:t>
      </w:r>
      <w:r w:rsidRPr="00146B9F" w:rsidR="00DC5F2F">
        <w:rPr>
          <w:color w:val="000000"/>
        </w:rPr>
        <w:t>92.7</w:t>
      </w:r>
      <w:r w:rsidRPr="00146B9F">
        <w:rPr>
          <w:color w:val="000000"/>
        </w:rPr>
        <w:t xml:space="preserve"> percent of the initial and annual disclosures will be electronically distributed with </w:t>
      </w:r>
      <w:r w:rsidRPr="00146B9F" w:rsidR="00DC5F2F">
        <w:rPr>
          <w:color w:val="000000"/>
        </w:rPr>
        <w:t>7.</w:t>
      </w:r>
      <w:r w:rsidRPr="00F90B3D" w:rsidR="0044691C">
        <w:rPr>
          <w:color w:val="000000"/>
        </w:rPr>
        <w:t>3</w:t>
      </w:r>
      <w:r w:rsidRPr="00DA10AD" w:rsidR="00376BC8">
        <w:rPr>
          <w:color w:val="000000"/>
        </w:rPr>
        <w:t xml:space="preserve"> </w:t>
      </w:r>
      <w:r w:rsidRPr="00DA10AD">
        <w:rPr>
          <w:color w:val="000000"/>
        </w:rPr>
        <w:t xml:space="preserve">percent distributed on paper. </w:t>
      </w:r>
      <w:r w:rsidRPr="00F90B3D" w:rsidR="007E29CC">
        <w:rPr>
          <w:color w:val="000000"/>
        </w:rPr>
        <w:t xml:space="preserve"> </w:t>
      </w:r>
      <w:r w:rsidRPr="00DA10AD" w:rsidR="00965D07">
        <w:rPr>
          <w:color w:val="000000"/>
        </w:rPr>
        <w:t>The Department</w:t>
      </w:r>
      <w:r w:rsidR="00670159">
        <w:rPr>
          <w:color w:val="000000"/>
        </w:rPr>
        <w:t xml:space="preserve"> also</w:t>
      </w:r>
      <w:r w:rsidRPr="00DA10AD" w:rsidR="00965D07">
        <w:rPr>
          <w:color w:val="000000"/>
        </w:rPr>
        <w:t xml:space="preserve"> estimates that among IRAs, 58.2 percent of the initial and annual disclosures will be electronically distributed with 41.8</w:t>
      </w:r>
      <w:r w:rsidRPr="00146B9F" w:rsidR="00965D07">
        <w:rPr>
          <w:color w:val="000000"/>
        </w:rPr>
        <w:t xml:space="preserve"> percent distributed on paper.  </w:t>
      </w:r>
      <w:r w:rsidRPr="00146B9F">
        <w:rPr>
          <w:color w:val="000000"/>
        </w:rPr>
        <w:t xml:space="preserve">The Department further assumes that of the </w:t>
      </w:r>
      <w:r w:rsidRPr="00146B9F" w:rsidR="00965D07">
        <w:rPr>
          <w:color w:val="000000"/>
        </w:rPr>
        <w:t>7.3</w:t>
      </w:r>
      <w:r w:rsidRPr="004A303D" w:rsidR="00376BC8">
        <w:rPr>
          <w:color w:val="000000"/>
        </w:rPr>
        <w:t xml:space="preserve"> </w:t>
      </w:r>
      <w:r w:rsidRPr="004A303D">
        <w:rPr>
          <w:color w:val="000000"/>
        </w:rPr>
        <w:t xml:space="preserve">percent of </w:t>
      </w:r>
      <w:r w:rsidRPr="00DA10AD" w:rsidR="00965D07">
        <w:rPr>
          <w:color w:val="000000"/>
        </w:rPr>
        <w:t xml:space="preserve">DC </w:t>
      </w:r>
      <w:r w:rsidRPr="00DA10AD">
        <w:rPr>
          <w:color w:val="000000"/>
        </w:rPr>
        <w:t>disclosures printed</w:t>
      </w:r>
      <w:r w:rsidRPr="00DA10AD" w:rsidR="00965D07">
        <w:rPr>
          <w:color w:val="000000"/>
        </w:rPr>
        <w:t xml:space="preserve"> and 41.8 percent of IRA disclosures printed</w:t>
      </w:r>
      <w:r w:rsidRPr="00DA10AD" w:rsidR="00466ECC">
        <w:rPr>
          <w:color w:val="000000"/>
        </w:rPr>
        <w:t>,</w:t>
      </w:r>
      <w:r w:rsidRPr="00DA10AD">
        <w:rPr>
          <w:color w:val="000000"/>
        </w:rPr>
        <w:t xml:space="preserve"> 50 percent </w:t>
      </w:r>
      <w:r w:rsidRPr="00DA10AD" w:rsidR="00532848">
        <w:rPr>
          <w:color w:val="000000"/>
        </w:rPr>
        <w:t xml:space="preserve">will be </w:t>
      </w:r>
      <w:r w:rsidRPr="00DA10AD">
        <w:rPr>
          <w:color w:val="000000"/>
        </w:rPr>
        <w:t xml:space="preserve">handed out in person and 50 percent </w:t>
      </w:r>
      <w:r w:rsidRPr="00DA10AD" w:rsidR="00532848">
        <w:rPr>
          <w:color w:val="000000"/>
        </w:rPr>
        <w:t xml:space="preserve">will be </w:t>
      </w:r>
      <w:r w:rsidRPr="00DA10AD">
        <w:rPr>
          <w:color w:val="000000"/>
        </w:rPr>
        <w:t xml:space="preserve">mailed to the </w:t>
      </w:r>
      <w:r w:rsidRPr="00DA10AD" w:rsidR="00D64996">
        <w:rPr>
          <w:color w:val="000000"/>
        </w:rPr>
        <w:t>Participant</w:t>
      </w:r>
      <w:r w:rsidRPr="00DA10AD">
        <w:rPr>
          <w:color w:val="000000"/>
        </w:rPr>
        <w:t>; thus</w:t>
      </w:r>
      <w:r w:rsidRPr="00DA10AD" w:rsidR="00466ECC">
        <w:rPr>
          <w:color w:val="000000"/>
        </w:rPr>
        <w:t>,</w:t>
      </w:r>
      <w:r w:rsidRPr="00DA10AD">
        <w:rPr>
          <w:color w:val="000000"/>
        </w:rPr>
        <w:t xml:space="preserve"> </w:t>
      </w:r>
      <w:r w:rsidRPr="00DA10AD" w:rsidR="00965D07">
        <w:rPr>
          <w:color w:val="000000"/>
        </w:rPr>
        <w:t>3.7</w:t>
      </w:r>
      <w:r w:rsidRPr="00DA10AD" w:rsidR="00376BC8">
        <w:rPr>
          <w:color w:val="000000"/>
        </w:rPr>
        <w:t xml:space="preserve"> </w:t>
      </w:r>
      <w:r w:rsidRPr="00DA10AD">
        <w:rPr>
          <w:color w:val="000000"/>
        </w:rPr>
        <w:t xml:space="preserve">percent of </w:t>
      </w:r>
      <w:r w:rsidRPr="00DA10AD" w:rsidR="00965D07">
        <w:rPr>
          <w:color w:val="000000"/>
        </w:rPr>
        <w:t xml:space="preserve">DC </w:t>
      </w:r>
      <w:r w:rsidRPr="00DA10AD" w:rsidR="00D64996">
        <w:rPr>
          <w:color w:val="000000"/>
        </w:rPr>
        <w:t>Participant</w:t>
      </w:r>
      <w:r w:rsidRPr="00DA10AD">
        <w:rPr>
          <w:color w:val="000000"/>
        </w:rPr>
        <w:t xml:space="preserve">s </w:t>
      </w:r>
      <w:r w:rsidRPr="00DA10AD" w:rsidR="00965D07">
        <w:rPr>
          <w:color w:val="000000"/>
        </w:rPr>
        <w:t>and 20.9 percent of IRA Participants</w:t>
      </w:r>
      <w:r w:rsidR="00965D07">
        <w:rPr>
          <w:color w:val="000000"/>
        </w:rPr>
        <w:t xml:space="preserve"> </w:t>
      </w:r>
      <w:r w:rsidRPr="003B0F56" w:rsidR="00466ECC">
        <w:rPr>
          <w:color w:val="000000"/>
        </w:rPr>
        <w:t xml:space="preserve">will </w:t>
      </w:r>
      <w:r w:rsidRPr="003B0F56">
        <w:rPr>
          <w:color w:val="000000"/>
        </w:rPr>
        <w:t xml:space="preserve">receive disclosures through the mail (with associated costs burdens for photocopying and mailing discussed in </w:t>
      </w:r>
      <w:r w:rsidRPr="003B0F56" w:rsidR="00974DA7">
        <w:rPr>
          <w:color w:val="000000"/>
        </w:rPr>
        <w:t xml:space="preserve">response </w:t>
      </w:r>
      <w:r w:rsidRPr="003B0F56">
        <w:rPr>
          <w:color w:val="000000"/>
        </w:rPr>
        <w:t xml:space="preserve">13.a. below).  The Department estimates that an in-house clerical </w:t>
      </w:r>
      <w:r w:rsidRPr="003B0F56" w:rsidR="00EA78C5">
        <w:rPr>
          <w:color w:val="000000"/>
        </w:rPr>
        <w:t>professional</w:t>
      </w:r>
      <w:r w:rsidRPr="003B0F56">
        <w:rPr>
          <w:color w:val="000000"/>
        </w:rPr>
        <w:t xml:space="preserve"> </w:t>
      </w:r>
      <w:r w:rsidRPr="003B0F56" w:rsidR="00532848">
        <w:rPr>
          <w:color w:val="000000"/>
        </w:rPr>
        <w:t xml:space="preserve">will </w:t>
      </w:r>
      <w:r w:rsidRPr="003B0F56">
        <w:rPr>
          <w:color w:val="000000"/>
        </w:rPr>
        <w:t xml:space="preserve">require approximately </w:t>
      </w:r>
      <w:r w:rsidRPr="003B0F56" w:rsidR="00377A10">
        <w:rPr>
          <w:color w:val="000000"/>
        </w:rPr>
        <w:t xml:space="preserve">four </w:t>
      </w:r>
      <w:r w:rsidRPr="003B0F56">
        <w:rPr>
          <w:color w:val="000000"/>
        </w:rPr>
        <w:t xml:space="preserve">minutes per </w:t>
      </w:r>
      <w:r w:rsidRPr="003B0F56" w:rsidR="00377A10">
        <w:rPr>
          <w:color w:val="000000"/>
        </w:rPr>
        <w:t>disclosure package (one minute per page)</w:t>
      </w:r>
      <w:r w:rsidRPr="003B0F56">
        <w:rPr>
          <w:color w:val="000000"/>
        </w:rPr>
        <w:t xml:space="preserve"> to make photocopies and about one minute to prepare each disclosure package for mailing.  </w:t>
      </w:r>
      <w:r w:rsidRPr="00DA10AD">
        <w:rPr>
          <w:color w:val="000000"/>
        </w:rPr>
        <w:lastRenderedPageBreak/>
        <w:t xml:space="preserve">Assuming </w:t>
      </w:r>
      <w:r w:rsidRPr="00DA10AD" w:rsidR="004F756D">
        <w:rPr>
          <w:color w:val="000000"/>
        </w:rPr>
        <w:t xml:space="preserve">2,948,730 </w:t>
      </w:r>
      <w:r w:rsidRPr="00146B9F" w:rsidR="00D64996">
        <w:rPr>
          <w:color w:val="000000"/>
        </w:rPr>
        <w:t>P</w:t>
      </w:r>
      <w:r w:rsidRPr="00146B9F">
        <w:rPr>
          <w:color w:val="000000"/>
        </w:rPr>
        <w:t xml:space="preserve">lan </w:t>
      </w:r>
      <w:r w:rsidRPr="00146B9F" w:rsidR="00D64996">
        <w:rPr>
          <w:color w:val="000000"/>
        </w:rPr>
        <w:t>Participant</w:t>
      </w:r>
      <w:r w:rsidRPr="00146B9F">
        <w:rPr>
          <w:color w:val="000000"/>
        </w:rPr>
        <w:t xml:space="preserve">s and </w:t>
      </w:r>
      <w:r w:rsidRPr="00146B9F" w:rsidR="004F756D">
        <w:rPr>
          <w:color w:val="000000"/>
        </w:rPr>
        <w:t xml:space="preserve">20,084,300 </w:t>
      </w:r>
      <w:r w:rsidRPr="00DA10AD">
        <w:rPr>
          <w:color w:val="000000"/>
        </w:rPr>
        <w:t xml:space="preserve">IRA </w:t>
      </w:r>
      <w:r w:rsidRPr="00DA10AD" w:rsidR="00D64996">
        <w:rPr>
          <w:color w:val="000000"/>
        </w:rPr>
        <w:t>Participant</w:t>
      </w:r>
      <w:r w:rsidRPr="00DA10AD">
        <w:rPr>
          <w:color w:val="000000"/>
        </w:rPr>
        <w:t>s seek advice</w:t>
      </w:r>
      <w:r w:rsidRPr="00DA10AD" w:rsidR="00532848">
        <w:rPr>
          <w:color w:val="000000"/>
        </w:rPr>
        <w:t>,</w:t>
      </w:r>
      <w:r w:rsidRPr="00DA10AD">
        <w:rPr>
          <w:color w:val="000000"/>
        </w:rPr>
        <w:t xml:space="preserve"> the regulation’s annual hour burden hours associated with photocopying and mailing </w:t>
      </w:r>
      <w:r w:rsidRPr="00DA10AD" w:rsidR="00532848">
        <w:rPr>
          <w:color w:val="000000"/>
        </w:rPr>
        <w:t xml:space="preserve">will </w:t>
      </w:r>
      <w:r w:rsidRPr="00DA10AD" w:rsidR="00EB2A56">
        <w:rPr>
          <w:color w:val="000000"/>
        </w:rPr>
        <w:t>be 645,787</w:t>
      </w:r>
      <w:r w:rsidRPr="00DA10AD" w:rsidR="00FD4943">
        <w:rPr>
          <w:color w:val="000000"/>
        </w:rPr>
        <w:t xml:space="preserve"> </w:t>
      </w:r>
      <w:r w:rsidRPr="00DA10AD">
        <w:rPr>
          <w:color w:val="000000"/>
        </w:rPr>
        <w:t xml:space="preserve">hours with an equivalent cost of </w:t>
      </w:r>
      <w:r w:rsidRPr="00DA10AD" w:rsidR="00FD4943">
        <w:rPr>
          <w:color w:val="000000"/>
        </w:rPr>
        <w:t>$35,608,701</w:t>
      </w:r>
      <w:r w:rsidRPr="00DA10AD" w:rsidR="00A41A62">
        <w:rPr>
          <w:color w:val="000000"/>
        </w:rPr>
        <w:t>.</w:t>
      </w:r>
    </w:p>
    <w:p w:rsidRPr="003B0F56" w:rsidR="0078122A" w:rsidP="00D13528" w:rsidRDefault="0078122A" w14:paraId="6E46134F" w14:textId="77777777">
      <w:pPr>
        <w:ind w:left="720"/>
        <w:rPr>
          <w:color w:val="000000"/>
        </w:rPr>
      </w:pPr>
    </w:p>
    <w:p w:rsidRPr="003B0F56" w:rsidR="00C77DFB" w:rsidP="00D13528" w:rsidRDefault="00C77DFB" w14:paraId="115FAA20" w14:textId="77777777">
      <w:pPr>
        <w:ind w:left="720"/>
        <w:rPr>
          <w:color w:val="000000"/>
        </w:rPr>
      </w:pPr>
    </w:p>
    <w:tbl>
      <w:tblPr>
        <w:tblW w:w="11270" w:type="dxa"/>
        <w:tblInd w:w="-670" w:type="dxa"/>
        <w:tblLayout w:type="fixed"/>
        <w:tblLook w:val="04A0" w:firstRow="1" w:lastRow="0" w:firstColumn="1" w:lastColumn="0" w:noHBand="0" w:noVBand="1"/>
      </w:tblPr>
      <w:tblGrid>
        <w:gridCol w:w="1550"/>
        <w:gridCol w:w="2256"/>
        <w:gridCol w:w="1536"/>
        <w:gridCol w:w="1776"/>
        <w:gridCol w:w="1536"/>
        <w:gridCol w:w="2616"/>
      </w:tblGrid>
      <w:tr w:rsidRPr="003B0F56" w:rsidR="00C77DFB" w:rsidTr="000D3B57" w14:paraId="251AC627" w14:textId="77777777">
        <w:trPr>
          <w:trHeight w:val="288"/>
        </w:trPr>
        <w:tc>
          <w:tcPr>
            <w:tcW w:w="11270" w:type="dxa"/>
            <w:gridSpan w:val="6"/>
            <w:tcBorders>
              <w:top w:val="nil"/>
              <w:left w:val="nil"/>
              <w:bottom w:val="single" w:color="auto" w:sz="8" w:space="0"/>
              <w:right w:val="nil"/>
            </w:tcBorders>
            <w:shd w:val="clear" w:color="auto" w:fill="auto"/>
            <w:vAlign w:val="bottom"/>
            <w:hideMark/>
          </w:tcPr>
          <w:p w:rsidRPr="00F90B3D" w:rsidR="00C77DFB" w:rsidRDefault="00C77DFB" w14:paraId="1E0E4932" w14:textId="77777777">
            <w:pPr>
              <w:rPr>
                <w:highlight w:val="yellow"/>
              </w:rPr>
            </w:pPr>
            <w:r w:rsidRPr="00DA10AD">
              <w:t>Table 3.--Annual Disclosure Package Distribution Hour Burden Estimates</w:t>
            </w:r>
          </w:p>
        </w:tc>
      </w:tr>
      <w:tr w:rsidRPr="003B0F56" w:rsidR="00C77DFB" w:rsidTr="000D3B57" w14:paraId="6B2A97F0" w14:textId="77777777">
        <w:trPr>
          <w:trHeight w:val="288"/>
        </w:trPr>
        <w:tc>
          <w:tcPr>
            <w:tcW w:w="1550" w:type="dxa"/>
            <w:tcBorders>
              <w:top w:val="nil"/>
              <w:left w:val="single" w:color="auto" w:sz="8" w:space="0"/>
              <w:bottom w:val="single" w:color="auto" w:sz="8" w:space="0"/>
              <w:right w:val="single" w:color="auto" w:sz="8" w:space="0"/>
            </w:tcBorders>
            <w:shd w:val="clear" w:color="auto" w:fill="auto"/>
            <w:hideMark/>
          </w:tcPr>
          <w:p w:rsidRPr="003B0F56" w:rsidR="00C77DFB" w:rsidRDefault="00C77DFB" w14:paraId="0F30887C" w14:textId="77777777">
            <w:pPr>
              <w:jc w:val="center"/>
              <w:rPr>
                <w:b/>
                <w:bCs/>
              </w:rPr>
            </w:pPr>
            <w:r w:rsidRPr="003B0F56">
              <w:rPr>
                <w:b/>
                <w:bCs/>
              </w:rPr>
              <w:t> </w:t>
            </w:r>
          </w:p>
        </w:tc>
        <w:tc>
          <w:tcPr>
            <w:tcW w:w="2256" w:type="dxa"/>
            <w:tcBorders>
              <w:top w:val="nil"/>
              <w:left w:val="nil"/>
              <w:bottom w:val="single" w:color="auto" w:sz="8" w:space="0"/>
              <w:right w:val="single" w:color="auto" w:sz="8" w:space="0"/>
            </w:tcBorders>
            <w:shd w:val="clear" w:color="auto" w:fill="auto"/>
            <w:hideMark/>
          </w:tcPr>
          <w:p w:rsidRPr="003B0F56" w:rsidR="00C77DFB" w:rsidRDefault="00C77DFB" w14:paraId="53F0A701" w14:textId="77777777">
            <w:pPr>
              <w:jc w:val="center"/>
              <w:rPr>
                <w:b/>
                <w:bCs/>
              </w:rPr>
            </w:pPr>
            <w:r w:rsidRPr="003B0F56">
              <w:rPr>
                <w:b/>
                <w:bCs/>
              </w:rPr>
              <w:t>Participants</w:t>
            </w:r>
          </w:p>
        </w:tc>
        <w:tc>
          <w:tcPr>
            <w:tcW w:w="1536" w:type="dxa"/>
            <w:tcBorders>
              <w:top w:val="nil"/>
              <w:left w:val="nil"/>
              <w:bottom w:val="single" w:color="auto" w:sz="8" w:space="0"/>
              <w:right w:val="single" w:color="auto" w:sz="8" w:space="0"/>
            </w:tcBorders>
            <w:shd w:val="clear" w:color="auto" w:fill="auto"/>
            <w:hideMark/>
          </w:tcPr>
          <w:p w:rsidRPr="003B0F56" w:rsidR="00C77DFB" w:rsidRDefault="00C77DFB" w14:paraId="5243C6C6" w14:textId="77777777">
            <w:pPr>
              <w:jc w:val="center"/>
              <w:rPr>
                <w:b/>
                <w:bCs/>
              </w:rPr>
            </w:pPr>
            <w:r w:rsidRPr="003B0F56">
              <w:rPr>
                <w:b/>
                <w:bCs/>
              </w:rPr>
              <w:t>Hours Required</w:t>
            </w:r>
          </w:p>
        </w:tc>
        <w:tc>
          <w:tcPr>
            <w:tcW w:w="1776" w:type="dxa"/>
            <w:tcBorders>
              <w:top w:val="nil"/>
              <w:left w:val="nil"/>
              <w:bottom w:val="single" w:color="auto" w:sz="8" w:space="0"/>
              <w:right w:val="single" w:color="auto" w:sz="8" w:space="0"/>
            </w:tcBorders>
            <w:shd w:val="clear" w:color="auto" w:fill="auto"/>
            <w:hideMark/>
          </w:tcPr>
          <w:p w:rsidRPr="003B0F56" w:rsidR="00C77DFB" w:rsidRDefault="00C77DFB" w14:paraId="0D2D8BF9" w14:textId="77777777">
            <w:pPr>
              <w:jc w:val="center"/>
              <w:rPr>
                <w:b/>
                <w:bCs/>
              </w:rPr>
            </w:pPr>
            <w:r w:rsidRPr="003B0F56">
              <w:rPr>
                <w:b/>
                <w:bCs/>
              </w:rPr>
              <w:t>Annual Hour Burden</w:t>
            </w:r>
          </w:p>
        </w:tc>
        <w:tc>
          <w:tcPr>
            <w:tcW w:w="1536" w:type="dxa"/>
            <w:tcBorders>
              <w:top w:val="nil"/>
              <w:left w:val="nil"/>
              <w:bottom w:val="single" w:color="auto" w:sz="8" w:space="0"/>
              <w:right w:val="single" w:color="auto" w:sz="8" w:space="0"/>
            </w:tcBorders>
            <w:shd w:val="clear" w:color="auto" w:fill="auto"/>
            <w:hideMark/>
          </w:tcPr>
          <w:p w:rsidRPr="003B0F56" w:rsidR="00C77DFB" w:rsidRDefault="00C77DFB" w14:paraId="275F9478" w14:textId="77777777">
            <w:pPr>
              <w:jc w:val="center"/>
              <w:rPr>
                <w:b/>
                <w:bCs/>
              </w:rPr>
            </w:pPr>
            <w:r w:rsidRPr="003B0F56">
              <w:rPr>
                <w:b/>
                <w:bCs/>
              </w:rPr>
              <w:t>Hourly Rate</w:t>
            </w:r>
          </w:p>
        </w:tc>
        <w:tc>
          <w:tcPr>
            <w:tcW w:w="2616" w:type="dxa"/>
            <w:tcBorders>
              <w:top w:val="nil"/>
              <w:left w:val="nil"/>
              <w:bottom w:val="single" w:color="auto" w:sz="8" w:space="0"/>
              <w:right w:val="single" w:color="auto" w:sz="8" w:space="0"/>
            </w:tcBorders>
            <w:shd w:val="clear" w:color="auto" w:fill="auto"/>
            <w:hideMark/>
          </w:tcPr>
          <w:p w:rsidRPr="003B0F56" w:rsidR="00C77DFB" w:rsidRDefault="00C77DFB" w14:paraId="18CF7E3D" w14:textId="77777777">
            <w:pPr>
              <w:jc w:val="center"/>
              <w:rPr>
                <w:b/>
                <w:bCs/>
              </w:rPr>
            </w:pPr>
            <w:r w:rsidRPr="003B0F56">
              <w:rPr>
                <w:b/>
                <w:bCs/>
              </w:rPr>
              <w:t>Equivalent Cost</w:t>
            </w:r>
          </w:p>
        </w:tc>
      </w:tr>
      <w:tr w:rsidRPr="003B0F56" w:rsidR="00740C7B" w:rsidTr="000D3B57" w14:paraId="0657F8A9" w14:textId="77777777">
        <w:trPr>
          <w:trHeight w:val="288"/>
        </w:trPr>
        <w:tc>
          <w:tcPr>
            <w:tcW w:w="1550" w:type="dxa"/>
            <w:tcBorders>
              <w:top w:val="nil"/>
              <w:left w:val="single" w:color="auto" w:sz="8" w:space="0"/>
              <w:bottom w:val="single" w:color="auto" w:sz="8" w:space="0"/>
              <w:right w:val="single" w:color="auto" w:sz="8" w:space="0"/>
            </w:tcBorders>
            <w:shd w:val="clear" w:color="auto" w:fill="auto"/>
            <w:hideMark/>
          </w:tcPr>
          <w:p w:rsidRPr="003B0F56" w:rsidR="00740C7B" w:rsidP="00740C7B" w:rsidRDefault="00740C7B" w14:paraId="5C13D1B7" w14:textId="77777777">
            <w:r w:rsidRPr="003B0F56">
              <w:t>Total Photocopying</w:t>
            </w:r>
          </w:p>
        </w:tc>
        <w:tc>
          <w:tcPr>
            <w:tcW w:w="2256" w:type="dxa"/>
            <w:tcBorders>
              <w:top w:val="nil"/>
              <w:left w:val="nil"/>
              <w:bottom w:val="single" w:color="auto" w:sz="8" w:space="0"/>
              <w:right w:val="single" w:color="auto" w:sz="8" w:space="0"/>
            </w:tcBorders>
            <w:shd w:val="clear" w:color="auto" w:fill="auto"/>
            <w:hideMark/>
          </w:tcPr>
          <w:p w:rsidRPr="003B0F56" w:rsidR="00740C7B" w:rsidP="00740C7B" w:rsidRDefault="00740C7B" w14:paraId="7F61394F" w14:textId="668663EA">
            <w:pPr>
              <w:jc w:val="right"/>
            </w:pPr>
            <w:r w:rsidRPr="0014682C">
              <w:t>8,610,495</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4FE0981D" w14:textId="4CB3E837">
            <w:pPr>
              <w:jc w:val="right"/>
            </w:pPr>
            <w:r w:rsidRPr="0014682C">
              <w:t>0.067</w:t>
            </w:r>
          </w:p>
        </w:tc>
        <w:tc>
          <w:tcPr>
            <w:tcW w:w="1776" w:type="dxa"/>
            <w:tcBorders>
              <w:top w:val="nil"/>
              <w:left w:val="nil"/>
              <w:bottom w:val="single" w:color="auto" w:sz="8" w:space="0"/>
              <w:right w:val="single" w:color="auto" w:sz="8" w:space="0"/>
            </w:tcBorders>
            <w:shd w:val="clear" w:color="auto" w:fill="auto"/>
            <w:hideMark/>
          </w:tcPr>
          <w:p w:rsidRPr="003B0F56" w:rsidR="00740C7B" w:rsidP="00740C7B" w:rsidRDefault="00740C7B" w14:paraId="763879A8" w14:textId="2CE06883">
            <w:pPr>
              <w:jc w:val="right"/>
            </w:pPr>
            <w:r w:rsidRPr="0014682C">
              <w:t>574,033</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6FA01C29" w14:textId="38163DF6">
            <w:pPr>
              <w:jc w:val="right"/>
            </w:pPr>
            <w:r w:rsidRPr="0014682C">
              <w:t>$55.14</w:t>
            </w:r>
          </w:p>
        </w:tc>
        <w:tc>
          <w:tcPr>
            <w:tcW w:w="2616" w:type="dxa"/>
            <w:tcBorders>
              <w:top w:val="nil"/>
              <w:left w:val="nil"/>
              <w:bottom w:val="single" w:color="auto" w:sz="8" w:space="0"/>
              <w:right w:val="single" w:color="auto" w:sz="8" w:space="0"/>
            </w:tcBorders>
            <w:shd w:val="clear" w:color="auto" w:fill="auto"/>
            <w:hideMark/>
          </w:tcPr>
          <w:p w:rsidRPr="003B0F56" w:rsidR="00740C7B" w:rsidP="00740C7B" w:rsidRDefault="00740C7B" w14:paraId="6C655417" w14:textId="4853CE13">
            <w:pPr>
              <w:jc w:val="right"/>
            </w:pPr>
            <w:r w:rsidRPr="0014682C">
              <w:t>$31,652,179</w:t>
            </w:r>
          </w:p>
        </w:tc>
      </w:tr>
      <w:tr w:rsidRPr="003B0F56" w:rsidR="00740C7B" w:rsidTr="000D3B57" w14:paraId="70CDC0BE" w14:textId="77777777">
        <w:trPr>
          <w:trHeight w:val="288"/>
        </w:trPr>
        <w:tc>
          <w:tcPr>
            <w:tcW w:w="1550" w:type="dxa"/>
            <w:tcBorders>
              <w:top w:val="nil"/>
              <w:left w:val="single" w:color="auto" w:sz="8" w:space="0"/>
              <w:bottom w:val="single" w:color="auto" w:sz="8" w:space="0"/>
              <w:right w:val="single" w:color="auto" w:sz="8" w:space="0"/>
            </w:tcBorders>
            <w:shd w:val="clear" w:color="auto" w:fill="auto"/>
            <w:hideMark/>
          </w:tcPr>
          <w:p w:rsidRPr="003B0F56" w:rsidR="00740C7B" w:rsidP="00740C7B" w:rsidRDefault="00740C7B" w14:paraId="77EB1A12" w14:textId="77777777">
            <w:r w:rsidRPr="003B0F56">
              <w:t xml:space="preserve">  Plans</w:t>
            </w:r>
          </w:p>
        </w:tc>
        <w:tc>
          <w:tcPr>
            <w:tcW w:w="2256" w:type="dxa"/>
            <w:tcBorders>
              <w:top w:val="nil"/>
              <w:left w:val="nil"/>
              <w:bottom w:val="single" w:color="auto" w:sz="8" w:space="0"/>
              <w:right w:val="single" w:color="auto" w:sz="8" w:space="0"/>
            </w:tcBorders>
            <w:shd w:val="clear" w:color="auto" w:fill="auto"/>
            <w:hideMark/>
          </w:tcPr>
          <w:p w:rsidRPr="003B0F56" w:rsidR="00740C7B" w:rsidP="00740C7B" w:rsidRDefault="00740C7B" w14:paraId="11542AF7" w14:textId="52158239">
            <w:pPr>
              <w:jc w:val="right"/>
            </w:pPr>
            <w:r w:rsidRPr="0014682C">
              <w:t>215,257</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6500F41C" w14:textId="1E319DF3">
            <w:pPr>
              <w:jc w:val="right"/>
            </w:pPr>
            <w:r w:rsidRPr="0014682C">
              <w:t>0.067</w:t>
            </w:r>
          </w:p>
        </w:tc>
        <w:tc>
          <w:tcPr>
            <w:tcW w:w="1776" w:type="dxa"/>
            <w:tcBorders>
              <w:top w:val="nil"/>
              <w:left w:val="nil"/>
              <w:bottom w:val="single" w:color="auto" w:sz="8" w:space="0"/>
              <w:right w:val="single" w:color="auto" w:sz="8" w:space="0"/>
            </w:tcBorders>
            <w:shd w:val="clear" w:color="auto" w:fill="auto"/>
            <w:hideMark/>
          </w:tcPr>
          <w:p w:rsidRPr="003B0F56" w:rsidR="00740C7B" w:rsidP="00740C7B" w:rsidRDefault="00740C7B" w14:paraId="70A1C0B8" w14:textId="70853390">
            <w:pPr>
              <w:jc w:val="right"/>
            </w:pPr>
            <w:r w:rsidRPr="0014682C">
              <w:t>14,350</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086B37ED" w14:textId="411815AC">
            <w:pPr>
              <w:jc w:val="right"/>
            </w:pPr>
            <w:r w:rsidRPr="0014682C">
              <w:t>$55.14</w:t>
            </w:r>
          </w:p>
        </w:tc>
        <w:tc>
          <w:tcPr>
            <w:tcW w:w="2616" w:type="dxa"/>
            <w:tcBorders>
              <w:top w:val="nil"/>
              <w:left w:val="nil"/>
              <w:bottom w:val="single" w:color="auto" w:sz="8" w:space="0"/>
              <w:right w:val="single" w:color="auto" w:sz="8" w:space="0"/>
            </w:tcBorders>
            <w:shd w:val="clear" w:color="auto" w:fill="auto"/>
            <w:hideMark/>
          </w:tcPr>
          <w:p w:rsidRPr="003B0F56" w:rsidR="00740C7B" w:rsidP="00740C7B" w:rsidRDefault="00740C7B" w14:paraId="144D33ED" w14:textId="540432C9">
            <w:pPr>
              <w:jc w:val="right"/>
            </w:pPr>
            <w:r w:rsidRPr="0014682C">
              <w:t>$791,286</w:t>
            </w:r>
          </w:p>
        </w:tc>
      </w:tr>
      <w:tr w:rsidRPr="003B0F56" w:rsidR="00740C7B" w:rsidTr="000D3B57" w14:paraId="364D0637" w14:textId="77777777">
        <w:trPr>
          <w:trHeight w:val="288"/>
        </w:trPr>
        <w:tc>
          <w:tcPr>
            <w:tcW w:w="1550" w:type="dxa"/>
            <w:tcBorders>
              <w:top w:val="nil"/>
              <w:left w:val="single" w:color="auto" w:sz="8" w:space="0"/>
              <w:bottom w:val="single" w:color="auto" w:sz="8" w:space="0"/>
              <w:right w:val="single" w:color="auto" w:sz="8" w:space="0"/>
            </w:tcBorders>
            <w:shd w:val="clear" w:color="auto" w:fill="auto"/>
            <w:hideMark/>
          </w:tcPr>
          <w:p w:rsidRPr="003B0F56" w:rsidR="00740C7B" w:rsidP="00740C7B" w:rsidRDefault="00740C7B" w14:paraId="20683B53" w14:textId="77777777">
            <w:r w:rsidRPr="003B0F56">
              <w:t xml:space="preserve">  IRAs</w:t>
            </w:r>
          </w:p>
        </w:tc>
        <w:tc>
          <w:tcPr>
            <w:tcW w:w="2256" w:type="dxa"/>
            <w:tcBorders>
              <w:top w:val="nil"/>
              <w:left w:val="nil"/>
              <w:bottom w:val="single" w:color="auto" w:sz="8" w:space="0"/>
              <w:right w:val="single" w:color="auto" w:sz="8" w:space="0"/>
            </w:tcBorders>
            <w:shd w:val="clear" w:color="auto" w:fill="auto"/>
            <w:hideMark/>
          </w:tcPr>
          <w:p w:rsidRPr="003B0F56" w:rsidR="00740C7B" w:rsidP="00740C7B" w:rsidRDefault="00740C7B" w14:paraId="59B8B432" w14:textId="401D37EA">
            <w:pPr>
              <w:jc w:val="right"/>
            </w:pPr>
            <w:r w:rsidRPr="0014682C">
              <w:t>8,395,237</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1DE5C239" w14:textId="3BF6DF41">
            <w:pPr>
              <w:jc w:val="right"/>
            </w:pPr>
            <w:r w:rsidRPr="0014682C">
              <w:t>0.067</w:t>
            </w:r>
          </w:p>
        </w:tc>
        <w:tc>
          <w:tcPr>
            <w:tcW w:w="1776" w:type="dxa"/>
            <w:tcBorders>
              <w:top w:val="nil"/>
              <w:left w:val="nil"/>
              <w:bottom w:val="single" w:color="auto" w:sz="8" w:space="0"/>
              <w:right w:val="single" w:color="auto" w:sz="8" w:space="0"/>
            </w:tcBorders>
            <w:shd w:val="clear" w:color="auto" w:fill="auto"/>
            <w:hideMark/>
          </w:tcPr>
          <w:p w:rsidRPr="003B0F56" w:rsidR="00740C7B" w:rsidP="00740C7B" w:rsidRDefault="00740C7B" w14:paraId="1258D94E" w14:textId="08DF92E3">
            <w:pPr>
              <w:jc w:val="right"/>
            </w:pPr>
            <w:r w:rsidRPr="0014682C">
              <w:t>559,682</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75953B95" w14:textId="0412D2E1">
            <w:pPr>
              <w:jc w:val="right"/>
            </w:pPr>
            <w:r w:rsidRPr="0014682C">
              <w:t>$55.14</w:t>
            </w:r>
          </w:p>
        </w:tc>
        <w:tc>
          <w:tcPr>
            <w:tcW w:w="2616" w:type="dxa"/>
            <w:tcBorders>
              <w:top w:val="nil"/>
              <w:left w:val="nil"/>
              <w:bottom w:val="single" w:color="auto" w:sz="8" w:space="0"/>
              <w:right w:val="single" w:color="auto" w:sz="8" w:space="0"/>
            </w:tcBorders>
            <w:shd w:val="clear" w:color="auto" w:fill="auto"/>
            <w:hideMark/>
          </w:tcPr>
          <w:p w:rsidRPr="003B0F56" w:rsidR="00740C7B" w:rsidP="00740C7B" w:rsidRDefault="00740C7B" w14:paraId="791BB072" w14:textId="6130AEFE">
            <w:pPr>
              <w:jc w:val="right"/>
            </w:pPr>
            <w:r w:rsidRPr="0014682C">
              <w:t>$30,860,893</w:t>
            </w:r>
          </w:p>
        </w:tc>
      </w:tr>
      <w:tr w:rsidRPr="003B0F56" w:rsidR="00740C7B" w:rsidTr="000D3B57" w14:paraId="03926CDB" w14:textId="77777777">
        <w:trPr>
          <w:trHeight w:val="288"/>
        </w:trPr>
        <w:tc>
          <w:tcPr>
            <w:tcW w:w="1550" w:type="dxa"/>
            <w:tcBorders>
              <w:top w:val="nil"/>
              <w:left w:val="single" w:color="auto" w:sz="8" w:space="0"/>
              <w:bottom w:val="single" w:color="auto" w:sz="8" w:space="0"/>
              <w:right w:val="single" w:color="auto" w:sz="8" w:space="0"/>
            </w:tcBorders>
            <w:shd w:val="clear" w:color="auto" w:fill="auto"/>
            <w:hideMark/>
          </w:tcPr>
          <w:p w:rsidRPr="003B0F56" w:rsidR="00740C7B" w:rsidP="00740C7B" w:rsidRDefault="00740C7B" w14:paraId="43F44F1C" w14:textId="77777777">
            <w:r w:rsidRPr="003B0F56">
              <w:t>Total Mailing</w:t>
            </w:r>
          </w:p>
        </w:tc>
        <w:tc>
          <w:tcPr>
            <w:tcW w:w="2256" w:type="dxa"/>
            <w:tcBorders>
              <w:top w:val="nil"/>
              <w:left w:val="nil"/>
              <w:bottom w:val="single" w:color="auto" w:sz="8" w:space="0"/>
              <w:right w:val="single" w:color="auto" w:sz="8" w:space="0"/>
            </w:tcBorders>
            <w:shd w:val="clear" w:color="auto" w:fill="auto"/>
            <w:hideMark/>
          </w:tcPr>
          <w:p w:rsidRPr="003B0F56" w:rsidR="00740C7B" w:rsidP="00740C7B" w:rsidRDefault="00740C7B" w14:paraId="0E8BCAEE" w14:textId="23B63B63">
            <w:pPr>
              <w:jc w:val="right"/>
            </w:pPr>
            <w:r w:rsidRPr="0014682C">
              <w:t>4,305,247</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23F4B333" w14:textId="21111B22">
            <w:pPr>
              <w:jc w:val="right"/>
            </w:pPr>
            <w:r w:rsidRPr="0014682C">
              <w:t>0.0167</w:t>
            </w:r>
          </w:p>
        </w:tc>
        <w:tc>
          <w:tcPr>
            <w:tcW w:w="1776" w:type="dxa"/>
            <w:tcBorders>
              <w:top w:val="nil"/>
              <w:left w:val="nil"/>
              <w:bottom w:val="single" w:color="auto" w:sz="8" w:space="0"/>
              <w:right w:val="single" w:color="auto" w:sz="8" w:space="0"/>
            </w:tcBorders>
            <w:shd w:val="clear" w:color="auto" w:fill="auto"/>
            <w:hideMark/>
          </w:tcPr>
          <w:p w:rsidRPr="003B0F56" w:rsidR="00740C7B" w:rsidP="00740C7B" w:rsidRDefault="00740C7B" w14:paraId="7D8B81D7" w14:textId="284ABCD9">
            <w:pPr>
              <w:jc w:val="right"/>
            </w:pPr>
            <w:r w:rsidRPr="0014682C">
              <w:t>71,754</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6C011EE5" w14:textId="563B8DF9">
            <w:pPr>
              <w:jc w:val="right"/>
            </w:pPr>
            <w:r w:rsidRPr="0014682C">
              <w:t>$55.14</w:t>
            </w:r>
          </w:p>
        </w:tc>
        <w:tc>
          <w:tcPr>
            <w:tcW w:w="2616" w:type="dxa"/>
            <w:tcBorders>
              <w:top w:val="nil"/>
              <w:left w:val="nil"/>
              <w:bottom w:val="single" w:color="auto" w:sz="8" w:space="0"/>
              <w:right w:val="single" w:color="auto" w:sz="8" w:space="0"/>
            </w:tcBorders>
            <w:shd w:val="clear" w:color="auto" w:fill="auto"/>
            <w:hideMark/>
          </w:tcPr>
          <w:p w:rsidRPr="003B0F56" w:rsidR="00740C7B" w:rsidP="00740C7B" w:rsidRDefault="00740C7B" w14:paraId="020B38E5" w14:textId="45C26BB0">
            <w:pPr>
              <w:jc w:val="right"/>
            </w:pPr>
            <w:r w:rsidRPr="0014682C">
              <w:t>$3,956,522</w:t>
            </w:r>
          </w:p>
        </w:tc>
      </w:tr>
      <w:tr w:rsidRPr="003B0F56" w:rsidR="00740C7B" w:rsidTr="000D3B57" w14:paraId="2607DA8F" w14:textId="77777777">
        <w:trPr>
          <w:trHeight w:val="288"/>
        </w:trPr>
        <w:tc>
          <w:tcPr>
            <w:tcW w:w="1550" w:type="dxa"/>
            <w:tcBorders>
              <w:top w:val="nil"/>
              <w:left w:val="single" w:color="auto" w:sz="8" w:space="0"/>
              <w:bottom w:val="single" w:color="auto" w:sz="8" w:space="0"/>
              <w:right w:val="single" w:color="auto" w:sz="8" w:space="0"/>
            </w:tcBorders>
            <w:shd w:val="clear" w:color="auto" w:fill="auto"/>
            <w:hideMark/>
          </w:tcPr>
          <w:p w:rsidRPr="003B0F56" w:rsidR="00740C7B" w:rsidP="00740C7B" w:rsidRDefault="00740C7B" w14:paraId="2366C1DD" w14:textId="77777777">
            <w:r w:rsidRPr="003B0F56">
              <w:t xml:space="preserve">  Plans</w:t>
            </w:r>
          </w:p>
        </w:tc>
        <w:tc>
          <w:tcPr>
            <w:tcW w:w="2256" w:type="dxa"/>
            <w:tcBorders>
              <w:top w:val="nil"/>
              <w:left w:val="nil"/>
              <w:bottom w:val="single" w:color="auto" w:sz="8" w:space="0"/>
              <w:right w:val="single" w:color="auto" w:sz="8" w:space="0"/>
            </w:tcBorders>
            <w:shd w:val="clear" w:color="auto" w:fill="auto"/>
            <w:hideMark/>
          </w:tcPr>
          <w:p w:rsidRPr="003B0F56" w:rsidR="00740C7B" w:rsidP="00740C7B" w:rsidRDefault="00740C7B" w14:paraId="3827FD83" w14:textId="4EAA1DCC">
            <w:pPr>
              <w:jc w:val="right"/>
            </w:pPr>
            <w:r w:rsidRPr="0014682C">
              <w:t>107,629</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71356B0F" w14:textId="6F45F34C">
            <w:pPr>
              <w:jc w:val="right"/>
            </w:pPr>
            <w:r w:rsidRPr="0014682C">
              <w:t>0.0167</w:t>
            </w:r>
          </w:p>
        </w:tc>
        <w:tc>
          <w:tcPr>
            <w:tcW w:w="1776" w:type="dxa"/>
            <w:tcBorders>
              <w:top w:val="nil"/>
              <w:left w:val="nil"/>
              <w:bottom w:val="single" w:color="auto" w:sz="8" w:space="0"/>
              <w:right w:val="single" w:color="auto" w:sz="8" w:space="0"/>
            </w:tcBorders>
            <w:shd w:val="clear" w:color="auto" w:fill="auto"/>
            <w:hideMark/>
          </w:tcPr>
          <w:p w:rsidRPr="003B0F56" w:rsidR="00740C7B" w:rsidP="00740C7B" w:rsidRDefault="00740C7B" w14:paraId="29590627" w14:textId="6993A2CB">
            <w:pPr>
              <w:jc w:val="right"/>
            </w:pPr>
            <w:r w:rsidRPr="0014682C">
              <w:t>1,794</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574DC8A1" w14:textId="5FD92D12">
            <w:pPr>
              <w:jc w:val="right"/>
            </w:pPr>
            <w:r w:rsidRPr="0014682C">
              <w:t>$55.14</w:t>
            </w:r>
          </w:p>
        </w:tc>
        <w:tc>
          <w:tcPr>
            <w:tcW w:w="2616" w:type="dxa"/>
            <w:tcBorders>
              <w:top w:val="nil"/>
              <w:left w:val="nil"/>
              <w:bottom w:val="single" w:color="auto" w:sz="8" w:space="0"/>
              <w:right w:val="single" w:color="auto" w:sz="8" w:space="0"/>
            </w:tcBorders>
            <w:shd w:val="clear" w:color="auto" w:fill="auto"/>
            <w:hideMark/>
          </w:tcPr>
          <w:p w:rsidRPr="003B0F56" w:rsidR="00740C7B" w:rsidP="00740C7B" w:rsidRDefault="00740C7B" w14:paraId="5E16A6BF" w14:textId="29A2F7E3">
            <w:pPr>
              <w:jc w:val="right"/>
            </w:pPr>
            <w:r w:rsidRPr="0014682C">
              <w:t>$98,911</w:t>
            </w:r>
          </w:p>
        </w:tc>
      </w:tr>
      <w:tr w:rsidRPr="003B0F56" w:rsidR="00740C7B" w:rsidTr="000D3B57" w14:paraId="6BDAB152" w14:textId="77777777">
        <w:trPr>
          <w:trHeight w:val="288"/>
        </w:trPr>
        <w:tc>
          <w:tcPr>
            <w:tcW w:w="1550" w:type="dxa"/>
            <w:tcBorders>
              <w:top w:val="nil"/>
              <w:left w:val="single" w:color="auto" w:sz="8" w:space="0"/>
              <w:bottom w:val="single" w:color="auto" w:sz="8" w:space="0"/>
              <w:right w:val="single" w:color="auto" w:sz="8" w:space="0"/>
            </w:tcBorders>
            <w:shd w:val="clear" w:color="auto" w:fill="auto"/>
            <w:hideMark/>
          </w:tcPr>
          <w:p w:rsidRPr="003B0F56" w:rsidR="00740C7B" w:rsidP="00740C7B" w:rsidRDefault="00740C7B" w14:paraId="16586C61" w14:textId="77777777">
            <w:r w:rsidRPr="003B0F56">
              <w:t xml:space="preserve">  IRAs</w:t>
            </w:r>
          </w:p>
        </w:tc>
        <w:tc>
          <w:tcPr>
            <w:tcW w:w="2256" w:type="dxa"/>
            <w:tcBorders>
              <w:top w:val="nil"/>
              <w:left w:val="nil"/>
              <w:bottom w:val="single" w:color="auto" w:sz="8" w:space="0"/>
              <w:right w:val="single" w:color="auto" w:sz="8" w:space="0"/>
            </w:tcBorders>
            <w:shd w:val="clear" w:color="auto" w:fill="auto"/>
            <w:hideMark/>
          </w:tcPr>
          <w:p w:rsidRPr="003B0F56" w:rsidR="00740C7B" w:rsidP="00740C7B" w:rsidRDefault="00740C7B" w14:paraId="59428334" w14:textId="6C0C8BF7">
            <w:pPr>
              <w:jc w:val="right"/>
            </w:pPr>
            <w:r w:rsidRPr="0014682C">
              <w:t>4,197,619</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67B0440B" w14:textId="38626E07">
            <w:pPr>
              <w:jc w:val="right"/>
            </w:pPr>
            <w:r w:rsidRPr="0014682C">
              <w:t>0.0167</w:t>
            </w:r>
          </w:p>
        </w:tc>
        <w:tc>
          <w:tcPr>
            <w:tcW w:w="1776" w:type="dxa"/>
            <w:tcBorders>
              <w:top w:val="nil"/>
              <w:left w:val="nil"/>
              <w:bottom w:val="single" w:color="auto" w:sz="8" w:space="0"/>
              <w:right w:val="single" w:color="auto" w:sz="8" w:space="0"/>
            </w:tcBorders>
            <w:shd w:val="clear" w:color="auto" w:fill="auto"/>
            <w:hideMark/>
          </w:tcPr>
          <w:p w:rsidRPr="003B0F56" w:rsidR="00740C7B" w:rsidP="00740C7B" w:rsidRDefault="00740C7B" w14:paraId="702F583F" w14:textId="3323E094">
            <w:pPr>
              <w:jc w:val="right"/>
            </w:pPr>
            <w:r w:rsidRPr="0014682C">
              <w:t>69,960</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63596B8F" w14:textId="026B6609">
            <w:pPr>
              <w:jc w:val="right"/>
            </w:pPr>
            <w:r w:rsidRPr="0014682C">
              <w:t>$55.14</w:t>
            </w:r>
          </w:p>
        </w:tc>
        <w:tc>
          <w:tcPr>
            <w:tcW w:w="2616" w:type="dxa"/>
            <w:tcBorders>
              <w:top w:val="nil"/>
              <w:left w:val="nil"/>
              <w:bottom w:val="single" w:color="auto" w:sz="8" w:space="0"/>
              <w:right w:val="single" w:color="auto" w:sz="8" w:space="0"/>
            </w:tcBorders>
            <w:shd w:val="clear" w:color="auto" w:fill="auto"/>
            <w:hideMark/>
          </w:tcPr>
          <w:p w:rsidRPr="003B0F56" w:rsidR="00740C7B" w:rsidP="00740C7B" w:rsidRDefault="00740C7B" w14:paraId="788044C2" w14:textId="6D3619B2">
            <w:pPr>
              <w:ind w:left="194"/>
              <w:jc w:val="right"/>
            </w:pPr>
            <w:r w:rsidRPr="0014682C">
              <w:t>$3,857,612</w:t>
            </w:r>
          </w:p>
        </w:tc>
      </w:tr>
      <w:tr w:rsidRPr="003B0F56" w:rsidR="00740C7B" w:rsidTr="000D3B57" w14:paraId="0794D5B4" w14:textId="77777777">
        <w:trPr>
          <w:trHeight w:val="288"/>
        </w:trPr>
        <w:tc>
          <w:tcPr>
            <w:tcW w:w="1550" w:type="dxa"/>
            <w:tcBorders>
              <w:top w:val="nil"/>
              <w:left w:val="single" w:color="auto" w:sz="8" w:space="0"/>
              <w:bottom w:val="single" w:color="auto" w:sz="8" w:space="0"/>
              <w:right w:val="single" w:color="auto" w:sz="8" w:space="0"/>
            </w:tcBorders>
            <w:shd w:val="clear" w:color="auto" w:fill="auto"/>
            <w:hideMark/>
          </w:tcPr>
          <w:p w:rsidRPr="003B0F56" w:rsidR="00740C7B" w:rsidP="00740C7B" w:rsidRDefault="00740C7B" w14:paraId="3FD197E4" w14:textId="77777777">
            <w:r w:rsidRPr="003B0F56">
              <w:t>TOTAL</w:t>
            </w:r>
          </w:p>
        </w:tc>
        <w:tc>
          <w:tcPr>
            <w:tcW w:w="2256" w:type="dxa"/>
            <w:tcBorders>
              <w:top w:val="nil"/>
              <w:left w:val="nil"/>
              <w:bottom w:val="single" w:color="auto" w:sz="8" w:space="0"/>
              <w:right w:val="single" w:color="auto" w:sz="8" w:space="0"/>
            </w:tcBorders>
            <w:shd w:val="clear" w:color="auto" w:fill="auto"/>
            <w:hideMark/>
          </w:tcPr>
          <w:p w:rsidRPr="003B0F56" w:rsidR="00740C7B" w:rsidP="00740C7B" w:rsidRDefault="00740C7B" w14:paraId="66BCDE77" w14:textId="77777777">
            <w:pPr>
              <w:jc w:val="right"/>
            </w:pP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76AF76DC" w14:textId="77777777">
            <w:pPr>
              <w:jc w:val="right"/>
            </w:pPr>
          </w:p>
        </w:tc>
        <w:tc>
          <w:tcPr>
            <w:tcW w:w="1776" w:type="dxa"/>
            <w:tcBorders>
              <w:top w:val="nil"/>
              <w:left w:val="nil"/>
              <w:bottom w:val="single" w:color="auto" w:sz="8" w:space="0"/>
              <w:right w:val="single" w:color="auto" w:sz="8" w:space="0"/>
            </w:tcBorders>
            <w:shd w:val="clear" w:color="auto" w:fill="auto"/>
            <w:hideMark/>
          </w:tcPr>
          <w:p w:rsidRPr="003B0F56" w:rsidR="00740C7B" w:rsidP="00740C7B" w:rsidRDefault="00740C7B" w14:paraId="446FCAE3" w14:textId="4F84A4DF">
            <w:pPr>
              <w:jc w:val="right"/>
            </w:pPr>
            <w:r w:rsidRPr="0014682C">
              <w:t>645,787</w:t>
            </w:r>
          </w:p>
        </w:tc>
        <w:tc>
          <w:tcPr>
            <w:tcW w:w="1536" w:type="dxa"/>
            <w:tcBorders>
              <w:top w:val="nil"/>
              <w:left w:val="nil"/>
              <w:bottom w:val="single" w:color="auto" w:sz="8" w:space="0"/>
              <w:right w:val="single" w:color="auto" w:sz="8" w:space="0"/>
            </w:tcBorders>
            <w:shd w:val="clear" w:color="auto" w:fill="auto"/>
            <w:hideMark/>
          </w:tcPr>
          <w:p w:rsidRPr="003B0F56" w:rsidR="00740C7B" w:rsidP="00740C7B" w:rsidRDefault="00740C7B" w14:paraId="0FC72EC6" w14:textId="77777777">
            <w:pPr>
              <w:jc w:val="right"/>
            </w:pPr>
          </w:p>
        </w:tc>
        <w:tc>
          <w:tcPr>
            <w:tcW w:w="2616" w:type="dxa"/>
            <w:tcBorders>
              <w:top w:val="nil"/>
              <w:left w:val="nil"/>
              <w:bottom w:val="single" w:color="auto" w:sz="8" w:space="0"/>
              <w:right w:val="single" w:color="auto" w:sz="8" w:space="0"/>
            </w:tcBorders>
            <w:shd w:val="clear" w:color="auto" w:fill="auto"/>
            <w:hideMark/>
          </w:tcPr>
          <w:p w:rsidRPr="003B0F56" w:rsidR="00740C7B" w:rsidP="00740C7B" w:rsidRDefault="00740C7B" w14:paraId="675A2045" w14:textId="2EB5DC73">
            <w:pPr>
              <w:jc w:val="right"/>
            </w:pPr>
            <w:r w:rsidRPr="0014682C">
              <w:t>$35,608,701</w:t>
            </w:r>
          </w:p>
        </w:tc>
      </w:tr>
    </w:tbl>
    <w:p w:rsidRPr="003B0F56" w:rsidR="000050A8" w:rsidP="005D2F93" w:rsidRDefault="000050A8" w14:paraId="73D71DAC" w14:textId="77777777">
      <w:pPr>
        <w:ind w:left="720"/>
        <w:rPr>
          <w:color w:val="000000"/>
        </w:rPr>
      </w:pPr>
    </w:p>
    <w:p w:rsidRPr="00DA10AD" w:rsidR="006962D3" w:rsidP="005D2F93" w:rsidRDefault="006962D3" w14:paraId="1E9A5409" w14:textId="156CC83B">
      <w:pPr>
        <w:ind w:left="720"/>
        <w:rPr>
          <w:color w:val="000000"/>
        </w:rPr>
      </w:pPr>
      <w:r w:rsidRPr="003B0F56">
        <w:rPr>
          <w:color w:val="000000"/>
        </w:rPr>
        <w:t xml:space="preserve">Thus the hour burden under the statutory exemption for </w:t>
      </w:r>
      <w:r w:rsidRPr="003B0F56" w:rsidR="00CF06BC">
        <w:rPr>
          <w:color w:val="000000"/>
        </w:rPr>
        <w:t xml:space="preserve">updating the annual disclosure package is </w:t>
      </w:r>
      <w:r w:rsidR="007F2C26">
        <w:rPr>
          <w:color w:val="000000"/>
        </w:rPr>
        <w:t>729,184</w:t>
      </w:r>
      <w:r w:rsidRPr="003B0F56" w:rsidR="00515948">
        <w:rPr>
          <w:color w:val="000000"/>
        </w:rPr>
        <w:t xml:space="preserve"> </w:t>
      </w:r>
      <w:r w:rsidRPr="003B0F56" w:rsidR="00CF06BC">
        <w:rPr>
          <w:color w:val="000000"/>
        </w:rPr>
        <w:t>hours at an equivalent cost of $</w:t>
      </w:r>
      <w:r w:rsidRPr="00272500" w:rsidR="00272500">
        <w:rPr>
          <w:color w:val="000000"/>
        </w:rPr>
        <w:t xml:space="preserve">100,926,356 </w:t>
      </w:r>
      <w:r w:rsidRPr="003B0F56" w:rsidR="00CF06BC">
        <w:rPr>
          <w:color w:val="000000"/>
        </w:rPr>
        <w:t xml:space="preserve">and the hour burden for producing and </w:t>
      </w:r>
      <w:r w:rsidRPr="00DA10AD" w:rsidR="00CF06BC">
        <w:rPr>
          <w:color w:val="000000"/>
        </w:rPr>
        <w:t xml:space="preserve">distributing the annual disclosure package </w:t>
      </w:r>
      <w:r w:rsidRPr="00DA10AD" w:rsidR="00272500">
        <w:rPr>
          <w:color w:val="000000"/>
        </w:rPr>
        <w:t xml:space="preserve">645,787 </w:t>
      </w:r>
      <w:r w:rsidRPr="00146B9F" w:rsidR="00CF06BC">
        <w:rPr>
          <w:color w:val="000000"/>
        </w:rPr>
        <w:t>hours at an equivalent cost of $</w:t>
      </w:r>
      <w:r w:rsidRPr="00DA10AD" w:rsidR="00272500">
        <w:rPr>
          <w:color w:val="000000"/>
        </w:rPr>
        <w:t>35,608,701</w:t>
      </w:r>
      <w:r w:rsidRPr="00DA10AD" w:rsidR="00CF06BC">
        <w:rPr>
          <w:color w:val="000000"/>
        </w:rPr>
        <w:t>.  The overall hour burden for the annual disclosure package</w:t>
      </w:r>
      <w:r w:rsidRPr="00DA10AD" w:rsidR="007F2C26">
        <w:rPr>
          <w:color w:val="000000"/>
        </w:rPr>
        <w:t xml:space="preserve"> </w:t>
      </w:r>
      <w:r w:rsidRPr="00DA10AD" w:rsidR="00272500">
        <w:rPr>
          <w:color w:val="000000"/>
        </w:rPr>
        <w:t xml:space="preserve">1,374,971 </w:t>
      </w:r>
      <w:r w:rsidRPr="00DA10AD" w:rsidR="00CF06BC">
        <w:rPr>
          <w:color w:val="000000"/>
        </w:rPr>
        <w:t xml:space="preserve">hours at an equivalent cost of </w:t>
      </w:r>
      <w:r w:rsidRPr="00DA10AD" w:rsidR="00272500">
        <w:rPr>
          <w:color w:val="000000"/>
        </w:rPr>
        <w:t>$136,535,057</w:t>
      </w:r>
      <w:r w:rsidRPr="00DA10AD">
        <w:rPr>
          <w:color w:val="000000"/>
        </w:rPr>
        <w:t>.</w:t>
      </w:r>
    </w:p>
    <w:p w:rsidRPr="00DA10AD" w:rsidR="00515948" w:rsidP="005D2F93" w:rsidRDefault="00515948" w14:paraId="21969D30" w14:textId="77777777">
      <w:pPr>
        <w:ind w:left="720"/>
        <w:rPr>
          <w:color w:val="000000"/>
        </w:rPr>
      </w:pPr>
    </w:p>
    <w:tbl>
      <w:tblPr>
        <w:tblW w:w="9486" w:type="dxa"/>
        <w:tblInd w:w="720" w:type="dxa"/>
        <w:tblLook w:val="04A0" w:firstRow="1" w:lastRow="0" w:firstColumn="1" w:lastColumn="0" w:noHBand="0" w:noVBand="1"/>
      </w:tblPr>
      <w:tblGrid>
        <w:gridCol w:w="3585"/>
        <w:gridCol w:w="3045"/>
        <w:gridCol w:w="2856"/>
      </w:tblGrid>
      <w:tr w:rsidRPr="003B0F56" w:rsidR="00515948" w:rsidTr="001352D6" w14:paraId="1912DFB1" w14:textId="77777777">
        <w:trPr>
          <w:trHeight w:val="335"/>
        </w:trPr>
        <w:tc>
          <w:tcPr>
            <w:tcW w:w="9486" w:type="dxa"/>
            <w:gridSpan w:val="3"/>
            <w:tcBorders>
              <w:top w:val="nil"/>
              <w:left w:val="nil"/>
              <w:bottom w:val="single" w:color="auto" w:sz="8" w:space="0"/>
              <w:right w:val="nil"/>
            </w:tcBorders>
            <w:shd w:val="clear" w:color="auto" w:fill="auto"/>
            <w:vAlign w:val="bottom"/>
            <w:hideMark/>
          </w:tcPr>
          <w:p w:rsidRPr="003B0F56" w:rsidR="00515948" w:rsidRDefault="00515948" w14:paraId="2A18EB98" w14:textId="77777777">
            <w:r w:rsidRPr="00DA10AD">
              <w:t>Table 4.--Annual Disclosure Package Hour Burden Estimates</w:t>
            </w:r>
          </w:p>
        </w:tc>
      </w:tr>
      <w:tr w:rsidRPr="003B0F56" w:rsidR="00515948" w:rsidTr="000503D1" w14:paraId="7FD1F489" w14:textId="77777777">
        <w:trPr>
          <w:trHeight w:val="335"/>
        </w:trPr>
        <w:tc>
          <w:tcPr>
            <w:tcW w:w="3585" w:type="dxa"/>
            <w:tcBorders>
              <w:top w:val="nil"/>
              <w:left w:val="single" w:color="auto" w:sz="8" w:space="0"/>
              <w:bottom w:val="single" w:color="auto" w:sz="8" w:space="0"/>
              <w:right w:val="single" w:color="auto" w:sz="8" w:space="0"/>
            </w:tcBorders>
            <w:shd w:val="clear" w:color="auto" w:fill="auto"/>
            <w:hideMark/>
          </w:tcPr>
          <w:p w:rsidRPr="003B0F56" w:rsidR="00515948" w:rsidRDefault="00515948" w14:paraId="041C48FE" w14:textId="77777777">
            <w:pPr>
              <w:jc w:val="center"/>
            </w:pPr>
            <w:r w:rsidRPr="003B0F56">
              <w:t> </w:t>
            </w:r>
          </w:p>
        </w:tc>
        <w:tc>
          <w:tcPr>
            <w:tcW w:w="3045" w:type="dxa"/>
            <w:tcBorders>
              <w:top w:val="nil"/>
              <w:left w:val="nil"/>
              <w:bottom w:val="single" w:color="auto" w:sz="8" w:space="0"/>
              <w:right w:val="single" w:color="auto" w:sz="8" w:space="0"/>
            </w:tcBorders>
            <w:shd w:val="clear" w:color="auto" w:fill="auto"/>
            <w:hideMark/>
          </w:tcPr>
          <w:p w:rsidRPr="003B0F56" w:rsidR="00515948" w:rsidRDefault="00515948" w14:paraId="4C28FAE2" w14:textId="77777777">
            <w:pPr>
              <w:jc w:val="center"/>
              <w:rPr>
                <w:b/>
                <w:bCs/>
              </w:rPr>
            </w:pPr>
            <w:r w:rsidRPr="003B0F56">
              <w:rPr>
                <w:b/>
                <w:bCs/>
              </w:rPr>
              <w:t>Annual Hour Burden</w:t>
            </w:r>
          </w:p>
        </w:tc>
        <w:tc>
          <w:tcPr>
            <w:tcW w:w="2856" w:type="dxa"/>
            <w:tcBorders>
              <w:top w:val="nil"/>
              <w:left w:val="nil"/>
              <w:bottom w:val="single" w:color="auto" w:sz="8" w:space="0"/>
              <w:right w:val="single" w:color="auto" w:sz="8" w:space="0"/>
            </w:tcBorders>
            <w:shd w:val="clear" w:color="auto" w:fill="auto"/>
            <w:hideMark/>
          </w:tcPr>
          <w:p w:rsidRPr="003B0F56" w:rsidR="00515948" w:rsidRDefault="00515948" w14:paraId="5B2D9C4C" w14:textId="77777777">
            <w:pPr>
              <w:jc w:val="center"/>
              <w:rPr>
                <w:b/>
                <w:bCs/>
              </w:rPr>
            </w:pPr>
            <w:r w:rsidRPr="003B0F56">
              <w:rPr>
                <w:b/>
                <w:bCs/>
              </w:rPr>
              <w:t>Equivalent Cost</w:t>
            </w:r>
          </w:p>
        </w:tc>
      </w:tr>
      <w:tr w:rsidRPr="003B0F56" w:rsidR="000503D1" w:rsidTr="000503D1" w14:paraId="510A80FA" w14:textId="77777777">
        <w:trPr>
          <w:trHeight w:val="335"/>
        </w:trPr>
        <w:tc>
          <w:tcPr>
            <w:tcW w:w="3585" w:type="dxa"/>
            <w:tcBorders>
              <w:top w:val="nil"/>
              <w:left w:val="single" w:color="auto" w:sz="8" w:space="0"/>
              <w:bottom w:val="single" w:color="auto" w:sz="8" w:space="0"/>
              <w:right w:val="single" w:color="auto" w:sz="8" w:space="0"/>
            </w:tcBorders>
            <w:shd w:val="clear" w:color="auto" w:fill="auto"/>
            <w:hideMark/>
          </w:tcPr>
          <w:p w:rsidRPr="003B0F56" w:rsidR="000503D1" w:rsidP="000503D1" w:rsidRDefault="000503D1" w14:paraId="349F1F4F" w14:textId="77777777">
            <w:r w:rsidRPr="003B0F56">
              <w:t>Updating Content</w:t>
            </w:r>
          </w:p>
        </w:tc>
        <w:tc>
          <w:tcPr>
            <w:tcW w:w="3045" w:type="dxa"/>
            <w:tcBorders>
              <w:top w:val="nil"/>
              <w:left w:val="nil"/>
              <w:bottom w:val="single" w:color="auto" w:sz="8" w:space="0"/>
              <w:right w:val="single" w:color="auto" w:sz="8" w:space="0"/>
            </w:tcBorders>
            <w:shd w:val="clear" w:color="auto" w:fill="auto"/>
            <w:hideMark/>
          </w:tcPr>
          <w:p w:rsidRPr="003B0F56" w:rsidR="000503D1" w:rsidP="000503D1" w:rsidRDefault="000503D1" w14:paraId="5780F722" w14:textId="094A3B3B">
            <w:pPr>
              <w:jc w:val="right"/>
            </w:pPr>
            <w:r w:rsidRPr="008923D1">
              <w:t>729,184</w:t>
            </w:r>
          </w:p>
        </w:tc>
        <w:tc>
          <w:tcPr>
            <w:tcW w:w="2856" w:type="dxa"/>
            <w:tcBorders>
              <w:top w:val="nil"/>
              <w:left w:val="nil"/>
              <w:bottom w:val="single" w:color="auto" w:sz="8" w:space="0"/>
              <w:right w:val="single" w:color="auto" w:sz="8" w:space="0"/>
            </w:tcBorders>
            <w:shd w:val="clear" w:color="auto" w:fill="auto"/>
            <w:hideMark/>
          </w:tcPr>
          <w:p w:rsidRPr="003B0F56" w:rsidR="000503D1" w:rsidP="000503D1" w:rsidRDefault="000503D1" w14:paraId="0995C09A" w14:textId="7FCEF7F5">
            <w:pPr>
              <w:jc w:val="right"/>
            </w:pPr>
            <w:r w:rsidRPr="008923D1">
              <w:t xml:space="preserve">$100,926,356 </w:t>
            </w:r>
          </w:p>
        </w:tc>
      </w:tr>
      <w:tr w:rsidRPr="003B0F56" w:rsidR="000503D1" w:rsidTr="000503D1" w14:paraId="0FE0F824" w14:textId="77777777">
        <w:trPr>
          <w:trHeight w:val="335"/>
        </w:trPr>
        <w:tc>
          <w:tcPr>
            <w:tcW w:w="3585" w:type="dxa"/>
            <w:tcBorders>
              <w:top w:val="nil"/>
              <w:left w:val="single" w:color="auto" w:sz="8" w:space="0"/>
              <w:bottom w:val="single" w:color="auto" w:sz="8" w:space="0"/>
              <w:right w:val="single" w:color="auto" w:sz="8" w:space="0"/>
            </w:tcBorders>
            <w:shd w:val="clear" w:color="auto" w:fill="auto"/>
            <w:hideMark/>
          </w:tcPr>
          <w:p w:rsidRPr="003B0F56" w:rsidR="000503D1" w:rsidP="000503D1" w:rsidRDefault="000503D1" w14:paraId="1B02D708" w14:textId="77777777">
            <w:r w:rsidRPr="003B0F56">
              <w:t>Production and Distribution</w:t>
            </w:r>
          </w:p>
        </w:tc>
        <w:tc>
          <w:tcPr>
            <w:tcW w:w="3045" w:type="dxa"/>
            <w:tcBorders>
              <w:top w:val="nil"/>
              <w:left w:val="nil"/>
              <w:bottom w:val="single" w:color="auto" w:sz="8" w:space="0"/>
              <w:right w:val="single" w:color="auto" w:sz="8" w:space="0"/>
            </w:tcBorders>
            <w:shd w:val="clear" w:color="auto" w:fill="auto"/>
            <w:hideMark/>
          </w:tcPr>
          <w:p w:rsidRPr="003B0F56" w:rsidR="000503D1" w:rsidP="000503D1" w:rsidRDefault="000503D1" w14:paraId="57000A13" w14:textId="420B74AE">
            <w:pPr>
              <w:jc w:val="right"/>
            </w:pPr>
            <w:r w:rsidRPr="008923D1">
              <w:t>645,787</w:t>
            </w:r>
          </w:p>
        </w:tc>
        <w:tc>
          <w:tcPr>
            <w:tcW w:w="2856" w:type="dxa"/>
            <w:tcBorders>
              <w:top w:val="nil"/>
              <w:left w:val="nil"/>
              <w:bottom w:val="single" w:color="auto" w:sz="8" w:space="0"/>
              <w:right w:val="single" w:color="auto" w:sz="8" w:space="0"/>
            </w:tcBorders>
            <w:shd w:val="clear" w:color="auto" w:fill="auto"/>
            <w:hideMark/>
          </w:tcPr>
          <w:p w:rsidRPr="003B0F56" w:rsidR="000503D1" w:rsidP="000503D1" w:rsidRDefault="000503D1" w14:paraId="378F4F46" w14:textId="4C8808A8">
            <w:pPr>
              <w:jc w:val="right"/>
            </w:pPr>
            <w:r w:rsidRPr="008923D1">
              <w:t xml:space="preserve">$35,608,701 </w:t>
            </w:r>
          </w:p>
        </w:tc>
      </w:tr>
      <w:tr w:rsidRPr="003B0F56" w:rsidR="000503D1" w:rsidTr="000503D1" w14:paraId="4143DCBC" w14:textId="77777777">
        <w:trPr>
          <w:trHeight w:val="335"/>
        </w:trPr>
        <w:tc>
          <w:tcPr>
            <w:tcW w:w="3585" w:type="dxa"/>
            <w:tcBorders>
              <w:top w:val="nil"/>
              <w:left w:val="single" w:color="auto" w:sz="8" w:space="0"/>
              <w:bottom w:val="single" w:color="auto" w:sz="8" w:space="0"/>
              <w:right w:val="single" w:color="auto" w:sz="8" w:space="0"/>
            </w:tcBorders>
            <w:shd w:val="clear" w:color="auto" w:fill="auto"/>
            <w:hideMark/>
          </w:tcPr>
          <w:p w:rsidRPr="003B0F56" w:rsidR="000503D1" w:rsidP="000503D1" w:rsidRDefault="000503D1" w14:paraId="449C2A09" w14:textId="77777777">
            <w:r w:rsidRPr="003B0F56">
              <w:t>TOTAL</w:t>
            </w:r>
          </w:p>
        </w:tc>
        <w:tc>
          <w:tcPr>
            <w:tcW w:w="3045" w:type="dxa"/>
            <w:tcBorders>
              <w:top w:val="nil"/>
              <w:left w:val="nil"/>
              <w:bottom w:val="single" w:color="auto" w:sz="8" w:space="0"/>
              <w:right w:val="single" w:color="auto" w:sz="8" w:space="0"/>
            </w:tcBorders>
            <w:shd w:val="clear" w:color="auto" w:fill="auto"/>
            <w:hideMark/>
          </w:tcPr>
          <w:p w:rsidRPr="003B0F56" w:rsidR="000503D1" w:rsidP="000503D1" w:rsidRDefault="000503D1" w14:paraId="36057483" w14:textId="19C0FFE2">
            <w:pPr>
              <w:jc w:val="right"/>
            </w:pPr>
            <w:r w:rsidRPr="008923D1">
              <w:t>1,374,971</w:t>
            </w:r>
          </w:p>
        </w:tc>
        <w:tc>
          <w:tcPr>
            <w:tcW w:w="2856" w:type="dxa"/>
            <w:tcBorders>
              <w:top w:val="nil"/>
              <w:left w:val="nil"/>
              <w:bottom w:val="single" w:color="auto" w:sz="8" w:space="0"/>
              <w:right w:val="single" w:color="auto" w:sz="8" w:space="0"/>
            </w:tcBorders>
            <w:shd w:val="clear" w:color="auto" w:fill="auto"/>
            <w:hideMark/>
          </w:tcPr>
          <w:p w:rsidRPr="003B0F56" w:rsidR="000503D1" w:rsidP="000503D1" w:rsidRDefault="000503D1" w14:paraId="0A5385E2" w14:textId="1C253554">
            <w:pPr>
              <w:jc w:val="right"/>
            </w:pPr>
            <w:r w:rsidRPr="008923D1">
              <w:t>$136,535,057</w:t>
            </w:r>
          </w:p>
        </w:tc>
      </w:tr>
    </w:tbl>
    <w:p w:rsidRPr="003B0F56" w:rsidR="008A78EE" w:rsidP="005D2F93" w:rsidRDefault="008A78EE" w14:paraId="6377E386" w14:textId="77777777">
      <w:pPr>
        <w:ind w:left="720"/>
        <w:rPr>
          <w:color w:val="000000"/>
        </w:rPr>
      </w:pPr>
    </w:p>
    <w:p w:rsidRPr="003B0F56" w:rsidR="001A4EF6" w:rsidP="005D2F93" w:rsidRDefault="005D2F93" w14:paraId="0960739C" w14:textId="77777777">
      <w:pPr>
        <w:ind w:left="1440" w:hanging="720"/>
        <w:outlineLvl w:val="0"/>
        <w:rPr>
          <w:color w:val="000000"/>
        </w:rPr>
      </w:pPr>
      <w:r w:rsidRPr="005D2F93">
        <w:rPr>
          <w:b/>
          <w:color w:val="000000"/>
        </w:rPr>
        <w:t>b.</w:t>
      </w:r>
      <w:r w:rsidRPr="005D2F93">
        <w:rPr>
          <w:b/>
          <w:color w:val="000000"/>
        </w:rPr>
        <w:tab/>
      </w:r>
      <w:r w:rsidRPr="003B0F56" w:rsidR="001A4EF6">
        <w:rPr>
          <w:b/>
          <w:color w:val="000000"/>
          <w:u w:val="single"/>
        </w:rPr>
        <w:t>Disclosure Package from Investment Advisory Firms to Authorizing Fiduciary</w:t>
      </w:r>
    </w:p>
    <w:p w:rsidRPr="003B0F56" w:rsidR="001A4EF6" w:rsidP="005D2F93" w:rsidRDefault="001A4EF6" w14:paraId="543FD8AD" w14:textId="77777777">
      <w:pPr>
        <w:ind w:left="720"/>
        <w:rPr>
          <w:color w:val="000000"/>
        </w:rPr>
      </w:pPr>
    </w:p>
    <w:p w:rsidRPr="003B0F56" w:rsidR="001A4EF6" w:rsidP="005D2F93" w:rsidRDefault="001A4EF6" w14:paraId="306836BF" w14:textId="77777777">
      <w:pPr>
        <w:ind w:left="720"/>
        <w:rPr>
          <w:color w:val="000000"/>
        </w:rPr>
      </w:pPr>
      <w:r w:rsidRPr="003B0F56">
        <w:rPr>
          <w:color w:val="000000"/>
        </w:rPr>
        <w:t xml:space="preserve">Under </w:t>
      </w:r>
      <w:r w:rsidRPr="003B0F56" w:rsidR="00B60AA6">
        <w:rPr>
          <w:color w:val="000000"/>
        </w:rPr>
        <w:t xml:space="preserve">paragraph (b)(8) of </w:t>
      </w:r>
      <w:r w:rsidRPr="003B0F56">
        <w:rPr>
          <w:color w:val="000000"/>
        </w:rPr>
        <w:t xml:space="preserve">the final </w:t>
      </w:r>
      <w:r w:rsidRPr="003B0F56" w:rsidR="00B60AA6">
        <w:rPr>
          <w:color w:val="000000"/>
        </w:rPr>
        <w:t>rule</w:t>
      </w:r>
      <w:r w:rsidRPr="003B0F56">
        <w:rPr>
          <w:color w:val="000000"/>
        </w:rPr>
        <w:t>, a fiduciary adviser</w:t>
      </w:r>
      <w:r w:rsidRPr="003B0F56" w:rsidR="00B60AA6">
        <w:rPr>
          <w:color w:val="000000"/>
        </w:rPr>
        <w:t xml:space="preserve"> must provide written notification to authorizing fiduciaries stating that it: (i) intends to comply with the conditions of the statutory exemption under ERISA sections 408(b)(14) and 408(g) and these final regulations; (ii) will be audited annually by an independent auditor for compliance with the conditions of the exemption and regulations; and, (iii) that the auditor will furnish the authorizing fiduciary with a copy of the auditor’s findings within 60 days of completion of the audit.  The Department estimates that no additional hour or cost burden will be associated with this disclosure, because it will be provided in the normal course of engaging in an eligible investment advice engagement.</w:t>
      </w:r>
      <w:r w:rsidRPr="003B0F56">
        <w:rPr>
          <w:color w:val="000000"/>
        </w:rPr>
        <w:t xml:space="preserve">  </w:t>
      </w:r>
    </w:p>
    <w:p w:rsidRPr="003B0F56" w:rsidR="008E6038" w:rsidP="005D2F93" w:rsidRDefault="008E6038" w14:paraId="29090552" w14:textId="77777777">
      <w:pPr>
        <w:ind w:left="720"/>
        <w:rPr>
          <w:color w:val="000000"/>
        </w:rPr>
      </w:pPr>
    </w:p>
    <w:p w:rsidRPr="003B0F56" w:rsidR="006962D3" w:rsidP="00C63B48" w:rsidRDefault="00C63B48" w14:paraId="5A1DDCA6" w14:textId="77777777">
      <w:pPr>
        <w:ind w:left="1440" w:hanging="720"/>
        <w:rPr>
          <w:b/>
          <w:color w:val="000000"/>
          <w:u w:val="single"/>
        </w:rPr>
      </w:pPr>
      <w:r w:rsidRPr="00C63B48">
        <w:rPr>
          <w:b/>
          <w:color w:val="000000"/>
        </w:rPr>
        <w:t>c.</w:t>
      </w:r>
      <w:r w:rsidRPr="00C63B48">
        <w:rPr>
          <w:b/>
          <w:color w:val="000000"/>
        </w:rPr>
        <w:tab/>
      </w:r>
      <w:r w:rsidRPr="003B0F56" w:rsidR="006962D3">
        <w:rPr>
          <w:b/>
          <w:color w:val="000000"/>
          <w:u w:val="single"/>
        </w:rPr>
        <w:t>Computer Model Certification</w:t>
      </w:r>
    </w:p>
    <w:p w:rsidRPr="003B0F56" w:rsidR="006962D3" w:rsidP="00C63B48" w:rsidRDefault="006962D3" w14:paraId="46A6BF8B" w14:textId="77777777">
      <w:pPr>
        <w:ind w:left="720"/>
        <w:rPr>
          <w:color w:val="000000"/>
        </w:rPr>
      </w:pPr>
    </w:p>
    <w:p w:rsidRPr="003B0F56" w:rsidR="006962D3" w:rsidP="00C63B48" w:rsidRDefault="00E90DE6" w14:paraId="060F1F47" w14:textId="2808D5EA">
      <w:pPr>
        <w:ind w:left="720"/>
        <w:rPr>
          <w:color w:val="000000"/>
        </w:rPr>
      </w:pPr>
      <w:r w:rsidRPr="003B0F56">
        <w:rPr>
          <w:color w:val="000000"/>
        </w:rPr>
        <w:t>Under t</w:t>
      </w:r>
      <w:r w:rsidRPr="003B0F56" w:rsidR="00BA327D">
        <w:rPr>
          <w:color w:val="000000"/>
        </w:rPr>
        <w:t>he statutory exemption</w:t>
      </w:r>
      <w:r w:rsidRPr="003B0F56">
        <w:rPr>
          <w:color w:val="000000"/>
        </w:rPr>
        <w:t xml:space="preserve">, </w:t>
      </w:r>
      <w:r w:rsidRPr="003B0F56" w:rsidR="00BA327D">
        <w:rPr>
          <w:color w:val="000000"/>
        </w:rPr>
        <w:t xml:space="preserve">a fiduciary adviser </w:t>
      </w:r>
      <w:r w:rsidRPr="003B0F56">
        <w:rPr>
          <w:color w:val="000000"/>
        </w:rPr>
        <w:t xml:space="preserve">that chooses to rely </w:t>
      </w:r>
      <w:r w:rsidRPr="003B0F56" w:rsidR="00BA327D">
        <w:rPr>
          <w:color w:val="000000"/>
        </w:rPr>
        <w:t xml:space="preserve">on the conditions of the exemption that require computer model generated investment selections </w:t>
      </w:r>
      <w:r w:rsidRPr="003B0F56">
        <w:rPr>
          <w:color w:val="000000"/>
        </w:rPr>
        <w:t xml:space="preserve">must </w:t>
      </w:r>
      <w:r w:rsidRPr="003B0F56" w:rsidR="00BA327D">
        <w:rPr>
          <w:color w:val="000000"/>
        </w:rPr>
        <w:t xml:space="preserve">obtain the certification of an eligible investment expert as to the computer model’s compliance with the criteria set forth in the regulation.  </w:t>
      </w:r>
      <w:r w:rsidRPr="003B0F56" w:rsidR="00726626">
        <w:rPr>
          <w:color w:val="000000"/>
        </w:rPr>
        <w:t>The Department assumes that there are six companies that will provide the investment advice computer model</w:t>
      </w:r>
      <w:r w:rsidRPr="003B0F56" w:rsidR="00726626">
        <w:rPr>
          <w:rStyle w:val="FootnoteReference"/>
          <w:color w:val="000000"/>
        </w:rPr>
        <w:footnoteReference w:id="3"/>
      </w:r>
      <w:r w:rsidRPr="003B0F56" w:rsidR="00726626">
        <w:rPr>
          <w:color w:val="000000"/>
        </w:rPr>
        <w:t xml:space="preserve"> and that legal professionals working at these six companies supply in-house support by providing documentation and other information to the eligible investment expert who </w:t>
      </w:r>
      <w:r w:rsidRPr="003B0F56" w:rsidR="00B96A62">
        <w:rPr>
          <w:color w:val="000000"/>
        </w:rPr>
        <w:t>re-</w:t>
      </w:r>
      <w:r w:rsidRPr="003B0F56" w:rsidR="00726626">
        <w:rPr>
          <w:color w:val="000000"/>
        </w:rPr>
        <w:t>certifies the company’s investment advice computer model</w:t>
      </w:r>
      <w:r w:rsidRPr="003B0F56" w:rsidR="00B96A62">
        <w:rPr>
          <w:color w:val="000000"/>
        </w:rPr>
        <w:t xml:space="preserve"> on an annual basis</w:t>
      </w:r>
      <w:r w:rsidRPr="003B0F56" w:rsidR="00726626">
        <w:rPr>
          <w:color w:val="000000"/>
        </w:rPr>
        <w:t xml:space="preserve">.  These legal professionals spend about </w:t>
      </w:r>
      <w:r w:rsidRPr="003B0F56" w:rsidR="00AE3F35">
        <w:rPr>
          <w:color w:val="000000"/>
        </w:rPr>
        <w:t>20</w:t>
      </w:r>
      <w:r w:rsidRPr="003B0F56" w:rsidR="00726626">
        <w:rPr>
          <w:color w:val="000000"/>
        </w:rPr>
        <w:t xml:space="preserve"> hours per investment advice computer model provider and on average </w:t>
      </w:r>
      <w:r w:rsidRPr="003B0F56" w:rsidR="00AE3F35">
        <w:rPr>
          <w:color w:val="000000"/>
        </w:rPr>
        <w:t>20</w:t>
      </w:r>
      <w:r w:rsidRPr="003B0F56" w:rsidR="00726626">
        <w:rPr>
          <w:color w:val="000000"/>
        </w:rPr>
        <w:t xml:space="preserve"> hours for each of the </w:t>
      </w:r>
      <w:r w:rsidR="009B77A2">
        <w:rPr>
          <w:color w:val="000000"/>
        </w:rPr>
        <w:t>11,396</w:t>
      </w:r>
      <w:r w:rsidRPr="003B0F56" w:rsidR="00F13DC1">
        <w:rPr>
          <w:color w:val="000000"/>
        </w:rPr>
        <w:t xml:space="preserve"> </w:t>
      </w:r>
      <w:r w:rsidRPr="003B0F56" w:rsidR="00726626">
        <w:rPr>
          <w:color w:val="000000"/>
        </w:rPr>
        <w:t>investment advisory firms to whom the computer model providers supply their models.  Thus the investment advice computer model providers have an hour burden of</w:t>
      </w:r>
      <w:r w:rsidR="009B77A2">
        <w:rPr>
          <w:color w:val="000000"/>
        </w:rPr>
        <w:t xml:space="preserve"> 228,040</w:t>
      </w:r>
      <w:r w:rsidRPr="003B0F56" w:rsidR="001E190F">
        <w:rPr>
          <w:color w:val="000000"/>
        </w:rPr>
        <w:t xml:space="preserve"> </w:t>
      </w:r>
      <w:r w:rsidRPr="003B0F56" w:rsidR="00726626">
        <w:rPr>
          <w:color w:val="000000"/>
        </w:rPr>
        <w:t>hours for an equivalent cost of about $</w:t>
      </w:r>
      <w:r w:rsidR="009B77A2">
        <w:rPr>
          <w:color w:val="000000"/>
        </w:rPr>
        <w:t>31,563,016</w:t>
      </w:r>
      <w:r w:rsidRPr="003B0F56" w:rsidR="00726626">
        <w:rPr>
          <w:color w:val="000000"/>
        </w:rPr>
        <w:t>.</w:t>
      </w:r>
    </w:p>
    <w:p w:rsidRPr="003B0F56" w:rsidR="006962D3" w:rsidP="00C63B48" w:rsidRDefault="006962D3" w14:paraId="0D2F89DD" w14:textId="77777777">
      <w:pPr>
        <w:ind w:left="720"/>
        <w:rPr>
          <w:color w:val="000000"/>
        </w:rPr>
      </w:pPr>
    </w:p>
    <w:p w:rsidRPr="003B0F56" w:rsidR="00726626" w:rsidP="00C63B48" w:rsidRDefault="00726626" w14:paraId="73C8970F" w14:textId="089FB974">
      <w:pPr>
        <w:ind w:left="720"/>
        <w:rPr>
          <w:color w:val="000000"/>
        </w:rPr>
      </w:pPr>
      <w:r w:rsidRPr="003B0F56">
        <w:rPr>
          <w:color w:val="000000"/>
        </w:rPr>
        <w:t xml:space="preserve">The Department also assumes that the investment advisory firm will need in-house legal professionals to provide documentation and other information to the eligible investment expert who </w:t>
      </w:r>
      <w:r w:rsidRPr="003B0F56" w:rsidR="00B96A62">
        <w:rPr>
          <w:color w:val="000000"/>
        </w:rPr>
        <w:t>re-</w:t>
      </w:r>
      <w:r w:rsidRPr="003B0F56">
        <w:rPr>
          <w:color w:val="000000"/>
        </w:rPr>
        <w:t xml:space="preserve">certifies the investment advisory firm’s investment advice computer model.  These legal professionals will spend on average </w:t>
      </w:r>
      <w:r w:rsidRPr="003B0F56" w:rsidR="00B96A62">
        <w:rPr>
          <w:color w:val="000000"/>
        </w:rPr>
        <w:t>five</w:t>
      </w:r>
      <w:r w:rsidRPr="003B0F56">
        <w:rPr>
          <w:color w:val="000000"/>
        </w:rPr>
        <w:t xml:space="preserve"> hours for each of </w:t>
      </w:r>
      <w:r w:rsidRPr="003B0F56" w:rsidR="00B96A62">
        <w:rPr>
          <w:color w:val="000000"/>
        </w:rPr>
        <w:t xml:space="preserve">the </w:t>
      </w:r>
      <w:r w:rsidR="002F1DE1">
        <w:rPr>
          <w:color w:val="000000"/>
        </w:rPr>
        <w:t>83,464</w:t>
      </w:r>
      <w:r w:rsidRPr="003B0F56" w:rsidR="00F13DC1">
        <w:rPr>
          <w:color w:val="000000"/>
        </w:rPr>
        <w:t xml:space="preserve"> </w:t>
      </w:r>
      <w:r w:rsidRPr="003B0F56" w:rsidR="00B96A62">
        <w:rPr>
          <w:color w:val="000000"/>
        </w:rPr>
        <w:t>plans</w:t>
      </w:r>
      <w:r w:rsidRPr="003B0F56">
        <w:rPr>
          <w:color w:val="000000"/>
        </w:rPr>
        <w:t xml:space="preserve"> and on average </w:t>
      </w:r>
      <w:r w:rsidR="002F1DE1">
        <w:rPr>
          <w:color w:val="000000"/>
        </w:rPr>
        <w:t>2</w:t>
      </w:r>
      <w:r w:rsidR="0056180C">
        <w:rPr>
          <w:color w:val="000000"/>
        </w:rPr>
        <w:t>5</w:t>
      </w:r>
      <w:r w:rsidRPr="003B0F56" w:rsidR="002F1DE1">
        <w:rPr>
          <w:color w:val="000000"/>
        </w:rPr>
        <w:t xml:space="preserve"> </w:t>
      </w:r>
      <w:r w:rsidRPr="003B0F56">
        <w:rPr>
          <w:color w:val="000000"/>
        </w:rPr>
        <w:t xml:space="preserve">hours for each of the </w:t>
      </w:r>
      <w:r w:rsidRPr="002F1DE1" w:rsidR="002F1DE1">
        <w:rPr>
          <w:color w:val="000000"/>
        </w:rPr>
        <w:t>11,396</w:t>
      </w:r>
      <w:r w:rsidR="002F1DE1">
        <w:rPr>
          <w:color w:val="000000"/>
        </w:rPr>
        <w:t xml:space="preserve"> </w:t>
      </w:r>
      <w:r w:rsidRPr="003B0F56">
        <w:rPr>
          <w:color w:val="000000"/>
        </w:rPr>
        <w:t>investment advisory firms.  Thus the</w:t>
      </w:r>
      <w:r w:rsidRPr="003B0F56" w:rsidR="00F84BA7">
        <w:rPr>
          <w:color w:val="000000"/>
        </w:rPr>
        <w:t xml:space="preserve"> investment advisory firm’s</w:t>
      </w:r>
      <w:r w:rsidRPr="003B0F56">
        <w:rPr>
          <w:color w:val="000000"/>
        </w:rPr>
        <w:t xml:space="preserve"> hour burden for the </w:t>
      </w:r>
      <w:r w:rsidRPr="003B0F56" w:rsidR="003B0F04">
        <w:rPr>
          <w:color w:val="000000"/>
        </w:rPr>
        <w:t>annual re-</w:t>
      </w:r>
      <w:r w:rsidRPr="003B0F56">
        <w:rPr>
          <w:color w:val="000000"/>
        </w:rPr>
        <w:t xml:space="preserve">certification of the investment advice computer model is </w:t>
      </w:r>
      <w:r w:rsidRPr="002F1DE1" w:rsidR="002F1DE1">
        <w:rPr>
          <w:color w:val="000000"/>
        </w:rPr>
        <w:t>702,220</w:t>
      </w:r>
      <w:r w:rsidR="002F1DE1">
        <w:rPr>
          <w:color w:val="000000"/>
        </w:rPr>
        <w:t xml:space="preserve"> </w:t>
      </w:r>
      <w:r w:rsidRPr="003B0F56">
        <w:rPr>
          <w:color w:val="000000"/>
        </w:rPr>
        <w:t xml:space="preserve">hours with an equivalent cost of </w:t>
      </w:r>
      <w:r w:rsidRPr="002F1DE1" w:rsidR="002F1DE1">
        <w:rPr>
          <w:color w:val="000000"/>
        </w:rPr>
        <w:t>$97,194,266</w:t>
      </w:r>
      <w:r w:rsidRPr="003B0F56">
        <w:rPr>
          <w:color w:val="000000"/>
        </w:rPr>
        <w:t>.</w:t>
      </w:r>
    </w:p>
    <w:p w:rsidRPr="003B0F56" w:rsidR="006962D3" w:rsidP="00C63B48" w:rsidRDefault="006962D3" w14:paraId="715807FE" w14:textId="77777777">
      <w:pPr>
        <w:ind w:left="720"/>
        <w:rPr>
          <w:color w:val="000000"/>
        </w:rPr>
      </w:pPr>
    </w:p>
    <w:p w:rsidRPr="003B0F56" w:rsidR="00AA767E" w:rsidP="00C63B48" w:rsidRDefault="00E958BA" w14:paraId="59378AB1" w14:textId="5CDE8B0A">
      <w:pPr>
        <w:ind w:left="720"/>
        <w:rPr>
          <w:color w:val="000000"/>
        </w:rPr>
      </w:pPr>
      <w:r w:rsidRPr="003B0F56">
        <w:rPr>
          <w:color w:val="000000"/>
        </w:rPr>
        <w:t xml:space="preserve">The total hour burden attributable to the </w:t>
      </w:r>
      <w:r w:rsidRPr="003B0F56" w:rsidR="00FF7995">
        <w:rPr>
          <w:color w:val="000000"/>
        </w:rPr>
        <w:t>annual re-</w:t>
      </w:r>
      <w:r w:rsidRPr="003B0F56">
        <w:rPr>
          <w:color w:val="000000"/>
        </w:rPr>
        <w:t xml:space="preserve">certification of the investment computer model is </w:t>
      </w:r>
      <w:r w:rsidR="002F1DE1">
        <w:rPr>
          <w:color w:val="000000"/>
        </w:rPr>
        <w:t>930,260</w:t>
      </w:r>
      <w:r w:rsidRPr="003B0F56" w:rsidR="00F13DC1">
        <w:rPr>
          <w:color w:val="000000"/>
        </w:rPr>
        <w:t xml:space="preserve"> </w:t>
      </w:r>
      <w:r w:rsidRPr="003B0F56">
        <w:rPr>
          <w:color w:val="000000"/>
        </w:rPr>
        <w:t xml:space="preserve">hours with an equivalent cost of </w:t>
      </w:r>
      <w:r w:rsidRPr="002F1DE1" w:rsidR="002F1DE1">
        <w:rPr>
          <w:color w:val="000000"/>
        </w:rPr>
        <w:t>$128,757,283</w:t>
      </w:r>
      <w:r w:rsidRPr="003B0F56">
        <w:rPr>
          <w:color w:val="000000"/>
        </w:rPr>
        <w:t>.</w:t>
      </w:r>
    </w:p>
    <w:p w:rsidRPr="003B0F56" w:rsidR="001B73DB" w:rsidP="00C63B48" w:rsidRDefault="001B73DB" w14:paraId="42D08609" w14:textId="77777777">
      <w:pPr>
        <w:ind w:left="720"/>
        <w:rPr>
          <w:color w:val="000000"/>
        </w:rPr>
      </w:pPr>
    </w:p>
    <w:tbl>
      <w:tblPr>
        <w:tblW w:w="9537" w:type="dxa"/>
        <w:tblInd w:w="720" w:type="dxa"/>
        <w:tblLook w:val="04A0" w:firstRow="1" w:lastRow="0" w:firstColumn="1" w:lastColumn="0" w:noHBand="0" w:noVBand="1"/>
      </w:tblPr>
      <w:tblGrid>
        <w:gridCol w:w="1833"/>
        <w:gridCol w:w="1800"/>
        <w:gridCol w:w="1378"/>
        <w:gridCol w:w="1881"/>
        <w:gridCol w:w="1103"/>
        <w:gridCol w:w="1542"/>
      </w:tblGrid>
      <w:tr w:rsidRPr="003B0F56" w:rsidR="001E190F" w:rsidTr="00A81396" w14:paraId="6EC8D174" w14:textId="77777777">
        <w:trPr>
          <w:trHeight w:val="345"/>
        </w:trPr>
        <w:tc>
          <w:tcPr>
            <w:tcW w:w="9537" w:type="dxa"/>
            <w:gridSpan w:val="6"/>
            <w:tcBorders>
              <w:top w:val="nil"/>
              <w:left w:val="nil"/>
              <w:bottom w:val="nil"/>
              <w:right w:val="nil"/>
            </w:tcBorders>
            <w:shd w:val="clear" w:color="auto" w:fill="auto"/>
            <w:vAlign w:val="bottom"/>
            <w:hideMark/>
          </w:tcPr>
          <w:p w:rsidRPr="003B0F56" w:rsidR="001E190F" w:rsidRDefault="001E190F" w14:paraId="54B2EA06" w14:textId="77777777">
            <w:pPr>
              <w:rPr>
                <w:color w:val="000000"/>
              </w:rPr>
            </w:pPr>
            <w:r w:rsidRPr="003B0F56">
              <w:rPr>
                <w:color w:val="000000"/>
              </w:rPr>
              <w:t>Table 5.--Annual Computer Model Re-Certification Hour Burden Estimates</w:t>
            </w:r>
          </w:p>
        </w:tc>
      </w:tr>
      <w:tr w:rsidRPr="003B0F56" w:rsidR="001E190F" w:rsidTr="000C523E" w14:paraId="1A64C8FA" w14:textId="77777777">
        <w:trPr>
          <w:trHeight w:val="345"/>
        </w:trPr>
        <w:tc>
          <w:tcPr>
            <w:tcW w:w="1833" w:type="dxa"/>
            <w:tcBorders>
              <w:top w:val="single" w:color="auto" w:sz="8" w:space="0"/>
              <w:left w:val="single" w:color="auto" w:sz="8" w:space="0"/>
              <w:bottom w:val="single" w:color="auto" w:sz="8" w:space="0"/>
              <w:right w:val="single" w:color="auto" w:sz="8" w:space="0"/>
            </w:tcBorders>
            <w:shd w:val="clear" w:color="auto" w:fill="auto"/>
            <w:hideMark/>
          </w:tcPr>
          <w:p w:rsidRPr="003B0F56" w:rsidR="001E190F" w:rsidRDefault="001E190F" w14:paraId="291830D9" w14:textId="77777777">
            <w:pPr>
              <w:jc w:val="center"/>
              <w:rPr>
                <w:b/>
                <w:bCs/>
              </w:rPr>
            </w:pPr>
            <w:r w:rsidRPr="003B0F56">
              <w:rPr>
                <w:b/>
                <w:bCs/>
              </w:rPr>
              <w:t> </w:t>
            </w:r>
          </w:p>
        </w:tc>
        <w:tc>
          <w:tcPr>
            <w:tcW w:w="1800" w:type="dxa"/>
            <w:tcBorders>
              <w:top w:val="single" w:color="auto" w:sz="8" w:space="0"/>
              <w:left w:val="nil"/>
              <w:bottom w:val="single" w:color="auto" w:sz="8" w:space="0"/>
              <w:right w:val="single" w:color="auto" w:sz="8" w:space="0"/>
            </w:tcBorders>
            <w:shd w:val="clear" w:color="auto" w:fill="auto"/>
            <w:hideMark/>
          </w:tcPr>
          <w:p w:rsidRPr="003B0F56" w:rsidR="001E190F" w:rsidRDefault="001E190F" w14:paraId="2016C947" w14:textId="77777777">
            <w:pPr>
              <w:jc w:val="center"/>
              <w:rPr>
                <w:b/>
                <w:bCs/>
              </w:rPr>
            </w:pPr>
            <w:r w:rsidRPr="003B0F56">
              <w:rPr>
                <w:b/>
                <w:bCs/>
              </w:rPr>
              <w:t>Estimated Number</w:t>
            </w:r>
          </w:p>
        </w:tc>
        <w:tc>
          <w:tcPr>
            <w:tcW w:w="1378" w:type="dxa"/>
            <w:tcBorders>
              <w:top w:val="single" w:color="auto" w:sz="8" w:space="0"/>
              <w:left w:val="nil"/>
              <w:bottom w:val="single" w:color="auto" w:sz="8" w:space="0"/>
              <w:right w:val="single" w:color="auto" w:sz="8" w:space="0"/>
            </w:tcBorders>
            <w:shd w:val="clear" w:color="auto" w:fill="auto"/>
            <w:hideMark/>
          </w:tcPr>
          <w:p w:rsidRPr="003B0F56" w:rsidR="001E190F" w:rsidRDefault="001E190F" w14:paraId="25347778" w14:textId="77777777">
            <w:pPr>
              <w:jc w:val="center"/>
              <w:rPr>
                <w:b/>
                <w:bCs/>
              </w:rPr>
            </w:pPr>
            <w:r w:rsidRPr="003B0F56">
              <w:rPr>
                <w:b/>
                <w:bCs/>
              </w:rPr>
              <w:t>Hours Required</w:t>
            </w:r>
          </w:p>
        </w:tc>
        <w:tc>
          <w:tcPr>
            <w:tcW w:w="1881" w:type="dxa"/>
            <w:tcBorders>
              <w:top w:val="single" w:color="auto" w:sz="8" w:space="0"/>
              <w:left w:val="nil"/>
              <w:bottom w:val="single" w:color="auto" w:sz="8" w:space="0"/>
              <w:right w:val="single" w:color="auto" w:sz="8" w:space="0"/>
            </w:tcBorders>
            <w:shd w:val="clear" w:color="auto" w:fill="auto"/>
            <w:hideMark/>
          </w:tcPr>
          <w:p w:rsidRPr="003B0F56" w:rsidR="001E190F" w:rsidRDefault="001E190F" w14:paraId="68D805CA" w14:textId="77777777">
            <w:pPr>
              <w:jc w:val="center"/>
              <w:rPr>
                <w:b/>
                <w:bCs/>
              </w:rPr>
            </w:pPr>
            <w:r w:rsidRPr="003B0F56">
              <w:rPr>
                <w:b/>
                <w:bCs/>
              </w:rPr>
              <w:t>Annual Hour Burden</w:t>
            </w:r>
          </w:p>
        </w:tc>
        <w:tc>
          <w:tcPr>
            <w:tcW w:w="1103" w:type="dxa"/>
            <w:tcBorders>
              <w:top w:val="single" w:color="auto" w:sz="8" w:space="0"/>
              <w:left w:val="nil"/>
              <w:bottom w:val="single" w:color="auto" w:sz="8" w:space="0"/>
              <w:right w:val="single" w:color="auto" w:sz="8" w:space="0"/>
            </w:tcBorders>
            <w:shd w:val="clear" w:color="auto" w:fill="auto"/>
            <w:hideMark/>
          </w:tcPr>
          <w:p w:rsidRPr="003B0F56" w:rsidR="001E190F" w:rsidRDefault="001E190F" w14:paraId="4263165C" w14:textId="77777777">
            <w:pPr>
              <w:jc w:val="center"/>
              <w:rPr>
                <w:b/>
                <w:bCs/>
              </w:rPr>
            </w:pPr>
            <w:r w:rsidRPr="003B0F56">
              <w:rPr>
                <w:b/>
                <w:bCs/>
              </w:rPr>
              <w:t>Hourly Rate</w:t>
            </w:r>
          </w:p>
        </w:tc>
        <w:tc>
          <w:tcPr>
            <w:tcW w:w="1542" w:type="dxa"/>
            <w:tcBorders>
              <w:top w:val="single" w:color="auto" w:sz="8" w:space="0"/>
              <w:left w:val="nil"/>
              <w:bottom w:val="single" w:color="auto" w:sz="8" w:space="0"/>
              <w:right w:val="single" w:color="auto" w:sz="8" w:space="0"/>
            </w:tcBorders>
            <w:shd w:val="clear" w:color="auto" w:fill="auto"/>
            <w:hideMark/>
          </w:tcPr>
          <w:p w:rsidRPr="003B0F56" w:rsidR="001E190F" w:rsidRDefault="001E190F" w14:paraId="6E5DAA8D" w14:textId="77777777">
            <w:pPr>
              <w:jc w:val="center"/>
              <w:rPr>
                <w:b/>
                <w:bCs/>
              </w:rPr>
            </w:pPr>
            <w:r w:rsidRPr="003B0F56">
              <w:rPr>
                <w:b/>
                <w:bCs/>
              </w:rPr>
              <w:t>Equivalent Cost</w:t>
            </w:r>
          </w:p>
        </w:tc>
      </w:tr>
      <w:tr w:rsidRPr="003B0F56" w:rsidR="002F1DE1" w:rsidTr="000C523E" w14:paraId="47719DCE" w14:textId="77777777">
        <w:trPr>
          <w:trHeight w:val="345"/>
        </w:trPr>
        <w:tc>
          <w:tcPr>
            <w:tcW w:w="1833" w:type="dxa"/>
            <w:tcBorders>
              <w:top w:val="nil"/>
              <w:left w:val="single" w:color="auto" w:sz="8" w:space="0"/>
              <w:bottom w:val="single" w:color="auto" w:sz="8" w:space="0"/>
              <w:right w:val="single" w:color="auto" w:sz="8" w:space="0"/>
            </w:tcBorders>
            <w:shd w:val="clear" w:color="auto" w:fill="auto"/>
            <w:hideMark/>
          </w:tcPr>
          <w:p w:rsidRPr="003B0F56" w:rsidR="002F1DE1" w:rsidP="002F1DE1" w:rsidRDefault="002F1DE1" w14:paraId="277EEC13" w14:textId="77777777">
            <w:r w:rsidRPr="003B0F56">
              <w:t>Model provider</w:t>
            </w:r>
          </w:p>
        </w:tc>
        <w:tc>
          <w:tcPr>
            <w:tcW w:w="1800" w:type="dxa"/>
            <w:tcBorders>
              <w:top w:val="nil"/>
              <w:left w:val="nil"/>
              <w:bottom w:val="single" w:color="auto" w:sz="8" w:space="0"/>
              <w:right w:val="single" w:color="auto" w:sz="8" w:space="0"/>
            </w:tcBorders>
            <w:shd w:val="clear" w:color="auto" w:fill="auto"/>
            <w:hideMark/>
          </w:tcPr>
          <w:p w:rsidRPr="003B0F56" w:rsidR="002F1DE1" w:rsidP="002F1DE1" w:rsidRDefault="002F1DE1" w14:paraId="4B3352CB" w14:textId="6088E4FC">
            <w:pPr>
              <w:jc w:val="right"/>
            </w:pPr>
          </w:p>
        </w:tc>
        <w:tc>
          <w:tcPr>
            <w:tcW w:w="1378" w:type="dxa"/>
            <w:tcBorders>
              <w:top w:val="nil"/>
              <w:left w:val="nil"/>
              <w:bottom w:val="single" w:color="auto" w:sz="8" w:space="0"/>
              <w:right w:val="single" w:color="auto" w:sz="8" w:space="0"/>
            </w:tcBorders>
            <w:shd w:val="clear" w:color="auto" w:fill="auto"/>
            <w:hideMark/>
          </w:tcPr>
          <w:p w:rsidRPr="003B0F56" w:rsidR="002F1DE1" w:rsidP="002F1DE1" w:rsidRDefault="002F1DE1" w14:paraId="0AFC10F0" w14:textId="7EC57607">
            <w:pPr>
              <w:jc w:val="right"/>
            </w:pPr>
          </w:p>
        </w:tc>
        <w:tc>
          <w:tcPr>
            <w:tcW w:w="1881" w:type="dxa"/>
            <w:tcBorders>
              <w:top w:val="nil"/>
              <w:left w:val="nil"/>
              <w:bottom w:val="single" w:color="auto" w:sz="8" w:space="0"/>
              <w:right w:val="single" w:color="auto" w:sz="8" w:space="0"/>
            </w:tcBorders>
            <w:shd w:val="clear" w:color="auto" w:fill="auto"/>
            <w:hideMark/>
          </w:tcPr>
          <w:p w:rsidRPr="003B0F56" w:rsidR="002F1DE1" w:rsidP="002F1DE1" w:rsidRDefault="002F1DE1" w14:paraId="03227CD7" w14:textId="784DEC9E">
            <w:pPr>
              <w:jc w:val="right"/>
            </w:pPr>
            <w:r w:rsidRPr="007E204B">
              <w:t>228,040</w:t>
            </w:r>
          </w:p>
        </w:tc>
        <w:tc>
          <w:tcPr>
            <w:tcW w:w="1103" w:type="dxa"/>
            <w:tcBorders>
              <w:top w:val="nil"/>
              <w:left w:val="nil"/>
              <w:bottom w:val="single" w:color="auto" w:sz="8" w:space="0"/>
              <w:right w:val="single" w:color="auto" w:sz="8" w:space="0"/>
            </w:tcBorders>
            <w:shd w:val="clear" w:color="auto" w:fill="auto"/>
            <w:hideMark/>
          </w:tcPr>
          <w:p w:rsidRPr="003B0F56" w:rsidR="002F1DE1" w:rsidP="002F1DE1" w:rsidRDefault="002F1DE1" w14:paraId="5D1BF9AE" w14:textId="607B4FD3">
            <w:pPr>
              <w:jc w:val="right"/>
            </w:pPr>
            <w:r w:rsidRPr="007E204B">
              <w:t>$138.41</w:t>
            </w:r>
          </w:p>
        </w:tc>
        <w:tc>
          <w:tcPr>
            <w:tcW w:w="1542" w:type="dxa"/>
            <w:tcBorders>
              <w:top w:val="nil"/>
              <w:left w:val="nil"/>
              <w:bottom w:val="single" w:color="auto" w:sz="8" w:space="0"/>
              <w:right w:val="single" w:color="auto" w:sz="8" w:space="0"/>
            </w:tcBorders>
            <w:shd w:val="clear" w:color="auto" w:fill="auto"/>
            <w:hideMark/>
          </w:tcPr>
          <w:p w:rsidRPr="003B0F56" w:rsidR="002F1DE1" w:rsidP="002F1DE1" w:rsidRDefault="002F1DE1" w14:paraId="15465D2F" w14:textId="75B2372D">
            <w:pPr>
              <w:jc w:val="right"/>
            </w:pPr>
            <w:r w:rsidRPr="007E204B">
              <w:t xml:space="preserve">$31,563,016 </w:t>
            </w:r>
          </w:p>
        </w:tc>
      </w:tr>
      <w:tr w:rsidRPr="003B0F56" w:rsidR="002F1DE1" w:rsidTr="000C523E" w14:paraId="3D061BDF" w14:textId="77777777">
        <w:trPr>
          <w:trHeight w:val="345"/>
        </w:trPr>
        <w:tc>
          <w:tcPr>
            <w:tcW w:w="1833" w:type="dxa"/>
            <w:tcBorders>
              <w:top w:val="nil"/>
              <w:left w:val="single" w:color="auto" w:sz="8" w:space="0"/>
              <w:bottom w:val="single" w:color="auto" w:sz="8" w:space="0"/>
              <w:right w:val="single" w:color="auto" w:sz="8" w:space="0"/>
            </w:tcBorders>
            <w:shd w:val="clear" w:color="auto" w:fill="auto"/>
            <w:hideMark/>
          </w:tcPr>
          <w:p w:rsidRPr="003B0F56" w:rsidR="002F1DE1" w:rsidP="002F1DE1" w:rsidRDefault="002F1DE1" w14:paraId="6CBFB77B" w14:textId="77777777">
            <w:r w:rsidRPr="003B0F56">
              <w:t xml:space="preserve">  Models</w:t>
            </w:r>
          </w:p>
        </w:tc>
        <w:tc>
          <w:tcPr>
            <w:tcW w:w="1800" w:type="dxa"/>
            <w:tcBorders>
              <w:top w:val="nil"/>
              <w:left w:val="nil"/>
              <w:bottom w:val="single" w:color="auto" w:sz="8" w:space="0"/>
              <w:right w:val="single" w:color="auto" w:sz="8" w:space="0"/>
            </w:tcBorders>
            <w:shd w:val="clear" w:color="auto" w:fill="auto"/>
            <w:hideMark/>
          </w:tcPr>
          <w:p w:rsidRPr="003B0F56" w:rsidR="002F1DE1" w:rsidP="002F1DE1" w:rsidRDefault="002F1DE1" w14:paraId="11EEED1C" w14:textId="50FBBE45">
            <w:pPr>
              <w:jc w:val="right"/>
            </w:pPr>
            <w:r w:rsidRPr="007E204B">
              <w:t>6</w:t>
            </w:r>
          </w:p>
        </w:tc>
        <w:tc>
          <w:tcPr>
            <w:tcW w:w="1378" w:type="dxa"/>
            <w:tcBorders>
              <w:top w:val="nil"/>
              <w:left w:val="nil"/>
              <w:bottom w:val="single" w:color="auto" w:sz="8" w:space="0"/>
              <w:right w:val="single" w:color="auto" w:sz="8" w:space="0"/>
            </w:tcBorders>
            <w:shd w:val="clear" w:color="auto" w:fill="auto"/>
            <w:hideMark/>
          </w:tcPr>
          <w:p w:rsidRPr="003B0F56" w:rsidR="002F1DE1" w:rsidP="002F1DE1" w:rsidRDefault="002F1DE1" w14:paraId="160B15BA" w14:textId="64BF3FE5">
            <w:pPr>
              <w:jc w:val="right"/>
            </w:pPr>
            <w:r w:rsidRPr="007E204B">
              <w:t>20</w:t>
            </w:r>
          </w:p>
        </w:tc>
        <w:tc>
          <w:tcPr>
            <w:tcW w:w="1881" w:type="dxa"/>
            <w:tcBorders>
              <w:top w:val="nil"/>
              <w:left w:val="nil"/>
              <w:bottom w:val="single" w:color="auto" w:sz="8" w:space="0"/>
              <w:right w:val="single" w:color="auto" w:sz="8" w:space="0"/>
            </w:tcBorders>
            <w:shd w:val="clear" w:color="auto" w:fill="auto"/>
            <w:hideMark/>
          </w:tcPr>
          <w:p w:rsidRPr="003B0F56" w:rsidR="002F1DE1" w:rsidP="002F1DE1" w:rsidRDefault="002F1DE1" w14:paraId="424D5025" w14:textId="18032470">
            <w:pPr>
              <w:jc w:val="right"/>
            </w:pPr>
            <w:r w:rsidRPr="007E204B">
              <w:t>120</w:t>
            </w:r>
          </w:p>
        </w:tc>
        <w:tc>
          <w:tcPr>
            <w:tcW w:w="1103" w:type="dxa"/>
            <w:tcBorders>
              <w:top w:val="nil"/>
              <w:left w:val="nil"/>
              <w:bottom w:val="single" w:color="auto" w:sz="8" w:space="0"/>
              <w:right w:val="single" w:color="auto" w:sz="8" w:space="0"/>
            </w:tcBorders>
            <w:shd w:val="clear" w:color="auto" w:fill="auto"/>
            <w:hideMark/>
          </w:tcPr>
          <w:p w:rsidRPr="003B0F56" w:rsidR="002F1DE1" w:rsidP="002F1DE1" w:rsidRDefault="002F1DE1" w14:paraId="2B087189" w14:textId="4B9993E9">
            <w:pPr>
              <w:jc w:val="right"/>
            </w:pPr>
          </w:p>
        </w:tc>
        <w:tc>
          <w:tcPr>
            <w:tcW w:w="1542" w:type="dxa"/>
            <w:tcBorders>
              <w:top w:val="nil"/>
              <w:left w:val="nil"/>
              <w:bottom w:val="single" w:color="auto" w:sz="8" w:space="0"/>
              <w:right w:val="single" w:color="auto" w:sz="8" w:space="0"/>
            </w:tcBorders>
            <w:shd w:val="clear" w:color="auto" w:fill="auto"/>
            <w:hideMark/>
          </w:tcPr>
          <w:p w:rsidRPr="003B0F56" w:rsidR="002F1DE1" w:rsidP="002F1DE1" w:rsidRDefault="002F1DE1" w14:paraId="7DF8634A" w14:textId="5DCC2676">
            <w:pPr>
              <w:jc w:val="right"/>
            </w:pPr>
            <w:r w:rsidRPr="007E204B">
              <w:t xml:space="preserve">$16,609 </w:t>
            </w:r>
          </w:p>
        </w:tc>
      </w:tr>
      <w:tr w:rsidRPr="003B0F56" w:rsidR="002F1DE1" w:rsidTr="000C523E" w14:paraId="3C6D796B" w14:textId="77777777">
        <w:trPr>
          <w:trHeight w:val="345"/>
        </w:trPr>
        <w:tc>
          <w:tcPr>
            <w:tcW w:w="1833" w:type="dxa"/>
            <w:tcBorders>
              <w:top w:val="nil"/>
              <w:left w:val="single" w:color="auto" w:sz="8" w:space="0"/>
              <w:bottom w:val="single" w:color="auto" w:sz="8" w:space="0"/>
              <w:right w:val="single" w:color="auto" w:sz="8" w:space="0"/>
            </w:tcBorders>
            <w:shd w:val="clear" w:color="auto" w:fill="auto"/>
            <w:hideMark/>
          </w:tcPr>
          <w:p w:rsidRPr="003B0F56" w:rsidR="002F1DE1" w:rsidP="002F1DE1" w:rsidRDefault="002F1DE1" w14:paraId="2E681BF2" w14:textId="77777777">
            <w:r w:rsidRPr="003B0F56">
              <w:t xml:space="preserve">  IRA (advice firms)</w:t>
            </w:r>
          </w:p>
        </w:tc>
        <w:tc>
          <w:tcPr>
            <w:tcW w:w="1800" w:type="dxa"/>
            <w:tcBorders>
              <w:top w:val="nil"/>
              <w:left w:val="nil"/>
              <w:bottom w:val="single" w:color="auto" w:sz="8" w:space="0"/>
              <w:right w:val="single" w:color="auto" w:sz="8" w:space="0"/>
            </w:tcBorders>
            <w:shd w:val="clear" w:color="auto" w:fill="auto"/>
            <w:hideMark/>
          </w:tcPr>
          <w:p w:rsidRPr="003B0F56" w:rsidR="002F1DE1" w:rsidP="002F1DE1" w:rsidRDefault="002F1DE1" w14:paraId="6B04D5E6" w14:textId="7BEC6E61">
            <w:pPr>
              <w:jc w:val="right"/>
            </w:pPr>
            <w:r w:rsidRPr="007E204B">
              <w:t>11,396</w:t>
            </w:r>
          </w:p>
        </w:tc>
        <w:tc>
          <w:tcPr>
            <w:tcW w:w="1378" w:type="dxa"/>
            <w:tcBorders>
              <w:top w:val="nil"/>
              <w:left w:val="nil"/>
              <w:bottom w:val="single" w:color="auto" w:sz="8" w:space="0"/>
              <w:right w:val="single" w:color="auto" w:sz="8" w:space="0"/>
            </w:tcBorders>
            <w:shd w:val="clear" w:color="auto" w:fill="auto"/>
            <w:hideMark/>
          </w:tcPr>
          <w:p w:rsidRPr="003B0F56" w:rsidR="002F1DE1" w:rsidP="002F1DE1" w:rsidRDefault="002F1DE1" w14:paraId="338EC13B" w14:textId="3853868F">
            <w:pPr>
              <w:jc w:val="right"/>
            </w:pPr>
            <w:r w:rsidRPr="007E204B">
              <w:t>20</w:t>
            </w:r>
          </w:p>
        </w:tc>
        <w:tc>
          <w:tcPr>
            <w:tcW w:w="1881" w:type="dxa"/>
            <w:tcBorders>
              <w:top w:val="nil"/>
              <w:left w:val="nil"/>
              <w:bottom w:val="single" w:color="auto" w:sz="8" w:space="0"/>
              <w:right w:val="single" w:color="auto" w:sz="8" w:space="0"/>
            </w:tcBorders>
            <w:shd w:val="clear" w:color="auto" w:fill="auto"/>
            <w:hideMark/>
          </w:tcPr>
          <w:p w:rsidRPr="003B0F56" w:rsidR="002F1DE1" w:rsidP="002F1DE1" w:rsidRDefault="002F1DE1" w14:paraId="0697C4D6" w14:textId="775DF795">
            <w:pPr>
              <w:jc w:val="right"/>
            </w:pPr>
            <w:r w:rsidRPr="007E204B">
              <w:t>227,920</w:t>
            </w:r>
          </w:p>
        </w:tc>
        <w:tc>
          <w:tcPr>
            <w:tcW w:w="1103" w:type="dxa"/>
            <w:tcBorders>
              <w:top w:val="nil"/>
              <w:left w:val="nil"/>
              <w:bottom w:val="single" w:color="auto" w:sz="8" w:space="0"/>
              <w:right w:val="single" w:color="auto" w:sz="8" w:space="0"/>
            </w:tcBorders>
            <w:shd w:val="clear" w:color="auto" w:fill="auto"/>
            <w:hideMark/>
          </w:tcPr>
          <w:p w:rsidRPr="003B0F56" w:rsidR="002F1DE1" w:rsidP="002F1DE1" w:rsidRDefault="002F1DE1" w14:paraId="0766F566" w14:textId="6AF014F3">
            <w:pPr>
              <w:jc w:val="right"/>
            </w:pPr>
          </w:p>
        </w:tc>
        <w:tc>
          <w:tcPr>
            <w:tcW w:w="1542" w:type="dxa"/>
            <w:tcBorders>
              <w:top w:val="nil"/>
              <w:left w:val="nil"/>
              <w:bottom w:val="single" w:color="auto" w:sz="8" w:space="0"/>
              <w:right w:val="single" w:color="auto" w:sz="8" w:space="0"/>
            </w:tcBorders>
            <w:shd w:val="clear" w:color="auto" w:fill="auto"/>
            <w:hideMark/>
          </w:tcPr>
          <w:p w:rsidRPr="003B0F56" w:rsidR="002F1DE1" w:rsidP="002F1DE1" w:rsidRDefault="002F1DE1" w14:paraId="13E1119D" w14:textId="17609801">
            <w:pPr>
              <w:jc w:val="right"/>
            </w:pPr>
            <w:r w:rsidRPr="007E204B">
              <w:t xml:space="preserve">$31,546,407 </w:t>
            </w:r>
          </w:p>
        </w:tc>
      </w:tr>
      <w:tr w:rsidRPr="003B0F56" w:rsidR="002F1DE1" w:rsidTr="000C523E" w14:paraId="61FD88C6" w14:textId="77777777">
        <w:trPr>
          <w:trHeight w:val="345"/>
        </w:trPr>
        <w:tc>
          <w:tcPr>
            <w:tcW w:w="1833" w:type="dxa"/>
            <w:tcBorders>
              <w:top w:val="nil"/>
              <w:left w:val="single" w:color="auto" w:sz="8" w:space="0"/>
              <w:bottom w:val="single" w:color="auto" w:sz="8" w:space="0"/>
              <w:right w:val="single" w:color="auto" w:sz="8" w:space="0"/>
            </w:tcBorders>
            <w:shd w:val="clear" w:color="auto" w:fill="auto"/>
            <w:hideMark/>
          </w:tcPr>
          <w:p w:rsidRPr="003B0F56" w:rsidR="002F1DE1" w:rsidP="002F1DE1" w:rsidRDefault="002F1DE1" w14:paraId="4ED7DF5A" w14:textId="77777777">
            <w:r w:rsidRPr="003B0F56">
              <w:t>Advice Firm</w:t>
            </w:r>
          </w:p>
        </w:tc>
        <w:tc>
          <w:tcPr>
            <w:tcW w:w="1800" w:type="dxa"/>
            <w:tcBorders>
              <w:top w:val="nil"/>
              <w:left w:val="nil"/>
              <w:bottom w:val="single" w:color="auto" w:sz="8" w:space="0"/>
              <w:right w:val="single" w:color="auto" w:sz="8" w:space="0"/>
            </w:tcBorders>
            <w:shd w:val="clear" w:color="auto" w:fill="auto"/>
            <w:hideMark/>
          </w:tcPr>
          <w:p w:rsidRPr="003B0F56" w:rsidR="002F1DE1" w:rsidP="002F1DE1" w:rsidRDefault="002F1DE1" w14:paraId="4AA06599" w14:textId="6FB41D3A">
            <w:pPr>
              <w:jc w:val="right"/>
            </w:pPr>
          </w:p>
        </w:tc>
        <w:tc>
          <w:tcPr>
            <w:tcW w:w="1378" w:type="dxa"/>
            <w:tcBorders>
              <w:top w:val="nil"/>
              <w:left w:val="nil"/>
              <w:bottom w:val="single" w:color="auto" w:sz="8" w:space="0"/>
              <w:right w:val="single" w:color="auto" w:sz="8" w:space="0"/>
            </w:tcBorders>
            <w:shd w:val="clear" w:color="auto" w:fill="auto"/>
            <w:hideMark/>
          </w:tcPr>
          <w:p w:rsidRPr="003B0F56" w:rsidR="002F1DE1" w:rsidP="002F1DE1" w:rsidRDefault="002F1DE1" w14:paraId="066679A0" w14:textId="6BD2231E">
            <w:pPr>
              <w:jc w:val="right"/>
            </w:pPr>
          </w:p>
        </w:tc>
        <w:tc>
          <w:tcPr>
            <w:tcW w:w="1881" w:type="dxa"/>
            <w:tcBorders>
              <w:top w:val="nil"/>
              <w:left w:val="nil"/>
              <w:bottom w:val="single" w:color="auto" w:sz="8" w:space="0"/>
              <w:right w:val="single" w:color="auto" w:sz="8" w:space="0"/>
            </w:tcBorders>
            <w:shd w:val="clear" w:color="auto" w:fill="auto"/>
            <w:hideMark/>
          </w:tcPr>
          <w:p w:rsidRPr="003B0F56" w:rsidR="002F1DE1" w:rsidP="002F1DE1" w:rsidRDefault="002F1DE1" w14:paraId="245496D7" w14:textId="779A2936">
            <w:pPr>
              <w:jc w:val="right"/>
            </w:pPr>
            <w:r w:rsidRPr="007E204B">
              <w:t>702,220</w:t>
            </w:r>
          </w:p>
        </w:tc>
        <w:tc>
          <w:tcPr>
            <w:tcW w:w="1103" w:type="dxa"/>
            <w:tcBorders>
              <w:top w:val="nil"/>
              <w:left w:val="nil"/>
              <w:bottom w:val="single" w:color="auto" w:sz="8" w:space="0"/>
              <w:right w:val="single" w:color="auto" w:sz="8" w:space="0"/>
            </w:tcBorders>
            <w:shd w:val="clear" w:color="auto" w:fill="auto"/>
            <w:hideMark/>
          </w:tcPr>
          <w:p w:rsidRPr="003B0F56" w:rsidR="002F1DE1" w:rsidP="002F1DE1" w:rsidRDefault="002F1DE1" w14:paraId="5C2B73EB" w14:textId="702BEB6F">
            <w:pPr>
              <w:jc w:val="right"/>
            </w:pPr>
            <w:r w:rsidRPr="007E204B">
              <w:t>$138.41</w:t>
            </w:r>
          </w:p>
        </w:tc>
        <w:tc>
          <w:tcPr>
            <w:tcW w:w="1542" w:type="dxa"/>
            <w:tcBorders>
              <w:top w:val="nil"/>
              <w:left w:val="nil"/>
              <w:bottom w:val="single" w:color="auto" w:sz="8" w:space="0"/>
              <w:right w:val="single" w:color="auto" w:sz="8" w:space="0"/>
            </w:tcBorders>
            <w:shd w:val="clear" w:color="auto" w:fill="auto"/>
            <w:hideMark/>
          </w:tcPr>
          <w:p w:rsidRPr="003B0F56" w:rsidR="002F1DE1" w:rsidP="002F1DE1" w:rsidRDefault="002F1DE1" w14:paraId="0A0AF8F5" w14:textId="5FF3F40A">
            <w:pPr>
              <w:jc w:val="right"/>
            </w:pPr>
            <w:r w:rsidRPr="007E204B">
              <w:t xml:space="preserve">$97,194,266 </w:t>
            </w:r>
          </w:p>
        </w:tc>
      </w:tr>
      <w:tr w:rsidRPr="003B0F56" w:rsidR="002F1DE1" w:rsidTr="000C523E" w14:paraId="30A4941D" w14:textId="77777777">
        <w:trPr>
          <w:trHeight w:val="345"/>
        </w:trPr>
        <w:tc>
          <w:tcPr>
            <w:tcW w:w="1833" w:type="dxa"/>
            <w:tcBorders>
              <w:top w:val="nil"/>
              <w:left w:val="single" w:color="auto" w:sz="8" w:space="0"/>
              <w:bottom w:val="single" w:color="auto" w:sz="8" w:space="0"/>
              <w:right w:val="single" w:color="auto" w:sz="8" w:space="0"/>
            </w:tcBorders>
            <w:shd w:val="clear" w:color="auto" w:fill="auto"/>
            <w:hideMark/>
          </w:tcPr>
          <w:p w:rsidRPr="003B0F56" w:rsidR="002F1DE1" w:rsidP="002F1DE1" w:rsidRDefault="002F1DE1" w14:paraId="5674EF7E" w14:textId="77777777">
            <w:r w:rsidRPr="003B0F56">
              <w:t xml:space="preserve">  DC Plan</w:t>
            </w:r>
          </w:p>
        </w:tc>
        <w:tc>
          <w:tcPr>
            <w:tcW w:w="1800" w:type="dxa"/>
            <w:tcBorders>
              <w:top w:val="nil"/>
              <w:left w:val="nil"/>
              <w:bottom w:val="single" w:color="auto" w:sz="8" w:space="0"/>
              <w:right w:val="single" w:color="auto" w:sz="8" w:space="0"/>
            </w:tcBorders>
            <w:shd w:val="clear" w:color="auto" w:fill="auto"/>
            <w:hideMark/>
          </w:tcPr>
          <w:p w:rsidRPr="003B0F56" w:rsidR="002F1DE1" w:rsidP="002F1DE1" w:rsidRDefault="002F1DE1" w14:paraId="5F148D43" w14:textId="2CE60112">
            <w:pPr>
              <w:jc w:val="right"/>
            </w:pPr>
            <w:r w:rsidRPr="007E204B">
              <w:t>83,464</w:t>
            </w:r>
          </w:p>
        </w:tc>
        <w:tc>
          <w:tcPr>
            <w:tcW w:w="1378" w:type="dxa"/>
            <w:tcBorders>
              <w:top w:val="nil"/>
              <w:left w:val="nil"/>
              <w:bottom w:val="single" w:color="auto" w:sz="8" w:space="0"/>
              <w:right w:val="single" w:color="auto" w:sz="8" w:space="0"/>
            </w:tcBorders>
            <w:shd w:val="clear" w:color="auto" w:fill="auto"/>
            <w:hideMark/>
          </w:tcPr>
          <w:p w:rsidRPr="003B0F56" w:rsidR="002F1DE1" w:rsidP="002F1DE1" w:rsidRDefault="002F1DE1" w14:paraId="327C3109" w14:textId="0EC3D66D">
            <w:pPr>
              <w:jc w:val="right"/>
            </w:pPr>
            <w:r w:rsidRPr="007E204B">
              <w:t>5</w:t>
            </w:r>
          </w:p>
        </w:tc>
        <w:tc>
          <w:tcPr>
            <w:tcW w:w="1881" w:type="dxa"/>
            <w:tcBorders>
              <w:top w:val="nil"/>
              <w:left w:val="nil"/>
              <w:bottom w:val="single" w:color="auto" w:sz="8" w:space="0"/>
              <w:right w:val="single" w:color="auto" w:sz="8" w:space="0"/>
            </w:tcBorders>
            <w:shd w:val="clear" w:color="auto" w:fill="auto"/>
            <w:hideMark/>
          </w:tcPr>
          <w:p w:rsidRPr="003B0F56" w:rsidR="002F1DE1" w:rsidP="002F1DE1" w:rsidRDefault="002F1DE1" w14:paraId="6171FD1C" w14:textId="0A05C0A2">
            <w:pPr>
              <w:jc w:val="right"/>
            </w:pPr>
            <w:r w:rsidRPr="007E204B">
              <w:t>417,320</w:t>
            </w:r>
          </w:p>
        </w:tc>
        <w:tc>
          <w:tcPr>
            <w:tcW w:w="1103" w:type="dxa"/>
            <w:tcBorders>
              <w:top w:val="nil"/>
              <w:left w:val="nil"/>
              <w:bottom w:val="single" w:color="auto" w:sz="8" w:space="0"/>
              <w:right w:val="single" w:color="auto" w:sz="8" w:space="0"/>
            </w:tcBorders>
            <w:shd w:val="clear" w:color="auto" w:fill="auto"/>
            <w:hideMark/>
          </w:tcPr>
          <w:p w:rsidRPr="003B0F56" w:rsidR="002F1DE1" w:rsidP="002F1DE1" w:rsidRDefault="002F1DE1" w14:paraId="6D080904" w14:textId="19BBC0B3">
            <w:pPr>
              <w:jc w:val="right"/>
            </w:pPr>
          </w:p>
        </w:tc>
        <w:tc>
          <w:tcPr>
            <w:tcW w:w="1542" w:type="dxa"/>
            <w:tcBorders>
              <w:top w:val="nil"/>
              <w:left w:val="nil"/>
              <w:bottom w:val="single" w:color="auto" w:sz="8" w:space="0"/>
              <w:right w:val="single" w:color="auto" w:sz="8" w:space="0"/>
            </w:tcBorders>
            <w:shd w:val="clear" w:color="auto" w:fill="auto"/>
            <w:hideMark/>
          </w:tcPr>
          <w:p w:rsidRPr="003B0F56" w:rsidR="002F1DE1" w:rsidP="002F1DE1" w:rsidRDefault="002F1DE1" w14:paraId="684EC33B" w14:textId="52DC4F32">
            <w:pPr>
              <w:jc w:val="right"/>
            </w:pPr>
            <w:r w:rsidRPr="007E204B">
              <w:t xml:space="preserve">$57,761,257 </w:t>
            </w:r>
          </w:p>
        </w:tc>
      </w:tr>
      <w:tr w:rsidRPr="003B0F56" w:rsidR="002F1DE1" w:rsidTr="000C523E" w14:paraId="387018E4" w14:textId="77777777">
        <w:trPr>
          <w:trHeight w:val="345"/>
        </w:trPr>
        <w:tc>
          <w:tcPr>
            <w:tcW w:w="1833" w:type="dxa"/>
            <w:tcBorders>
              <w:top w:val="nil"/>
              <w:left w:val="single" w:color="auto" w:sz="8" w:space="0"/>
              <w:bottom w:val="single" w:color="auto" w:sz="8" w:space="0"/>
              <w:right w:val="single" w:color="auto" w:sz="8" w:space="0"/>
            </w:tcBorders>
            <w:shd w:val="clear" w:color="auto" w:fill="auto"/>
            <w:hideMark/>
          </w:tcPr>
          <w:p w:rsidRPr="003B0F56" w:rsidR="002F1DE1" w:rsidP="002F1DE1" w:rsidRDefault="002F1DE1" w14:paraId="34D2E2AB" w14:textId="77777777">
            <w:r w:rsidRPr="003B0F56">
              <w:t xml:space="preserve">  IRA (advice firms)</w:t>
            </w:r>
          </w:p>
        </w:tc>
        <w:tc>
          <w:tcPr>
            <w:tcW w:w="1800" w:type="dxa"/>
            <w:tcBorders>
              <w:top w:val="nil"/>
              <w:left w:val="nil"/>
              <w:bottom w:val="single" w:color="auto" w:sz="8" w:space="0"/>
              <w:right w:val="single" w:color="auto" w:sz="8" w:space="0"/>
            </w:tcBorders>
            <w:shd w:val="clear" w:color="auto" w:fill="auto"/>
            <w:hideMark/>
          </w:tcPr>
          <w:p w:rsidRPr="003B0F56" w:rsidR="002F1DE1" w:rsidP="002F1DE1" w:rsidRDefault="002F1DE1" w14:paraId="194E9490" w14:textId="68D70588">
            <w:pPr>
              <w:jc w:val="right"/>
            </w:pPr>
            <w:r w:rsidRPr="007E204B">
              <w:t>11,396</w:t>
            </w:r>
          </w:p>
        </w:tc>
        <w:tc>
          <w:tcPr>
            <w:tcW w:w="1378" w:type="dxa"/>
            <w:tcBorders>
              <w:top w:val="nil"/>
              <w:left w:val="nil"/>
              <w:bottom w:val="single" w:color="auto" w:sz="8" w:space="0"/>
              <w:right w:val="single" w:color="auto" w:sz="8" w:space="0"/>
            </w:tcBorders>
            <w:shd w:val="clear" w:color="auto" w:fill="auto"/>
            <w:hideMark/>
          </w:tcPr>
          <w:p w:rsidRPr="003B0F56" w:rsidR="002F1DE1" w:rsidP="002F1DE1" w:rsidRDefault="002F1DE1" w14:paraId="76A61500" w14:textId="1BFC207A">
            <w:pPr>
              <w:jc w:val="right"/>
            </w:pPr>
            <w:r w:rsidRPr="007E204B">
              <w:t>25</w:t>
            </w:r>
          </w:p>
        </w:tc>
        <w:tc>
          <w:tcPr>
            <w:tcW w:w="1881" w:type="dxa"/>
            <w:tcBorders>
              <w:top w:val="nil"/>
              <w:left w:val="nil"/>
              <w:bottom w:val="single" w:color="auto" w:sz="8" w:space="0"/>
              <w:right w:val="single" w:color="auto" w:sz="8" w:space="0"/>
            </w:tcBorders>
            <w:shd w:val="clear" w:color="auto" w:fill="auto"/>
            <w:hideMark/>
          </w:tcPr>
          <w:p w:rsidRPr="003B0F56" w:rsidR="002F1DE1" w:rsidP="002F1DE1" w:rsidRDefault="002F1DE1" w14:paraId="5C80A625" w14:textId="3276BBA4">
            <w:pPr>
              <w:jc w:val="right"/>
            </w:pPr>
            <w:r w:rsidRPr="007E204B">
              <w:t>284,900</w:t>
            </w:r>
          </w:p>
        </w:tc>
        <w:tc>
          <w:tcPr>
            <w:tcW w:w="1103" w:type="dxa"/>
            <w:tcBorders>
              <w:top w:val="nil"/>
              <w:left w:val="nil"/>
              <w:bottom w:val="single" w:color="auto" w:sz="8" w:space="0"/>
              <w:right w:val="single" w:color="auto" w:sz="8" w:space="0"/>
            </w:tcBorders>
            <w:shd w:val="clear" w:color="auto" w:fill="auto"/>
            <w:hideMark/>
          </w:tcPr>
          <w:p w:rsidRPr="003B0F56" w:rsidR="002F1DE1" w:rsidP="002F1DE1" w:rsidRDefault="002F1DE1" w14:paraId="4E72D11A" w14:textId="10095BD2">
            <w:pPr>
              <w:jc w:val="right"/>
            </w:pPr>
          </w:p>
        </w:tc>
        <w:tc>
          <w:tcPr>
            <w:tcW w:w="1542" w:type="dxa"/>
            <w:tcBorders>
              <w:top w:val="nil"/>
              <w:left w:val="nil"/>
              <w:bottom w:val="single" w:color="auto" w:sz="8" w:space="0"/>
              <w:right w:val="single" w:color="auto" w:sz="8" w:space="0"/>
            </w:tcBorders>
            <w:shd w:val="clear" w:color="auto" w:fill="auto"/>
            <w:hideMark/>
          </w:tcPr>
          <w:p w:rsidRPr="003B0F56" w:rsidR="002F1DE1" w:rsidP="002F1DE1" w:rsidRDefault="002F1DE1" w14:paraId="25CCAF5C" w14:textId="52144794">
            <w:pPr>
              <w:jc w:val="right"/>
            </w:pPr>
            <w:r w:rsidRPr="007E204B">
              <w:t xml:space="preserve">$39,433,009 </w:t>
            </w:r>
          </w:p>
        </w:tc>
      </w:tr>
      <w:tr w:rsidRPr="003B0F56" w:rsidR="002F1DE1" w:rsidTr="00523A59" w14:paraId="76A8EDEF" w14:textId="77777777">
        <w:trPr>
          <w:trHeight w:val="376"/>
        </w:trPr>
        <w:tc>
          <w:tcPr>
            <w:tcW w:w="1833" w:type="dxa"/>
            <w:tcBorders>
              <w:top w:val="nil"/>
              <w:left w:val="single" w:color="auto" w:sz="8" w:space="0"/>
              <w:bottom w:val="single" w:color="auto" w:sz="8" w:space="0"/>
              <w:right w:val="single" w:color="auto" w:sz="8" w:space="0"/>
            </w:tcBorders>
            <w:shd w:val="clear" w:color="auto" w:fill="auto"/>
            <w:hideMark/>
          </w:tcPr>
          <w:p w:rsidRPr="003B0F56" w:rsidR="002F1DE1" w:rsidP="002F1DE1" w:rsidRDefault="002F1DE1" w14:paraId="3F77ACB5" w14:textId="77777777">
            <w:r w:rsidRPr="003B0F56">
              <w:t>TOTAL</w:t>
            </w:r>
          </w:p>
        </w:tc>
        <w:tc>
          <w:tcPr>
            <w:tcW w:w="1800" w:type="dxa"/>
            <w:tcBorders>
              <w:top w:val="nil"/>
              <w:left w:val="nil"/>
              <w:bottom w:val="single" w:color="auto" w:sz="8" w:space="0"/>
              <w:right w:val="single" w:color="auto" w:sz="8" w:space="0"/>
            </w:tcBorders>
            <w:shd w:val="clear" w:color="auto" w:fill="auto"/>
            <w:hideMark/>
          </w:tcPr>
          <w:p w:rsidRPr="003B0F56" w:rsidR="002F1DE1" w:rsidP="002F1DE1" w:rsidRDefault="002F1DE1" w14:paraId="6D297956" w14:textId="6F0ACCC2">
            <w:pPr>
              <w:jc w:val="right"/>
            </w:pPr>
          </w:p>
        </w:tc>
        <w:tc>
          <w:tcPr>
            <w:tcW w:w="1378" w:type="dxa"/>
            <w:tcBorders>
              <w:top w:val="nil"/>
              <w:left w:val="nil"/>
              <w:bottom w:val="single" w:color="auto" w:sz="8" w:space="0"/>
              <w:right w:val="single" w:color="auto" w:sz="8" w:space="0"/>
            </w:tcBorders>
            <w:shd w:val="clear" w:color="auto" w:fill="auto"/>
            <w:hideMark/>
          </w:tcPr>
          <w:p w:rsidRPr="003B0F56" w:rsidR="002F1DE1" w:rsidP="002F1DE1" w:rsidRDefault="002F1DE1" w14:paraId="6B20D36C" w14:textId="0C5E2012">
            <w:pPr>
              <w:jc w:val="right"/>
            </w:pPr>
          </w:p>
        </w:tc>
        <w:tc>
          <w:tcPr>
            <w:tcW w:w="1881" w:type="dxa"/>
            <w:tcBorders>
              <w:top w:val="nil"/>
              <w:left w:val="nil"/>
              <w:bottom w:val="single" w:color="auto" w:sz="8" w:space="0"/>
              <w:right w:val="single" w:color="auto" w:sz="8" w:space="0"/>
            </w:tcBorders>
            <w:shd w:val="clear" w:color="auto" w:fill="auto"/>
            <w:hideMark/>
          </w:tcPr>
          <w:p w:rsidRPr="003B0F56" w:rsidR="002F1DE1" w:rsidP="002F1DE1" w:rsidRDefault="002F1DE1" w14:paraId="655BC7C0" w14:textId="1201141B">
            <w:pPr>
              <w:jc w:val="right"/>
            </w:pPr>
            <w:r w:rsidRPr="007E204B">
              <w:t>930,260</w:t>
            </w:r>
          </w:p>
        </w:tc>
        <w:tc>
          <w:tcPr>
            <w:tcW w:w="1103" w:type="dxa"/>
            <w:tcBorders>
              <w:top w:val="nil"/>
              <w:left w:val="nil"/>
              <w:bottom w:val="single" w:color="auto" w:sz="8" w:space="0"/>
              <w:right w:val="single" w:color="auto" w:sz="8" w:space="0"/>
            </w:tcBorders>
            <w:shd w:val="clear" w:color="auto" w:fill="auto"/>
            <w:hideMark/>
          </w:tcPr>
          <w:p w:rsidRPr="003B0F56" w:rsidR="002F1DE1" w:rsidP="002F1DE1" w:rsidRDefault="002F1DE1" w14:paraId="0D0AF1C9" w14:textId="4E6D00D0">
            <w:pPr>
              <w:jc w:val="right"/>
            </w:pPr>
          </w:p>
        </w:tc>
        <w:tc>
          <w:tcPr>
            <w:tcW w:w="1542" w:type="dxa"/>
            <w:tcBorders>
              <w:top w:val="nil"/>
              <w:left w:val="nil"/>
              <w:bottom w:val="single" w:color="auto" w:sz="8" w:space="0"/>
              <w:right w:val="single" w:color="auto" w:sz="8" w:space="0"/>
            </w:tcBorders>
            <w:shd w:val="clear" w:color="auto" w:fill="auto"/>
            <w:hideMark/>
          </w:tcPr>
          <w:p w:rsidRPr="003B0F56" w:rsidR="002F1DE1" w:rsidP="002F1DE1" w:rsidRDefault="002F1DE1" w14:paraId="77EA681C" w14:textId="46C4FD76">
            <w:pPr>
              <w:jc w:val="right"/>
            </w:pPr>
            <w:r w:rsidRPr="007E204B">
              <w:t xml:space="preserve">$128,757,283 </w:t>
            </w:r>
          </w:p>
        </w:tc>
      </w:tr>
    </w:tbl>
    <w:p w:rsidR="00CA7B0E" w:rsidP="000F6358" w:rsidRDefault="00CA7B0E" w14:paraId="49BCDC17" w14:textId="77777777">
      <w:pPr>
        <w:rPr>
          <w:color w:val="000000"/>
        </w:rPr>
      </w:pPr>
    </w:p>
    <w:p w:rsidRPr="003B0F56" w:rsidR="00CA7B0E" w:rsidP="00806068" w:rsidRDefault="00CA7B0E" w14:paraId="6D543858" w14:textId="77777777">
      <w:pPr>
        <w:ind w:left="720"/>
        <w:rPr>
          <w:color w:val="000000"/>
        </w:rPr>
      </w:pPr>
    </w:p>
    <w:p w:rsidRPr="003B0F56" w:rsidR="006962D3" w:rsidP="00E92AF4" w:rsidRDefault="00806068" w14:paraId="53026794" w14:textId="77777777">
      <w:pPr>
        <w:ind w:left="1440" w:hanging="720"/>
        <w:rPr>
          <w:color w:val="000000"/>
        </w:rPr>
      </w:pPr>
      <w:r w:rsidRPr="00806068">
        <w:rPr>
          <w:b/>
          <w:color w:val="000000"/>
        </w:rPr>
        <w:t>d.</w:t>
      </w:r>
      <w:r w:rsidRPr="00806068">
        <w:rPr>
          <w:b/>
          <w:color w:val="000000"/>
        </w:rPr>
        <w:tab/>
      </w:r>
      <w:r w:rsidRPr="003B0F56" w:rsidR="006962D3">
        <w:rPr>
          <w:b/>
          <w:color w:val="000000"/>
          <w:u w:val="single"/>
        </w:rPr>
        <w:t>Recordkeeping Requirements</w:t>
      </w:r>
    </w:p>
    <w:p w:rsidRPr="003B0F56" w:rsidR="006962D3" w:rsidP="00E92AF4" w:rsidRDefault="006962D3" w14:paraId="1E4C69EA" w14:textId="77777777">
      <w:pPr>
        <w:ind w:left="720"/>
        <w:rPr>
          <w:color w:val="000000"/>
        </w:rPr>
      </w:pPr>
    </w:p>
    <w:p w:rsidRPr="003B0F56" w:rsidR="006962D3" w:rsidP="00E92AF4" w:rsidRDefault="006962D3" w14:paraId="748804FB" w14:textId="77777777">
      <w:pPr>
        <w:ind w:left="720"/>
        <w:rPr>
          <w:color w:val="000000"/>
        </w:rPr>
      </w:pPr>
      <w:r w:rsidRPr="003B0F56">
        <w:rPr>
          <w:color w:val="000000"/>
        </w:rPr>
        <w:t xml:space="preserve">The Department also assumes that all </w:t>
      </w:r>
      <w:r w:rsidRPr="003B0F56" w:rsidR="00D64996">
        <w:rPr>
          <w:color w:val="000000"/>
        </w:rPr>
        <w:t>investment advisory</w:t>
      </w:r>
      <w:r w:rsidRPr="003B0F56">
        <w:rPr>
          <w:color w:val="000000"/>
        </w:rPr>
        <w:t xml:space="preserve"> firms </w:t>
      </w:r>
      <w:r w:rsidRPr="003B0F56" w:rsidR="00726626">
        <w:rPr>
          <w:color w:val="000000"/>
        </w:rPr>
        <w:t xml:space="preserve">need to </w:t>
      </w:r>
      <w:r w:rsidRPr="003B0F56">
        <w:rPr>
          <w:color w:val="000000"/>
        </w:rPr>
        <w:t>maintain recordkeeping systems.  The Department assumes that all records that are required to be maintained will be kept electronically under normal business practices</w:t>
      </w:r>
      <w:r w:rsidRPr="003B0F56" w:rsidR="00532848">
        <w:rPr>
          <w:color w:val="000000"/>
        </w:rPr>
        <w:t>;</w:t>
      </w:r>
      <w:r w:rsidRPr="003B0F56">
        <w:rPr>
          <w:color w:val="000000"/>
        </w:rPr>
        <w:t xml:space="preserve"> there</w:t>
      </w:r>
      <w:r w:rsidRPr="003B0F56" w:rsidR="00532848">
        <w:rPr>
          <w:color w:val="000000"/>
        </w:rPr>
        <w:t xml:space="preserve">fore </w:t>
      </w:r>
      <w:r w:rsidRPr="003B0F56">
        <w:rPr>
          <w:color w:val="000000"/>
        </w:rPr>
        <w:t xml:space="preserve">no printing and negligible holding costs </w:t>
      </w:r>
      <w:r w:rsidRPr="003B0F56" w:rsidR="00532848">
        <w:rPr>
          <w:color w:val="000000"/>
        </w:rPr>
        <w:t xml:space="preserve">are anticipated to be </w:t>
      </w:r>
      <w:r w:rsidRPr="003B0F56">
        <w:rPr>
          <w:color w:val="000000"/>
        </w:rPr>
        <w:t xml:space="preserve">associated with </w:t>
      </w:r>
      <w:r w:rsidRPr="003B0F56" w:rsidR="00B8794B">
        <w:rPr>
          <w:color w:val="000000"/>
        </w:rPr>
        <w:t xml:space="preserve">records </w:t>
      </w:r>
      <w:r w:rsidRPr="003B0F56">
        <w:rPr>
          <w:color w:val="000000"/>
        </w:rPr>
        <w:t>maintenance.</w:t>
      </w:r>
    </w:p>
    <w:p w:rsidRPr="003B0F56" w:rsidR="006962D3" w:rsidP="00E92AF4" w:rsidRDefault="006962D3" w14:paraId="2133FC42" w14:textId="77777777">
      <w:pPr>
        <w:ind w:left="720"/>
        <w:rPr>
          <w:color w:val="000000"/>
        </w:rPr>
      </w:pPr>
    </w:p>
    <w:p w:rsidRPr="003B0F56" w:rsidR="006962D3" w:rsidP="00E92AF4" w:rsidRDefault="00E92AF4" w14:paraId="6261392E" w14:textId="77777777">
      <w:pPr>
        <w:ind w:left="1440" w:hanging="720"/>
        <w:rPr>
          <w:color w:val="000000"/>
        </w:rPr>
      </w:pPr>
      <w:r w:rsidRPr="00E92AF4">
        <w:rPr>
          <w:b/>
          <w:color w:val="000000"/>
        </w:rPr>
        <w:t>e.</w:t>
      </w:r>
      <w:r w:rsidRPr="00E92AF4">
        <w:rPr>
          <w:b/>
          <w:color w:val="000000"/>
        </w:rPr>
        <w:tab/>
      </w:r>
      <w:r w:rsidRPr="003B0F56" w:rsidR="006962D3">
        <w:rPr>
          <w:b/>
          <w:color w:val="000000"/>
          <w:u w:val="single"/>
        </w:rPr>
        <w:t>Audit Requirements</w:t>
      </w:r>
    </w:p>
    <w:p w:rsidRPr="003B0F56" w:rsidR="006962D3" w:rsidP="002F4648" w:rsidRDefault="006962D3" w14:paraId="46DB854F" w14:textId="77777777">
      <w:pPr>
        <w:ind w:left="720"/>
        <w:rPr>
          <w:color w:val="000000"/>
        </w:rPr>
      </w:pPr>
    </w:p>
    <w:p w:rsidRPr="003B0F56" w:rsidR="006962D3" w:rsidP="002F4648" w:rsidRDefault="006962D3" w14:paraId="6E95FB3E" w14:textId="50E5A80B">
      <w:pPr>
        <w:ind w:left="720"/>
        <w:rPr>
          <w:color w:val="000000"/>
        </w:rPr>
      </w:pPr>
      <w:r w:rsidRPr="003B0F56">
        <w:rPr>
          <w:color w:val="000000"/>
        </w:rPr>
        <w:t xml:space="preserve">An annual audit </w:t>
      </w:r>
      <w:r w:rsidRPr="003B0F56" w:rsidR="00D6536F">
        <w:rPr>
          <w:color w:val="000000"/>
        </w:rPr>
        <w:t>performed</w:t>
      </w:r>
      <w:r w:rsidRPr="003B0F56">
        <w:rPr>
          <w:color w:val="000000"/>
        </w:rPr>
        <w:t xml:space="preserve"> by an independent </w:t>
      </w:r>
      <w:r w:rsidRPr="003B0F56" w:rsidR="008F7D77">
        <w:rPr>
          <w:color w:val="000000"/>
        </w:rPr>
        <w:t>auditor</w:t>
      </w:r>
      <w:r w:rsidRPr="003B0F56">
        <w:rPr>
          <w:color w:val="000000"/>
        </w:rPr>
        <w:t xml:space="preserve"> is required under the </w:t>
      </w:r>
      <w:r w:rsidRPr="003B0F56" w:rsidR="00F87EBF">
        <w:rPr>
          <w:color w:val="000000"/>
        </w:rPr>
        <w:t xml:space="preserve">statutory </w:t>
      </w:r>
      <w:r w:rsidRPr="003B0F56">
        <w:rPr>
          <w:color w:val="000000"/>
        </w:rPr>
        <w:t>exemption, and all firms are assumed to outsource this service but use some internal clerical and legal professional time to assist the auditor.</w:t>
      </w:r>
      <w:r w:rsidRPr="003B0F56" w:rsidR="00651E86">
        <w:rPr>
          <w:rStyle w:val="FootnoteReference"/>
          <w:color w:val="000000"/>
        </w:rPr>
        <w:footnoteReference w:id="4"/>
      </w:r>
      <w:r w:rsidRPr="003B0F56">
        <w:rPr>
          <w:color w:val="000000"/>
        </w:rPr>
        <w:t xml:space="preserve">  The clerical staff is expected to spend about three hours per </w:t>
      </w:r>
      <w:r w:rsidRPr="003B0F56" w:rsidR="00726626">
        <w:rPr>
          <w:color w:val="000000"/>
        </w:rPr>
        <w:t xml:space="preserve">advisory </w:t>
      </w:r>
      <w:r w:rsidRPr="003B0F56">
        <w:rPr>
          <w:color w:val="000000"/>
        </w:rPr>
        <w:t xml:space="preserve">firm </w:t>
      </w:r>
      <w:r w:rsidRPr="003B0F56" w:rsidR="00726626">
        <w:rPr>
          <w:color w:val="000000"/>
        </w:rPr>
        <w:t xml:space="preserve">and on average ten minutes per </w:t>
      </w:r>
      <w:r w:rsidRPr="003B0F56" w:rsidR="00E930D7">
        <w:rPr>
          <w:color w:val="000000"/>
        </w:rPr>
        <w:t>p</w:t>
      </w:r>
      <w:r w:rsidRPr="003B0F56" w:rsidR="00726626">
        <w:rPr>
          <w:color w:val="000000"/>
        </w:rPr>
        <w:t xml:space="preserve">articipant </w:t>
      </w:r>
      <w:r w:rsidRPr="003B0F56" w:rsidR="00651E86">
        <w:rPr>
          <w:color w:val="000000"/>
        </w:rPr>
        <w:t>to gather</w:t>
      </w:r>
      <w:r w:rsidRPr="003B0F56">
        <w:rPr>
          <w:color w:val="000000"/>
        </w:rPr>
        <w:t xml:space="preserve"> </w:t>
      </w:r>
      <w:r w:rsidRPr="003B0F56" w:rsidR="00726626">
        <w:rPr>
          <w:color w:val="000000"/>
        </w:rPr>
        <w:t>documentation and other information</w:t>
      </w:r>
      <w:r w:rsidRPr="003B0F56">
        <w:rPr>
          <w:color w:val="000000"/>
        </w:rPr>
        <w:t xml:space="preserve">.  The in-house legal professional is expected to need approximately four hours to assist the auditor with the statutory exemption audit.  The Department estimates that about one percent of </w:t>
      </w:r>
      <w:r w:rsidRPr="003B0F56" w:rsidR="00E930D7">
        <w:rPr>
          <w:color w:val="000000"/>
        </w:rPr>
        <w:t>p</w:t>
      </w:r>
      <w:r w:rsidRPr="003B0F56" w:rsidR="00D64996">
        <w:rPr>
          <w:color w:val="000000"/>
        </w:rPr>
        <w:t>articipant</w:t>
      </w:r>
      <w:r w:rsidRPr="003B0F56">
        <w:rPr>
          <w:color w:val="000000"/>
        </w:rPr>
        <w:t xml:space="preserve">s will be audited per year, </w:t>
      </w:r>
      <w:r w:rsidRPr="003B0F56" w:rsidR="00726626">
        <w:rPr>
          <w:color w:val="000000"/>
        </w:rPr>
        <w:t xml:space="preserve">resulting in </w:t>
      </w:r>
      <w:r w:rsidR="0051624C">
        <w:rPr>
          <w:color w:val="000000"/>
        </w:rPr>
        <w:t>23</w:t>
      </w:r>
      <w:r w:rsidR="00CF74D3">
        <w:rPr>
          <w:color w:val="000000"/>
        </w:rPr>
        <w:t>0</w:t>
      </w:r>
      <w:r w:rsidR="0051624C">
        <w:rPr>
          <w:color w:val="000000"/>
        </w:rPr>
        <w:t>,330</w:t>
      </w:r>
      <w:r w:rsidRPr="003B0F56" w:rsidR="008C6CB1">
        <w:rPr>
          <w:color w:val="000000"/>
        </w:rPr>
        <w:t xml:space="preserve"> </w:t>
      </w:r>
      <w:r w:rsidRPr="003B0F56" w:rsidR="00726626">
        <w:rPr>
          <w:color w:val="000000"/>
        </w:rPr>
        <w:t>audits</w:t>
      </w:r>
      <w:r w:rsidRPr="003B0F56">
        <w:rPr>
          <w:color w:val="000000"/>
        </w:rPr>
        <w:t xml:space="preserve"> of </w:t>
      </w:r>
      <w:r w:rsidRPr="00FE7598" w:rsidR="00FE7598">
        <w:rPr>
          <w:color w:val="000000"/>
        </w:rPr>
        <w:t>23,033,030</w:t>
      </w:r>
      <w:r w:rsidR="00FE7598">
        <w:rPr>
          <w:color w:val="000000"/>
        </w:rPr>
        <w:t xml:space="preserve"> </w:t>
      </w:r>
      <w:r w:rsidRPr="003B0F56">
        <w:rPr>
          <w:color w:val="000000"/>
        </w:rPr>
        <w:t xml:space="preserve">total </w:t>
      </w:r>
      <w:r w:rsidRPr="003B0F56" w:rsidR="00E930D7">
        <w:rPr>
          <w:color w:val="000000"/>
        </w:rPr>
        <w:t>p</w:t>
      </w:r>
      <w:r w:rsidRPr="003B0F56" w:rsidR="00D64996">
        <w:rPr>
          <w:color w:val="000000"/>
        </w:rPr>
        <w:t>articipant</w:t>
      </w:r>
      <w:r w:rsidRPr="003B0F56">
        <w:rPr>
          <w:color w:val="000000"/>
        </w:rPr>
        <w:t xml:space="preserve">s.  As each </w:t>
      </w:r>
      <w:r w:rsidRPr="003B0F56" w:rsidR="006677FF">
        <w:rPr>
          <w:color w:val="000000"/>
        </w:rPr>
        <w:t>p</w:t>
      </w:r>
      <w:r w:rsidRPr="003B0F56" w:rsidR="00D64996">
        <w:rPr>
          <w:color w:val="000000"/>
        </w:rPr>
        <w:t>articipant</w:t>
      </w:r>
      <w:r w:rsidRPr="003B0F56">
        <w:rPr>
          <w:color w:val="000000"/>
        </w:rPr>
        <w:t xml:space="preserve"> receives advice on average four times per year, there are</w:t>
      </w:r>
      <w:r w:rsidRPr="00897356" w:rsidR="00897356">
        <w:rPr>
          <w:color w:val="000000"/>
        </w:rPr>
        <w:t xml:space="preserve"> 921,321 </w:t>
      </w:r>
      <w:r w:rsidRPr="003B0F56" w:rsidR="00D64996">
        <w:rPr>
          <w:color w:val="000000"/>
        </w:rPr>
        <w:t>Participant</w:t>
      </w:r>
      <w:r w:rsidRPr="003B0F56">
        <w:rPr>
          <w:color w:val="000000"/>
        </w:rPr>
        <w:t xml:space="preserve"> transactions audited under the statutory exemption each year. </w:t>
      </w:r>
      <w:r w:rsidR="00275B44">
        <w:rPr>
          <w:color w:val="000000"/>
        </w:rPr>
        <w:t xml:space="preserve"> </w:t>
      </w:r>
      <w:r w:rsidRPr="003B0F56">
        <w:rPr>
          <w:color w:val="000000"/>
        </w:rPr>
        <w:t xml:space="preserve">Overall, the annual in-house hour burden for the annual audit requirement is </w:t>
      </w:r>
      <w:r w:rsidR="0051624C">
        <w:rPr>
          <w:color w:val="000000"/>
        </w:rPr>
        <w:t>118,160</w:t>
      </w:r>
      <w:r w:rsidRPr="003B0F56" w:rsidR="008C6CB1">
        <w:rPr>
          <w:color w:val="000000"/>
        </w:rPr>
        <w:t xml:space="preserve"> </w:t>
      </w:r>
      <w:r w:rsidRPr="003B0F56">
        <w:rPr>
          <w:color w:val="000000"/>
        </w:rPr>
        <w:t xml:space="preserve">hours, with equivalent costs of </w:t>
      </w:r>
      <w:r w:rsidRPr="0051624C" w:rsidR="0051624C">
        <w:rPr>
          <w:color w:val="000000"/>
        </w:rPr>
        <w:t>$10,311,143</w:t>
      </w:r>
      <w:r w:rsidRPr="003B0F56">
        <w:rPr>
          <w:color w:val="000000"/>
        </w:rPr>
        <w:t>.</w:t>
      </w:r>
    </w:p>
    <w:p w:rsidRPr="003B0F56" w:rsidR="008C6CB1" w:rsidP="002F4648" w:rsidRDefault="008C6CB1" w14:paraId="0AD467AC" w14:textId="77777777">
      <w:pPr>
        <w:ind w:left="720"/>
        <w:rPr>
          <w:color w:val="000000"/>
        </w:rPr>
      </w:pPr>
    </w:p>
    <w:tbl>
      <w:tblPr>
        <w:tblW w:w="9543" w:type="dxa"/>
        <w:tblInd w:w="720" w:type="dxa"/>
        <w:tblLook w:val="04A0" w:firstRow="1" w:lastRow="0" w:firstColumn="1" w:lastColumn="0" w:noHBand="0" w:noVBand="1"/>
      </w:tblPr>
      <w:tblGrid>
        <w:gridCol w:w="2347"/>
        <w:gridCol w:w="1731"/>
        <w:gridCol w:w="1353"/>
        <w:gridCol w:w="1348"/>
        <w:gridCol w:w="1348"/>
        <w:gridCol w:w="1416"/>
      </w:tblGrid>
      <w:tr w:rsidRPr="003B0F56" w:rsidR="008C6CB1" w:rsidTr="00A81396" w14:paraId="58088201" w14:textId="77777777">
        <w:trPr>
          <w:trHeight w:val="356"/>
        </w:trPr>
        <w:tc>
          <w:tcPr>
            <w:tcW w:w="9543" w:type="dxa"/>
            <w:gridSpan w:val="6"/>
            <w:tcBorders>
              <w:top w:val="nil"/>
              <w:left w:val="nil"/>
              <w:bottom w:val="nil"/>
              <w:right w:val="nil"/>
            </w:tcBorders>
            <w:shd w:val="clear" w:color="auto" w:fill="auto"/>
            <w:vAlign w:val="bottom"/>
            <w:hideMark/>
          </w:tcPr>
          <w:p w:rsidRPr="003B0F56" w:rsidR="008C6CB1" w:rsidRDefault="008C6CB1" w14:paraId="1199E590" w14:textId="77777777">
            <w:pPr>
              <w:rPr>
                <w:color w:val="000000"/>
              </w:rPr>
            </w:pPr>
            <w:r w:rsidRPr="003B0F56">
              <w:rPr>
                <w:color w:val="000000"/>
              </w:rPr>
              <w:t>Table 6.--Annual Audit Hour Burden Estimates</w:t>
            </w:r>
          </w:p>
        </w:tc>
      </w:tr>
      <w:tr w:rsidRPr="003B0F56" w:rsidR="008C6CB1" w:rsidTr="008429D7" w14:paraId="7F708184" w14:textId="77777777">
        <w:trPr>
          <w:trHeight w:val="356"/>
        </w:trPr>
        <w:tc>
          <w:tcPr>
            <w:tcW w:w="2371" w:type="dxa"/>
            <w:tcBorders>
              <w:top w:val="single" w:color="auto" w:sz="8" w:space="0"/>
              <w:left w:val="single" w:color="auto" w:sz="8" w:space="0"/>
              <w:bottom w:val="single" w:color="auto" w:sz="8" w:space="0"/>
              <w:right w:val="single" w:color="auto" w:sz="8" w:space="0"/>
            </w:tcBorders>
            <w:shd w:val="clear" w:color="auto" w:fill="auto"/>
            <w:hideMark/>
          </w:tcPr>
          <w:p w:rsidRPr="003B0F56" w:rsidR="008C6CB1" w:rsidRDefault="008C6CB1" w14:paraId="59703F25" w14:textId="77777777">
            <w:pPr>
              <w:rPr>
                <w:b/>
                <w:bCs/>
              </w:rPr>
            </w:pPr>
            <w:r w:rsidRPr="003B0F56">
              <w:rPr>
                <w:b/>
                <w:bCs/>
              </w:rPr>
              <w:t> </w:t>
            </w:r>
          </w:p>
        </w:tc>
        <w:tc>
          <w:tcPr>
            <w:tcW w:w="1743" w:type="dxa"/>
            <w:tcBorders>
              <w:top w:val="single" w:color="auto" w:sz="8" w:space="0"/>
              <w:left w:val="nil"/>
              <w:bottom w:val="single" w:color="auto" w:sz="8" w:space="0"/>
              <w:right w:val="single" w:color="auto" w:sz="8" w:space="0"/>
            </w:tcBorders>
            <w:shd w:val="clear" w:color="auto" w:fill="auto"/>
            <w:hideMark/>
          </w:tcPr>
          <w:p w:rsidRPr="003B0F56" w:rsidR="008C6CB1" w:rsidRDefault="008C6CB1" w14:paraId="42336607" w14:textId="77777777">
            <w:pPr>
              <w:jc w:val="center"/>
              <w:rPr>
                <w:b/>
                <w:bCs/>
              </w:rPr>
            </w:pPr>
            <w:r w:rsidRPr="003B0F56">
              <w:rPr>
                <w:b/>
                <w:bCs/>
              </w:rPr>
              <w:t>Estimated Number</w:t>
            </w:r>
          </w:p>
        </w:tc>
        <w:tc>
          <w:tcPr>
            <w:tcW w:w="1357" w:type="dxa"/>
            <w:tcBorders>
              <w:top w:val="single" w:color="auto" w:sz="8" w:space="0"/>
              <w:left w:val="nil"/>
              <w:bottom w:val="single" w:color="auto" w:sz="8" w:space="0"/>
              <w:right w:val="single" w:color="auto" w:sz="8" w:space="0"/>
            </w:tcBorders>
            <w:shd w:val="clear" w:color="auto" w:fill="auto"/>
            <w:hideMark/>
          </w:tcPr>
          <w:p w:rsidRPr="003B0F56" w:rsidR="008C6CB1" w:rsidRDefault="008C6CB1" w14:paraId="48DDF07C" w14:textId="77777777">
            <w:pPr>
              <w:jc w:val="center"/>
              <w:rPr>
                <w:b/>
                <w:bCs/>
              </w:rPr>
            </w:pPr>
            <w:r w:rsidRPr="003B0F56">
              <w:rPr>
                <w:b/>
                <w:bCs/>
              </w:rPr>
              <w:t>Hours Required</w:t>
            </w:r>
          </w:p>
        </w:tc>
        <w:tc>
          <w:tcPr>
            <w:tcW w:w="1357" w:type="dxa"/>
            <w:tcBorders>
              <w:top w:val="single" w:color="auto" w:sz="8" w:space="0"/>
              <w:left w:val="nil"/>
              <w:bottom w:val="single" w:color="auto" w:sz="8" w:space="0"/>
              <w:right w:val="single" w:color="auto" w:sz="8" w:space="0"/>
            </w:tcBorders>
            <w:shd w:val="clear" w:color="auto" w:fill="auto"/>
            <w:hideMark/>
          </w:tcPr>
          <w:p w:rsidRPr="003B0F56" w:rsidR="008C6CB1" w:rsidRDefault="008C6CB1" w14:paraId="055FAC01" w14:textId="77777777">
            <w:pPr>
              <w:jc w:val="center"/>
              <w:rPr>
                <w:b/>
                <w:bCs/>
              </w:rPr>
            </w:pPr>
            <w:r w:rsidRPr="003B0F56">
              <w:rPr>
                <w:b/>
                <w:bCs/>
              </w:rPr>
              <w:t>Hour Burden</w:t>
            </w:r>
          </w:p>
        </w:tc>
        <w:tc>
          <w:tcPr>
            <w:tcW w:w="1357" w:type="dxa"/>
            <w:tcBorders>
              <w:top w:val="single" w:color="auto" w:sz="8" w:space="0"/>
              <w:left w:val="nil"/>
              <w:bottom w:val="single" w:color="auto" w:sz="8" w:space="0"/>
              <w:right w:val="single" w:color="auto" w:sz="8" w:space="0"/>
            </w:tcBorders>
            <w:shd w:val="clear" w:color="auto" w:fill="auto"/>
            <w:hideMark/>
          </w:tcPr>
          <w:p w:rsidRPr="003B0F56" w:rsidR="008C6CB1" w:rsidRDefault="008C6CB1" w14:paraId="42564581" w14:textId="77777777">
            <w:pPr>
              <w:jc w:val="center"/>
              <w:rPr>
                <w:b/>
                <w:bCs/>
              </w:rPr>
            </w:pPr>
            <w:r w:rsidRPr="003B0F56">
              <w:rPr>
                <w:b/>
                <w:bCs/>
              </w:rPr>
              <w:t>Hourly Rate</w:t>
            </w:r>
          </w:p>
        </w:tc>
        <w:tc>
          <w:tcPr>
            <w:tcW w:w="1358" w:type="dxa"/>
            <w:tcBorders>
              <w:top w:val="single" w:color="auto" w:sz="8" w:space="0"/>
              <w:left w:val="nil"/>
              <w:bottom w:val="single" w:color="auto" w:sz="8" w:space="0"/>
              <w:right w:val="single" w:color="auto" w:sz="8" w:space="0"/>
            </w:tcBorders>
            <w:shd w:val="clear" w:color="auto" w:fill="auto"/>
            <w:hideMark/>
          </w:tcPr>
          <w:p w:rsidRPr="003B0F56" w:rsidR="008C6CB1" w:rsidRDefault="008C6CB1" w14:paraId="02B546F9" w14:textId="77777777">
            <w:pPr>
              <w:jc w:val="center"/>
              <w:rPr>
                <w:b/>
                <w:bCs/>
              </w:rPr>
            </w:pPr>
            <w:r w:rsidRPr="003B0F56">
              <w:rPr>
                <w:b/>
                <w:bCs/>
              </w:rPr>
              <w:t>Equivalent Cost</w:t>
            </w:r>
          </w:p>
        </w:tc>
      </w:tr>
      <w:tr w:rsidRPr="003B0F56" w:rsidR="003F4770" w:rsidTr="008429D7" w14:paraId="45DDB017" w14:textId="77777777">
        <w:trPr>
          <w:trHeight w:val="356"/>
        </w:trPr>
        <w:tc>
          <w:tcPr>
            <w:tcW w:w="2371" w:type="dxa"/>
            <w:tcBorders>
              <w:top w:val="nil"/>
              <w:left w:val="single" w:color="auto" w:sz="8" w:space="0"/>
              <w:bottom w:val="single" w:color="auto" w:sz="8" w:space="0"/>
              <w:right w:val="single" w:color="auto" w:sz="8" w:space="0"/>
            </w:tcBorders>
            <w:shd w:val="clear" w:color="auto" w:fill="auto"/>
            <w:hideMark/>
          </w:tcPr>
          <w:p w:rsidRPr="003B0F56" w:rsidR="003F4770" w:rsidP="003F4770" w:rsidRDefault="003F4770" w14:paraId="1A25949A" w14:textId="77777777">
            <w:r w:rsidRPr="003B0F56">
              <w:t>Clerical Work (Per Firm)</w:t>
            </w:r>
          </w:p>
        </w:tc>
        <w:tc>
          <w:tcPr>
            <w:tcW w:w="1743" w:type="dxa"/>
            <w:tcBorders>
              <w:top w:val="nil"/>
              <w:left w:val="nil"/>
              <w:bottom w:val="single" w:color="auto" w:sz="8" w:space="0"/>
              <w:right w:val="single" w:color="auto" w:sz="8" w:space="0"/>
            </w:tcBorders>
            <w:shd w:val="clear" w:color="auto" w:fill="auto"/>
            <w:hideMark/>
          </w:tcPr>
          <w:p w:rsidRPr="003B0F56" w:rsidR="003F4770" w:rsidP="003F4770" w:rsidRDefault="003F4770" w14:paraId="2EC294DD" w14:textId="156C9F4A">
            <w:pPr>
              <w:jc w:val="right"/>
            </w:pPr>
            <w:r w:rsidRPr="008C007D">
              <w:t xml:space="preserve">11,396 </w:t>
            </w: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79D5AF9C" w14:textId="0327A5F0">
            <w:pPr>
              <w:jc w:val="right"/>
            </w:pPr>
            <w:r w:rsidRPr="008C007D">
              <w:t xml:space="preserve">3 </w:t>
            </w: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15BEDEE6" w14:textId="2315A9AD">
            <w:pPr>
              <w:jc w:val="right"/>
            </w:pPr>
            <w:r w:rsidRPr="008C007D">
              <w:t xml:space="preserve">34,188 </w:t>
            </w: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5679CE55" w14:textId="111B2240">
            <w:pPr>
              <w:jc w:val="right"/>
            </w:pPr>
            <w:r w:rsidRPr="008C007D">
              <w:t>$55.14</w:t>
            </w:r>
          </w:p>
        </w:tc>
        <w:tc>
          <w:tcPr>
            <w:tcW w:w="1358" w:type="dxa"/>
            <w:tcBorders>
              <w:top w:val="nil"/>
              <w:left w:val="nil"/>
              <w:bottom w:val="single" w:color="auto" w:sz="8" w:space="0"/>
              <w:right w:val="single" w:color="auto" w:sz="8" w:space="0"/>
            </w:tcBorders>
            <w:shd w:val="clear" w:color="auto" w:fill="auto"/>
            <w:hideMark/>
          </w:tcPr>
          <w:p w:rsidRPr="003B0F56" w:rsidR="003F4770" w:rsidP="003F4770" w:rsidRDefault="003F4770" w14:paraId="19ED763D" w14:textId="58FDB7E8">
            <w:pPr>
              <w:jc w:val="right"/>
            </w:pPr>
            <w:r w:rsidRPr="008C007D">
              <w:t>$1,885,126</w:t>
            </w:r>
          </w:p>
        </w:tc>
      </w:tr>
      <w:tr w:rsidRPr="003B0F56" w:rsidR="003F4770" w:rsidTr="008429D7" w14:paraId="3A256478" w14:textId="77777777">
        <w:trPr>
          <w:trHeight w:val="356"/>
        </w:trPr>
        <w:tc>
          <w:tcPr>
            <w:tcW w:w="2371" w:type="dxa"/>
            <w:tcBorders>
              <w:top w:val="nil"/>
              <w:left w:val="single" w:color="auto" w:sz="8" w:space="0"/>
              <w:bottom w:val="single" w:color="auto" w:sz="8" w:space="0"/>
              <w:right w:val="single" w:color="auto" w:sz="8" w:space="0"/>
            </w:tcBorders>
            <w:shd w:val="clear" w:color="auto" w:fill="auto"/>
            <w:hideMark/>
          </w:tcPr>
          <w:p w:rsidRPr="003B0F56" w:rsidR="003F4770" w:rsidP="003F4770" w:rsidRDefault="003F4770" w14:paraId="64B94974" w14:textId="77777777">
            <w:r w:rsidRPr="003B0F56">
              <w:t>Clerical Work (Per Participant)</w:t>
            </w:r>
          </w:p>
        </w:tc>
        <w:tc>
          <w:tcPr>
            <w:tcW w:w="1743" w:type="dxa"/>
            <w:tcBorders>
              <w:top w:val="nil"/>
              <w:left w:val="nil"/>
              <w:bottom w:val="single" w:color="auto" w:sz="8" w:space="0"/>
              <w:right w:val="single" w:color="auto" w:sz="8" w:space="0"/>
            </w:tcBorders>
            <w:shd w:val="clear" w:color="auto" w:fill="auto"/>
            <w:hideMark/>
          </w:tcPr>
          <w:p w:rsidRPr="003B0F56" w:rsidR="003F4770" w:rsidP="003F4770" w:rsidRDefault="003F4770" w14:paraId="3343E4F2" w14:textId="18852423">
            <w:pPr>
              <w:jc w:val="right"/>
            </w:pPr>
            <w:r w:rsidRPr="008C007D">
              <w:t xml:space="preserve">230,330 </w:t>
            </w: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4EB2F0C7" w14:textId="46C818EC">
            <w:pPr>
              <w:jc w:val="right"/>
            </w:pPr>
            <w:r w:rsidRPr="008C007D">
              <w:t xml:space="preserve">0.167 </w:t>
            </w: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41CBEC77" w14:textId="0570F725">
            <w:pPr>
              <w:jc w:val="right"/>
            </w:pPr>
            <w:r w:rsidRPr="008C007D">
              <w:t xml:space="preserve">38,388 </w:t>
            </w: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473B79D5" w14:textId="59C5FF03">
            <w:pPr>
              <w:jc w:val="right"/>
            </w:pPr>
            <w:r w:rsidRPr="008C007D">
              <w:t>$55.14</w:t>
            </w:r>
          </w:p>
        </w:tc>
        <w:tc>
          <w:tcPr>
            <w:tcW w:w="1358" w:type="dxa"/>
            <w:tcBorders>
              <w:top w:val="nil"/>
              <w:left w:val="nil"/>
              <w:bottom w:val="single" w:color="auto" w:sz="8" w:space="0"/>
              <w:right w:val="single" w:color="auto" w:sz="8" w:space="0"/>
            </w:tcBorders>
            <w:shd w:val="clear" w:color="auto" w:fill="auto"/>
            <w:hideMark/>
          </w:tcPr>
          <w:p w:rsidRPr="003B0F56" w:rsidR="003F4770" w:rsidP="003F4770" w:rsidRDefault="003F4770" w14:paraId="4FBDA9BC" w14:textId="1BD4F540">
            <w:pPr>
              <w:jc w:val="right"/>
            </w:pPr>
            <w:r w:rsidRPr="008C007D">
              <w:t>$2,116,735</w:t>
            </w:r>
          </w:p>
        </w:tc>
      </w:tr>
      <w:tr w:rsidRPr="003B0F56" w:rsidR="003F4770" w:rsidTr="008429D7" w14:paraId="40D7E23B" w14:textId="77777777">
        <w:trPr>
          <w:trHeight w:val="356"/>
        </w:trPr>
        <w:tc>
          <w:tcPr>
            <w:tcW w:w="2371" w:type="dxa"/>
            <w:tcBorders>
              <w:top w:val="nil"/>
              <w:left w:val="single" w:color="auto" w:sz="8" w:space="0"/>
              <w:bottom w:val="single" w:color="auto" w:sz="8" w:space="0"/>
              <w:right w:val="single" w:color="auto" w:sz="8" w:space="0"/>
            </w:tcBorders>
            <w:shd w:val="clear" w:color="auto" w:fill="auto"/>
            <w:hideMark/>
          </w:tcPr>
          <w:p w:rsidRPr="003B0F56" w:rsidR="003F4770" w:rsidP="003F4770" w:rsidRDefault="003F4770" w14:paraId="478C1AE6" w14:textId="77777777">
            <w:r w:rsidRPr="003B0F56">
              <w:t>Legal Work (Per Firm)</w:t>
            </w:r>
          </w:p>
        </w:tc>
        <w:tc>
          <w:tcPr>
            <w:tcW w:w="1743" w:type="dxa"/>
            <w:tcBorders>
              <w:top w:val="nil"/>
              <w:left w:val="nil"/>
              <w:bottom w:val="single" w:color="auto" w:sz="8" w:space="0"/>
              <w:right w:val="single" w:color="auto" w:sz="8" w:space="0"/>
            </w:tcBorders>
            <w:shd w:val="clear" w:color="auto" w:fill="auto"/>
            <w:hideMark/>
          </w:tcPr>
          <w:p w:rsidRPr="003B0F56" w:rsidR="003F4770" w:rsidP="003F4770" w:rsidRDefault="003F4770" w14:paraId="64F0B215" w14:textId="53D165F3">
            <w:pPr>
              <w:jc w:val="right"/>
            </w:pPr>
            <w:r w:rsidRPr="008C007D">
              <w:t xml:space="preserve">11,396 </w:t>
            </w: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00ECC93E" w14:textId="234102FB">
            <w:pPr>
              <w:jc w:val="right"/>
            </w:pPr>
            <w:r w:rsidRPr="008C007D">
              <w:t xml:space="preserve">4 </w:t>
            </w: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16F0FB6F" w14:textId="101C19A6">
            <w:pPr>
              <w:jc w:val="right"/>
            </w:pPr>
            <w:r w:rsidRPr="008C007D">
              <w:t xml:space="preserve">45,584 </w:t>
            </w:r>
          </w:p>
        </w:tc>
        <w:tc>
          <w:tcPr>
            <w:tcW w:w="1357" w:type="dxa"/>
            <w:tcBorders>
              <w:top w:val="nil"/>
              <w:left w:val="nil"/>
              <w:bottom w:val="single" w:color="auto" w:sz="8" w:space="0"/>
              <w:right w:val="single" w:color="auto" w:sz="8" w:space="0"/>
            </w:tcBorders>
            <w:shd w:val="clear" w:color="auto" w:fill="auto"/>
            <w:hideMark/>
          </w:tcPr>
          <w:p w:rsidRPr="003B0F56" w:rsidR="003F4770" w:rsidP="00330CCC" w:rsidRDefault="003F4770" w14:paraId="35EA95BC" w14:textId="2110AD34">
            <w:pPr>
              <w:jc w:val="right"/>
            </w:pPr>
            <w:r w:rsidRPr="008C007D">
              <w:t>$</w:t>
            </w:r>
            <w:r w:rsidR="00330CCC">
              <w:t>138.41</w:t>
            </w:r>
          </w:p>
        </w:tc>
        <w:tc>
          <w:tcPr>
            <w:tcW w:w="1358" w:type="dxa"/>
            <w:tcBorders>
              <w:top w:val="nil"/>
              <w:left w:val="nil"/>
              <w:bottom w:val="single" w:color="auto" w:sz="8" w:space="0"/>
              <w:right w:val="single" w:color="auto" w:sz="8" w:space="0"/>
            </w:tcBorders>
            <w:shd w:val="clear" w:color="auto" w:fill="auto"/>
            <w:hideMark/>
          </w:tcPr>
          <w:p w:rsidRPr="003B0F56" w:rsidR="003F4770" w:rsidP="003F4770" w:rsidRDefault="003F4770" w14:paraId="037F2C6C" w14:textId="17D16AB3">
            <w:pPr>
              <w:jc w:val="right"/>
            </w:pPr>
            <w:r w:rsidRPr="008C007D">
              <w:t>$6,309,281</w:t>
            </w:r>
          </w:p>
        </w:tc>
      </w:tr>
      <w:tr w:rsidRPr="003B0F56" w:rsidR="003F4770" w:rsidTr="008429D7" w14:paraId="6ECD2F80" w14:textId="77777777">
        <w:trPr>
          <w:trHeight w:val="356"/>
        </w:trPr>
        <w:tc>
          <w:tcPr>
            <w:tcW w:w="2371" w:type="dxa"/>
            <w:tcBorders>
              <w:top w:val="nil"/>
              <w:left w:val="single" w:color="auto" w:sz="8" w:space="0"/>
              <w:bottom w:val="single" w:color="auto" w:sz="8" w:space="0"/>
              <w:right w:val="single" w:color="auto" w:sz="8" w:space="0"/>
            </w:tcBorders>
            <w:shd w:val="clear" w:color="auto" w:fill="auto"/>
            <w:hideMark/>
          </w:tcPr>
          <w:p w:rsidRPr="003B0F56" w:rsidR="003F4770" w:rsidP="003F4770" w:rsidRDefault="003F4770" w14:paraId="350ED7B6" w14:textId="77777777">
            <w:r w:rsidRPr="003B0F56">
              <w:t>TOTAL</w:t>
            </w:r>
          </w:p>
        </w:tc>
        <w:tc>
          <w:tcPr>
            <w:tcW w:w="1743" w:type="dxa"/>
            <w:tcBorders>
              <w:top w:val="nil"/>
              <w:left w:val="nil"/>
              <w:bottom w:val="single" w:color="auto" w:sz="8" w:space="0"/>
              <w:right w:val="single" w:color="auto" w:sz="8" w:space="0"/>
            </w:tcBorders>
            <w:shd w:val="clear" w:color="auto" w:fill="auto"/>
            <w:hideMark/>
          </w:tcPr>
          <w:p w:rsidRPr="003B0F56" w:rsidR="003F4770" w:rsidP="003F4770" w:rsidRDefault="003F4770" w14:paraId="157638A3" w14:textId="57F72174">
            <w:pPr>
              <w:jc w:val="right"/>
            </w:pP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73677EAF" w14:textId="3ECB4378">
            <w:pPr>
              <w:jc w:val="right"/>
            </w:pP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6473E5A0" w14:textId="16E834C1">
            <w:pPr>
              <w:jc w:val="right"/>
            </w:pPr>
            <w:r w:rsidRPr="008C007D">
              <w:t xml:space="preserve">118,160 </w:t>
            </w:r>
          </w:p>
        </w:tc>
        <w:tc>
          <w:tcPr>
            <w:tcW w:w="1357" w:type="dxa"/>
            <w:tcBorders>
              <w:top w:val="nil"/>
              <w:left w:val="nil"/>
              <w:bottom w:val="single" w:color="auto" w:sz="8" w:space="0"/>
              <w:right w:val="single" w:color="auto" w:sz="8" w:space="0"/>
            </w:tcBorders>
            <w:shd w:val="clear" w:color="auto" w:fill="auto"/>
            <w:hideMark/>
          </w:tcPr>
          <w:p w:rsidRPr="003B0F56" w:rsidR="003F4770" w:rsidP="003F4770" w:rsidRDefault="003F4770" w14:paraId="4D3D1440" w14:textId="653C81A4">
            <w:pPr>
              <w:jc w:val="right"/>
            </w:pPr>
          </w:p>
        </w:tc>
        <w:tc>
          <w:tcPr>
            <w:tcW w:w="1358" w:type="dxa"/>
            <w:tcBorders>
              <w:top w:val="nil"/>
              <w:left w:val="nil"/>
              <w:bottom w:val="single" w:color="auto" w:sz="8" w:space="0"/>
              <w:right w:val="single" w:color="auto" w:sz="8" w:space="0"/>
            </w:tcBorders>
            <w:shd w:val="clear" w:color="auto" w:fill="auto"/>
            <w:hideMark/>
          </w:tcPr>
          <w:p w:rsidRPr="003B0F56" w:rsidR="003F4770" w:rsidP="003F4770" w:rsidRDefault="003F4770" w14:paraId="3B3EAF05" w14:textId="5D464CE3">
            <w:pPr>
              <w:jc w:val="right"/>
            </w:pPr>
            <w:r w:rsidRPr="008C007D">
              <w:t>$10,311,143</w:t>
            </w:r>
          </w:p>
        </w:tc>
      </w:tr>
    </w:tbl>
    <w:p w:rsidR="006962D3" w:rsidP="002F4648" w:rsidRDefault="006962D3" w14:paraId="50A435CA" w14:textId="77777777">
      <w:pPr>
        <w:ind w:left="720"/>
        <w:rPr>
          <w:color w:val="000000"/>
        </w:rPr>
      </w:pPr>
    </w:p>
    <w:p w:rsidRPr="003B0F56" w:rsidR="008429D7" w:rsidP="002F4648" w:rsidRDefault="008429D7" w14:paraId="46B05CA0" w14:textId="77777777">
      <w:pPr>
        <w:ind w:left="720"/>
        <w:rPr>
          <w:color w:val="000000"/>
        </w:rPr>
      </w:pPr>
    </w:p>
    <w:p w:rsidRPr="002F4648" w:rsidR="006962D3" w:rsidP="002F4648" w:rsidRDefault="006962D3" w14:paraId="76DE4295" w14:textId="77777777">
      <w:pPr>
        <w:ind w:left="720"/>
        <w:rPr>
          <w:b/>
          <w:color w:val="000000"/>
        </w:rPr>
      </w:pPr>
      <w:r w:rsidRPr="002F4648">
        <w:rPr>
          <w:b/>
          <w:color w:val="000000"/>
        </w:rPr>
        <w:lastRenderedPageBreak/>
        <w:t>Summary of Hour Burden Estimates</w:t>
      </w:r>
    </w:p>
    <w:p w:rsidRPr="003B0F56" w:rsidR="006962D3" w:rsidP="002F4648" w:rsidRDefault="006962D3" w14:paraId="47AD53E0" w14:textId="77777777">
      <w:pPr>
        <w:ind w:left="720"/>
        <w:rPr>
          <w:color w:val="000000"/>
        </w:rPr>
      </w:pPr>
    </w:p>
    <w:p w:rsidRPr="003B0F56" w:rsidR="00D86C3A" w:rsidP="002F4648" w:rsidRDefault="006962D3" w14:paraId="5F779B0E" w14:textId="3D36D2A3">
      <w:pPr>
        <w:ind w:left="720"/>
        <w:rPr>
          <w:color w:val="000000"/>
        </w:rPr>
      </w:pPr>
      <w:r w:rsidRPr="003B0F56">
        <w:rPr>
          <w:color w:val="000000"/>
        </w:rPr>
        <w:t xml:space="preserve">The Department estimates that the statutory exemption hour burden </w:t>
      </w:r>
      <w:r w:rsidRPr="003B0F56" w:rsidR="002B3477">
        <w:rPr>
          <w:color w:val="000000"/>
        </w:rPr>
        <w:t xml:space="preserve">is </w:t>
      </w:r>
      <w:r w:rsidRPr="00A946AC" w:rsidR="00A946AC">
        <w:rPr>
          <w:color w:val="000000"/>
        </w:rPr>
        <w:t>2,423,391</w:t>
      </w:r>
      <w:r w:rsidR="00E46D19">
        <w:rPr>
          <w:color w:val="000000"/>
        </w:rPr>
        <w:t xml:space="preserve"> </w:t>
      </w:r>
      <w:r w:rsidRPr="003B0F56" w:rsidR="00A5291D">
        <w:rPr>
          <w:color w:val="000000"/>
        </w:rPr>
        <w:t xml:space="preserve">annually with an equivalent cost of </w:t>
      </w:r>
      <w:r w:rsidRPr="00A946AC" w:rsidR="00A946AC">
        <w:rPr>
          <w:color w:val="000000"/>
        </w:rPr>
        <w:t>$275,603,483</w:t>
      </w:r>
      <w:r w:rsidRPr="003B0F56">
        <w:rPr>
          <w:color w:val="000000"/>
        </w:rPr>
        <w:t>.</w:t>
      </w:r>
    </w:p>
    <w:p w:rsidRPr="003B0F56" w:rsidR="004C7EF3" w:rsidP="002F4648" w:rsidRDefault="004C7EF3" w14:paraId="0A844A65" w14:textId="77777777">
      <w:pPr>
        <w:ind w:left="720"/>
        <w:rPr>
          <w:color w:val="000000"/>
        </w:rPr>
      </w:pPr>
    </w:p>
    <w:tbl>
      <w:tblPr>
        <w:tblW w:w="6900" w:type="dxa"/>
        <w:tblInd w:w="720" w:type="dxa"/>
        <w:tblLook w:val="04A0" w:firstRow="1" w:lastRow="0" w:firstColumn="1" w:lastColumn="0" w:noHBand="0" w:noVBand="1"/>
      </w:tblPr>
      <w:tblGrid>
        <w:gridCol w:w="1758"/>
        <w:gridCol w:w="2286"/>
        <w:gridCol w:w="2856"/>
      </w:tblGrid>
      <w:tr w:rsidRPr="003B0F56" w:rsidR="004C7EF3" w:rsidTr="00DC0404" w14:paraId="3A40069A" w14:textId="77777777">
        <w:trPr>
          <w:trHeight w:val="330"/>
        </w:trPr>
        <w:tc>
          <w:tcPr>
            <w:tcW w:w="6900" w:type="dxa"/>
            <w:gridSpan w:val="3"/>
            <w:tcBorders>
              <w:top w:val="nil"/>
              <w:left w:val="nil"/>
              <w:bottom w:val="nil"/>
              <w:right w:val="nil"/>
            </w:tcBorders>
            <w:shd w:val="clear" w:color="auto" w:fill="auto"/>
            <w:vAlign w:val="bottom"/>
            <w:hideMark/>
          </w:tcPr>
          <w:p w:rsidRPr="003B0F56" w:rsidR="004C7EF3" w:rsidRDefault="004C7EF3" w14:paraId="1026C429" w14:textId="77777777">
            <w:r w:rsidRPr="00DA10AD">
              <w:t>Table 7.--Total Hour Burden Estimates</w:t>
            </w:r>
          </w:p>
        </w:tc>
      </w:tr>
      <w:tr w:rsidRPr="003B0F56" w:rsidR="004C7EF3" w:rsidTr="00F90B3D" w14:paraId="1897D9D9" w14:textId="77777777">
        <w:trPr>
          <w:trHeight w:val="86"/>
        </w:trPr>
        <w:tc>
          <w:tcPr>
            <w:tcW w:w="1758" w:type="dxa"/>
            <w:tcBorders>
              <w:top w:val="single" w:color="auto" w:sz="8" w:space="0"/>
              <w:left w:val="single" w:color="auto" w:sz="8" w:space="0"/>
              <w:bottom w:val="single" w:color="auto" w:sz="8" w:space="0"/>
              <w:right w:val="single" w:color="auto" w:sz="8" w:space="0"/>
            </w:tcBorders>
            <w:shd w:val="clear" w:color="auto" w:fill="auto"/>
            <w:hideMark/>
          </w:tcPr>
          <w:p w:rsidRPr="003B0F56" w:rsidR="004C7EF3" w:rsidRDefault="004C7EF3" w14:paraId="454A1424" w14:textId="77777777">
            <w:pPr>
              <w:jc w:val="center"/>
              <w:rPr>
                <w:b/>
                <w:bCs/>
              </w:rPr>
            </w:pPr>
          </w:p>
        </w:tc>
        <w:tc>
          <w:tcPr>
            <w:tcW w:w="2286" w:type="dxa"/>
            <w:tcBorders>
              <w:top w:val="single" w:color="auto" w:sz="8" w:space="0"/>
              <w:left w:val="nil"/>
              <w:bottom w:val="single" w:color="auto" w:sz="8" w:space="0"/>
              <w:right w:val="single" w:color="auto" w:sz="8" w:space="0"/>
            </w:tcBorders>
            <w:shd w:val="clear" w:color="auto" w:fill="auto"/>
            <w:hideMark/>
          </w:tcPr>
          <w:p w:rsidRPr="003B0F56" w:rsidR="004C7EF3" w:rsidRDefault="004C7EF3" w14:paraId="45F38CE2" w14:textId="77777777">
            <w:pPr>
              <w:jc w:val="center"/>
              <w:rPr>
                <w:b/>
                <w:bCs/>
              </w:rPr>
            </w:pPr>
            <w:r w:rsidRPr="003B0F56">
              <w:rPr>
                <w:b/>
                <w:bCs/>
              </w:rPr>
              <w:t>Annual Hour Burden</w:t>
            </w:r>
          </w:p>
        </w:tc>
        <w:tc>
          <w:tcPr>
            <w:tcW w:w="2856" w:type="dxa"/>
            <w:tcBorders>
              <w:top w:val="single" w:color="auto" w:sz="8" w:space="0"/>
              <w:left w:val="nil"/>
              <w:bottom w:val="single" w:color="auto" w:sz="8" w:space="0"/>
              <w:right w:val="single" w:color="auto" w:sz="8" w:space="0"/>
            </w:tcBorders>
            <w:shd w:val="clear" w:color="auto" w:fill="auto"/>
            <w:hideMark/>
          </w:tcPr>
          <w:p w:rsidRPr="003B0F56" w:rsidR="004C7EF3" w:rsidRDefault="004C7EF3" w14:paraId="2B7091D8" w14:textId="77777777">
            <w:pPr>
              <w:jc w:val="center"/>
              <w:rPr>
                <w:b/>
                <w:bCs/>
              </w:rPr>
            </w:pPr>
            <w:r w:rsidRPr="003B0F56">
              <w:rPr>
                <w:b/>
                <w:bCs/>
              </w:rPr>
              <w:t>Equivalent Cost</w:t>
            </w:r>
          </w:p>
        </w:tc>
      </w:tr>
      <w:tr w:rsidRPr="003B0F56" w:rsidR="008F4CBB" w:rsidTr="008F4CBB" w14:paraId="14D895BE" w14:textId="77777777">
        <w:trPr>
          <w:trHeight w:val="330"/>
        </w:trPr>
        <w:tc>
          <w:tcPr>
            <w:tcW w:w="1758" w:type="dxa"/>
            <w:tcBorders>
              <w:top w:val="nil"/>
              <w:left w:val="single" w:color="auto" w:sz="8" w:space="0"/>
              <w:bottom w:val="single" w:color="auto" w:sz="8" w:space="0"/>
              <w:right w:val="single" w:color="auto" w:sz="8" w:space="0"/>
            </w:tcBorders>
            <w:shd w:val="clear" w:color="auto" w:fill="auto"/>
            <w:hideMark/>
          </w:tcPr>
          <w:p w:rsidRPr="003B0F56" w:rsidR="008F4CBB" w:rsidP="008F4CBB" w:rsidRDefault="008F4CBB" w14:paraId="148D0D29" w14:textId="77777777">
            <w:r w:rsidRPr="003B0F56">
              <w:t>Disclosures</w:t>
            </w:r>
          </w:p>
        </w:tc>
        <w:tc>
          <w:tcPr>
            <w:tcW w:w="2286" w:type="dxa"/>
            <w:tcBorders>
              <w:top w:val="nil"/>
              <w:left w:val="nil"/>
              <w:bottom w:val="single" w:color="auto" w:sz="8" w:space="0"/>
              <w:right w:val="single" w:color="auto" w:sz="8" w:space="0"/>
            </w:tcBorders>
            <w:shd w:val="clear" w:color="auto" w:fill="auto"/>
            <w:hideMark/>
          </w:tcPr>
          <w:p w:rsidRPr="003B0F56" w:rsidR="008F4CBB" w:rsidP="008F4CBB" w:rsidRDefault="008F4CBB" w14:paraId="023EA1A2" w14:textId="7B3B9146">
            <w:pPr>
              <w:jc w:val="right"/>
            </w:pPr>
            <w:r w:rsidRPr="00E23168">
              <w:t>1,374,971</w:t>
            </w:r>
          </w:p>
        </w:tc>
        <w:tc>
          <w:tcPr>
            <w:tcW w:w="2856" w:type="dxa"/>
            <w:tcBorders>
              <w:top w:val="nil"/>
              <w:left w:val="nil"/>
              <w:bottom w:val="single" w:color="auto" w:sz="8" w:space="0"/>
              <w:right w:val="single" w:color="auto" w:sz="8" w:space="0"/>
            </w:tcBorders>
            <w:shd w:val="clear" w:color="auto" w:fill="auto"/>
            <w:hideMark/>
          </w:tcPr>
          <w:p w:rsidRPr="003B0F56" w:rsidR="008F4CBB" w:rsidP="008F4CBB" w:rsidRDefault="008F4CBB" w14:paraId="37CB7F1F" w14:textId="3741375F">
            <w:pPr>
              <w:jc w:val="right"/>
            </w:pPr>
            <w:r w:rsidRPr="00E23168">
              <w:t>$136,535,057</w:t>
            </w:r>
          </w:p>
        </w:tc>
      </w:tr>
      <w:tr w:rsidRPr="003B0F56" w:rsidR="008F4CBB" w:rsidTr="008F4CBB" w14:paraId="3D827A4A" w14:textId="77777777">
        <w:trPr>
          <w:trHeight w:val="330"/>
        </w:trPr>
        <w:tc>
          <w:tcPr>
            <w:tcW w:w="1758" w:type="dxa"/>
            <w:tcBorders>
              <w:top w:val="nil"/>
              <w:left w:val="single" w:color="auto" w:sz="8" w:space="0"/>
              <w:bottom w:val="single" w:color="auto" w:sz="8" w:space="0"/>
              <w:right w:val="single" w:color="auto" w:sz="8" w:space="0"/>
            </w:tcBorders>
            <w:shd w:val="clear" w:color="auto" w:fill="auto"/>
            <w:hideMark/>
          </w:tcPr>
          <w:p w:rsidRPr="003B0F56" w:rsidR="008F4CBB" w:rsidP="008F4CBB" w:rsidRDefault="008F4CBB" w14:paraId="53F55D75" w14:textId="77777777">
            <w:r w:rsidRPr="003B0F56">
              <w:t>Model Certification</w:t>
            </w:r>
          </w:p>
        </w:tc>
        <w:tc>
          <w:tcPr>
            <w:tcW w:w="2286" w:type="dxa"/>
            <w:tcBorders>
              <w:top w:val="nil"/>
              <w:left w:val="nil"/>
              <w:bottom w:val="single" w:color="auto" w:sz="8" w:space="0"/>
              <w:right w:val="single" w:color="auto" w:sz="8" w:space="0"/>
            </w:tcBorders>
            <w:shd w:val="clear" w:color="auto" w:fill="auto"/>
            <w:hideMark/>
          </w:tcPr>
          <w:p w:rsidRPr="003B0F56" w:rsidR="008F4CBB" w:rsidP="008F4CBB" w:rsidRDefault="008F4CBB" w14:paraId="070F3DA1" w14:textId="5BF6049D">
            <w:pPr>
              <w:jc w:val="right"/>
            </w:pPr>
            <w:r w:rsidRPr="00E23168">
              <w:t>930,260</w:t>
            </w:r>
          </w:p>
        </w:tc>
        <w:tc>
          <w:tcPr>
            <w:tcW w:w="2856" w:type="dxa"/>
            <w:tcBorders>
              <w:top w:val="nil"/>
              <w:left w:val="nil"/>
              <w:bottom w:val="single" w:color="auto" w:sz="8" w:space="0"/>
              <w:right w:val="single" w:color="auto" w:sz="8" w:space="0"/>
            </w:tcBorders>
            <w:shd w:val="clear" w:color="auto" w:fill="auto"/>
            <w:hideMark/>
          </w:tcPr>
          <w:p w:rsidRPr="003B0F56" w:rsidR="008F4CBB" w:rsidP="008F4CBB" w:rsidRDefault="008F4CBB" w14:paraId="6EBC0115" w14:textId="081BD15B">
            <w:pPr>
              <w:jc w:val="right"/>
            </w:pPr>
            <w:r w:rsidRPr="00E23168">
              <w:t>$128,757,283</w:t>
            </w:r>
          </w:p>
        </w:tc>
      </w:tr>
      <w:tr w:rsidRPr="003B0F56" w:rsidR="008F4CBB" w:rsidTr="008F4CBB" w14:paraId="275139BB" w14:textId="77777777">
        <w:trPr>
          <w:trHeight w:val="330"/>
        </w:trPr>
        <w:tc>
          <w:tcPr>
            <w:tcW w:w="1758" w:type="dxa"/>
            <w:tcBorders>
              <w:top w:val="nil"/>
              <w:left w:val="single" w:color="auto" w:sz="8" w:space="0"/>
              <w:bottom w:val="single" w:color="auto" w:sz="8" w:space="0"/>
              <w:right w:val="single" w:color="auto" w:sz="8" w:space="0"/>
            </w:tcBorders>
            <w:shd w:val="clear" w:color="auto" w:fill="auto"/>
            <w:hideMark/>
          </w:tcPr>
          <w:p w:rsidRPr="003B0F56" w:rsidR="008F4CBB" w:rsidP="008F4CBB" w:rsidRDefault="008F4CBB" w14:paraId="519A45DE" w14:textId="77777777">
            <w:r w:rsidRPr="003B0F56">
              <w:t>Audit</w:t>
            </w:r>
          </w:p>
        </w:tc>
        <w:tc>
          <w:tcPr>
            <w:tcW w:w="2286" w:type="dxa"/>
            <w:tcBorders>
              <w:top w:val="nil"/>
              <w:left w:val="nil"/>
              <w:bottom w:val="single" w:color="auto" w:sz="8" w:space="0"/>
              <w:right w:val="single" w:color="auto" w:sz="8" w:space="0"/>
            </w:tcBorders>
            <w:shd w:val="clear" w:color="auto" w:fill="auto"/>
            <w:hideMark/>
          </w:tcPr>
          <w:p w:rsidRPr="003B0F56" w:rsidR="008F4CBB" w:rsidP="008F4CBB" w:rsidRDefault="008F4CBB" w14:paraId="26773F73" w14:textId="2E3B4D20">
            <w:pPr>
              <w:jc w:val="right"/>
            </w:pPr>
            <w:r w:rsidRPr="00E23168">
              <w:t>118,160</w:t>
            </w:r>
          </w:p>
        </w:tc>
        <w:tc>
          <w:tcPr>
            <w:tcW w:w="2856" w:type="dxa"/>
            <w:tcBorders>
              <w:top w:val="nil"/>
              <w:left w:val="nil"/>
              <w:bottom w:val="single" w:color="auto" w:sz="8" w:space="0"/>
              <w:right w:val="single" w:color="auto" w:sz="8" w:space="0"/>
            </w:tcBorders>
            <w:shd w:val="clear" w:color="auto" w:fill="auto"/>
            <w:hideMark/>
          </w:tcPr>
          <w:p w:rsidRPr="003B0F56" w:rsidR="008F4CBB" w:rsidP="008F4CBB" w:rsidRDefault="008F4CBB" w14:paraId="47C9E489" w14:textId="340A9FE4">
            <w:pPr>
              <w:jc w:val="right"/>
            </w:pPr>
            <w:r w:rsidRPr="00E23168">
              <w:t>$10,311,143</w:t>
            </w:r>
          </w:p>
        </w:tc>
      </w:tr>
      <w:tr w:rsidRPr="003B0F56" w:rsidR="008F4CBB" w:rsidTr="008F4CBB" w14:paraId="74411C59" w14:textId="77777777">
        <w:trPr>
          <w:trHeight w:val="330"/>
        </w:trPr>
        <w:tc>
          <w:tcPr>
            <w:tcW w:w="1758" w:type="dxa"/>
            <w:tcBorders>
              <w:top w:val="nil"/>
              <w:left w:val="single" w:color="auto" w:sz="8" w:space="0"/>
              <w:bottom w:val="single" w:color="auto" w:sz="8" w:space="0"/>
              <w:right w:val="single" w:color="auto" w:sz="8" w:space="0"/>
            </w:tcBorders>
            <w:shd w:val="clear" w:color="auto" w:fill="auto"/>
            <w:hideMark/>
          </w:tcPr>
          <w:p w:rsidRPr="003B0F56" w:rsidR="008F4CBB" w:rsidP="008F4CBB" w:rsidRDefault="008F4CBB" w14:paraId="72208C3A" w14:textId="77777777">
            <w:r w:rsidRPr="003B0F56">
              <w:t>TOTAL</w:t>
            </w:r>
          </w:p>
        </w:tc>
        <w:tc>
          <w:tcPr>
            <w:tcW w:w="2286" w:type="dxa"/>
            <w:tcBorders>
              <w:top w:val="nil"/>
              <w:left w:val="nil"/>
              <w:bottom w:val="single" w:color="auto" w:sz="8" w:space="0"/>
              <w:right w:val="single" w:color="auto" w:sz="8" w:space="0"/>
            </w:tcBorders>
            <w:shd w:val="clear" w:color="auto" w:fill="auto"/>
            <w:hideMark/>
          </w:tcPr>
          <w:p w:rsidRPr="003B0F56" w:rsidR="008F4CBB" w:rsidP="008F4CBB" w:rsidRDefault="008F4CBB" w14:paraId="65B09058" w14:textId="16A4AA73">
            <w:pPr>
              <w:jc w:val="right"/>
            </w:pPr>
            <w:r w:rsidRPr="00E23168">
              <w:t>2,423,391</w:t>
            </w:r>
          </w:p>
        </w:tc>
        <w:tc>
          <w:tcPr>
            <w:tcW w:w="2856" w:type="dxa"/>
            <w:tcBorders>
              <w:top w:val="nil"/>
              <w:left w:val="nil"/>
              <w:bottom w:val="single" w:color="auto" w:sz="8" w:space="0"/>
              <w:right w:val="single" w:color="auto" w:sz="8" w:space="0"/>
            </w:tcBorders>
            <w:shd w:val="clear" w:color="auto" w:fill="auto"/>
            <w:hideMark/>
          </w:tcPr>
          <w:p w:rsidRPr="003B0F56" w:rsidR="008F4CBB" w:rsidP="008F4CBB" w:rsidRDefault="008F4CBB" w14:paraId="419E62CD" w14:textId="462BAF3B">
            <w:pPr>
              <w:jc w:val="right"/>
            </w:pPr>
            <w:r w:rsidRPr="00E23168">
              <w:t>$275,603,483</w:t>
            </w:r>
          </w:p>
        </w:tc>
      </w:tr>
    </w:tbl>
    <w:p w:rsidRPr="003B0F56" w:rsidR="0023556A" w:rsidP="00DC0404" w:rsidRDefault="0023556A" w14:paraId="00E98649" w14:textId="77777777">
      <w:pPr>
        <w:ind w:left="720"/>
        <w:rPr>
          <w:color w:val="000000"/>
        </w:rPr>
      </w:pPr>
    </w:p>
    <w:p w:rsidRPr="00504D7A" w:rsidR="00646FA0" w:rsidP="00646FA0" w:rsidRDefault="00646FA0" w14:paraId="19D14D0D" w14:textId="77777777">
      <w:pPr>
        <w:ind w:left="720"/>
        <w:jc w:val="center"/>
        <w:rPr>
          <w:i/>
          <w:iCs/>
        </w:rPr>
      </w:pPr>
      <w:r w:rsidRPr="00504D7A">
        <w:rPr>
          <w:b/>
          <w:iCs/>
        </w:rPr>
        <w:t>Estimated Annualized Respondent Cost and Hour Burden</w:t>
      </w:r>
    </w:p>
    <w:p w:rsidRPr="00504D7A" w:rsidR="00646FA0" w:rsidP="00646FA0" w:rsidRDefault="00646FA0" w14:paraId="0D85BDD9" w14:textId="77777777">
      <w:pPr>
        <w:ind w:left="720"/>
        <w:rPr>
          <w:iCs/>
        </w:rPr>
      </w:pPr>
    </w:p>
    <w:tbl>
      <w:tblPr>
        <w:tblW w:w="11250"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440"/>
        <w:gridCol w:w="1440"/>
        <w:gridCol w:w="1356"/>
        <w:gridCol w:w="1074"/>
        <w:gridCol w:w="1260"/>
        <w:gridCol w:w="990"/>
        <w:gridCol w:w="1530"/>
      </w:tblGrid>
      <w:tr w:rsidRPr="00504D7A" w:rsidR="00646FA0" w:rsidTr="004470F7" w14:paraId="1110F09E" w14:textId="77777777">
        <w:tc>
          <w:tcPr>
            <w:tcW w:w="2160" w:type="dxa"/>
            <w:tcBorders>
              <w:top w:val="single" w:color="auto" w:sz="4" w:space="0"/>
              <w:left w:val="single" w:color="auto" w:sz="4" w:space="0"/>
              <w:bottom w:val="single" w:color="auto" w:sz="4" w:space="0"/>
              <w:right w:val="single" w:color="auto" w:sz="4" w:space="0"/>
            </w:tcBorders>
            <w:shd w:val="clear" w:color="auto" w:fill="8DB3E2"/>
            <w:vAlign w:val="center"/>
          </w:tcPr>
          <w:p w:rsidRPr="00504D7A" w:rsidR="00646FA0" w:rsidP="0065649D" w:rsidRDefault="00646FA0" w14:paraId="5ED0EFCE" w14:textId="77777777">
            <w:pPr>
              <w:spacing w:line="276" w:lineRule="auto"/>
              <w:jc w:val="center"/>
              <w:rPr>
                <w:sz w:val="22"/>
                <w:szCs w:val="22"/>
              </w:rPr>
            </w:pPr>
            <w:r w:rsidRPr="00504D7A">
              <w:rPr>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646FA0" w:rsidP="0065649D" w:rsidRDefault="00646FA0" w14:paraId="108C9C5A" w14:textId="77777777">
            <w:pPr>
              <w:spacing w:line="276" w:lineRule="auto"/>
              <w:jc w:val="center"/>
              <w:rPr>
                <w:b/>
                <w:sz w:val="22"/>
                <w:szCs w:val="22"/>
              </w:rPr>
            </w:pPr>
            <w:r w:rsidRPr="00504D7A">
              <w:rPr>
                <w:b/>
                <w:sz w:val="22"/>
                <w:szCs w:val="22"/>
              </w:rPr>
              <w:t xml:space="preserve">No. </w:t>
            </w:r>
          </w:p>
          <w:p w:rsidRPr="00504D7A" w:rsidR="00646FA0" w:rsidP="0065649D" w:rsidRDefault="00646FA0" w14:paraId="7D56D0B4" w14:textId="77777777">
            <w:pPr>
              <w:spacing w:line="276" w:lineRule="auto"/>
              <w:jc w:val="center"/>
              <w:rPr>
                <w:sz w:val="22"/>
                <w:szCs w:val="22"/>
              </w:rPr>
            </w:pPr>
            <w:r w:rsidRPr="00504D7A">
              <w:rPr>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646FA0" w:rsidP="0065649D" w:rsidRDefault="00646FA0" w14:paraId="06918972" w14:textId="77777777">
            <w:pPr>
              <w:spacing w:line="276" w:lineRule="auto"/>
              <w:jc w:val="center"/>
              <w:rPr>
                <w:b/>
                <w:sz w:val="22"/>
                <w:szCs w:val="22"/>
              </w:rPr>
            </w:pPr>
          </w:p>
          <w:p w:rsidRPr="00504D7A" w:rsidR="00646FA0" w:rsidP="0065649D" w:rsidRDefault="00646FA0" w14:paraId="18529E3A" w14:textId="77777777">
            <w:pPr>
              <w:spacing w:line="276" w:lineRule="auto"/>
              <w:jc w:val="center"/>
              <w:rPr>
                <w:b/>
                <w:sz w:val="22"/>
                <w:szCs w:val="22"/>
              </w:rPr>
            </w:pPr>
            <w:r w:rsidRPr="00504D7A">
              <w:rPr>
                <w:b/>
                <w:sz w:val="22"/>
                <w:szCs w:val="22"/>
              </w:rPr>
              <w:t>No. of Responses</w:t>
            </w:r>
          </w:p>
          <w:p w:rsidRPr="00504D7A" w:rsidR="00646FA0" w:rsidP="0065649D" w:rsidRDefault="00646FA0" w14:paraId="348CD94F" w14:textId="77777777">
            <w:pPr>
              <w:spacing w:line="276" w:lineRule="auto"/>
              <w:jc w:val="center"/>
              <w:rPr>
                <w:sz w:val="22"/>
                <w:szCs w:val="22"/>
              </w:rPr>
            </w:pPr>
            <w:r w:rsidRPr="00504D7A">
              <w:rPr>
                <w:b/>
                <w:sz w:val="22"/>
                <w:szCs w:val="22"/>
              </w:rPr>
              <w:t>per Respondent</w:t>
            </w:r>
          </w:p>
        </w:tc>
        <w:tc>
          <w:tcPr>
            <w:tcW w:w="135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646FA0" w:rsidP="0065649D" w:rsidRDefault="00646FA0" w14:paraId="1A79750E" w14:textId="77777777">
            <w:pPr>
              <w:spacing w:line="276" w:lineRule="auto"/>
              <w:jc w:val="center"/>
              <w:rPr>
                <w:sz w:val="22"/>
                <w:szCs w:val="22"/>
              </w:rPr>
            </w:pPr>
            <w:r w:rsidRPr="00504D7A">
              <w:rPr>
                <w:b/>
                <w:sz w:val="22"/>
                <w:szCs w:val="22"/>
              </w:rPr>
              <w:t>Total Responses</w:t>
            </w:r>
          </w:p>
        </w:tc>
        <w:tc>
          <w:tcPr>
            <w:tcW w:w="107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646FA0" w:rsidP="0065649D" w:rsidRDefault="00646FA0" w14:paraId="408C6D42" w14:textId="77777777">
            <w:pPr>
              <w:spacing w:line="276" w:lineRule="auto"/>
              <w:jc w:val="center"/>
              <w:rPr>
                <w:sz w:val="22"/>
                <w:szCs w:val="22"/>
              </w:rPr>
            </w:pPr>
            <w:r w:rsidRPr="00504D7A">
              <w:rPr>
                <w:b/>
                <w:sz w:val="22"/>
                <w:szCs w:val="22"/>
              </w:rPr>
              <w:t>Average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646FA0" w:rsidP="0065649D" w:rsidRDefault="00646FA0" w14:paraId="66484847" w14:textId="77777777">
            <w:pPr>
              <w:spacing w:line="276" w:lineRule="auto"/>
              <w:jc w:val="center"/>
              <w:rPr>
                <w:sz w:val="22"/>
                <w:szCs w:val="22"/>
              </w:rPr>
            </w:pPr>
            <w:r w:rsidRPr="00504D7A">
              <w:rPr>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646FA0" w:rsidP="0065649D" w:rsidRDefault="00646FA0" w14:paraId="7E09BAAF" w14:textId="77777777">
            <w:pPr>
              <w:spacing w:line="276" w:lineRule="auto"/>
              <w:jc w:val="center"/>
              <w:rPr>
                <w:b/>
                <w:sz w:val="22"/>
                <w:szCs w:val="22"/>
              </w:rPr>
            </w:pPr>
            <w:r w:rsidRPr="00504D7A">
              <w:rPr>
                <w:b/>
                <w:sz w:val="22"/>
                <w:szCs w:val="22"/>
              </w:rPr>
              <w:t>Hourly</w:t>
            </w:r>
          </w:p>
          <w:p w:rsidRPr="00504D7A" w:rsidR="00646FA0" w:rsidP="0065649D" w:rsidRDefault="00646FA0" w14:paraId="564BC52F" w14:textId="77777777">
            <w:pPr>
              <w:spacing w:line="276" w:lineRule="auto"/>
              <w:jc w:val="center"/>
              <w:rPr>
                <w:sz w:val="22"/>
                <w:szCs w:val="22"/>
              </w:rPr>
            </w:pPr>
            <w:r w:rsidRPr="00504D7A">
              <w:rPr>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646FA0" w:rsidP="0065649D" w:rsidRDefault="00646FA0" w14:paraId="33D86E6C" w14:textId="77777777">
            <w:pPr>
              <w:spacing w:line="276" w:lineRule="auto"/>
              <w:jc w:val="center"/>
              <w:rPr>
                <w:sz w:val="22"/>
                <w:szCs w:val="22"/>
              </w:rPr>
            </w:pPr>
            <w:r w:rsidRPr="00504D7A">
              <w:rPr>
                <w:b/>
                <w:sz w:val="22"/>
                <w:szCs w:val="22"/>
              </w:rPr>
              <w:t>Total Burden Cost</w:t>
            </w:r>
          </w:p>
        </w:tc>
      </w:tr>
      <w:tr w:rsidRPr="00504D7A" w:rsidR="0080231E" w:rsidTr="004470F7" w14:paraId="113A015A" w14:textId="77777777">
        <w:tc>
          <w:tcPr>
            <w:tcW w:w="2160" w:type="dxa"/>
            <w:tcBorders>
              <w:top w:val="single" w:color="auto" w:sz="4" w:space="0"/>
              <w:left w:val="single" w:color="auto" w:sz="4" w:space="0"/>
              <w:bottom w:val="single" w:color="auto" w:sz="4" w:space="0"/>
              <w:right w:val="single" w:color="auto" w:sz="4" w:space="0"/>
            </w:tcBorders>
          </w:tcPr>
          <w:p w:rsidRPr="0080231E" w:rsidR="0080231E" w:rsidP="0080231E" w:rsidRDefault="00A44739" w14:paraId="51EB8689" w14:textId="77777777">
            <w:pPr>
              <w:spacing w:line="276" w:lineRule="auto"/>
              <w:rPr>
                <w:iCs/>
                <w:sz w:val="22"/>
                <w:szCs w:val="22"/>
              </w:rPr>
            </w:pPr>
            <w:r>
              <w:rPr>
                <w:sz w:val="22"/>
                <w:szCs w:val="22"/>
              </w:rPr>
              <w:t>Preparing d</w:t>
            </w:r>
            <w:r w:rsidRPr="0080231E" w:rsidR="0080231E">
              <w:rPr>
                <w:sz w:val="22"/>
                <w:szCs w:val="22"/>
              </w:rPr>
              <w:t>isclosures uniform to all recipients</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8B7E80" w14:paraId="539504E5" w14:textId="77777777">
            <w:pPr>
              <w:spacing w:line="276" w:lineRule="auto"/>
              <w:jc w:val="center"/>
              <w:rPr>
                <w:sz w:val="22"/>
                <w:szCs w:val="22"/>
              </w:rPr>
            </w:pPr>
            <w:r w:rsidRPr="008B7E80">
              <w:rPr>
                <w:sz w:val="22"/>
                <w:szCs w:val="22"/>
              </w:rPr>
              <w:t>11,396</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4B1C7F" w14:paraId="16E997D7"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8B7E80" w14:paraId="1A72D3FF" w14:textId="77777777">
            <w:pPr>
              <w:spacing w:line="276" w:lineRule="auto"/>
              <w:jc w:val="center"/>
              <w:rPr>
                <w:sz w:val="22"/>
                <w:szCs w:val="22"/>
              </w:rPr>
            </w:pPr>
            <w:r w:rsidRPr="008B7E80">
              <w:rPr>
                <w:sz w:val="22"/>
                <w:szCs w:val="22"/>
              </w:rPr>
              <w:t>11,396</w:t>
            </w:r>
          </w:p>
        </w:tc>
        <w:tc>
          <w:tcPr>
            <w:tcW w:w="1074"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4B1C7F" w14:paraId="423B9CA7" w14:textId="77777777">
            <w:pPr>
              <w:spacing w:line="276" w:lineRule="auto"/>
              <w:jc w:val="center"/>
              <w:rPr>
                <w:sz w:val="22"/>
                <w:szCs w:val="22"/>
              </w:rPr>
            </w:pPr>
            <w:r>
              <w:rPr>
                <w:sz w:val="22"/>
                <w:szCs w:val="22"/>
              </w:rPr>
              <w:t>3</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F31F9F" w14:paraId="03F5834B" w14:textId="77777777">
            <w:pPr>
              <w:spacing w:line="276" w:lineRule="auto"/>
              <w:jc w:val="center"/>
              <w:rPr>
                <w:sz w:val="22"/>
                <w:szCs w:val="22"/>
              </w:rPr>
            </w:pPr>
            <w:r w:rsidRPr="00F31F9F">
              <w:rPr>
                <w:sz w:val="22"/>
                <w:szCs w:val="22"/>
              </w:rPr>
              <w:t>34,188</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7720B5" w14:paraId="7CBA98CD" w14:textId="77777777">
            <w:pPr>
              <w:spacing w:line="276" w:lineRule="auto"/>
              <w:jc w:val="center"/>
              <w:rPr>
                <w:sz w:val="22"/>
                <w:szCs w:val="22"/>
              </w:rPr>
            </w:pPr>
            <w:r>
              <w:rPr>
                <w:sz w:val="22"/>
                <w:szCs w:val="22"/>
              </w:rPr>
              <w:t>$138.41</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4B0E23" w14:paraId="1D84F865" w14:textId="3ABC1246">
            <w:pPr>
              <w:spacing w:line="276" w:lineRule="auto"/>
              <w:jc w:val="center"/>
              <w:rPr>
                <w:sz w:val="22"/>
                <w:szCs w:val="22"/>
              </w:rPr>
            </w:pPr>
            <w:r w:rsidRPr="004B0E23">
              <w:rPr>
                <w:sz w:val="22"/>
                <w:szCs w:val="22"/>
              </w:rPr>
              <w:t>$4,731,961</w:t>
            </w:r>
          </w:p>
        </w:tc>
      </w:tr>
      <w:tr w:rsidRPr="00504D7A" w:rsidR="0080231E" w:rsidTr="004470F7" w14:paraId="49A580BE"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Pr="0080231E" w:rsidR="0080231E" w:rsidP="0080231E" w:rsidRDefault="00A44739" w14:paraId="7952982F" w14:textId="77777777">
            <w:pPr>
              <w:spacing w:line="276" w:lineRule="auto"/>
              <w:rPr>
                <w:sz w:val="22"/>
                <w:szCs w:val="22"/>
              </w:rPr>
            </w:pPr>
            <w:r>
              <w:rPr>
                <w:sz w:val="22"/>
                <w:szCs w:val="22"/>
              </w:rPr>
              <w:t>Preparing d</w:t>
            </w:r>
            <w:r w:rsidRPr="0080231E" w:rsidR="0080231E">
              <w:rPr>
                <w:sz w:val="22"/>
                <w:szCs w:val="22"/>
              </w:rPr>
              <w:t>isclosures specific to individual DC plans</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BE5F43" w14:paraId="70A52FA5" w14:textId="77777777">
            <w:pPr>
              <w:spacing w:line="276" w:lineRule="auto"/>
              <w:jc w:val="center"/>
              <w:rPr>
                <w:sz w:val="22"/>
                <w:szCs w:val="22"/>
              </w:rPr>
            </w:pPr>
            <w:r w:rsidRPr="00BE5F43">
              <w:rPr>
                <w:sz w:val="22"/>
                <w:szCs w:val="22"/>
              </w:rPr>
              <w:t>83,464</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A90D6F" w14:paraId="0C21AE6D"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BE5F43" w14:paraId="032D4B37" w14:textId="77777777">
            <w:pPr>
              <w:spacing w:line="276" w:lineRule="auto"/>
              <w:jc w:val="center"/>
              <w:rPr>
                <w:sz w:val="22"/>
                <w:szCs w:val="22"/>
              </w:rPr>
            </w:pPr>
            <w:r w:rsidRPr="00BE5F43">
              <w:rPr>
                <w:sz w:val="22"/>
                <w:szCs w:val="22"/>
              </w:rPr>
              <w:t>83,464</w:t>
            </w:r>
          </w:p>
        </w:tc>
        <w:tc>
          <w:tcPr>
            <w:tcW w:w="1074" w:type="dxa"/>
            <w:tcBorders>
              <w:top w:val="single" w:color="auto" w:sz="4" w:space="0"/>
              <w:left w:val="single" w:color="auto" w:sz="4" w:space="0"/>
              <w:bottom w:val="single" w:color="auto" w:sz="4" w:space="0"/>
              <w:right w:val="single" w:color="auto" w:sz="4" w:space="0"/>
            </w:tcBorders>
            <w:vAlign w:val="bottom"/>
          </w:tcPr>
          <w:p w:rsidRPr="00504D7A" w:rsidR="0080231E" w:rsidP="00A90D6F" w:rsidRDefault="00A90D6F" w14:paraId="7BAB389F" w14:textId="77777777">
            <w:pPr>
              <w:spacing w:line="276" w:lineRule="auto"/>
              <w:jc w:val="center"/>
              <w:rPr>
                <w:sz w:val="22"/>
                <w:szCs w:val="22"/>
              </w:rPr>
            </w:pPr>
            <w:r>
              <w:rPr>
                <w:sz w:val="22"/>
                <w:szCs w:val="22"/>
              </w:rPr>
              <w:t>1.5</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F31F9F" w14:paraId="72A81C14" w14:textId="77777777">
            <w:pPr>
              <w:spacing w:line="276" w:lineRule="auto"/>
              <w:jc w:val="center"/>
              <w:rPr>
                <w:sz w:val="22"/>
                <w:szCs w:val="22"/>
              </w:rPr>
            </w:pPr>
            <w:r w:rsidRPr="00F31F9F">
              <w:rPr>
                <w:sz w:val="22"/>
                <w:szCs w:val="22"/>
              </w:rPr>
              <w:t>125,196</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7720B5" w14:paraId="364A26D3" w14:textId="77777777">
            <w:pPr>
              <w:spacing w:line="276" w:lineRule="auto"/>
              <w:jc w:val="center"/>
              <w:rPr>
                <w:sz w:val="22"/>
                <w:szCs w:val="22"/>
              </w:rPr>
            </w:pPr>
            <w:r>
              <w:rPr>
                <w:sz w:val="22"/>
                <w:szCs w:val="22"/>
              </w:rPr>
              <w:t>$138.41</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4B0E23" w14:paraId="55C0345C" w14:textId="5E4734ED">
            <w:pPr>
              <w:spacing w:line="276" w:lineRule="auto"/>
              <w:jc w:val="center"/>
              <w:rPr>
                <w:sz w:val="22"/>
                <w:szCs w:val="22"/>
              </w:rPr>
            </w:pPr>
            <w:r w:rsidRPr="004B0E23">
              <w:rPr>
                <w:sz w:val="22"/>
                <w:szCs w:val="22"/>
              </w:rPr>
              <w:t>$17,328,377</w:t>
            </w:r>
          </w:p>
        </w:tc>
      </w:tr>
      <w:tr w:rsidRPr="00504D7A" w:rsidR="0080231E" w:rsidTr="004470F7" w14:paraId="63257B8A" w14:textId="77777777">
        <w:tc>
          <w:tcPr>
            <w:tcW w:w="2160" w:type="dxa"/>
            <w:tcBorders>
              <w:top w:val="single" w:color="auto" w:sz="4" w:space="0"/>
              <w:left w:val="single" w:color="auto" w:sz="4" w:space="0"/>
              <w:bottom w:val="single" w:color="auto" w:sz="4" w:space="0"/>
              <w:right w:val="single" w:color="auto" w:sz="4" w:space="0"/>
            </w:tcBorders>
          </w:tcPr>
          <w:p w:rsidRPr="0080231E" w:rsidR="0080231E" w:rsidP="0080231E" w:rsidRDefault="00A44739" w14:paraId="6D48D243" w14:textId="77777777">
            <w:pPr>
              <w:spacing w:line="276" w:lineRule="auto"/>
              <w:rPr>
                <w:sz w:val="22"/>
                <w:szCs w:val="22"/>
              </w:rPr>
            </w:pPr>
            <w:r>
              <w:rPr>
                <w:sz w:val="22"/>
                <w:szCs w:val="22"/>
              </w:rPr>
              <w:t>Preparing d</w:t>
            </w:r>
            <w:r w:rsidRPr="0080231E" w:rsidR="0080231E">
              <w:rPr>
                <w:sz w:val="22"/>
                <w:szCs w:val="22"/>
              </w:rPr>
              <w:t>isclosures specific to individual IRA holders</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8B7E80" w14:paraId="1DB73AFE" w14:textId="77777777">
            <w:pPr>
              <w:spacing w:line="276" w:lineRule="auto"/>
              <w:jc w:val="center"/>
              <w:rPr>
                <w:sz w:val="22"/>
                <w:szCs w:val="22"/>
              </w:rPr>
            </w:pPr>
            <w:r w:rsidRPr="008B7E80">
              <w:rPr>
                <w:sz w:val="22"/>
                <w:szCs w:val="22"/>
              </w:rPr>
              <w:t>11,396</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7960D2" w14:paraId="195EF66C"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8B7E80" w14:paraId="6B204009" w14:textId="77777777">
            <w:pPr>
              <w:spacing w:line="276" w:lineRule="auto"/>
              <w:jc w:val="center"/>
              <w:rPr>
                <w:sz w:val="22"/>
                <w:szCs w:val="22"/>
              </w:rPr>
            </w:pPr>
            <w:r w:rsidRPr="008B7E80">
              <w:rPr>
                <w:sz w:val="22"/>
                <w:szCs w:val="22"/>
              </w:rPr>
              <w:t>11,396</w:t>
            </w:r>
          </w:p>
        </w:tc>
        <w:tc>
          <w:tcPr>
            <w:tcW w:w="1074"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7960D2" w14:paraId="4F4578F4" w14:textId="77777777">
            <w:pPr>
              <w:spacing w:line="276" w:lineRule="auto"/>
              <w:jc w:val="center"/>
              <w:rPr>
                <w:sz w:val="22"/>
                <w:szCs w:val="22"/>
              </w:rPr>
            </w:pPr>
            <w:r>
              <w:rPr>
                <w:sz w:val="22"/>
                <w:szCs w:val="22"/>
              </w:rPr>
              <w:t>50</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80231E" w:rsidP="003B6841" w:rsidRDefault="00F31F9F" w14:paraId="373E00D5" w14:textId="77777777">
            <w:pPr>
              <w:spacing w:line="276" w:lineRule="auto"/>
              <w:jc w:val="center"/>
              <w:rPr>
                <w:sz w:val="22"/>
                <w:szCs w:val="22"/>
              </w:rPr>
            </w:pPr>
            <w:r w:rsidRPr="00F31F9F">
              <w:rPr>
                <w:sz w:val="22"/>
                <w:szCs w:val="22"/>
              </w:rPr>
              <w:t>569,800</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7720B5" w14:paraId="60B2BD33" w14:textId="77777777">
            <w:pPr>
              <w:spacing w:line="276" w:lineRule="auto"/>
              <w:jc w:val="center"/>
              <w:rPr>
                <w:sz w:val="22"/>
                <w:szCs w:val="22"/>
              </w:rPr>
            </w:pPr>
            <w:r>
              <w:rPr>
                <w:sz w:val="22"/>
                <w:szCs w:val="22"/>
              </w:rPr>
              <w:t>$138.41</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80231E" w:rsidP="0080231E" w:rsidRDefault="004B0E23" w14:paraId="441134DB" w14:textId="495763EF">
            <w:pPr>
              <w:spacing w:line="276" w:lineRule="auto"/>
              <w:jc w:val="center"/>
              <w:rPr>
                <w:sz w:val="22"/>
                <w:szCs w:val="22"/>
              </w:rPr>
            </w:pPr>
            <w:r w:rsidRPr="004B0E23">
              <w:rPr>
                <w:sz w:val="22"/>
                <w:szCs w:val="22"/>
              </w:rPr>
              <w:t>$78,866,018</w:t>
            </w:r>
          </w:p>
        </w:tc>
      </w:tr>
      <w:tr w:rsidRPr="00504D7A" w:rsidR="00D9288F" w:rsidTr="004470F7" w14:paraId="70663BED" w14:textId="77777777">
        <w:tc>
          <w:tcPr>
            <w:tcW w:w="2160" w:type="dxa"/>
            <w:tcBorders>
              <w:top w:val="single" w:color="auto" w:sz="4" w:space="0"/>
              <w:left w:val="single" w:color="auto" w:sz="4" w:space="0"/>
              <w:bottom w:val="single" w:color="auto" w:sz="4" w:space="0"/>
              <w:right w:val="single" w:color="auto" w:sz="4" w:space="0"/>
            </w:tcBorders>
          </w:tcPr>
          <w:p w:rsidRPr="00146B9F" w:rsidR="00D9288F" w:rsidP="00D9288F" w:rsidRDefault="00D9288F" w14:paraId="30015000" w14:textId="77777777">
            <w:pPr>
              <w:spacing w:line="276" w:lineRule="auto"/>
              <w:rPr>
                <w:sz w:val="22"/>
                <w:szCs w:val="22"/>
              </w:rPr>
            </w:pPr>
            <w:r w:rsidRPr="00DA10AD">
              <w:rPr>
                <w:sz w:val="22"/>
                <w:szCs w:val="22"/>
              </w:rPr>
              <w:t xml:space="preserve">Photocopying </w:t>
            </w:r>
            <w:r w:rsidRPr="00146B9F" w:rsidR="00E4191A">
              <w:rPr>
                <w:sz w:val="22"/>
                <w:szCs w:val="22"/>
              </w:rPr>
              <w:t xml:space="preserve">disclosure packages to </w:t>
            </w:r>
            <w:r w:rsidRPr="00146B9F">
              <w:rPr>
                <w:sz w:val="22"/>
                <w:szCs w:val="22"/>
              </w:rPr>
              <w:t>plans</w:t>
            </w:r>
          </w:p>
        </w:tc>
        <w:tc>
          <w:tcPr>
            <w:tcW w:w="1440" w:type="dxa"/>
            <w:tcBorders>
              <w:top w:val="single" w:color="auto" w:sz="4" w:space="0"/>
              <w:left w:val="single" w:color="auto" w:sz="4" w:space="0"/>
              <w:bottom w:val="single" w:color="auto" w:sz="4" w:space="0"/>
              <w:right w:val="single" w:color="auto" w:sz="4" w:space="0"/>
            </w:tcBorders>
            <w:vAlign w:val="bottom"/>
          </w:tcPr>
          <w:p w:rsidRPr="00146B9F" w:rsidR="00D9288F" w:rsidP="0065649D" w:rsidRDefault="00AD2F6E" w14:paraId="3D66D4EF" w14:textId="7B5ADBC3">
            <w:pPr>
              <w:spacing w:line="276" w:lineRule="auto"/>
              <w:jc w:val="center"/>
              <w:rPr>
                <w:sz w:val="22"/>
                <w:szCs w:val="22"/>
              </w:rPr>
            </w:pPr>
            <w:r w:rsidRPr="00146B9F">
              <w:rPr>
                <w:sz w:val="22"/>
                <w:szCs w:val="22"/>
              </w:rPr>
              <w:t>83,464</w:t>
            </w:r>
          </w:p>
        </w:tc>
        <w:tc>
          <w:tcPr>
            <w:tcW w:w="1440" w:type="dxa"/>
            <w:tcBorders>
              <w:top w:val="single" w:color="auto" w:sz="4" w:space="0"/>
              <w:left w:val="single" w:color="auto" w:sz="4" w:space="0"/>
              <w:bottom w:val="single" w:color="auto" w:sz="4" w:space="0"/>
              <w:right w:val="single" w:color="auto" w:sz="4" w:space="0"/>
            </w:tcBorders>
            <w:vAlign w:val="bottom"/>
          </w:tcPr>
          <w:p w:rsidRPr="00146B9F" w:rsidR="00D9288F" w:rsidP="0065649D" w:rsidRDefault="00482534" w14:paraId="2D03B2DC" w14:textId="06B59D7C">
            <w:pPr>
              <w:spacing w:line="276" w:lineRule="auto"/>
              <w:jc w:val="center"/>
              <w:rPr>
                <w:sz w:val="22"/>
                <w:szCs w:val="22"/>
              </w:rPr>
            </w:pPr>
            <w:r w:rsidRPr="00146B9F">
              <w:rPr>
                <w:sz w:val="22"/>
                <w:szCs w:val="22"/>
              </w:rPr>
              <w:t>2.579040</w:t>
            </w:r>
          </w:p>
        </w:tc>
        <w:tc>
          <w:tcPr>
            <w:tcW w:w="1356" w:type="dxa"/>
            <w:tcBorders>
              <w:top w:val="single" w:color="auto" w:sz="4" w:space="0"/>
              <w:left w:val="single" w:color="auto" w:sz="4" w:space="0"/>
              <w:bottom w:val="single" w:color="auto" w:sz="4" w:space="0"/>
              <w:right w:val="single" w:color="auto" w:sz="4" w:space="0"/>
            </w:tcBorders>
            <w:vAlign w:val="bottom"/>
          </w:tcPr>
          <w:p w:rsidRPr="00DA10AD" w:rsidR="00D9288F" w:rsidP="0065649D" w:rsidRDefault="00BA494F" w14:paraId="01F17A31" w14:textId="196F37AF">
            <w:pPr>
              <w:spacing w:line="276" w:lineRule="auto"/>
              <w:jc w:val="center"/>
              <w:rPr>
                <w:sz w:val="22"/>
                <w:szCs w:val="22"/>
              </w:rPr>
            </w:pPr>
            <w:r w:rsidRPr="00DA10AD">
              <w:rPr>
                <w:sz w:val="22"/>
                <w:szCs w:val="22"/>
              </w:rPr>
              <w:t>215,257</w:t>
            </w:r>
          </w:p>
        </w:tc>
        <w:tc>
          <w:tcPr>
            <w:tcW w:w="1074" w:type="dxa"/>
            <w:tcBorders>
              <w:top w:val="single" w:color="auto" w:sz="4" w:space="0"/>
              <w:left w:val="single" w:color="auto" w:sz="4" w:space="0"/>
              <w:bottom w:val="single" w:color="auto" w:sz="4" w:space="0"/>
              <w:right w:val="single" w:color="auto" w:sz="4" w:space="0"/>
            </w:tcBorders>
            <w:vAlign w:val="bottom"/>
          </w:tcPr>
          <w:p w:rsidRPr="00DA10AD" w:rsidR="00D9288F" w:rsidP="0065649D" w:rsidRDefault="00511BC6" w14:paraId="27E95C3B" w14:textId="77777777">
            <w:pPr>
              <w:spacing w:line="276" w:lineRule="auto"/>
              <w:jc w:val="center"/>
              <w:rPr>
                <w:sz w:val="22"/>
                <w:szCs w:val="22"/>
              </w:rPr>
            </w:pPr>
            <w:r w:rsidRPr="00DA10AD">
              <w:rPr>
                <w:sz w:val="22"/>
                <w:szCs w:val="22"/>
              </w:rPr>
              <w:t>0.067</w:t>
            </w:r>
          </w:p>
        </w:tc>
        <w:tc>
          <w:tcPr>
            <w:tcW w:w="1260" w:type="dxa"/>
            <w:tcBorders>
              <w:top w:val="single" w:color="auto" w:sz="4" w:space="0"/>
              <w:left w:val="single" w:color="auto" w:sz="4" w:space="0"/>
              <w:bottom w:val="single" w:color="auto" w:sz="4" w:space="0"/>
              <w:right w:val="single" w:color="auto" w:sz="4" w:space="0"/>
            </w:tcBorders>
            <w:vAlign w:val="bottom"/>
          </w:tcPr>
          <w:p w:rsidRPr="00DA10AD" w:rsidR="00D9288F" w:rsidP="0065649D" w:rsidRDefault="00CC1FD3" w14:paraId="3E840047" w14:textId="5861942D">
            <w:pPr>
              <w:spacing w:line="276" w:lineRule="auto"/>
              <w:jc w:val="center"/>
              <w:rPr>
                <w:sz w:val="22"/>
                <w:szCs w:val="22"/>
              </w:rPr>
            </w:pPr>
            <w:r w:rsidRPr="00DA10AD">
              <w:rPr>
                <w:sz w:val="22"/>
                <w:szCs w:val="22"/>
              </w:rPr>
              <w:t>14,350</w:t>
            </w:r>
          </w:p>
        </w:tc>
        <w:tc>
          <w:tcPr>
            <w:tcW w:w="990" w:type="dxa"/>
            <w:tcBorders>
              <w:top w:val="single" w:color="auto" w:sz="4" w:space="0"/>
              <w:left w:val="single" w:color="auto" w:sz="4" w:space="0"/>
              <w:bottom w:val="single" w:color="auto" w:sz="4" w:space="0"/>
              <w:right w:val="single" w:color="auto" w:sz="4" w:space="0"/>
            </w:tcBorders>
            <w:vAlign w:val="bottom"/>
          </w:tcPr>
          <w:p w:rsidRPr="00DA10AD" w:rsidR="00D9288F" w:rsidP="0065649D" w:rsidRDefault="007720B5" w14:paraId="690B8127" w14:textId="77777777">
            <w:pPr>
              <w:spacing w:line="276" w:lineRule="auto"/>
              <w:jc w:val="center"/>
              <w:rPr>
                <w:sz w:val="22"/>
                <w:szCs w:val="22"/>
              </w:rPr>
            </w:pPr>
            <w:r w:rsidRPr="00DA10AD">
              <w:rPr>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DA10AD" w:rsidR="00D9288F" w:rsidP="0065649D" w:rsidRDefault="00BA494F" w14:paraId="79669B71" w14:textId="1E9735D6">
            <w:pPr>
              <w:spacing w:line="276" w:lineRule="auto"/>
              <w:jc w:val="center"/>
              <w:rPr>
                <w:sz w:val="22"/>
                <w:szCs w:val="22"/>
              </w:rPr>
            </w:pPr>
            <w:r w:rsidRPr="00DA10AD">
              <w:rPr>
                <w:sz w:val="22"/>
                <w:szCs w:val="22"/>
              </w:rPr>
              <w:t>$791,286</w:t>
            </w:r>
          </w:p>
        </w:tc>
      </w:tr>
      <w:tr w:rsidRPr="00504D7A" w:rsidR="00D9288F" w:rsidTr="004470F7" w14:paraId="1FCAC26A" w14:textId="77777777">
        <w:tc>
          <w:tcPr>
            <w:tcW w:w="2160" w:type="dxa"/>
            <w:tcBorders>
              <w:top w:val="single" w:color="auto" w:sz="4" w:space="0"/>
              <w:left w:val="single" w:color="auto" w:sz="4" w:space="0"/>
              <w:bottom w:val="single" w:color="auto" w:sz="4" w:space="0"/>
              <w:right w:val="single" w:color="auto" w:sz="4" w:space="0"/>
            </w:tcBorders>
          </w:tcPr>
          <w:p w:rsidRPr="00146B9F" w:rsidR="00D9288F" w:rsidP="00D9288F" w:rsidRDefault="00D9288F" w14:paraId="1D15F94C" w14:textId="77777777">
            <w:pPr>
              <w:spacing w:line="276" w:lineRule="auto"/>
              <w:rPr>
                <w:sz w:val="22"/>
                <w:szCs w:val="22"/>
              </w:rPr>
            </w:pPr>
            <w:r w:rsidRPr="00DA10AD">
              <w:rPr>
                <w:sz w:val="22"/>
                <w:szCs w:val="22"/>
              </w:rPr>
              <w:t>Photocopying</w:t>
            </w:r>
            <w:r w:rsidRPr="00DA10AD" w:rsidR="00E4191A">
              <w:rPr>
                <w:sz w:val="22"/>
                <w:szCs w:val="22"/>
              </w:rPr>
              <w:t xml:space="preserve"> disclosure packages to</w:t>
            </w:r>
            <w:r w:rsidRPr="00146B9F">
              <w:rPr>
                <w:sz w:val="22"/>
                <w:szCs w:val="22"/>
              </w:rPr>
              <w:t xml:space="preserve"> IRAs</w:t>
            </w:r>
          </w:p>
        </w:tc>
        <w:tc>
          <w:tcPr>
            <w:tcW w:w="1440" w:type="dxa"/>
            <w:tcBorders>
              <w:top w:val="single" w:color="auto" w:sz="4" w:space="0"/>
              <w:left w:val="single" w:color="auto" w:sz="4" w:space="0"/>
              <w:bottom w:val="single" w:color="auto" w:sz="4" w:space="0"/>
              <w:right w:val="single" w:color="auto" w:sz="4" w:space="0"/>
            </w:tcBorders>
            <w:vAlign w:val="bottom"/>
          </w:tcPr>
          <w:p w:rsidRPr="00146B9F" w:rsidR="00D9288F" w:rsidP="0065649D" w:rsidRDefault="008B7E80" w14:paraId="6F09985F" w14:textId="77777777">
            <w:pPr>
              <w:spacing w:line="276" w:lineRule="auto"/>
              <w:jc w:val="center"/>
              <w:rPr>
                <w:sz w:val="22"/>
                <w:szCs w:val="22"/>
              </w:rPr>
            </w:pPr>
            <w:r w:rsidRPr="00146B9F">
              <w:rPr>
                <w:sz w:val="22"/>
                <w:szCs w:val="22"/>
              </w:rPr>
              <w:t>11,396</w:t>
            </w:r>
          </w:p>
        </w:tc>
        <w:tc>
          <w:tcPr>
            <w:tcW w:w="1440" w:type="dxa"/>
            <w:tcBorders>
              <w:top w:val="single" w:color="auto" w:sz="4" w:space="0"/>
              <w:left w:val="single" w:color="auto" w:sz="4" w:space="0"/>
              <w:bottom w:val="single" w:color="auto" w:sz="4" w:space="0"/>
              <w:right w:val="single" w:color="auto" w:sz="4" w:space="0"/>
            </w:tcBorders>
            <w:vAlign w:val="bottom"/>
          </w:tcPr>
          <w:p w:rsidRPr="00146B9F" w:rsidR="00D9288F" w:rsidP="0065649D" w:rsidRDefault="00482534" w14:paraId="5E276474" w14:textId="3A9CE08F">
            <w:pPr>
              <w:spacing w:line="276" w:lineRule="auto"/>
              <w:jc w:val="center"/>
              <w:rPr>
                <w:sz w:val="22"/>
                <w:szCs w:val="22"/>
              </w:rPr>
            </w:pPr>
            <w:r w:rsidRPr="00146B9F">
              <w:rPr>
                <w:sz w:val="22"/>
                <w:szCs w:val="22"/>
              </w:rPr>
              <w:t>736.682783</w:t>
            </w:r>
          </w:p>
        </w:tc>
        <w:tc>
          <w:tcPr>
            <w:tcW w:w="1356" w:type="dxa"/>
            <w:tcBorders>
              <w:top w:val="single" w:color="auto" w:sz="4" w:space="0"/>
              <w:left w:val="single" w:color="auto" w:sz="4" w:space="0"/>
              <w:bottom w:val="single" w:color="auto" w:sz="4" w:space="0"/>
              <w:right w:val="single" w:color="auto" w:sz="4" w:space="0"/>
            </w:tcBorders>
            <w:vAlign w:val="bottom"/>
          </w:tcPr>
          <w:p w:rsidRPr="00DA10AD" w:rsidR="00D9288F" w:rsidP="0065649D" w:rsidRDefault="00BA494F" w14:paraId="28459E5E" w14:textId="5D1E2F5D">
            <w:pPr>
              <w:spacing w:line="276" w:lineRule="auto"/>
              <w:jc w:val="center"/>
              <w:rPr>
                <w:sz w:val="22"/>
                <w:szCs w:val="22"/>
              </w:rPr>
            </w:pPr>
            <w:r w:rsidRPr="00DA10AD">
              <w:rPr>
                <w:sz w:val="22"/>
                <w:szCs w:val="22"/>
              </w:rPr>
              <w:t>8,395,237</w:t>
            </w:r>
          </w:p>
        </w:tc>
        <w:tc>
          <w:tcPr>
            <w:tcW w:w="1074" w:type="dxa"/>
            <w:tcBorders>
              <w:top w:val="single" w:color="auto" w:sz="4" w:space="0"/>
              <w:left w:val="single" w:color="auto" w:sz="4" w:space="0"/>
              <w:bottom w:val="single" w:color="auto" w:sz="4" w:space="0"/>
              <w:right w:val="single" w:color="auto" w:sz="4" w:space="0"/>
            </w:tcBorders>
            <w:vAlign w:val="bottom"/>
          </w:tcPr>
          <w:p w:rsidRPr="00DA10AD" w:rsidR="00D9288F" w:rsidP="0065649D" w:rsidRDefault="00511BC6" w14:paraId="11D94907" w14:textId="77777777">
            <w:pPr>
              <w:spacing w:line="276" w:lineRule="auto"/>
              <w:jc w:val="center"/>
              <w:rPr>
                <w:sz w:val="22"/>
                <w:szCs w:val="22"/>
              </w:rPr>
            </w:pPr>
            <w:r w:rsidRPr="00DA10AD">
              <w:rPr>
                <w:sz w:val="22"/>
                <w:szCs w:val="22"/>
              </w:rPr>
              <w:t>0.067</w:t>
            </w:r>
          </w:p>
        </w:tc>
        <w:tc>
          <w:tcPr>
            <w:tcW w:w="1260" w:type="dxa"/>
            <w:tcBorders>
              <w:top w:val="single" w:color="auto" w:sz="4" w:space="0"/>
              <w:left w:val="single" w:color="auto" w:sz="4" w:space="0"/>
              <w:bottom w:val="single" w:color="auto" w:sz="4" w:space="0"/>
              <w:right w:val="single" w:color="auto" w:sz="4" w:space="0"/>
            </w:tcBorders>
            <w:vAlign w:val="bottom"/>
          </w:tcPr>
          <w:p w:rsidRPr="00DA10AD" w:rsidR="00D9288F" w:rsidP="0065649D" w:rsidRDefault="00CC1FD3" w14:paraId="57D352F4" w14:textId="021B4157">
            <w:pPr>
              <w:spacing w:line="276" w:lineRule="auto"/>
              <w:jc w:val="center"/>
              <w:rPr>
                <w:sz w:val="22"/>
                <w:szCs w:val="22"/>
              </w:rPr>
            </w:pPr>
            <w:r w:rsidRPr="00DA10AD">
              <w:rPr>
                <w:sz w:val="22"/>
                <w:szCs w:val="22"/>
              </w:rPr>
              <w:t>559,682</w:t>
            </w:r>
          </w:p>
        </w:tc>
        <w:tc>
          <w:tcPr>
            <w:tcW w:w="990" w:type="dxa"/>
            <w:tcBorders>
              <w:top w:val="single" w:color="auto" w:sz="4" w:space="0"/>
              <w:left w:val="single" w:color="auto" w:sz="4" w:space="0"/>
              <w:bottom w:val="single" w:color="auto" w:sz="4" w:space="0"/>
              <w:right w:val="single" w:color="auto" w:sz="4" w:space="0"/>
            </w:tcBorders>
            <w:vAlign w:val="bottom"/>
          </w:tcPr>
          <w:p w:rsidRPr="00DA10AD" w:rsidR="00D9288F" w:rsidP="0065649D" w:rsidRDefault="007720B5" w14:paraId="61224A6F" w14:textId="77777777">
            <w:pPr>
              <w:spacing w:line="276" w:lineRule="auto"/>
              <w:jc w:val="center"/>
              <w:rPr>
                <w:sz w:val="22"/>
                <w:szCs w:val="22"/>
              </w:rPr>
            </w:pPr>
            <w:r w:rsidRPr="00DA10AD">
              <w:rPr>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DA10AD" w:rsidR="00D9288F" w:rsidP="0065649D" w:rsidRDefault="00BA494F" w14:paraId="7B8E5E76" w14:textId="2B90C46A">
            <w:pPr>
              <w:spacing w:line="276" w:lineRule="auto"/>
              <w:jc w:val="center"/>
              <w:rPr>
                <w:sz w:val="22"/>
                <w:szCs w:val="22"/>
              </w:rPr>
            </w:pPr>
            <w:r w:rsidRPr="00DA10AD">
              <w:rPr>
                <w:sz w:val="22"/>
                <w:szCs w:val="22"/>
              </w:rPr>
              <w:t>$30,860,893</w:t>
            </w:r>
          </w:p>
        </w:tc>
      </w:tr>
      <w:tr w:rsidRPr="00504D7A" w:rsidR="0065649D" w:rsidTr="004470F7" w14:paraId="69E3D7A0" w14:textId="77777777">
        <w:tc>
          <w:tcPr>
            <w:tcW w:w="2160" w:type="dxa"/>
            <w:tcBorders>
              <w:top w:val="single" w:color="auto" w:sz="4" w:space="0"/>
              <w:left w:val="single" w:color="auto" w:sz="4" w:space="0"/>
              <w:bottom w:val="single" w:color="auto" w:sz="4" w:space="0"/>
              <w:right w:val="single" w:color="auto" w:sz="4" w:space="0"/>
            </w:tcBorders>
          </w:tcPr>
          <w:p w:rsidRPr="00146B9F" w:rsidR="0065649D" w:rsidP="00D9288F" w:rsidRDefault="0065649D" w14:paraId="40912590" w14:textId="77777777">
            <w:pPr>
              <w:spacing w:line="276" w:lineRule="auto"/>
              <w:rPr>
                <w:sz w:val="22"/>
                <w:szCs w:val="22"/>
              </w:rPr>
            </w:pPr>
            <w:r w:rsidRPr="00DA10AD">
              <w:rPr>
                <w:sz w:val="22"/>
                <w:szCs w:val="22"/>
              </w:rPr>
              <w:t>Mailing</w:t>
            </w:r>
            <w:r w:rsidRPr="00DA10AD" w:rsidR="00E4191A">
              <w:rPr>
                <w:sz w:val="22"/>
                <w:szCs w:val="22"/>
              </w:rPr>
              <w:t xml:space="preserve"> disclosure packages to</w:t>
            </w:r>
            <w:r w:rsidRPr="00146B9F">
              <w:rPr>
                <w:sz w:val="22"/>
                <w:szCs w:val="22"/>
              </w:rPr>
              <w:t xml:space="preserve"> plans</w:t>
            </w:r>
          </w:p>
        </w:tc>
        <w:tc>
          <w:tcPr>
            <w:tcW w:w="1440" w:type="dxa"/>
            <w:tcBorders>
              <w:top w:val="single" w:color="auto" w:sz="4" w:space="0"/>
              <w:left w:val="single" w:color="auto" w:sz="4" w:space="0"/>
              <w:bottom w:val="single" w:color="auto" w:sz="4" w:space="0"/>
              <w:right w:val="single" w:color="auto" w:sz="4" w:space="0"/>
            </w:tcBorders>
            <w:vAlign w:val="bottom"/>
          </w:tcPr>
          <w:p w:rsidRPr="00146B9F" w:rsidR="0065649D" w:rsidP="0065649D" w:rsidRDefault="00AD2F6E" w14:paraId="1B5AE2FA" w14:textId="24AF1AAC">
            <w:pPr>
              <w:spacing w:line="276" w:lineRule="auto"/>
              <w:jc w:val="center"/>
              <w:rPr>
                <w:sz w:val="22"/>
                <w:szCs w:val="22"/>
              </w:rPr>
            </w:pPr>
            <w:r w:rsidRPr="00146B9F">
              <w:rPr>
                <w:sz w:val="22"/>
                <w:szCs w:val="22"/>
              </w:rPr>
              <w:t>83,464</w:t>
            </w:r>
          </w:p>
        </w:tc>
        <w:tc>
          <w:tcPr>
            <w:tcW w:w="1440" w:type="dxa"/>
            <w:tcBorders>
              <w:top w:val="single" w:color="auto" w:sz="4" w:space="0"/>
              <w:left w:val="single" w:color="auto" w:sz="4" w:space="0"/>
              <w:bottom w:val="single" w:color="auto" w:sz="4" w:space="0"/>
              <w:right w:val="single" w:color="auto" w:sz="4" w:space="0"/>
            </w:tcBorders>
            <w:vAlign w:val="bottom"/>
          </w:tcPr>
          <w:p w:rsidRPr="00146B9F" w:rsidR="0065649D" w:rsidP="0065649D" w:rsidRDefault="00482534" w14:paraId="08C2463F" w14:textId="6806CA57">
            <w:pPr>
              <w:spacing w:line="276" w:lineRule="auto"/>
              <w:jc w:val="center"/>
              <w:rPr>
                <w:sz w:val="22"/>
                <w:szCs w:val="22"/>
              </w:rPr>
            </w:pPr>
            <w:r w:rsidRPr="00146B9F">
              <w:rPr>
                <w:sz w:val="22"/>
                <w:szCs w:val="22"/>
              </w:rPr>
              <w:t>1.289526</w:t>
            </w:r>
          </w:p>
        </w:tc>
        <w:tc>
          <w:tcPr>
            <w:tcW w:w="1356" w:type="dxa"/>
            <w:tcBorders>
              <w:top w:val="single" w:color="auto" w:sz="4" w:space="0"/>
              <w:left w:val="single" w:color="auto" w:sz="4" w:space="0"/>
              <w:bottom w:val="single" w:color="auto" w:sz="4" w:space="0"/>
              <w:right w:val="single" w:color="auto" w:sz="4" w:space="0"/>
            </w:tcBorders>
            <w:vAlign w:val="bottom"/>
          </w:tcPr>
          <w:p w:rsidRPr="00DA10AD" w:rsidR="0065649D" w:rsidP="0065649D" w:rsidRDefault="00BA494F" w14:paraId="200DA5EC" w14:textId="0C7A4520">
            <w:pPr>
              <w:spacing w:line="276" w:lineRule="auto"/>
              <w:jc w:val="center"/>
              <w:rPr>
                <w:sz w:val="22"/>
                <w:szCs w:val="22"/>
              </w:rPr>
            </w:pPr>
            <w:r w:rsidRPr="00DA10AD">
              <w:rPr>
                <w:sz w:val="22"/>
                <w:szCs w:val="22"/>
              </w:rPr>
              <w:t>107,629</w:t>
            </w:r>
          </w:p>
        </w:tc>
        <w:tc>
          <w:tcPr>
            <w:tcW w:w="1074" w:type="dxa"/>
            <w:tcBorders>
              <w:top w:val="single" w:color="auto" w:sz="4" w:space="0"/>
              <w:left w:val="single" w:color="auto" w:sz="4" w:space="0"/>
              <w:bottom w:val="single" w:color="auto" w:sz="4" w:space="0"/>
              <w:right w:val="single" w:color="auto" w:sz="4" w:space="0"/>
            </w:tcBorders>
            <w:vAlign w:val="bottom"/>
          </w:tcPr>
          <w:p w:rsidRPr="00DA10AD" w:rsidR="0065649D" w:rsidP="0065649D" w:rsidRDefault="00511BC6" w14:paraId="46A309B4" w14:textId="77777777">
            <w:pPr>
              <w:spacing w:line="276" w:lineRule="auto"/>
              <w:jc w:val="center"/>
              <w:rPr>
                <w:sz w:val="22"/>
                <w:szCs w:val="22"/>
              </w:rPr>
            </w:pPr>
            <w:r w:rsidRPr="00DA10AD">
              <w:rPr>
                <w:sz w:val="22"/>
                <w:szCs w:val="22"/>
              </w:rPr>
              <w:t>0.0167</w:t>
            </w:r>
          </w:p>
        </w:tc>
        <w:tc>
          <w:tcPr>
            <w:tcW w:w="1260" w:type="dxa"/>
            <w:tcBorders>
              <w:top w:val="single" w:color="auto" w:sz="4" w:space="0"/>
              <w:left w:val="single" w:color="auto" w:sz="4" w:space="0"/>
              <w:bottom w:val="single" w:color="auto" w:sz="4" w:space="0"/>
              <w:right w:val="single" w:color="auto" w:sz="4" w:space="0"/>
            </w:tcBorders>
            <w:vAlign w:val="bottom"/>
          </w:tcPr>
          <w:p w:rsidRPr="00DA10AD" w:rsidR="0065649D" w:rsidP="0065649D" w:rsidRDefault="00CC1FD3" w14:paraId="77B8165A" w14:textId="5F31DAF2">
            <w:pPr>
              <w:spacing w:line="276" w:lineRule="auto"/>
              <w:jc w:val="center"/>
              <w:rPr>
                <w:sz w:val="22"/>
                <w:szCs w:val="22"/>
              </w:rPr>
            </w:pPr>
            <w:r w:rsidRPr="00DA10AD">
              <w:rPr>
                <w:sz w:val="22"/>
                <w:szCs w:val="22"/>
              </w:rPr>
              <w:t>1,794</w:t>
            </w:r>
          </w:p>
        </w:tc>
        <w:tc>
          <w:tcPr>
            <w:tcW w:w="990" w:type="dxa"/>
            <w:tcBorders>
              <w:top w:val="single" w:color="auto" w:sz="4" w:space="0"/>
              <w:left w:val="single" w:color="auto" w:sz="4" w:space="0"/>
              <w:bottom w:val="single" w:color="auto" w:sz="4" w:space="0"/>
              <w:right w:val="single" w:color="auto" w:sz="4" w:space="0"/>
            </w:tcBorders>
            <w:vAlign w:val="bottom"/>
          </w:tcPr>
          <w:p w:rsidRPr="00DA10AD" w:rsidR="0065649D" w:rsidP="0065649D" w:rsidRDefault="007720B5" w14:paraId="6C3E8456" w14:textId="77777777">
            <w:pPr>
              <w:spacing w:line="276" w:lineRule="auto"/>
              <w:jc w:val="center"/>
              <w:rPr>
                <w:sz w:val="22"/>
                <w:szCs w:val="22"/>
              </w:rPr>
            </w:pPr>
            <w:r w:rsidRPr="00DA10AD">
              <w:rPr>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DA10AD" w:rsidR="0065649D" w:rsidP="0065649D" w:rsidRDefault="00BA494F" w14:paraId="3567CB02" w14:textId="6942E9A3">
            <w:pPr>
              <w:spacing w:line="276" w:lineRule="auto"/>
              <w:jc w:val="center"/>
              <w:rPr>
                <w:sz w:val="22"/>
                <w:szCs w:val="22"/>
              </w:rPr>
            </w:pPr>
            <w:r w:rsidRPr="00DA10AD">
              <w:rPr>
                <w:sz w:val="22"/>
                <w:szCs w:val="22"/>
              </w:rPr>
              <w:t>$98,911</w:t>
            </w:r>
          </w:p>
        </w:tc>
      </w:tr>
      <w:tr w:rsidRPr="00504D7A" w:rsidR="0065649D" w:rsidTr="004470F7" w14:paraId="79B5303C" w14:textId="77777777">
        <w:tc>
          <w:tcPr>
            <w:tcW w:w="2160" w:type="dxa"/>
            <w:tcBorders>
              <w:top w:val="single" w:color="auto" w:sz="4" w:space="0"/>
              <w:left w:val="single" w:color="auto" w:sz="4" w:space="0"/>
              <w:bottom w:val="single" w:color="auto" w:sz="4" w:space="0"/>
              <w:right w:val="single" w:color="auto" w:sz="4" w:space="0"/>
            </w:tcBorders>
          </w:tcPr>
          <w:p w:rsidRPr="00146B9F" w:rsidR="0065649D" w:rsidP="00D9288F" w:rsidRDefault="0065649D" w14:paraId="64D41566" w14:textId="77777777">
            <w:pPr>
              <w:spacing w:line="276" w:lineRule="auto"/>
              <w:rPr>
                <w:sz w:val="22"/>
                <w:szCs w:val="22"/>
              </w:rPr>
            </w:pPr>
            <w:r w:rsidRPr="00DA10AD">
              <w:rPr>
                <w:sz w:val="22"/>
                <w:szCs w:val="22"/>
              </w:rPr>
              <w:t xml:space="preserve">Mailing </w:t>
            </w:r>
            <w:r w:rsidRPr="00DA10AD" w:rsidR="00E4191A">
              <w:rPr>
                <w:sz w:val="22"/>
                <w:szCs w:val="22"/>
              </w:rPr>
              <w:t xml:space="preserve">disclosure packages to </w:t>
            </w:r>
            <w:r w:rsidRPr="00146B9F">
              <w:rPr>
                <w:sz w:val="22"/>
                <w:szCs w:val="22"/>
              </w:rPr>
              <w:t>IRAs</w:t>
            </w:r>
          </w:p>
        </w:tc>
        <w:tc>
          <w:tcPr>
            <w:tcW w:w="1440" w:type="dxa"/>
            <w:tcBorders>
              <w:top w:val="single" w:color="auto" w:sz="4" w:space="0"/>
              <w:left w:val="single" w:color="auto" w:sz="4" w:space="0"/>
              <w:bottom w:val="single" w:color="auto" w:sz="4" w:space="0"/>
              <w:right w:val="single" w:color="auto" w:sz="4" w:space="0"/>
            </w:tcBorders>
            <w:vAlign w:val="bottom"/>
          </w:tcPr>
          <w:p w:rsidRPr="00146B9F" w:rsidR="0065649D" w:rsidP="0065649D" w:rsidRDefault="008B7E80" w14:paraId="3745E90F" w14:textId="77777777">
            <w:pPr>
              <w:spacing w:line="276" w:lineRule="auto"/>
              <w:jc w:val="center"/>
              <w:rPr>
                <w:sz w:val="22"/>
                <w:szCs w:val="22"/>
              </w:rPr>
            </w:pPr>
            <w:r w:rsidRPr="00146B9F">
              <w:rPr>
                <w:sz w:val="22"/>
                <w:szCs w:val="22"/>
              </w:rPr>
              <w:t>11,396</w:t>
            </w:r>
          </w:p>
        </w:tc>
        <w:tc>
          <w:tcPr>
            <w:tcW w:w="1440" w:type="dxa"/>
            <w:tcBorders>
              <w:top w:val="single" w:color="auto" w:sz="4" w:space="0"/>
              <w:left w:val="single" w:color="auto" w:sz="4" w:space="0"/>
              <w:bottom w:val="single" w:color="auto" w:sz="4" w:space="0"/>
              <w:right w:val="single" w:color="auto" w:sz="4" w:space="0"/>
            </w:tcBorders>
            <w:vAlign w:val="bottom"/>
          </w:tcPr>
          <w:p w:rsidRPr="00146B9F" w:rsidR="0065649D" w:rsidP="0065649D" w:rsidRDefault="00482534" w14:paraId="100AB9B9" w14:textId="56A75162">
            <w:pPr>
              <w:spacing w:line="276" w:lineRule="auto"/>
              <w:jc w:val="center"/>
              <w:rPr>
                <w:sz w:val="22"/>
                <w:szCs w:val="22"/>
              </w:rPr>
            </w:pPr>
            <w:r w:rsidRPr="00146B9F">
              <w:rPr>
                <w:sz w:val="22"/>
                <w:szCs w:val="22"/>
              </w:rPr>
              <w:t>368.341436</w:t>
            </w:r>
          </w:p>
        </w:tc>
        <w:tc>
          <w:tcPr>
            <w:tcW w:w="1356" w:type="dxa"/>
            <w:tcBorders>
              <w:top w:val="single" w:color="auto" w:sz="4" w:space="0"/>
              <w:left w:val="single" w:color="auto" w:sz="4" w:space="0"/>
              <w:bottom w:val="single" w:color="auto" w:sz="4" w:space="0"/>
              <w:right w:val="single" w:color="auto" w:sz="4" w:space="0"/>
            </w:tcBorders>
            <w:vAlign w:val="bottom"/>
          </w:tcPr>
          <w:p w:rsidRPr="00DA10AD" w:rsidR="0065649D" w:rsidP="0065649D" w:rsidRDefault="00BA494F" w14:paraId="06839673" w14:textId="3DD778D5">
            <w:pPr>
              <w:spacing w:line="276" w:lineRule="auto"/>
              <w:jc w:val="center"/>
              <w:rPr>
                <w:sz w:val="22"/>
                <w:szCs w:val="22"/>
              </w:rPr>
            </w:pPr>
            <w:r w:rsidRPr="00DA10AD">
              <w:rPr>
                <w:sz w:val="22"/>
                <w:szCs w:val="22"/>
              </w:rPr>
              <w:t>4,197,619</w:t>
            </w:r>
          </w:p>
        </w:tc>
        <w:tc>
          <w:tcPr>
            <w:tcW w:w="1074" w:type="dxa"/>
            <w:tcBorders>
              <w:top w:val="single" w:color="auto" w:sz="4" w:space="0"/>
              <w:left w:val="single" w:color="auto" w:sz="4" w:space="0"/>
              <w:bottom w:val="single" w:color="auto" w:sz="4" w:space="0"/>
              <w:right w:val="single" w:color="auto" w:sz="4" w:space="0"/>
            </w:tcBorders>
            <w:vAlign w:val="bottom"/>
          </w:tcPr>
          <w:p w:rsidRPr="00DA10AD" w:rsidR="0065649D" w:rsidP="0065649D" w:rsidRDefault="00511BC6" w14:paraId="012F5BA6" w14:textId="77777777">
            <w:pPr>
              <w:spacing w:line="276" w:lineRule="auto"/>
              <w:jc w:val="center"/>
              <w:rPr>
                <w:sz w:val="22"/>
                <w:szCs w:val="22"/>
              </w:rPr>
            </w:pPr>
            <w:r w:rsidRPr="00DA10AD">
              <w:rPr>
                <w:sz w:val="22"/>
                <w:szCs w:val="22"/>
              </w:rPr>
              <w:t>0.0167</w:t>
            </w:r>
          </w:p>
        </w:tc>
        <w:tc>
          <w:tcPr>
            <w:tcW w:w="1260" w:type="dxa"/>
            <w:tcBorders>
              <w:top w:val="single" w:color="auto" w:sz="4" w:space="0"/>
              <w:left w:val="single" w:color="auto" w:sz="4" w:space="0"/>
              <w:bottom w:val="single" w:color="auto" w:sz="4" w:space="0"/>
              <w:right w:val="single" w:color="auto" w:sz="4" w:space="0"/>
            </w:tcBorders>
            <w:vAlign w:val="bottom"/>
          </w:tcPr>
          <w:p w:rsidRPr="00DA10AD" w:rsidR="0065649D" w:rsidP="0065649D" w:rsidRDefault="00CC1FD3" w14:paraId="10DBA6AE" w14:textId="5A323593">
            <w:pPr>
              <w:spacing w:line="276" w:lineRule="auto"/>
              <w:jc w:val="center"/>
              <w:rPr>
                <w:sz w:val="22"/>
                <w:szCs w:val="22"/>
              </w:rPr>
            </w:pPr>
            <w:r w:rsidRPr="00DA10AD">
              <w:rPr>
                <w:sz w:val="22"/>
                <w:szCs w:val="22"/>
              </w:rPr>
              <w:t>69,960</w:t>
            </w:r>
          </w:p>
        </w:tc>
        <w:tc>
          <w:tcPr>
            <w:tcW w:w="990" w:type="dxa"/>
            <w:tcBorders>
              <w:top w:val="single" w:color="auto" w:sz="4" w:space="0"/>
              <w:left w:val="single" w:color="auto" w:sz="4" w:space="0"/>
              <w:bottom w:val="single" w:color="auto" w:sz="4" w:space="0"/>
              <w:right w:val="single" w:color="auto" w:sz="4" w:space="0"/>
            </w:tcBorders>
            <w:vAlign w:val="bottom"/>
          </w:tcPr>
          <w:p w:rsidRPr="00DA10AD" w:rsidR="0065649D" w:rsidP="0065649D" w:rsidRDefault="007720B5" w14:paraId="55961D9A" w14:textId="77777777">
            <w:pPr>
              <w:spacing w:line="276" w:lineRule="auto"/>
              <w:jc w:val="center"/>
              <w:rPr>
                <w:sz w:val="22"/>
                <w:szCs w:val="22"/>
              </w:rPr>
            </w:pPr>
            <w:r w:rsidRPr="00DA10AD">
              <w:rPr>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DA10AD" w:rsidR="0065649D" w:rsidP="0065649D" w:rsidRDefault="00BA494F" w14:paraId="7AFA91B8" w14:textId="295F5F5B">
            <w:pPr>
              <w:spacing w:line="276" w:lineRule="auto"/>
              <w:jc w:val="center"/>
              <w:rPr>
                <w:sz w:val="22"/>
                <w:szCs w:val="22"/>
              </w:rPr>
            </w:pPr>
            <w:r w:rsidRPr="00DA10AD">
              <w:rPr>
                <w:sz w:val="22"/>
                <w:szCs w:val="22"/>
              </w:rPr>
              <w:t>$3,857,612</w:t>
            </w:r>
          </w:p>
        </w:tc>
      </w:tr>
      <w:tr w:rsidRPr="00504D7A" w:rsidR="00945859" w:rsidTr="004470F7" w14:paraId="72B0B683" w14:textId="77777777">
        <w:tc>
          <w:tcPr>
            <w:tcW w:w="2160" w:type="dxa"/>
            <w:tcBorders>
              <w:top w:val="single" w:color="auto" w:sz="4" w:space="0"/>
              <w:left w:val="single" w:color="auto" w:sz="4" w:space="0"/>
              <w:bottom w:val="single" w:color="auto" w:sz="4" w:space="0"/>
              <w:right w:val="single" w:color="auto" w:sz="4" w:space="0"/>
            </w:tcBorders>
          </w:tcPr>
          <w:p w:rsidR="00945859" w:rsidP="00DC6127" w:rsidRDefault="0012620F" w14:paraId="37085952" w14:textId="3FA42A6C">
            <w:pPr>
              <w:spacing w:line="276" w:lineRule="auto"/>
              <w:rPr>
                <w:sz w:val="22"/>
                <w:szCs w:val="22"/>
              </w:rPr>
            </w:pPr>
            <w:r>
              <w:rPr>
                <w:sz w:val="22"/>
                <w:szCs w:val="22"/>
              </w:rPr>
              <w:t xml:space="preserve">Legal professionals working </w:t>
            </w:r>
            <w:r w:rsidR="00E707D1">
              <w:rPr>
                <w:sz w:val="22"/>
                <w:szCs w:val="22"/>
              </w:rPr>
              <w:t xml:space="preserve">at companies </w:t>
            </w:r>
            <w:r w:rsidR="00E707D1">
              <w:rPr>
                <w:sz w:val="22"/>
                <w:szCs w:val="22"/>
              </w:rPr>
              <w:lastRenderedPageBreak/>
              <w:t>supply in-house support relating to</w:t>
            </w:r>
            <w:r w:rsidRPr="00945859" w:rsidR="00945859">
              <w:rPr>
                <w:sz w:val="22"/>
                <w:szCs w:val="22"/>
              </w:rPr>
              <w:t xml:space="preserve"> investment advice computer model </w:t>
            </w:r>
            <w:r w:rsidR="00970944">
              <w:rPr>
                <w:sz w:val="22"/>
                <w:szCs w:val="22"/>
              </w:rPr>
              <w:t>provider</w:t>
            </w:r>
            <w:r w:rsidR="00166BBC">
              <w:rPr>
                <w:sz w:val="22"/>
                <w:szCs w:val="22"/>
              </w:rPr>
              <w:t>s</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F50891" w14:paraId="56576B71" w14:textId="77777777">
            <w:pPr>
              <w:spacing w:line="276" w:lineRule="auto"/>
              <w:jc w:val="center"/>
              <w:rPr>
                <w:sz w:val="22"/>
                <w:szCs w:val="22"/>
              </w:rPr>
            </w:pPr>
            <w:r>
              <w:rPr>
                <w:sz w:val="22"/>
                <w:szCs w:val="22"/>
              </w:rPr>
              <w:lastRenderedPageBreak/>
              <w:t>6</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F50891" w14:paraId="72C1A0EB"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F86DF0" w14:paraId="09475388" w14:textId="77777777">
            <w:pPr>
              <w:spacing w:line="276" w:lineRule="auto"/>
              <w:jc w:val="center"/>
              <w:rPr>
                <w:sz w:val="22"/>
                <w:szCs w:val="22"/>
              </w:rPr>
            </w:pPr>
            <w:r>
              <w:rPr>
                <w:sz w:val="22"/>
                <w:szCs w:val="22"/>
              </w:rPr>
              <w:t>6</w:t>
            </w:r>
          </w:p>
        </w:tc>
        <w:tc>
          <w:tcPr>
            <w:tcW w:w="1074"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F86DF0" w14:paraId="105C3B23" w14:textId="77777777">
            <w:pPr>
              <w:spacing w:line="276" w:lineRule="auto"/>
              <w:jc w:val="center"/>
              <w:rPr>
                <w:sz w:val="22"/>
                <w:szCs w:val="22"/>
              </w:rPr>
            </w:pPr>
            <w:r>
              <w:rPr>
                <w:sz w:val="22"/>
                <w:szCs w:val="22"/>
              </w:rPr>
              <w:t>20</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F86DF0" w14:paraId="3D556011" w14:textId="77777777">
            <w:pPr>
              <w:spacing w:line="276" w:lineRule="auto"/>
              <w:jc w:val="center"/>
              <w:rPr>
                <w:sz w:val="22"/>
                <w:szCs w:val="22"/>
              </w:rPr>
            </w:pPr>
            <w:r w:rsidRPr="00F86DF0">
              <w:rPr>
                <w:sz w:val="22"/>
                <w:szCs w:val="22"/>
              </w:rPr>
              <w:t>120</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1A1A65" w14:paraId="0F53486A" w14:textId="77777777">
            <w:pPr>
              <w:spacing w:line="276" w:lineRule="auto"/>
              <w:jc w:val="center"/>
              <w:rPr>
                <w:sz w:val="22"/>
                <w:szCs w:val="22"/>
              </w:rPr>
            </w:pPr>
            <w:r>
              <w:rPr>
                <w:sz w:val="22"/>
                <w:szCs w:val="22"/>
              </w:rPr>
              <w:t>$138.41</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945859" w:rsidP="0035361B" w:rsidRDefault="004B0E23" w14:paraId="090DD4FD" w14:textId="74C7A35E">
            <w:pPr>
              <w:spacing w:line="276" w:lineRule="auto"/>
              <w:jc w:val="center"/>
              <w:rPr>
                <w:sz w:val="22"/>
                <w:szCs w:val="22"/>
              </w:rPr>
            </w:pPr>
            <w:r w:rsidRPr="004B0E23">
              <w:rPr>
                <w:sz w:val="22"/>
                <w:szCs w:val="22"/>
              </w:rPr>
              <w:t>$16,609</w:t>
            </w:r>
          </w:p>
        </w:tc>
      </w:tr>
      <w:tr w:rsidRPr="00504D7A" w:rsidR="00945859" w:rsidTr="004470F7" w14:paraId="5F825631" w14:textId="77777777">
        <w:tc>
          <w:tcPr>
            <w:tcW w:w="2160" w:type="dxa"/>
            <w:tcBorders>
              <w:top w:val="single" w:color="auto" w:sz="4" w:space="0"/>
              <w:left w:val="single" w:color="auto" w:sz="4" w:space="0"/>
              <w:bottom w:val="single" w:color="auto" w:sz="4" w:space="0"/>
              <w:right w:val="single" w:color="auto" w:sz="4" w:space="0"/>
            </w:tcBorders>
          </w:tcPr>
          <w:p w:rsidR="00945859" w:rsidP="007A3C69" w:rsidRDefault="00265D1C" w14:paraId="0056C02C" w14:textId="14EE3FC8">
            <w:pPr>
              <w:spacing w:line="276" w:lineRule="auto"/>
              <w:rPr>
                <w:sz w:val="22"/>
                <w:szCs w:val="22"/>
              </w:rPr>
            </w:pPr>
            <w:r>
              <w:rPr>
                <w:sz w:val="22"/>
                <w:szCs w:val="22"/>
              </w:rPr>
              <w:t>L</w:t>
            </w:r>
            <w:r w:rsidRPr="00945859" w:rsidR="00945859">
              <w:rPr>
                <w:sz w:val="22"/>
                <w:szCs w:val="22"/>
              </w:rPr>
              <w:t xml:space="preserve">egal professionals </w:t>
            </w:r>
            <w:r w:rsidR="007A3C69">
              <w:rPr>
                <w:sz w:val="22"/>
                <w:szCs w:val="22"/>
              </w:rPr>
              <w:t>working at</w:t>
            </w:r>
            <w:r w:rsidR="00A57F58">
              <w:rPr>
                <w:sz w:val="22"/>
                <w:szCs w:val="22"/>
              </w:rPr>
              <w:t xml:space="preserve"> companies </w:t>
            </w:r>
            <w:r w:rsidRPr="00945859" w:rsidR="00945859">
              <w:rPr>
                <w:sz w:val="22"/>
                <w:szCs w:val="22"/>
              </w:rPr>
              <w:t xml:space="preserve">supply in-house support </w:t>
            </w:r>
            <w:r w:rsidR="00E707D1">
              <w:rPr>
                <w:sz w:val="22"/>
                <w:szCs w:val="22"/>
              </w:rPr>
              <w:t xml:space="preserve">relating to </w:t>
            </w:r>
            <w:r w:rsidRPr="00E707D1" w:rsidR="00E707D1">
              <w:rPr>
                <w:sz w:val="22"/>
                <w:szCs w:val="22"/>
              </w:rPr>
              <w:t>investment advisory firms</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8B7E80" w14:paraId="1B16FFC6" w14:textId="77777777">
            <w:pPr>
              <w:spacing w:line="276" w:lineRule="auto"/>
              <w:jc w:val="center"/>
              <w:rPr>
                <w:sz w:val="22"/>
                <w:szCs w:val="22"/>
              </w:rPr>
            </w:pPr>
            <w:r w:rsidRPr="008B7E80">
              <w:rPr>
                <w:sz w:val="22"/>
                <w:szCs w:val="22"/>
              </w:rPr>
              <w:t>11,396</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F778F9" w14:paraId="5C5F13B7"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5856E4" w14:paraId="468431F7" w14:textId="77777777">
            <w:pPr>
              <w:spacing w:line="276" w:lineRule="auto"/>
              <w:jc w:val="center"/>
              <w:rPr>
                <w:sz w:val="22"/>
                <w:szCs w:val="22"/>
              </w:rPr>
            </w:pPr>
            <w:r>
              <w:rPr>
                <w:sz w:val="22"/>
                <w:szCs w:val="22"/>
              </w:rPr>
              <w:t>11,396</w:t>
            </w:r>
          </w:p>
        </w:tc>
        <w:tc>
          <w:tcPr>
            <w:tcW w:w="1074"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F86DF0" w14:paraId="587DAC71" w14:textId="77777777">
            <w:pPr>
              <w:spacing w:line="276" w:lineRule="auto"/>
              <w:jc w:val="center"/>
              <w:rPr>
                <w:sz w:val="22"/>
                <w:szCs w:val="22"/>
              </w:rPr>
            </w:pPr>
            <w:r>
              <w:rPr>
                <w:sz w:val="22"/>
                <w:szCs w:val="22"/>
              </w:rPr>
              <w:t>20</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9C3320" w14:paraId="684D517A" w14:textId="77777777">
            <w:pPr>
              <w:spacing w:line="276" w:lineRule="auto"/>
              <w:jc w:val="center"/>
              <w:rPr>
                <w:sz w:val="22"/>
                <w:szCs w:val="22"/>
              </w:rPr>
            </w:pPr>
            <w:r w:rsidRPr="009C3320">
              <w:rPr>
                <w:sz w:val="22"/>
                <w:szCs w:val="22"/>
              </w:rPr>
              <w:t>227,920</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1A1A65" w14:paraId="793B9AC5" w14:textId="77777777">
            <w:pPr>
              <w:spacing w:line="276" w:lineRule="auto"/>
              <w:jc w:val="center"/>
              <w:rPr>
                <w:sz w:val="22"/>
                <w:szCs w:val="22"/>
              </w:rPr>
            </w:pPr>
            <w:r>
              <w:rPr>
                <w:sz w:val="22"/>
                <w:szCs w:val="22"/>
              </w:rPr>
              <w:t>$138.41</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945859" w:rsidP="0065649D" w:rsidRDefault="00CC3222" w14:paraId="7EAD7584" w14:textId="2AEF5816">
            <w:pPr>
              <w:spacing w:line="276" w:lineRule="auto"/>
              <w:jc w:val="center"/>
              <w:rPr>
                <w:sz w:val="22"/>
                <w:szCs w:val="22"/>
              </w:rPr>
            </w:pPr>
            <w:r w:rsidRPr="00CC3222">
              <w:rPr>
                <w:sz w:val="22"/>
                <w:szCs w:val="22"/>
              </w:rPr>
              <w:t>$31,546,407</w:t>
            </w:r>
          </w:p>
        </w:tc>
      </w:tr>
      <w:tr w:rsidRPr="00504D7A" w:rsidR="000C3859" w:rsidTr="004470F7" w14:paraId="4D16AA29" w14:textId="77777777">
        <w:tc>
          <w:tcPr>
            <w:tcW w:w="2160" w:type="dxa"/>
            <w:tcBorders>
              <w:top w:val="single" w:color="auto" w:sz="4" w:space="0"/>
              <w:left w:val="single" w:color="auto" w:sz="4" w:space="0"/>
              <w:bottom w:val="single" w:color="auto" w:sz="4" w:space="0"/>
              <w:right w:val="single" w:color="auto" w:sz="4" w:space="0"/>
            </w:tcBorders>
          </w:tcPr>
          <w:p w:rsidR="000C3859" w:rsidP="00670C52" w:rsidRDefault="00A57F58" w14:paraId="26317EC7" w14:textId="13118ADD">
            <w:pPr>
              <w:spacing w:line="276" w:lineRule="auto"/>
              <w:rPr>
                <w:sz w:val="22"/>
                <w:szCs w:val="22"/>
              </w:rPr>
            </w:pPr>
            <w:r>
              <w:rPr>
                <w:sz w:val="22"/>
                <w:szCs w:val="22"/>
              </w:rPr>
              <w:t>L</w:t>
            </w:r>
            <w:r w:rsidRPr="000C3859" w:rsidR="000C3859">
              <w:rPr>
                <w:sz w:val="22"/>
                <w:szCs w:val="22"/>
              </w:rPr>
              <w:t xml:space="preserve">egal professionals </w:t>
            </w:r>
            <w:r w:rsidR="007A3C69">
              <w:rPr>
                <w:sz w:val="22"/>
                <w:szCs w:val="22"/>
              </w:rPr>
              <w:t>working at</w:t>
            </w:r>
            <w:r>
              <w:rPr>
                <w:sz w:val="22"/>
                <w:szCs w:val="22"/>
              </w:rPr>
              <w:t xml:space="preserve"> advisory firms </w:t>
            </w:r>
            <w:r w:rsidR="000C3859">
              <w:rPr>
                <w:sz w:val="22"/>
                <w:szCs w:val="22"/>
              </w:rPr>
              <w:t>p</w:t>
            </w:r>
            <w:r w:rsidRPr="000C3859" w:rsidR="000C3859">
              <w:rPr>
                <w:sz w:val="22"/>
                <w:szCs w:val="22"/>
              </w:rPr>
              <w:t xml:space="preserve">rovide </w:t>
            </w:r>
            <w:r>
              <w:rPr>
                <w:sz w:val="22"/>
                <w:szCs w:val="22"/>
              </w:rPr>
              <w:t>i</w:t>
            </w:r>
            <w:r w:rsidRPr="000C3859">
              <w:rPr>
                <w:sz w:val="22"/>
                <w:szCs w:val="22"/>
              </w:rPr>
              <w:t xml:space="preserve">n-house </w:t>
            </w:r>
            <w:r>
              <w:rPr>
                <w:sz w:val="22"/>
                <w:szCs w:val="22"/>
              </w:rPr>
              <w:t>support</w:t>
            </w:r>
            <w:r w:rsidRPr="000C3859" w:rsidR="000C3859">
              <w:rPr>
                <w:sz w:val="22"/>
                <w:szCs w:val="22"/>
              </w:rPr>
              <w:t xml:space="preserve"> </w:t>
            </w:r>
            <w:r w:rsidR="00670C52">
              <w:rPr>
                <w:sz w:val="22"/>
                <w:szCs w:val="22"/>
              </w:rPr>
              <w:t>relating to</w:t>
            </w:r>
            <w:r w:rsidR="006E4FC1">
              <w:rPr>
                <w:sz w:val="22"/>
                <w:szCs w:val="22"/>
              </w:rPr>
              <w:t xml:space="preserve"> plans</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0C3859" w:rsidP="0065649D" w:rsidRDefault="00BE5F43" w14:paraId="53D95E20" w14:textId="77777777">
            <w:pPr>
              <w:spacing w:line="276" w:lineRule="auto"/>
              <w:jc w:val="center"/>
              <w:rPr>
                <w:sz w:val="22"/>
                <w:szCs w:val="22"/>
              </w:rPr>
            </w:pPr>
            <w:r w:rsidRPr="00BE5F43">
              <w:rPr>
                <w:sz w:val="22"/>
                <w:szCs w:val="22"/>
              </w:rPr>
              <w:t>83,464</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0C3859" w:rsidP="0065649D" w:rsidRDefault="00F50891" w14:paraId="54FCD68D"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504D7A" w:rsidR="000C3859" w:rsidP="0065649D" w:rsidRDefault="00BE5F43" w14:paraId="02BFD2C4" w14:textId="77777777">
            <w:pPr>
              <w:spacing w:line="276" w:lineRule="auto"/>
              <w:jc w:val="center"/>
              <w:rPr>
                <w:sz w:val="22"/>
                <w:szCs w:val="22"/>
              </w:rPr>
            </w:pPr>
            <w:r w:rsidRPr="00BE5F43">
              <w:rPr>
                <w:sz w:val="22"/>
                <w:szCs w:val="22"/>
              </w:rPr>
              <w:t>83,464</w:t>
            </w:r>
          </w:p>
        </w:tc>
        <w:tc>
          <w:tcPr>
            <w:tcW w:w="1074" w:type="dxa"/>
            <w:tcBorders>
              <w:top w:val="single" w:color="auto" w:sz="4" w:space="0"/>
              <w:left w:val="single" w:color="auto" w:sz="4" w:space="0"/>
              <w:bottom w:val="single" w:color="auto" w:sz="4" w:space="0"/>
              <w:right w:val="single" w:color="auto" w:sz="4" w:space="0"/>
            </w:tcBorders>
            <w:vAlign w:val="bottom"/>
          </w:tcPr>
          <w:p w:rsidRPr="00504D7A" w:rsidR="000C3859" w:rsidP="0065649D" w:rsidRDefault="00F86DF0" w14:paraId="14056021" w14:textId="77777777">
            <w:pPr>
              <w:spacing w:line="276" w:lineRule="auto"/>
              <w:jc w:val="center"/>
              <w:rPr>
                <w:sz w:val="22"/>
                <w:szCs w:val="22"/>
              </w:rPr>
            </w:pPr>
            <w:r>
              <w:rPr>
                <w:sz w:val="22"/>
                <w:szCs w:val="22"/>
              </w:rPr>
              <w:t>5</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0C3859" w:rsidP="0065649D" w:rsidRDefault="009C3320" w14:paraId="2D458AF0" w14:textId="77777777">
            <w:pPr>
              <w:spacing w:line="276" w:lineRule="auto"/>
              <w:jc w:val="center"/>
              <w:rPr>
                <w:sz w:val="22"/>
                <w:szCs w:val="22"/>
              </w:rPr>
            </w:pPr>
            <w:r w:rsidRPr="009C3320">
              <w:rPr>
                <w:sz w:val="22"/>
                <w:szCs w:val="22"/>
              </w:rPr>
              <w:t>417,320</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0C3859" w:rsidP="0065649D" w:rsidRDefault="001A1A65" w14:paraId="5FEFE576" w14:textId="77777777">
            <w:pPr>
              <w:spacing w:line="276" w:lineRule="auto"/>
              <w:jc w:val="center"/>
              <w:rPr>
                <w:sz w:val="22"/>
                <w:szCs w:val="22"/>
              </w:rPr>
            </w:pPr>
            <w:r>
              <w:rPr>
                <w:sz w:val="22"/>
                <w:szCs w:val="22"/>
              </w:rPr>
              <w:t>$138.41</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0C3859" w:rsidP="00CC3222" w:rsidRDefault="00CC3222" w14:paraId="1142DCA0" w14:textId="472D4291">
            <w:pPr>
              <w:spacing w:line="276" w:lineRule="auto"/>
              <w:jc w:val="center"/>
              <w:rPr>
                <w:sz w:val="22"/>
                <w:szCs w:val="22"/>
              </w:rPr>
            </w:pPr>
            <w:r w:rsidRPr="00CC3222">
              <w:rPr>
                <w:sz w:val="22"/>
                <w:szCs w:val="22"/>
              </w:rPr>
              <w:t>$57,761,257</w:t>
            </w:r>
          </w:p>
        </w:tc>
      </w:tr>
      <w:tr w:rsidRPr="00504D7A" w:rsidR="008B7E80" w:rsidTr="004470F7" w14:paraId="3F61CA65" w14:textId="77777777">
        <w:tc>
          <w:tcPr>
            <w:tcW w:w="2160" w:type="dxa"/>
            <w:tcBorders>
              <w:top w:val="single" w:color="auto" w:sz="4" w:space="0"/>
              <w:left w:val="single" w:color="auto" w:sz="4" w:space="0"/>
              <w:bottom w:val="single" w:color="auto" w:sz="4" w:space="0"/>
              <w:right w:val="single" w:color="auto" w:sz="4" w:space="0"/>
            </w:tcBorders>
          </w:tcPr>
          <w:p w:rsidR="008B7E80" w:rsidP="00670C52" w:rsidRDefault="006E4FC1" w14:paraId="798ABE08" w14:textId="6DC97359">
            <w:pPr>
              <w:spacing w:line="276" w:lineRule="auto"/>
              <w:rPr>
                <w:sz w:val="22"/>
                <w:szCs w:val="22"/>
              </w:rPr>
            </w:pPr>
            <w:r w:rsidRPr="006E4FC1">
              <w:rPr>
                <w:sz w:val="22"/>
                <w:szCs w:val="22"/>
              </w:rPr>
              <w:t xml:space="preserve">Legal professionals working at advisory firms provide in-house support </w:t>
            </w:r>
            <w:r w:rsidR="00670C52">
              <w:rPr>
                <w:sz w:val="22"/>
                <w:szCs w:val="22"/>
              </w:rPr>
              <w:t>relating to</w:t>
            </w:r>
            <w:r w:rsidRPr="006E4FC1">
              <w:rPr>
                <w:sz w:val="22"/>
                <w:szCs w:val="22"/>
              </w:rPr>
              <w:t xml:space="preserve"> </w:t>
            </w:r>
            <w:r>
              <w:rPr>
                <w:sz w:val="22"/>
                <w:szCs w:val="22"/>
              </w:rPr>
              <w:t>investment advisory firm</w:t>
            </w:r>
            <w:r w:rsidR="00670C52">
              <w:rPr>
                <w:sz w:val="22"/>
                <w:szCs w:val="22"/>
              </w:rPr>
              <w:t>s</w:t>
            </w:r>
          </w:p>
        </w:tc>
        <w:tc>
          <w:tcPr>
            <w:tcW w:w="1440" w:type="dxa"/>
            <w:tcBorders>
              <w:top w:val="single" w:color="auto" w:sz="4" w:space="0"/>
              <w:left w:val="single" w:color="auto" w:sz="4" w:space="0"/>
              <w:bottom w:val="single" w:color="auto" w:sz="4" w:space="0"/>
              <w:right w:val="single" w:color="auto" w:sz="4" w:space="0"/>
            </w:tcBorders>
            <w:vAlign w:val="bottom"/>
          </w:tcPr>
          <w:p w:rsidRPr="008B7E80" w:rsidR="008B7E80" w:rsidP="008B7E80" w:rsidRDefault="008B7E80" w14:paraId="5AA942A0" w14:textId="77777777">
            <w:pPr>
              <w:spacing w:line="276" w:lineRule="auto"/>
              <w:jc w:val="center"/>
              <w:rPr>
                <w:sz w:val="22"/>
                <w:szCs w:val="22"/>
              </w:rPr>
            </w:pPr>
            <w:r w:rsidRPr="008B7E80">
              <w:rPr>
                <w:sz w:val="22"/>
              </w:rPr>
              <w:t>11,396</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8B7E80" w14:paraId="2A6DC892"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504D7A" w:rsidR="008B7E80" w:rsidP="005856E4" w:rsidRDefault="008B7E80" w14:paraId="50B457B7" w14:textId="77777777">
            <w:pPr>
              <w:spacing w:line="276" w:lineRule="auto"/>
              <w:jc w:val="center"/>
              <w:rPr>
                <w:sz w:val="22"/>
                <w:szCs w:val="22"/>
              </w:rPr>
            </w:pPr>
            <w:r w:rsidRPr="00F86DF0">
              <w:rPr>
                <w:sz w:val="22"/>
                <w:szCs w:val="22"/>
              </w:rPr>
              <w:t>11,</w:t>
            </w:r>
            <w:r w:rsidR="005856E4">
              <w:rPr>
                <w:sz w:val="22"/>
                <w:szCs w:val="22"/>
              </w:rPr>
              <w:t>396</w:t>
            </w:r>
          </w:p>
        </w:tc>
        <w:tc>
          <w:tcPr>
            <w:tcW w:w="1074"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8B7E80" w14:paraId="3195D6AE" w14:textId="77777777">
            <w:pPr>
              <w:spacing w:line="276" w:lineRule="auto"/>
              <w:jc w:val="center"/>
              <w:rPr>
                <w:sz w:val="22"/>
                <w:szCs w:val="22"/>
              </w:rPr>
            </w:pPr>
            <w:r w:rsidRPr="00F86DF0">
              <w:rPr>
                <w:sz w:val="22"/>
                <w:szCs w:val="22"/>
              </w:rPr>
              <w:t>25</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9C3320" w14:paraId="5C59AAD3" w14:textId="77777777">
            <w:pPr>
              <w:spacing w:line="276" w:lineRule="auto"/>
              <w:jc w:val="center"/>
              <w:rPr>
                <w:sz w:val="22"/>
                <w:szCs w:val="22"/>
              </w:rPr>
            </w:pPr>
            <w:r w:rsidRPr="009C3320">
              <w:rPr>
                <w:sz w:val="22"/>
                <w:szCs w:val="22"/>
              </w:rPr>
              <w:t>284,900</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8B7E80" w14:paraId="76FB43C8" w14:textId="77777777">
            <w:pPr>
              <w:spacing w:line="276" w:lineRule="auto"/>
              <w:jc w:val="center"/>
              <w:rPr>
                <w:sz w:val="22"/>
                <w:szCs w:val="22"/>
              </w:rPr>
            </w:pPr>
            <w:r>
              <w:rPr>
                <w:sz w:val="22"/>
                <w:szCs w:val="22"/>
              </w:rPr>
              <w:t>$138.41</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CC3222" w14:paraId="20643569" w14:textId="3E5F85D0">
            <w:pPr>
              <w:spacing w:line="276" w:lineRule="auto"/>
              <w:jc w:val="center"/>
              <w:rPr>
                <w:sz w:val="22"/>
                <w:szCs w:val="22"/>
              </w:rPr>
            </w:pPr>
            <w:r w:rsidRPr="00CC3222">
              <w:rPr>
                <w:sz w:val="22"/>
                <w:szCs w:val="22"/>
              </w:rPr>
              <w:t>$39,433,009</w:t>
            </w:r>
          </w:p>
        </w:tc>
      </w:tr>
      <w:tr w:rsidRPr="00504D7A" w:rsidR="008B7E80" w:rsidTr="004470F7" w14:paraId="346627BF" w14:textId="77777777">
        <w:tc>
          <w:tcPr>
            <w:tcW w:w="2160" w:type="dxa"/>
            <w:tcBorders>
              <w:top w:val="single" w:color="auto" w:sz="4" w:space="0"/>
              <w:left w:val="single" w:color="auto" w:sz="4" w:space="0"/>
              <w:bottom w:val="single" w:color="auto" w:sz="4" w:space="0"/>
              <w:right w:val="single" w:color="auto" w:sz="4" w:space="0"/>
            </w:tcBorders>
          </w:tcPr>
          <w:p w:rsidR="008B7E80" w:rsidP="008B7E80" w:rsidRDefault="008B7E80" w14:paraId="259E68F3" w14:textId="77777777">
            <w:pPr>
              <w:spacing w:line="276" w:lineRule="auto"/>
              <w:rPr>
                <w:sz w:val="22"/>
                <w:szCs w:val="22"/>
              </w:rPr>
            </w:pPr>
            <w:r>
              <w:rPr>
                <w:sz w:val="22"/>
                <w:szCs w:val="22"/>
              </w:rPr>
              <w:t>Clerical w</w:t>
            </w:r>
            <w:r w:rsidRPr="00491D4A">
              <w:rPr>
                <w:sz w:val="22"/>
                <w:szCs w:val="22"/>
              </w:rPr>
              <w:t>ork</w:t>
            </w:r>
            <w:r>
              <w:rPr>
                <w:sz w:val="22"/>
                <w:szCs w:val="22"/>
              </w:rPr>
              <w:t xml:space="preserve"> relating to audit (per f</w:t>
            </w:r>
            <w:r w:rsidRPr="00491D4A">
              <w:rPr>
                <w:sz w:val="22"/>
                <w:szCs w:val="22"/>
              </w:rPr>
              <w:t>irm)</w:t>
            </w:r>
          </w:p>
        </w:tc>
        <w:tc>
          <w:tcPr>
            <w:tcW w:w="1440" w:type="dxa"/>
            <w:tcBorders>
              <w:top w:val="single" w:color="auto" w:sz="4" w:space="0"/>
              <w:left w:val="single" w:color="auto" w:sz="4" w:space="0"/>
              <w:bottom w:val="single" w:color="auto" w:sz="4" w:space="0"/>
              <w:right w:val="single" w:color="auto" w:sz="4" w:space="0"/>
            </w:tcBorders>
            <w:vAlign w:val="bottom"/>
          </w:tcPr>
          <w:p w:rsidRPr="008B7E80" w:rsidR="008B7E80" w:rsidP="008B7E80" w:rsidRDefault="008B7E80" w14:paraId="492CE71A" w14:textId="77777777">
            <w:pPr>
              <w:spacing w:line="276" w:lineRule="auto"/>
              <w:jc w:val="center"/>
              <w:rPr>
                <w:sz w:val="22"/>
                <w:szCs w:val="22"/>
              </w:rPr>
            </w:pPr>
            <w:r w:rsidRPr="008B7E80">
              <w:rPr>
                <w:sz w:val="22"/>
              </w:rPr>
              <w:t>11,396</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8B7E80" w14:paraId="5AAAAC75"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5856E4" w14:paraId="60A6E070" w14:textId="77777777">
            <w:pPr>
              <w:spacing w:line="276" w:lineRule="auto"/>
              <w:jc w:val="center"/>
              <w:rPr>
                <w:sz w:val="22"/>
                <w:szCs w:val="22"/>
              </w:rPr>
            </w:pPr>
            <w:r>
              <w:rPr>
                <w:sz w:val="22"/>
                <w:szCs w:val="22"/>
              </w:rPr>
              <w:t>11,396</w:t>
            </w:r>
          </w:p>
        </w:tc>
        <w:tc>
          <w:tcPr>
            <w:tcW w:w="1074"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8B7E80" w14:paraId="7CFD2404" w14:textId="77777777">
            <w:pPr>
              <w:spacing w:line="276" w:lineRule="auto"/>
              <w:jc w:val="center"/>
              <w:rPr>
                <w:sz w:val="22"/>
                <w:szCs w:val="22"/>
              </w:rPr>
            </w:pPr>
            <w:r w:rsidRPr="00585C3B">
              <w:rPr>
                <w:sz w:val="22"/>
                <w:szCs w:val="22"/>
              </w:rPr>
              <w:t>3</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6F403E" w14:paraId="165BACE9" w14:textId="77777777">
            <w:pPr>
              <w:spacing w:line="276" w:lineRule="auto"/>
              <w:jc w:val="center"/>
              <w:rPr>
                <w:sz w:val="22"/>
                <w:szCs w:val="22"/>
              </w:rPr>
            </w:pPr>
            <w:r w:rsidRPr="006F403E">
              <w:rPr>
                <w:sz w:val="22"/>
                <w:szCs w:val="22"/>
              </w:rPr>
              <w:t>34,188</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8B7E80" w14:paraId="56051912" w14:textId="77777777">
            <w:pPr>
              <w:spacing w:line="276" w:lineRule="auto"/>
              <w:jc w:val="center"/>
              <w:rPr>
                <w:sz w:val="22"/>
                <w:szCs w:val="22"/>
              </w:rPr>
            </w:pPr>
            <w:r>
              <w:rPr>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CC3222" w14:paraId="1C9FAABF" w14:textId="4C09B6B3">
            <w:pPr>
              <w:spacing w:line="276" w:lineRule="auto"/>
              <w:jc w:val="center"/>
              <w:rPr>
                <w:sz w:val="22"/>
                <w:szCs w:val="22"/>
              </w:rPr>
            </w:pPr>
            <w:r w:rsidRPr="00CC3222">
              <w:rPr>
                <w:sz w:val="22"/>
                <w:szCs w:val="22"/>
              </w:rPr>
              <w:t>$1,885,126</w:t>
            </w:r>
          </w:p>
        </w:tc>
      </w:tr>
      <w:tr w:rsidRPr="00504D7A" w:rsidR="008B7E80" w:rsidTr="004470F7" w14:paraId="6CF60463" w14:textId="77777777">
        <w:tc>
          <w:tcPr>
            <w:tcW w:w="2160" w:type="dxa"/>
            <w:tcBorders>
              <w:top w:val="single" w:color="auto" w:sz="4" w:space="0"/>
              <w:left w:val="single" w:color="auto" w:sz="4" w:space="0"/>
              <w:bottom w:val="single" w:color="auto" w:sz="4" w:space="0"/>
              <w:right w:val="single" w:color="auto" w:sz="4" w:space="0"/>
            </w:tcBorders>
          </w:tcPr>
          <w:p w:rsidR="008B7E80" w:rsidP="008B7E80" w:rsidRDefault="008B7E80" w14:paraId="4E0F935E" w14:textId="77777777">
            <w:pPr>
              <w:spacing w:line="276" w:lineRule="auto"/>
              <w:rPr>
                <w:sz w:val="22"/>
                <w:szCs w:val="22"/>
              </w:rPr>
            </w:pPr>
            <w:r>
              <w:rPr>
                <w:sz w:val="22"/>
                <w:szCs w:val="22"/>
              </w:rPr>
              <w:t>Clerical work relating to audit (per p</w:t>
            </w:r>
            <w:r w:rsidRPr="00491D4A">
              <w:rPr>
                <w:sz w:val="22"/>
                <w:szCs w:val="22"/>
              </w:rPr>
              <w:t>articipant)</w:t>
            </w:r>
          </w:p>
        </w:tc>
        <w:tc>
          <w:tcPr>
            <w:tcW w:w="1440" w:type="dxa"/>
            <w:tcBorders>
              <w:top w:val="single" w:color="auto" w:sz="4" w:space="0"/>
              <w:left w:val="single" w:color="auto" w:sz="4" w:space="0"/>
              <w:bottom w:val="single" w:color="auto" w:sz="4" w:space="0"/>
              <w:right w:val="single" w:color="auto" w:sz="4" w:space="0"/>
            </w:tcBorders>
            <w:vAlign w:val="bottom"/>
          </w:tcPr>
          <w:p w:rsidRPr="008B7E80" w:rsidR="008B7E80" w:rsidP="008B7E80" w:rsidRDefault="008B7E80" w14:paraId="469553D7" w14:textId="77777777">
            <w:pPr>
              <w:spacing w:line="276" w:lineRule="auto"/>
              <w:jc w:val="center"/>
              <w:rPr>
                <w:sz w:val="22"/>
                <w:szCs w:val="22"/>
              </w:rPr>
            </w:pPr>
            <w:r w:rsidRPr="008B7E80">
              <w:rPr>
                <w:sz w:val="22"/>
              </w:rPr>
              <w:t>11,396</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556861" w14:paraId="69BE3F03" w14:textId="0BFF1084">
            <w:pPr>
              <w:spacing w:line="276" w:lineRule="auto"/>
              <w:jc w:val="center"/>
              <w:rPr>
                <w:sz w:val="22"/>
                <w:szCs w:val="22"/>
              </w:rPr>
            </w:pPr>
            <w:r w:rsidRPr="00556861">
              <w:rPr>
                <w:sz w:val="22"/>
                <w:szCs w:val="22"/>
              </w:rPr>
              <w:t>20.211</w:t>
            </w:r>
            <w:r w:rsidR="00072619">
              <w:rPr>
                <w:sz w:val="22"/>
                <w:szCs w:val="22"/>
              </w:rPr>
              <w:t>4</w:t>
            </w:r>
            <w:r w:rsidR="00AA1265">
              <w:rPr>
                <w:sz w:val="22"/>
                <w:szCs w:val="22"/>
              </w:rPr>
              <w:t>78</w:t>
            </w:r>
          </w:p>
        </w:tc>
        <w:tc>
          <w:tcPr>
            <w:tcW w:w="1356"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A060E6" w14:paraId="4284431C" w14:textId="77777777">
            <w:pPr>
              <w:spacing w:line="276" w:lineRule="auto"/>
              <w:jc w:val="center"/>
              <w:rPr>
                <w:sz w:val="22"/>
                <w:szCs w:val="22"/>
              </w:rPr>
            </w:pPr>
            <w:r w:rsidRPr="00A060E6">
              <w:rPr>
                <w:sz w:val="22"/>
                <w:szCs w:val="22"/>
              </w:rPr>
              <w:t>230,330</w:t>
            </w:r>
          </w:p>
        </w:tc>
        <w:tc>
          <w:tcPr>
            <w:tcW w:w="1074"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8B7E80" w14:paraId="670F6E06" w14:textId="77777777">
            <w:pPr>
              <w:spacing w:line="276" w:lineRule="auto"/>
              <w:jc w:val="center"/>
              <w:rPr>
                <w:sz w:val="22"/>
                <w:szCs w:val="22"/>
              </w:rPr>
            </w:pPr>
            <w:r w:rsidRPr="00585C3B">
              <w:rPr>
                <w:sz w:val="22"/>
                <w:szCs w:val="22"/>
              </w:rPr>
              <w:t>0.167</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6F403E" w14:paraId="55FCC8C0" w14:textId="77777777">
            <w:pPr>
              <w:spacing w:line="276" w:lineRule="auto"/>
              <w:jc w:val="center"/>
              <w:rPr>
                <w:sz w:val="22"/>
                <w:szCs w:val="22"/>
              </w:rPr>
            </w:pPr>
            <w:r w:rsidRPr="006F403E">
              <w:rPr>
                <w:sz w:val="22"/>
                <w:szCs w:val="22"/>
              </w:rPr>
              <w:t>38,388</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8B7E80" w14:paraId="5DAE4F28" w14:textId="77777777">
            <w:pPr>
              <w:spacing w:line="276" w:lineRule="auto"/>
              <w:jc w:val="center"/>
              <w:rPr>
                <w:sz w:val="22"/>
                <w:szCs w:val="22"/>
              </w:rPr>
            </w:pPr>
            <w:r>
              <w:rPr>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8B7E80" w:rsidP="008B7E80" w:rsidRDefault="00CC3222" w14:paraId="031F9078" w14:textId="6A50C327">
            <w:pPr>
              <w:spacing w:line="276" w:lineRule="auto"/>
              <w:jc w:val="center"/>
              <w:rPr>
                <w:sz w:val="22"/>
                <w:szCs w:val="22"/>
              </w:rPr>
            </w:pPr>
            <w:r w:rsidRPr="00CC3222">
              <w:rPr>
                <w:sz w:val="22"/>
                <w:szCs w:val="22"/>
              </w:rPr>
              <w:t>$2,116,735</w:t>
            </w:r>
          </w:p>
        </w:tc>
      </w:tr>
      <w:tr w:rsidRPr="00504D7A" w:rsidR="005856E4" w:rsidTr="004470F7" w14:paraId="2CB6A59D" w14:textId="77777777">
        <w:tc>
          <w:tcPr>
            <w:tcW w:w="2160" w:type="dxa"/>
            <w:tcBorders>
              <w:top w:val="single" w:color="auto" w:sz="4" w:space="0"/>
              <w:left w:val="single" w:color="auto" w:sz="4" w:space="0"/>
              <w:bottom w:val="single" w:color="auto" w:sz="4" w:space="0"/>
              <w:right w:val="single" w:color="auto" w:sz="4" w:space="0"/>
            </w:tcBorders>
          </w:tcPr>
          <w:p w:rsidR="005856E4" w:rsidP="005856E4" w:rsidRDefault="005856E4" w14:paraId="35133E08" w14:textId="6705021A">
            <w:pPr>
              <w:spacing w:line="276" w:lineRule="auto"/>
              <w:rPr>
                <w:sz w:val="22"/>
                <w:szCs w:val="22"/>
              </w:rPr>
            </w:pPr>
            <w:r w:rsidRPr="00491D4A">
              <w:rPr>
                <w:sz w:val="22"/>
                <w:szCs w:val="22"/>
              </w:rPr>
              <w:t xml:space="preserve">Legal </w:t>
            </w:r>
            <w:r w:rsidR="006A724D">
              <w:rPr>
                <w:sz w:val="22"/>
                <w:szCs w:val="22"/>
              </w:rPr>
              <w:t>w</w:t>
            </w:r>
            <w:r w:rsidRPr="00491D4A">
              <w:rPr>
                <w:sz w:val="22"/>
                <w:szCs w:val="22"/>
              </w:rPr>
              <w:t>ork</w:t>
            </w:r>
            <w:r>
              <w:rPr>
                <w:sz w:val="22"/>
                <w:szCs w:val="22"/>
              </w:rPr>
              <w:t xml:space="preserve"> relating to audit (per f</w:t>
            </w:r>
            <w:r w:rsidRPr="00491D4A">
              <w:rPr>
                <w:sz w:val="22"/>
                <w:szCs w:val="22"/>
              </w:rPr>
              <w:t>irm)</w:t>
            </w:r>
          </w:p>
        </w:tc>
        <w:tc>
          <w:tcPr>
            <w:tcW w:w="1440" w:type="dxa"/>
            <w:tcBorders>
              <w:top w:val="single" w:color="auto" w:sz="4" w:space="0"/>
              <w:left w:val="single" w:color="auto" w:sz="4" w:space="0"/>
              <w:bottom w:val="single" w:color="auto" w:sz="4" w:space="0"/>
              <w:right w:val="single" w:color="auto" w:sz="4" w:space="0"/>
            </w:tcBorders>
            <w:vAlign w:val="bottom"/>
          </w:tcPr>
          <w:p w:rsidRPr="008B7E80" w:rsidR="005856E4" w:rsidP="005856E4" w:rsidRDefault="005856E4" w14:paraId="3E3F913F" w14:textId="77777777">
            <w:pPr>
              <w:spacing w:line="276" w:lineRule="auto"/>
              <w:jc w:val="center"/>
              <w:rPr>
                <w:sz w:val="22"/>
                <w:szCs w:val="22"/>
              </w:rPr>
            </w:pPr>
            <w:r w:rsidRPr="008B7E80">
              <w:rPr>
                <w:sz w:val="22"/>
              </w:rPr>
              <w:t>11,396</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856E4" w:rsidP="005856E4" w:rsidRDefault="005856E4" w14:paraId="27B3FDA6"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5856E4" w:rsidR="005856E4" w:rsidP="005856E4" w:rsidRDefault="005856E4" w14:paraId="3F168207" w14:textId="77777777">
            <w:pPr>
              <w:spacing w:line="276" w:lineRule="auto"/>
              <w:jc w:val="center"/>
              <w:rPr>
                <w:sz w:val="22"/>
                <w:szCs w:val="22"/>
              </w:rPr>
            </w:pPr>
            <w:r w:rsidRPr="005856E4">
              <w:rPr>
                <w:sz w:val="22"/>
              </w:rPr>
              <w:t>11,396</w:t>
            </w:r>
          </w:p>
        </w:tc>
        <w:tc>
          <w:tcPr>
            <w:tcW w:w="1074" w:type="dxa"/>
            <w:tcBorders>
              <w:top w:val="single" w:color="auto" w:sz="4" w:space="0"/>
              <w:left w:val="single" w:color="auto" w:sz="4" w:space="0"/>
              <w:bottom w:val="single" w:color="auto" w:sz="4" w:space="0"/>
              <w:right w:val="single" w:color="auto" w:sz="4" w:space="0"/>
            </w:tcBorders>
            <w:vAlign w:val="bottom"/>
          </w:tcPr>
          <w:p w:rsidRPr="00504D7A" w:rsidR="005856E4" w:rsidP="005856E4" w:rsidRDefault="005856E4" w14:paraId="5D870D46" w14:textId="77777777">
            <w:pPr>
              <w:spacing w:line="276" w:lineRule="auto"/>
              <w:jc w:val="center"/>
              <w:rPr>
                <w:sz w:val="22"/>
                <w:szCs w:val="22"/>
              </w:rPr>
            </w:pPr>
            <w:r w:rsidRPr="00585C3B">
              <w:rPr>
                <w:sz w:val="22"/>
                <w:szCs w:val="22"/>
              </w:rPr>
              <w:t>4</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5856E4" w:rsidP="005856E4" w:rsidRDefault="006F403E" w14:paraId="21152241" w14:textId="77777777">
            <w:pPr>
              <w:spacing w:line="276" w:lineRule="auto"/>
              <w:jc w:val="center"/>
              <w:rPr>
                <w:sz w:val="22"/>
                <w:szCs w:val="22"/>
              </w:rPr>
            </w:pPr>
            <w:r w:rsidRPr="006F403E">
              <w:rPr>
                <w:sz w:val="22"/>
                <w:szCs w:val="22"/>
              </w:rPr>
              <w:t>45,584</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5856E4" w:rsidP="00330CCC" w:rsidRDefault="005856E4" w14:paraId="42CFD9B3" w14:textId="23090466">
            <w:pPr>
              <w:spacing w:line="276" w:lineRule="auto"/>
              <w:jc w:val="center"/>
              <w:rPr>
                <w:sz w:val="22"/>
                <w:szCs w:val="22"/>
              </w:rPr>
            </w:pPr>
            <w:r>
              <w:rPr>
                <w:sz w:val="22"/>
                <w:szCs w:val="22"/>
              </w:rPr>
              <w:t>$</w:t>
            </w:r>
            <w:r w:rsidR="00330CCC">
              <w:rPr>
                <w:sz w:val="22"/>
                <w:szCs w:val="22"/>
              </w:rPr>
              <w:t>138.41</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5856E4" w:rsidP="005856E4" w:rsidRDefault="00CC3222" w14:paraId="3ADF89CF" w14:textId="5732CF5B">
            <w:pPr>
              <w:spacing w:line="276" w:lineRule="auto"/>
              <w:jc w:val="center"/>
              <w:rPr>
                <w:sz w:val="22"/>
                <w:szCs w:val="22"/>
              </w:rPr>
            </w:pPr>
            <w:r w:rsidRPr="00CC3222">
              <w:rPr>
                <w:sz w:val="22"/>
                <w:szCs w:val="22"/>
              </w:rPr>
              <w:t>$6,309,281</w:t>
            </w:r>
          </w:p>
        </w:tc>
      </w:tr>
      <w:tr w:rsidRPr="00504D7A" w:rsidR="008B7E80" w:rsidTr="004470F7" w14:paraId="6E6300C6" w14:textId="77777777">
        <w:tc>
          <w:tcPr>
            <w:tcW w:w="2160" w:type="dxa"/>
            <w:tcBorders>
              <w:top w:val="single" w:color="auto" w:sz="4" w:space="0"/>
              <w:left w:val="single" w:color="auto" w:sz="4" w:space="0"/>
              <w:bottom w:val="single" w:color="auto" w:sz="4" w:space="0"/>
              <w:right w:val="single" w:color="auto" w:sz="4" w:space="0"/>
            </w:tcBorders>
          </w:tcPr>
          <w:p w:rsidRPr="00DA10AD" w:rsidR="008B7E80" w:rsidP="008B7E80" w:rsidRDefault="008B7E80" w14:paraId="167CB32C" w14:textId="77777777">
            <w:pPr>
              <w:spacing w:line="276" w:lineRule="auto"/>
              <w:jc w:val="center"/>
              <w:rPr>
                <w:sz w:val="22"/>
                <w:szCs w:val="22"/>
              </w:rPr>
            </w:pPr>
            <w:r w:rsidRPr="00DA10AD">
              <w:rPr>
                <w:sz w:val="22"/>
                <w:szCs w:val="22"/>
              </w:rPr>
              <w:t>Unduplicated Total</w:t>
            </w:r>
          </w:p>
        </w:tc>
        <w:tc>
          <w:tcPr>
            <w:tcW w:w="1440" w:type="dxa"/>
            <w:tcBorders>
              <w:top w:val="single" w:color="auto" w:sz="4" w:space="0"/>
              <w:left w:val="single" w:color="auto" w:sz="4" w:space="0"/>
              <w:bottom w:val="single" w:color="auto" w:sz="4" w:space="0"/>
              <w:right w:val="single" w:color="auto" w:sz="4" w:space="0"/>
            </w:tcBorders>
            <w:vAlign w:val="bottom"/>
          </w:tcPr>
          <w:p w:rsidRPr="00146B9F" w:rsidR="008B7E80" w:rsidP="008B7E80" w:rsidRDefault="008B7E80" w14:paraId="48F25DA0" w14:textId="77777777">
            <w:pPr>
              <w:spacing w:line="276" w:lineRule="auto"/>
              <w:jc w:val="center"/>
              <w:rPr>
                <w:sz w:val="22"/>
                <w:szCs w:val="22"/>
              </w:rPr>
            </w:pPr>
            <w:r w:rsidRPr="00146B9F">
              <w:rPr>
                <w:sz w:val="22"/>
              </w:rPr>
              <w:t>11,396</w:t>
            </w:r>
          </w:p>
        </w:tc>
        <w:tc>
          <w:tcPr>
            <w:tcW w:w="1440" w:type="dxa"/>
            <w:tcBorders>
              <w:top w:val="single" w:color="auto" w:sz="4" w:space="0"/>
              <w:left w:val="single" w:color="auto" w:sz="4" w:space="0"/>
              <w:bottom w:val="single" w:color="auto" w:sz="4" w:space="0"/>
              <w:right w:val="single" w:color="auto" w:sz="4" w:space="0"/>
            </w:tcBorders>
            <w:vAlign w:val="bottom"/>
          </w:tcPr>
          <w:p w:rsidRPr="00146B9F" w:rsidR="008B7E80" w:rsidP="008B7E80" w:rsidRDefault="00DF5E9A" w14:paraId="14FE9746" w14:textId="4A9BC6A0">
            <w:pPr>
              <w:spacing w:line="276" w:lineRule="auto"/>
              <w:jc w:val="center"/>
              <w:rPr>
                <w:sz w:val="22"/>
                <w:szCs w:val="22"/>
              </w:rPr>
            </w:pPr>
            <w:r w:rsidRPr="00146B9F">
              <w:rPr>
                <w:sz w:val="22"/>
                <w:szCs w:val="22"/>
              </w:rPr>
              <w:t>2021.150404</w:t>
            </w:r>
          </w:p>
        </w:tc>
        <w:tc>
          <w:tcPr>
            <w:tcW w:w="1356" w:type="dxa"/>
            <w:tcBorders>
              <w:top w:val="single" w:color="auto" w:sz="4" w:space="0"/>
              <w:left w:val="single" w:color="auto" w:sz="4" w:space="0"/>
              <w:bottom w:val="single" w:color="auto" w:sz="4" w:space="0"/>
              <w:right w:val="single" w:color="auto" w:sz="4" w:space="0"/>
            </w:tcBorders>
            <w:vAlign w:val="bottom"/>
          </w:tcPr>
          <w:p w:rsidRPr="00146B9F" w:rsidR="008B7E80" w:rsidP="008B7E80" w:rsidRDefault="006921ED" w14:paraId="05FE0B3C" w14:textId="77777777">
            <w:pPr>
              <w:spacing w:line="276" w:lineRule="auto"/>
              <w:jc w:val="center"/>
              <w:rPr>
                <w:sz w:val="22"/>
                <w:szCs w:val="22"/>
              </w:rPr>
            </w:pPr>
            <w:r w:rsidRPr="00146B9F">
              <w:rPr>
                <w:sz w:val="22"/>
                <w:szCs w:val="22"/>
              </w:rPr>
              <w:t>23,033,03</w:t>
            </w:r>
            <w:r w:rsidRPr="00146B9F" w:rsidR="008B7E80">
              <w:rPr>
                <w:sz w:val="22"/>
                <w:szCs w:val="22"/>
              </w:rPr>
              <w:t>0</w:t>
            </w:r>
          </w:p>
        </w:tc>
        <w:tc>
          <w:tcPr>
            <w:tcW w:w="1074" w:type="dxa"/>
            <w:tcBorders>
              <w:top w:val="single" w:color="auto" w:sz="4" w:space="0"/>
              <w:left w:val="single" w:color="auto" w:sz="4" w:space="0"/>
              <w:bottom w:val="single" w:color="auto" w:sz="4" w:space="0"/>
              <w:right w:val="single" w:color="auto" w:sz="4" w:space="0"/>
            </w:tcBorders>
            <w:vAlign w:val="bottom"/>
          </w:tcPr>
          <w:p w:rsidRPr="00DA10AD" w:rsidR="008B7E80" w:rsidP="008B7E80" w:rsidRDefault="00F0599D" w14:paraId="7E01B61D" w14:textId="1178708F">
            <w:pPr>
              <w:spacing w:line="276" w:lineRule="auto"/>
              <w:jc w:val="center"/>
              <w:rPr>
                <w:sz w:val="22"/>
                <w:szCs w:val="22"/>
              </w:rPr>
            </w:pPr>
            <w:r w:rsidRPr="00DA10AD">
              <w:rPr>
                <w:sz w:val="22"/>
                <w:szCs w:val="22"/>
              </w:rPr>
              <w:t>0.105214</w:t>
            </w:r>
          </w:p>
        </w:tc>
        <w:tc>
          <w:tcPr>
            <w:tcW w:w="1260" w:type="dxa"/>
            <w:tcBorders>
              <w:top w:val="single" w:color="auto" w:sz="4" w:space="0"/>
              <w:left w:val="single" w:color="auto" w:sz="4" w:space="0"/>
              <w:bottom w:val="single" w:color="auto" w:sz="4" w:space="0"/>
              <w:right w:val="single" w:color="auto" w:sz="4" w:space="0"/>
            </w:tcBorders>
            <w:vAlign w:val="bottom"/>
          </w:tcPr>
          <w:p w:rsidRPr="00DA10AD" w:rsidR="008B7E80" w:rsidP="008B7E80" w:rsidRDefault="00F0599D" w14:paraId="22B47504" w14:textId="5F2EB49B">
            <w:pPr>
              <w:spacing w:line="276" w:lineRule="auto"/>
              <w:jc w:val="center"/>
              <w:rPr>
                <w:sz w:val="22"/>
                <w:szCs w:val="22"/>
              </w:rPr>
            </w:pPr>
            <w:r w:rsidRPr="00DA10AD">
              <w:rPr>
                <w:sz w:val="22"/>
                <w:szCs w:val="22"/>
              </w:rPr>
              <w:t>2,423,391</w:t>
            </w:r>
          </w:p>
        </w:tc>
        <w:tc>
          <w:tcPr>
            <w:tcW w:w="990" w:type="dxa"/>
            <w:tcBorders>
              <w:top w:val="single" w:color="auto" w:sz="4" w:space="0"/>
              <w:left w:val="single" w:color="auto" w:sz="4" w:space="0"/>
              <w:bottom w:val="single" w:color="auto" w:sz="4" w:space="0"/>
              <w:right w:val="single" w:color="auto" w:sz="4" w:space="0"/>
            </w:tcBorders>
            <w:vAlign w:val="bottom"/>
          </w:tcPr>
          <w:p w:rsidRPr="00DA10AD" w:rsidR="008B7E80" w:rsidP="008B7E80" w:rsidRDefault="008B7E80" w14:paraId="7FF9E54E" w14:textId="77777777">
            <w:pPr>
              <w:spacing w:line="276" w:lineRule="auto"/>
              <w:jc w:val="center"/>
              <w:rPr>
                <w:sz w:val="22"/>
                <w:szCs w:val="22"/>
              </w:rPr>
            </w:pPr>
            <w:r w:rsidRPr="00DA10AD">
              <w:rPr>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DA10AD" w:rsidR="008B7E80" w:rsidP="008B7E80" w:rsidRDefault="00F0599D" w14:paraId="30DECCC9" w14:textId="5C161B9F">
            <w:pPr>
              <w:spacing w:line="276" w:lineRule="auto"/>
              <w:jc w:val="center"/>
              <w:rPr>
                <w:sz w:val="22"/>
                <w:szCs w:val="22"/>
              </w:rPr>
            </w:pPr>
            <w:r w:rsidRPr="00DA10AD">
              <w:rPr>
                <w:sz w:val="22"/>
                <w:szCs w:val="22"/>
              </w:rPr>
              <w:t>$275,603,483</w:t>
            </w:r>
          </w:p>
        </w:tc>
      </w:tr>
    </w:tbl>
    <w:p w:rsidR="00646FA0" w:rsidP="00646FA0" w:rsidRDefault="00646FA0" w14:paraId="12737F10" w14:textId="77777777">
      <w:pPr>
        <w:rPr>
          <w:b/>
          <w:color w:val="000000"/>
        </w:rPr>
      </w:pPr>
    </w:p>
    <w:p w:rsidR="006962D3" w:rsidP="00DC0404" w:rsidRDefault="006962D3" w14:paraId="73DE4D4B" w14:textId="77777777">
      <w:pPr>
        <w:ind w:left="720" w:hanging="720"/>
        <w:rPr>
          <w:b/>
          <w:color w:val="000000"/>
        </w:rPr>
      </w:pPr>
      <w:r w:rsidRPr="007A284A">
        <w:rPr>
          <w:b/>
          <w:color w:val="000000"/>
        </w:rPr>
        <w:t>13.</w:t>
      </w:r>
      <w:r w:rsidRPr="007A284A">
        <w:rPr>
          <w:b/>
          <w:color w:val="000000"/>
        </w:rPr>
        <w:tab/>
        <w:t>Provide an estimate of the total annual cost burden to respondents or recordkeepers resulting from the collection of information.  (Do not include the cost of any hour burden shown in Items 12 or 14).</w:t>
      </w:r>
    </w:p>
    <w:p w:rsidRPr="00324723" w:rsidR="00324723" w:rsidP="00324723" w:rsidRDefault="00324723" w14:paraId="32483733" w14:textId="77777777">
      <w:pPr>
        <w:numPr>
          <w:ilvl w:val="0"/>
          <w:numId w:val="23"/>
        </w:numPr>
        <w:rPr>
          <w:b/>
          <w:color w:val="000000"/>
        </w:rPr>
      </w:pPr>
      <w:r w:rsidRPr="00324723">
        <w:rPr>
          <w:b/>
          <w:color w:val="000000"/>
        </w:rPr>
        <w:t xml:space="preserve">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324723">
        <w:rPr>
          <w:b/>
          <w:color w:val="000000"/>
        </w:rPr>
        <w:lastRenderedPageBreak/>
        <w:t>collecting information such as purchasing computers and software; monitoring, sampling, drilling and testing equipment; and record storage facilities.</w:t>
      </w:r>
    </w:p>
    <w:p w:rsidRPr="00324723" w:rsidR="00324723" w:rsidP="00324723" w:rsidRDefault="00324723" w14:paraId="177A6A3C" w14:textId="77777777">
      <w:pPr>
        <w:numPr>
          <w:ilvl w:val="0"/>
          <w:numId w:val="23"/>
        </w:numPr>
        <w:rPr>
          <w:b/>
          <w:color w:val="000000"/>
        </w:rPr>
      </w:pPr>
      <w:r w:rsidRPr="00324723">
        <w:rPr>
          <w:b/>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24723" w:rsidR="00324723" w:rsidP="00324723" w:rsidRDefault="00324723" w14:paraId="4E4A36F2" w14:textId="77777777">
      <w:pPr>
        <w:numPr>
          <w:ilvl w:val="0"/>
          <w:numId w:val="23"/>
        </w:numPr>
        <w:rPr>
          <w:b/>
          <w:color w:val="000000"/>
        </w:rPr>
      </w:pPr>
      <w:r w:rsidRPr="00324723">
        <w:rPr>
          <w:b/>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B0F56" w:rsidR="006962D3" w:rsidP="00324723" w:rsidRDefault="006962D3" w14:paraId="102AAFC5" w14:textId="77777777">
      <w:pPr>
        <w:rPr>
          <w:color w:val="000000"/>
        </w:rPr>
      </w:pPr>
    </w:p>
    <w:p w:rsidRPr="003B0F56" w:rsidR="006962D3" w:rsidP="00DC0404" w:rsidRDefault="006962D3" w14:paraId="50A5C17A" w14:textId="77777777">
      <w:pPr>
        <w:ind w:left="720"/>
        <w:rPr>
          <w:color w:val="000000"/>
        </w:rPr>
      </w:pPr>
      <w:r w:rsidRPr="003B0F56">
        <w:rPr>
          <w:color w:val="000000"/>
        </w:rPr>
        <w:t>The costs arising from the information collection requirements of the statutory exemption derive from the outsourcing of the legal counsel review of disclosure notifications, the direct costs of distribution of disclosures, the costs of having an outside independent expert audit the transactions that use the statutory exemption and the costs of having an outside independent expert certify the firm’s investment advice computer model.</w:t>
      </w:r>
    </w:p>
    <w:p w:rsidRPr="003B0F56" w:rsidR="006962D3" w:rsidP="00DC0404" w:rsidRDefault="006962D3" w14:paraId="01FC45E8" w14:textId="77777777">
      <w:pPr>
        <w:ind w:left="720"/>
        <w:rPr>
          <w:color w:val="000000"/>
        </w:rPr>
      </w:pPr>
    </w:p>
    <w:p w:rsidRPr="003B0F56" w:rsidR="006962D3" w:rsidP="00DC0404" w:rsidRDefault="00DC0404" w14:paraId="46128DED" w14:textId="77777777">
      <w:pPr>
        <w:ind w:left="1440" w:hanging="720"/>
        <w:outlineLvl w:val="0"/>
        <w:rPr>
          <w:color w:val="000000"/>
        </w:rPr>
      </w:pPr>
      <w:r w:rsidRPr="00DC0404">
        <w:rPr>
          <w:b/>
          <w:color w:val="000000"/>
        </w:rPr>
        <w:t>a.</w:t>
      </w:r>
      <w:r w:rsidRPr="00DC0404">
        <w:rPr>
          <w:b/>
          <w:color w:val="000000"/>
        </w:rPr>
        <w:tab/>
      </w:r>
      <w:r w:rsidRPr="003B0F56" w:rsidR="006962D3">
        <w:rPr>
          <w:b/>
          <w:color w:val="000000"/>
          <w:u w:val="single"/>
        </w:rPr>
        <w:t>Disclosure Package to Participants (corresponding to the disclosures discussed in the response to Question 12. Section a. above)</w:t>
      </w:r>
    </w:p>
    <w:p w:rsidRPr="003B0F56" w:rsidR="006962D3" w:rsidP="00DC0404" w:rsidRDefault="006962D3" w14:paraId="50DBA33A" w14:textId="77777777">
      <w:pPr>
        <w:ind w:left="720"/>
        <w:rPr>
          <w:color w:val="000000"/>
        </w:rPr>
      </w:pPr>
    </w:p>
    <w:p w:rsidRPr="003B0F56" w:rsidR="006962D3" w:rsidP="00DC0404" w:rsidRDefault="002E2877" w14:paraId="1511C8A8" w14:textId="2AB36FF9">
      <w:pPr>
        <w:ind w:left="720"/>
        <w:rPr>
          <w:color w:val="000000"/>
        </w:rPr>
      </w:pPr>
      <w:r w:rsidRPr="003B0F56">
        <w:rPr>
          <w:color w:val="000000"/>
        </w:rPr>
        <w:t>T</w:t>
      </w:r>
      <w:r w:rsidRPr="003B0F56" w:rsidR="006962D3">
        <w:rPr>
          <w:color w:val="000000"/>
        </w:rPr>
        <w:t xml:space="preserve">he Department assumes that all firms will outsource the creation of a computer program to enable them to prepare disclosures </w:t>
      </w:r>
      <w:r w:rsidRPr="003B0F56">
        <w:rPr>
          <w:color w:val="000000"/>
        </w:rPr>
        <w:t xml:space="preserve">discussed in section 12.a. above </w:t>
      </w:r>
      <w:r w:rsidRPr="003B0F56" w:rsidR="006962D3">
        <w:rPr>
          <w:color w:val="000000"/>
        </w:rPr>
        <w:t xml:space="preserve">for IRA </w:t>
      </w:r>
      <w:r w:rsidRPr="003B0F56" w:rsidR="00B948AB">
        <w:rPr>
          <w:color w:val="000000"/>
        </w:rPr>
        <w:t>Participants</w:t>
      </w:r>
      <w:r w:rsidRPr="003B0F56" w:rsidR="006962D3">
        <w:rPr>
          <w:color w:val="000000"/>
        </w:rPr>
        <w:t xml:space="preserve">.  The Department estimates that </w:t>
      </w:r>
      <w:r w:rsidRPr="003B0F56" w:rsidR="00E10B50">
        <w:rPr>
          <w:color w:val="000000"/>
        </w:rPr>
        <w:t xml:space="preserve">the </w:t>
      </w:r>
      <w:r w:rsidRPr="003B0F56" w:rsidR="006962D3">
        <w:rPr>
          <w:color w:val="000000"/>
        </w:rPr>
        <w:t>computer programmer will charge on average $600 each year</w:t>
      </w:r>
      <w:r w:rsidRPr="003B0F56" w:rsidR="00BF4AF9">
        <w:rPr>
          <w:color w:val="000000"/>
        </w:rPr>
        <w:t xml:space="preserve"> to update the program</w:t>
      </w:r>
      <w:r w:rsidRPr="003B0F56" w:rsidR="008718C7">
        <w:rPr>
          <w:color w:val="000000"/>
        </w:rPr>
        <w:t>;</w:t>
      </w:r>
      <w:r w:rsidRPr="003B0F56" w:rsidR="006962D3">
        <w:rPr>
          <w:rStyle w:val="FootnoteReference"/>
          <w:color w:val="000000"/>
        </w:rPr>
        <w:footnoteReference w:id="5"/>
      </w:r>
      <w:r w:rsidRPr="003B0F56" w:rsidR="006962D3">
        <w:rPr>
          <w:color w:val="000000"/>
          <w:vertAlign w:val="superscript"/>
        </w:rPr>
        <w:t xml:space="preserve"> </w:t>
      </w:r>
      <w:r w:rsidRPr="003B0F56" w:rsidR="006962D3">
        <w:rPr>
          <w:color w:val="000000"/>
        </w:rPr>
        <w:t xml:space="preserve">thus the cost burden, given there </w:t>
      </w:r>
      <w:r w:rsidRPr="003B0F56" w:rsidR="00EB2A56">
        <w:rPr>
          <w:color w:val="000000"/>
        </w:rPr>
        <w:t>are 11,396</w:t>
      </w:r>
      <w:r w:rsidRPr="003B0F56" w:rsidR="007C5356">
        <w:rPr>
          <w:color w:val="000000"/>
        </w:rPr>
        <w:t xml:space="preserve"> </w:t>
      </w:r>
      <w:r w:rsidRPr="003B0F56" w:rsidR="006962D3">
        <w:rPr>
          <w:color w:val="000000"/>
        </w:rPr>
        <w:t xml:space="preserve">investment advisory firms, will be </w:t>
      </w:r>
      <w:r w:rsidR="00886B9B">
        <w:rPr>
          <w:color w:val="000000"/>
        </w:rPr>
        <w:t>$6,837,6</w:t>
      </w:r>
      <w:r w:rsidRPr="00D4637D" w:rsidR="00D4637D">
        <w:rPr>
          <w:color w:val="000000"/>
        </w:rPr>
        <w:t xml:space="preserve">00 </w:t>
      </w:r>
      <w:r w:rsidRPr="003B0F56" w:rsidR="0080386D">
        <w:rPr>
          <w:color w:val="000000"/>
        </w:rPr>
        <w:t>annually</w:t>
      </w:r>
      <w:r w:rsidRPr="003B0F56" w:rsidR="006962D3">
        <w:rPr>
          <w:color w:val="000000"/>
        </w:rPr>
        <w:t>.</w:t>
      </w:r>
    </w:p>
    <w:p w:rsidRPr="003B0F56" w:rsidR="007C5356" w:rsidP="00DC0404" w:rsidRDefault="007C5356" w14:paraId="664B8DAD" w14:textId="77777777">
      <w:pPr>
        <w:ind w:left="720"/>
        <w:rPr>
          <w:color w:val="000000"/>
        </w:rPr>
      </w:pPr>
    </w:p>
    <w:tbl>
      <w:tblPr>
        <w:tblW w:w="7360" w:type="dxa"/>
        <w:tblInd w:w="720" w:type="dxa"/>
        <w:tblLook w:val="04A0" w:firstRow="1" w:lastRow="0" w:firstColumn="1" w:lastColumn="0" w:noHBand="0" w:noVBand="1"/>
      </w:tblPr>
      <w:tblGrid>
        <w:gridCol w:w="1600"/>
        <w:gridCol w:w="3080"/>
        <w:gridCol w:w="2680"/>
      </w:tblGrid>
      <w:tr w:rsidRPr="003B0F56" w:rsidR="007C5356" w:rsidTr="002C3A5E" w14:paraId="06E33F67" w14:textId="77777777">
        <w:trPr>
          <w:trHeight w:val="330"/>
        </w:trPr>
        <w:tc>
          <w:tcPr>
            <w:tcW w:w="7360" w:type="dxa"/>
            <w:gridSpan w:val="3"/>
            <w:tcBorders>
              <w:top w:val="nil"/>
              <w:left w:val="nil"/>
              <w:bottom w:val="nil"/>
              <w:right w:val="nil"/>
            </w:tcBorders>
            <w:shd w:val="clear" w:color="auto" w:fill="auto"/>
            <w:vAlign w:val="bottom"/>
            <w:hideMark/>
          </w:tcPr>
          <w:p w:rsidRPr="003B0F56" w:rsidR="007C5356" w:rsidRDefault="007C5356" w14:paraId="7B870BF9" w14:textId="77777777">
            <w:r w:rsidRPr="003B0F56">
              <w:t>Table 8.--Disclosures Generation Computer Program Cost Estimates</w:t>
            </w:r>
          </w:p>
        </w:tc>
      </w:tr>
      <w:tr w:rsidRPr="003B0F56" w:rsidR="007C5356" w:rsidTr="002C3A5E" w14:paraId="3ED76801" w14:textId="77777777">
        <w:trPr>
          <w:trHeight w:val="330"/>
        </w:trPr>
        <w:tc>
          <w:tcPr>
            <w:tcW w:w="1600" w:type="dxa"/>
            <w:tcBorders>
              <w:top w:val="single" w:color="auto" w:sz="8" w:space="0"/>
              <w:left w:val="single" w:color="auto" w:sz="8" w:space="0"/>
              <w:bottom w:val="single" w:color="auto" w:sz="8" w:space="0"/>
              <w:right w:val="single" w:color="auto" w:sz="8" w:space="0"/>
            </w:tcBorders>
            <w:shd w:val="clear" w:color="auto" w:fill="auto"/>
            <w:hideMark/>
          </w:tcPr>
          <w:p w:rsidRPr="003B0F56" w:rsidR="007C5356" w:rsidRDefault="007C5356" w14:paraId="57041447" w14:textId="77777777">
            <w:pPr>
              <w:jc w:val="center"/>
              <w:rPr>
                <w:b/>
                <w:bCs/>
              </w:rPr>
            </w:pPr>
            <w:r w:rsidRPr="003B0F56">
              <w:rPr>
                <w:b/>
                <w:bCs/>
              </w:rPr>
              <w:t>Advice Firms</w:t>
            </w:r>
          </w:p>
        </w:tc>
        <w:tc>
          <w:tcPr>
            <w:tcW w:w="3080" w:type="dxa"/>
            <w:tcBorders>
              <w:top w:val="single" w:color="auto" w:sz="8" w:space="0"/>
              <w:left w:val="nil"/>
              <w:bottom w:val="single" w:color="auto" w:sz="8" w:space="0"/>
              <w:right w:val="single" w:color="auto" w:sz="8" w:space="0"/>
            </w:tcBorders>
            <w:shd w:val="clear" w:color="auto" w:fill="auto"/>
            <w:hideMark/>
          </w:tcPr>
          <w:p w:rsidRPr="003B0F56" w:rsidR="007C5356" w:rsidRDefault="007C5356" w14:paraId="528ADB08" w14:textId="77777777">
            <w:pPr>
              <w:jc w:val="center"/>
              <w:rPr>
                <w:b/>
                <w:bCs/>
              </w:rPr>
            </w:pPr>
            <w:r w:rsidRPr="003B0F56">
              <w:rPr>
                <w:b/>
                <w:bCs/>
              </w:rPr>
              <w:t>Annual Cost per Advice Firm</w:t>
            </w:r>
          </w:p>
        </w:tc>
        <w:tc>
          <w:tcPr>
            <w:tcW w:w="2680" w:type="dxa"/>
            <w:tcBorders>
              <w:top w:val="single" w:color="auto" w:sz="8" w:space="0"/>
              <w:left w:val="nil"/>
              <w:bottom w:val="single" w:color="auto" w:sz="8" w:space="0"/>
              <w:right w:val="single" w:color="auto" w:sz="8" w:space="0"/>
            </w:tcBorders>
            <w:shd w:val="clear" w:color="auto" w:fill="auto"/>
            <w:hideMark/>
          </w:tcPr>
          <w:p w:rsidRPr="003B0F56" w:rsidR="007C5356" w:rsidRDefault="007C5356" w14:paraId="3401A9AF" w14:textId="77777777">
            <w:pPr>
              <w:jc w:val="center"/>
              <w:rPr>
                <w:b/>
                <w:bCs/>
              </w:rPr>
            </w:pPr>
            <w:r w:rsidRPr="003B0F56">
              <w:rPr>
                <w:b/>
                <w:bCs/>
              </w:rPr>
              <w:t>Annual Cost Burden</w:t>
            </w:r>
          </w:p>
        </w:tc>
      </w:tr>
      <w:tr w:rsidRPr="003B0F56" w:rsidR="00886B9B" w:rsidTr="002C3A5E" w14:paraId="2658056E" w14:textId="77777777">
        <w:trPr>
          <w:trHeight w:val="330"/>
        </w:trPr>
        <w:tc>
          <w:tcPr>
            <w:tcW w:w="1600" w:type="dxa"/>
            <w:tcBorders>
              <w:top w:val="nil"/>
              <w:left w:val="single" w:color="auto" w:sz="8" w:space="0"/>
              <w:bottom w:val="single" w:color="auto" w:sz="8" w:space="0"/>
              <w:right w:val="single" w:color="auto" w:sz="8" w:space="0"/>
            </w:tcBorders>
            <w:shd w:val="clear" w:color="auto" w:fill="auto"/>
            <w:hideMark/>
          </w:tcPr>
          <w:p w:rsidRPr="003B0F56" w:rsidR="00886B9B" w:rsidP="00886B9B" w:rsidRDefault="00886B9B" w14:paraId="68BDC880" w14:textId="5D701C1F">
            <w:pPr>
              <w:jc w:val="right"/>
            </w:pPr>
            <w:r w:rsidRPr="00122D50">
              <w:t>11,396</w:t>
            </w:r>
          </w:p>
        </w:tc>
        <w:tc>
          <w:tcPr>
            <w:tcW w:w="3080" w:type="dxa"/>
            <w:tcBorders>
              <w:top w:val="nil"/>
              <w:left w:val="nil"/>
              <w:bottom w:val="single" w:color="auto" w:sz="8" w:space="0"/>
              <w:right w:val="single" w:color="auto" w:sz="8" w:space="0"/>
            </w:tcBorders>
            <w:shd w:val="clear" w:color="auto" w:fill="auto"/>
            <w:hideMark/>
          </w:tcPr>
          <w:p w:rsidRPr="003B0F56" w:rsidR="00886B9B" w:rsidP="00886B9B" w:rsidRDefault="00886B9B" w14:paraId="53C1C40B" w14:textId="30F3B704">
            <w:pPr>
              <w:jc w:val="right"/>
            </w:pPr>
            <w:r w:rsidRPr="00122D50">
              <w:t xml:space="preserve">$600 </w:t>
            </w:r>
          </w:p>
        </w:tc>
        <w:tc>
          <w:tcPr>
            <w:tcW w:w="2680" w:type="dxa"/>
            <w:tcBorders>
              <w:top w:val="nil"/>
              <w:left w:val="nil"/>
              <w:bottom w:val="single" w:color="auto" w:sz="8" w:space="0"/>
              <w:right w:val="single" w:color="auto" w:sz="8" w:space="0"/>
            </w:tcBorders>
            <w:shd w:val="clear" w:color="auto" w:fill="auto"/>
            <w:hideMark/>
          </w:tcPr>
          <w:p w:rsidRPr="003B0F56" w:rsidR="00886B9B" w:rsidP="00886B9B" w:rsidRDefault="00886B9B" w14:paraId="4B8AC944" w14:textId="10C0E18F">
            <w:pPr>
              <w:jc w:val="right"/>
            </w:pPr>
            <w:r w:rsidRPr="00122D50">
              <w:t xml:space="preserve">$6,837,600 </w:t>
            </w:r>
          </w:p>
        </w:tc>
      </w:tr>
    </w:tbl>
    <w:p w:rsidRPr="003B0F56" w:rsidR="0023556A" w:rsidP="002C3A5E" w:rsidRDefault="0023556A" w14:paraId="19D50AA1" w14:textId="77777777">
      <w:pPr>
        <w:ind w:left="720"/>
        <w:outlineLvl w:val="0"/>
        <w:rPr>
          <w:i/>
          <w:color w:val="000000"/>
        </w:rPr>
      </w:pPr>
    </w:p>
    <w:p w:rsidRPr="002C3A5E" w:rsidR="006962D3" w:rsidP="002C3A5E" w:rsidRDefault="006962D3" w14:paraId="1D0588C6" w14:textId="77777777">
      <w:pPr>
        <w:ind w:left="1440"/>
        <w:outlineLvl w:val="0"/>
        <w:rPr>
          <w:color w:val="000000"/>
          <w:u w:val="single"/>
        </w:rPr>
      </w:pPr>
      <w:r w:rsidRPr="002C3A5E">
        <w:rPr>
          <w:color w:val="000000"/>
          <w:u w:val="single"/>
        </w:rPr>
        <w:t>Annual Distribution of Disclosure Package</w:t>
      </w:r>
    </w:p>
    <w:p w:rsidRPr="003B0F56" w:rsidR="006962D3" w:rsidP="002C3A5E" w:rsidRDefault="006962D3" w14:paraId="785CD5F0" w14:textId="77777777">
      <w:pPr>
        <w:ind w:left="720"/>
        <w:rPr>
          <w:color w:val="000000"/>
        </w:rPr>
      </w:pPr>
    </w:p>
    <w:p w:rsidRPr="00DA10AD" w:rsidR="006962D3" w:rsidP="002C3A5E" w:rsidRDefault="00947250" w14:paraId="1C88595E" w14:textId="58982A5F">
      <w:pPr>
        <w:ind w:left="720"/>
        <w:rPr>
          <w:color w:val="000000"/>
        </w:rPr>
      </w:pPr>
      <w:r w:rsidRPr="00904BE0">
        <w:rPr>
          <w:color w:val="000000"/>
        </w:rPr>
        <w:t xml:space="preserve">As a result of the final </w:t>
      </w:r>
      <w:r w:rsidRPr="00904BE0" w:rsidR="00523110">
        <w:rPr>
          <w:color w:val="000000"/>
        </w:rPr>
        <w:t xml:space="preserve">Default Electronic Disclosure </w:t>
      </w:r>
      <w:r w:rsidRPr="00904BE0">
        <w:rPr>
          <w:color w:val="000000"/>
        </w:rPr>
        <w:t>regulation issued by the Department on May 27, 2020</w:t>
      </w:r>
      <w:r w:rsidRPr="00904BE0" w:rsidR="00523110">
        <w:rPr>
          <w:color w:val="000000"/>
        </w:rPr>
        <w:t xml:space="preserve"> (85 FR 31884)</w:t>
      </w:r>
      <w:r w:rsidRPr="00904BE0">
        <w:rPr>
          <w:color w:val="000000"/>
        </w:rPr>
        <w:t xml:space="preserve">, the Department increased the percent of required </w:t>
      </w:r>
      <w:r w:rsidRPr="00904BE0">
        <w:rPr>
          <w:color w:val="000000"/>
        </w:rPr>
        <w:lastRenderedPageBreak/>
        <w:t>disclosures that will be sent electronically for DC plans from 56.4 percent to 92.7 percent.</w:t>
      </w:r>
      <w:r>
        <w:rPr>
          <w:color w:val="000000"/>
        </w:rPr>
        <w:t xml:space="preserve">  </w:t>
      </w:r>
      <w:r w:rsidR="00960778">
        <w:rPr>
          <w:color w:val="000000"/>
        </w:rPr>
        <w:t>T</w:t>
      </w:r>
      <w:r w:rsidRPr="00DA10AD" w:rsidR="006962D3">
        <w:rPr>
          <w:color w:val="000000"/>
        </w:rPr>
        <w:t xml:space="preserve">he Department estimates that </w:t>
      </w:r>
      <w:r w:rsidRPr="00146B9F" w:rsidR="00693923">
        <w:rPr>
          <w:color w:val="000000"/>
        </w:rPr>
        <w:t xml:space="preserve">7.3 </w:t>
      </w:r>
      <w:r w:rsidRPr="00146B9F" w:rsidR="006962D3">
        <w:rPr>
          <w:color w:val="000000"/>
        </w:rPr>
        <w:t>percent of the</w:t>
      </w:r>
      <w:r w:rsidRPr="00146B9F" w:rsidR="00693923">
        <w:rPr>
          <w:color w:val="000000"/>
        </w:rPr>
        <w:t xml:space="preserve"> </w:t>
      </w:r>
      <w:r w:rsidRPr="00146B9F" w:rsidR="006962D3">
        <w:rPr>
          <w:color w:val="000000"/>
        </w:rPr>
        <w:t xml:space="preserve">disclosures to </w:t>
      </w:r>
      <w:r w:rsidRPr="00146B9F" w:rsidR="00693923">
        <w:rPr>
          <w:color w:val="000000"/>
        </w:rPr>
        <w:t xml:space="preserve">DC </w:t>
      </w:r>
      <w:r w:rsidRPr="004A303D" w:rsidR="005A4553">
        <w:rPr>
          <w:color w:val="000000"/>
        </w:rPr>
        <w:t>p</w:t>
      </w:r>
      <w:r w:rsidRPr="00DA10AD" w:rsidR="00D64996">
        <w:rPr>
          <w:color w:val="000000"/>
        </w:rPr>
        <w:t>articipant</w:t>
      </w:r>
      <w:r w:rsidRPr="00DA10AD" w:rsidR="006962D3">
        <w:rPr>
          <w:color w:val="000000"/>
        </w:rPr>
        <w:t xml:space="preserve">s </w:t>
      </w:r>
      <w:r w:rsidRPr="00DA10AD" w:rsidR="00693923">
        <w:rPr>
          <w:color w:val="000000"/>
        </w:rPr>
        <w:t xml:space="preserve">and 41.8 percent of the disclosures to IRA participants </w:t>
      </w:r>
      <w:r w:rsidRPr="00DA10AD" w:rsidR="006962D3">
        <w:rPr>
          <w:color w:val="000000"/>
        </w:rPr>
        <w:t xml:space="preserve">will be delivered through paper, with 50 percent of these delivered in person and 50 percent mailed to the </w:t>
      </w:r>
      <w:r w:rsidRPr="00DA10AD" w:rsidR="005A4553">
        <w:rPr>
          <w:color w:val="000000"/>
        </w:rPr>
        <w:t>p</w:t>
      </w:r>
      <w:r w:rsidRPr="00DA10AD" w:rsidR="00D64996">
        <w:rPr>
          <w:color w:val="000000"/>
        </w:rPr>
        <w:t>articipant</w:t>
      </w:r>
      <w:r w:rsidRPr="00DA10AD" w:rsidR="006962D3">
        <w:rPr>
          <w:color w:val="000000"/>
        </w:rPr>
        <w:t xml:space="preserve">s, thus ten percent of </w:t>
      </w:r>
      <w:r w:rsidRPr="00DA10AD" w:rsidR="005A4553">
        <w:rPr>
          <w:color w:val="000000"/>
        </w:rPr>
        <w:t>p</w:t>
      </w:r>
      <w:r w:rsidRPr="00DA10AD" w:rsidR="00D64996">
        <w:rPr>
          <w:color w:val="000000"/>
        </w:rPr>
        <w:t>articipant</w:t>
      </w:r>
      <w:r w:rsidRPr="00DA10AD" w:rsidR="006962D3">
        <w:rPr>
          <w:color w:val="000000"/>
        </w:rPr>
        <w:t>s receive their disclosure package through the mail.</w:t>
      </w:r>
      <w:r w:rsidRPr="003B0F56" w:rsidR="006962D3">
        <w:rPr>
          <w:color w:val="000000"/>
        </w:rPr>
        <w:t xml:space="preserve">  The per page photocopy costs are assumed to be five cents and the mailing costs are assumed to be $</w:t>
      </w:r>
      <w:r w:rsidR="00356C6D">
        <w:rPr>
          <w:color w:val="000000"/>
        </w:rPr>
        <w:t>0.55</w:t>
      </w:r>
      <w:r w:rsidRPr="003B0F56" w:rsidR="006962D3">
        <w:rPr>
          <w:color w:val="000000"/>
        </w:rPr>
        <w:t xml:space="preserve"> per disclosure package for regular First Class mail.  Given that there </w:t>
      </w:r>
      <w:r w:rsidRPr="003B0F56" w:rsidR="003F14DA">
        <w:rPr>
          <w:color w:val="000000"/>
        </w:rPr>
        <w:t xml:space="preserve">will be </w:t>
      </w:r>
      <w:r w:rsidRPr="00460249" w:rsidR="00460249">
        <w:rPr>
          <w:color w:val="000000"/>
        </w:rPr>
        <w:t>23,033,030</w:t>
      </w:r>
      <w:r w:rsidR="00460249">
        <w:rPr>
          <w:color w:val="000000"/>
        </w:rPr>
        <w:t xml:space="preserve"> </w:t>
      </w:r>
      <w:r w:rsidRPr="003B0F56" w:rsidR="00C33085">
        <w:rPr>
          <w:color w:val="000000"/>
        </w:rPr>
        <w:t>p</w:t>
      </w:r>
      <w:r w:rsidRPr="003B0F56" w:rsidR="00D64996">
        <w:rPr>
          <w:color w:val="000000"/>
        </w:rPr>
        <w:t>articipant</w:t>
      </w:r>
      <w:r w:rsidRPr="003B0F56" w:rsidR="006962D3">
        <w:rPr>
          <w:color w:val="000000"/>
        </w:rPr>
        <w:t>s (</w:t>
      </w:r>
      <w:r w:rsidRPr="00266E70" w:rsidR="00266E70">
        <w:rPr>
          <w:color w:val="000000"/>
        </w:rPr>
        <w:t xml:space="preserve">2,948,730 </w:t>
      </w:r>
      <w:r w:rsidRPr="003B0F56" w:rsidR="00C33085">
        <w:rPr>
          <w:color w:val="000000"/>
        </w:rPr>
        <w:t>plan</w:t>
      </w:r>
      <w:r w:rsidRPr="003B0F56" w:rsidR="00D64996">
        <w:rPr>
          <w:color w:val="000000"/>
        </w:rPr>
        <w:t xml:space="preserve"> </w:t>
      </w:r>
      <w:r w:rsidRPr="003B0F56" w:rsidR="00C33085">
        <w:rPr>
          <w:color w:val="000000"/>
        </w:rPr>
        <w:t>p</w:t>
      </w:r>
      <w:r w:rsidRPr="003B0F56" w:rsidR="00D64996">
        <w:rPr>
          <w:color w:val="000000"/>
        </w:rPr>
        <w:t>articipant</w:t>
      </w:r>
      <w:r w:rsidRPr="003B0F56" w:rsidR="006962D3">
        <w:rPr>
          <w:color w:val="000000"/>
        </w:rPr>
        <w:t xml:space="preserve">s and </w:t>
      </w:r>
      <w:r w:rsidRPr="00266E70" w:rsidR="00266E70">
        <w:rPr>
          <w:color w:val="000000"/>
        </w:rPr>
        <w:t xml:space="preserve">20,084,300 </w:t>
      </w:r>
      <w:r w:rsidRPr="003B0F56" w:rsidR="006962D3">
        <w:rPr>
          <w:color w:val="000000"/>
        </w:rPr>
        <w:t xml:space="preserve">IRA </w:t>
      </w:r>
      <w:r w:rsidRPr="003B0F56" w:rsidR="00C33085">
        <w:rPr>
          <w:color w:val="000000"/>
        </w:rPr>
        <w:t>holders</w:t>
      </w:r>
      <w:r w:rsidRPr="003B0F56" w:rsidR="006962D3">
        <w:rPr>
          <w:color w:val="000000"/>
        </w:rPr>
        <w:t xml:space="preserve">), </w:t>
      </w:r>
      <w:r w:rsidRPr="00DA10AD" w:rsidR="006962D3">
        <w:rPr>
          <w:color w:val="000000"/>
        </w:rPr>
        <w:t xml:space="preserve">the associated cost burden for generating paper copies of the disclosures to </w:t>
      </w:r>
      <w:r w:rsidRPr="00DA10AD" w:rsidR="000C2B7D">
        <w:rPr>
          <w:color w:val="000000"/>
        </w:rPr>
        <w:t>p</w:t>
      </w:r>
      <w:r w:rsidRPr="00DA10AD" w:rsidR="00D64996">
        <w:rPr>
          <w:color w:val="000000"/>
        </w:rPr>
        <w:t>articipant</w:t>
      </w:r>
      <w:r w:rsidRPr="00DA10AD" w:rsidR="006962D3">
        <w:rPr>
          <w:color w:val="000000"/>
        </w:rPr>
        <w:t xml:space="preserve">s under the statutory exemption is </w:t>
      </w:r>
      <w:r w:rsidRPr="00146B9F" w:rsidR="00432A93">
        <w:rPr>
          <w:color w:val="000000"/>
        </w:rPr>
        <w:t xml:space="preserve">$1,722,099 </w:t>
      </w:r>
      <w:r w:rsidRPr="00146B9F" w:rsidR="006962D3">
        <w:rPr>
          <w:color w:val="000000"/>
        </w:rPr>
        <w:t xml:space="preserve">annually.  </w:t>
      </w:r>
      <w:r w:rsidRPr="004A303D" w:rsidR="0072575A">
        <w:rPr>
          <w:color w:val="000000"/>
        </w:rPr>
        <w:t>T</w:t>
      </w:r>
      <w:r w:rsidRPr="00DA10AD" w:rsidR="006962D3">
        <w:rPr>
          <w:color w:val="000000"/>
        </w:rPr>
        <w:t xml:space="preserve">he </w:t>
      </w:r>
      <w:r w:rsidRPr="00DA10AD" w:rsidR="00726626">
        <w:rPr>
          <w:color w:val="000000"/>
        </w:rPr>
        <w:t xml:space="preserve">postage </w:t>
      </w:r>
      <w:r w:rsidRPr="00DA10AD" w:rsidR="006962D3">
        <w:rPr>
          <w:color w:val="000000"/>
        </w:rPr>
        <w:t xml:space="preserve">cost burden of the statutory exemption will be </w:t>
      </w:r>
      <w:r w:rsidRPr="00DA10AD" w:rsidR="00432A93">
        <w:rPr>
          <w:color w:val="000000"/>
        </w:rPr>
        <w:t xml:space="preserve">$2,367,886 </w:t>
      </w:r>
      <w:r w:rsidRPr="00DA10AD" w:rsidR="006962D3">
        <w:rPr>
          <w:color w:val="000000"/>
        </w:rPr>
        <w:t>annually.  Thus</w:t>
      </w:r>
      <w:r w:rsidRPr="00DA10AD" w:rsidR="003F14DA">
        <w:rPr>
          <w:color w:val="000000"/>
        </w:rPr>
        <w:t>,</w:t>
      </w:r>
      <w:r w:rsidRPr="00DA10AD" w:rsidR="006962D3">
        <w:rPr>
          <w:color w:val="000000"/>
        </w:rPr>
        <w:t xml:space="preserve"> the overall cost burden associated with distributing disclosures to </w:t>
      </w:r>
      <w:r w:rsidRPr="00DA10AD" w:rsidR="0072575A">
        <w:rPr>
          <w:color w:val="000000"/>
        </w:rPr>
        <w:t>p</w:t>
      </w:r>
      <w:r w:rsidRPr="00DA10AD" w:rsidR="00D64996">
        <w:rPr>
          <w:color w:val="000000"/>
        </w:rPr>
        <w:t>articipant</w:t>
      </w:r>
      <w:r w:rsidRPr="00DA10AD" w:rsidR="006962D3">
        <w:rPr>
          <w:color w:val="000000"/>
        </w:rPr>
        <w:t xml:space="preserve">s is </w:t>
      </w:r>
      <w:r w:rsidRPr="00DA10AD" w:rsidR="003F14DA">
        <w:rPr>
          <w:color w:val="000000"/>
        </w:rPr>
        <w:t xml:space="preserve">estimated to be </w:t>
      </w:r>
      <w:r w:rsidRPr="00DA10AD" w:rsidR="00432A93">
        <w:rPr>
          <w:color w:val="000000"/>
        </w:rPr>
        <w:t xml:space="preserve">$4,089,985 </w:t>
      </w:r>
      <w:r w:rsidRPr="00DA10AD" w:rsidR="006962D3">
        <w:rPr>
          <w:color w:val="000000"/>
        </w:rPr>
        <w:t>per year.</w:t>
      </w:r>
    </w:p>
    <w:p w:rsidRPr="00DA10AD" w:rsidR="007C5356" w:rsidP="002C3A5E" w:rsidRDefault="007C5356" w14:paraId="35D92452" w14:textId="77777777">
      <w:pPr>
        <w:ind w:left="720"/>
        <w:rPr>
          <w:color w:val="000000"/>
        </w:rPr>
      </w:pPr>
    </w:p>
    <w:tbl>
      <w:tblPr>
        <w:tblW w:w="9400" w:type="dxa"/>
        <w:tblInd w:w="720" w:type="dxa"/>
        <w:tblLook w:val="04A0" w:firstRow="1" w:lastRow="0" w:firstColumn="1" w:lastColumn="0" w:noHBand="0" w:noVBand="1"/>
      </w:tblPr>
      <w:tblGrid>
        <w:gridCol w:w="2323"/>
        <w:gridCol w:w="2256"/>
        <w:gridCol w:w="2758"/>
        <w:gridCol w:w="2063"/>
      </w:tblGrid>
      <w:tr w:rsidRPr="003B0F56" w:rsidR="007C5356" w:rsidTr="00530837" w14:paraId="1F312831" w14:textId="77777777">
        <w:trPr>
          <w:trHeight w:val="330"/>
        </w:trPr>
        <w:tc>
          <w:tcPr>
            <w:tcW w:w="9400" w:type="dxa"/>
            <w:gridSpan w:val="4"/>
            <w:tcBorders>
              <w:top w:val="nil"/>
              <w:left w:val="nil"/>
              <w:bottom w:val="nil"/>
              <w:right w:val="nil"/>
            </w:tcBorders>
            <w:shd w:val="clear" w:color="auto" w:fill="auto"/>
            <w:vAlign w:val="bottom"/>
            <w:hideMark/>
          </w:tcPr>
          <w:p w:rsidRPr="003B0F56" w:rsidR="007C5356" w:rsidRDefault="007C5356" w14:paraId="665327F7" w14:textId="77777777">
            <w:r w:rsidRPr="00DA10AD">
              <w:t>Table 9.--Annual Distribution Cost Burden Estimates</w:t>
            </w:r>
          </w:p>
        </w:tc>
      </w:tr>
      <w:tr w:rsidRPr="003B0F56" w:rsidR="007C5356" w:rsidTr="00F90B3D" w14:paraId="7DDA66AF" w14:textId="77777777">
        <w:trPr>
          <w:trHeight w:val="187"/>
        </w:trPr>
        <w:tc>
          <w:tcPr>
            <w:tcW w:w="2323" w:type="dxa"/>
            <w:tcBorders>
              <w:top w:val="single" w:color="auto" w:sz="8" w:space="0"/>
              <w:left w:val="single" w:color="auto" w:sz="8" w:space="0"/>
              <w:bottom w:val="single" w:color="auto" w:sz="8" w:space="0"/>
              <w:right w:val="single" w:color="auto" w:sz="8" w:space="0"/>
            </w:tcBorders>
            <w:shd w:val="clear" w:color="auto" w:fill="auto"/>
            <w:hideMark/>
          </w:tcPr>
          <w:p w:rsidRPr="003B0F56" w:rsidR="007C5356" w:rsidRDefault="007C5356" w14:paraId="3BDFA423" w14:textId="77777777">
            <w:pPr>
              <w:jc w:val="center"/>
            </w:pPr>
            <w:r w:rsidRPr="003B0F56">
              <w:t> </w:t>
            </w:r>
          </w:p>
        </w:tc>
        <w:tc>
          <w:tcPr>
            <w:tcW w:w="2256" w:type="dxa"/>
            <w:tcBorders>
              <w:top w:val="single" w:color="auto" w:sz="8" w:space="0"/>
              <w:left w:val="nil"/>
              <w:bottom w:val="single" w:color="auto" w:sz="8" w:space="0"/>
              <w:right w:val="single" w:color="auto" w:sz="8" w:space="0"/>
            </w:tcBorders>
            <w:shd w:val="clear" w:color="auto" w:fill="auto"/>
            <w:hideMark/>
          </w:tcPr>
          <w:p w:rsidRPr="003B0F56" w:rsidR="007C5356" w:rsidRDefault="007C5356" w14:paraId="0DA89F5F" w14:textId="77777777">
            <w:pPr>
              <w:jc w:val="center"/>
              <w:rPr>
                <w:b/>
                <w:bCs/>
              </w:rPr>
            </w:pPr>
            <w:r w:rsidRPr="003B0F56">
              <w:rPr>
                <w:b/>
                <w:bCs/>
              </w:rPr>
              <w:t>Participants</w:t>
            </w:r>
          </w:p>
        </w:tc>
        <w:tc>
          <w:tcPr>
            <w:tcW w:w="2758" w:type="dxa"/>
            <w:tcBorders>
              <w:top w:val="single" w:color="auto" w:sz="8" w:space="0"/>
              <w:left w:val="nil"/>
              <w:bottom w:val="single" w:color="auto" w:sz="8" w:space="0"/>
              <w:right w:val="single" w:color="auto" w:sz="8" w:space="0"/>
            </w:tcBorders>
            <w:shd w:val="clear" w:color="auto" w:fill="auto"/>
            <w:hideMark/>
          </w:tcPr>
          <w:p w:rsidRPr="003B0F56" w:rsidR="007C5356" w:rsidRDefault="007C5356" w14:paraId="18F6AC06" w14:textId="77777777">
            <w:pPr>
              <w:jc w:val="center"/>
              <w:rPr>
                <w:b/>
                <w:bCs/>
              </w:rPr>
            </w:pPr>
            <w:r w:rsidRPr="003B0F56">
              <w:rPr>
                <w:b/>
                <w:bCs/>
              </w:rPr>
              <w:t>Annual Cost per Participant</w:t>
            </w:r>
          </w:p>
        </w:tc>
        <w:tc>
          <w:tcPr>
            <w:tcW w:w="2063" w:type="dxa"/>
            <w:tcBorders>
              <w:top w:val="single" w:color="auto" w:sz="8" w:space="0"/>
              <w:left w:val="nil"/>
              <w:bottom w:val="single" w:color="auto" w:sz="8" w:space="0"/>
              <w:right w:val="single" w:color="auto" w:sz="8" w:space="0"/>
            </w:tcBorders>
            <w:shd w:val="clear" w:color="auto" w:fill="auto"/>
            <w:hideMark/>
          </w:tcPr>
          <w:p w:rsidRPr="003B0F56" w:rsidR="007C5356" w:rsidRDefault="007C5356" w14:paraId="4A32119C" w14:textId="77777777">
            <w:pPr>
              <w:jc w:val="center"/>
              <w:rPr>
                <w:b/>
                <w:bCs/>
              </w:rPr>
            </w:pPr>
            <w:r w:rsidRPr="003B0F56">
              <w:rPr>
                <w:b/>
                <w:bCs/>
              </w:rPr>
              <w:t>Annual Cost Burden</w:t>
            </w:r>
          </w:p>
        </w:tc>
      </w:tr>
      <w:tr w:rsidRPr="003B0F56" w:rsidR="00904212" w:rsidTr="004168A3" w14:paraId="49892D41" w14:textId="77777777">
        <w:trPr>
          <w:trHeight w:val="330"/>
        </w:trPr>
        <w:tc>
          <w:tcPr>
            <w:tcW w:w="2323" w:type="dxa"/>
            <w:tcBorders>
              <w:top w:val="nil"/>
              <w:left w:val="single" w:color="auto" w:sz="8" w:space="0"/>
              <w:bottom w:val="single" w:color="auto" w:sz="8" w:space="0"/>
              <w:right w:val="single" w:color="auto" w:sz="8" w:space="0"/>
            </w:tcBorders>
            <w:shd w:val="clear" w:color="auto" w:fill="auto"/>
            <w:hideMark/>
          </w:tcPr>
          <w:p w:rsidRPr="003B0F56" w:rsidR="00904212" w:rsidP="00904212" w:rsidRDefault="00904212" w14:paraId="3EA23FAF" w14:textId="77777777">
            <w:r w:rsidRPr="003B0F56">
              <w:t>Total Photocopying</w:t>
            </w:r>
          </w:p>
        </w:tc>
        <w:tc>
          <w:tcPr>
            <w:tcW w:w="2256" w:type="dxa"/>
            <w:tcBorders>
              <w:top w:val="nil"/>
              <w:left w:val="nil"/>
              <w:bottom w:val="single" w:color="auto" w:sz="8" w:space="0"/>
              <w:right w:val="single" w:color="auto" w:sz="8" w:space="0"/>
            </w:tcBorders>
            <w:shd w:val="clear" w:color="auto" w:fill="auto"/>
            <w:hideMark/>
          </w:tcPr>
          <w:p w:rsidRPr="003B0F56" w:rsidR="00904212" w:rsidP="00904212" w:rsidRDefault="00904212" w14:paraId="7171FD01" w14:textId="609E751F">
            <w:pPr>
              <w:jc w:val="right"/>
            </w:pPr>
            <w:r w:rsidRPr="00625E4A">
              <w:t>8,610,495</w:t>
            </w:r>
          </w:p>
        </w:tc>
        <w:tc>
          <w:tcPr>
            <w:tcW w:w="2758" w:type="dxa"/>
            <w:tcBorders>
              <w:top w:val="nil"/>
              <w:left w:val="nil"/>
              <w:bottom w:val="single" w:color="auto" w:sz="8" w:space="0"/>
              <w:right w:val="single" w:color="auto" w:sz="8" w:space="0"/>
            </w:tcBorders>
            <w:shd w:val="clear" w:color="auto" w:fill="auto"/>
            <w:hideMark/>
          </w:tcPr>
          <w:p w:rsidRPr="003B0F56" w:rsidR="00904212" w:rsidP="00904212" w:rsidRDefault="00904212" w14:paraId="3D0406CD" w14:textId="3A0014B5">
            <w:pPr>
              <w:jc w:val="right"/>
            </w:pPr>
            <w:r w:rsidRPr="00625E4A">
              <w:t xml:space="preserve">$0.20 </w:t>
            </w:r>
          </w:p>
        </w:tc>
        <w:tc>
          <w:tcPr>
            <w:tcW w:w="2063" w:type="dxa"/>
            <w:tcBorders>
              <w:top w:val="nil"/>
              <w:left w:val="nil"/>
              <w:bottom w:val="single" w:color="auto" w:sz="8" w:space="0"/>
              <w:right w:val="single" w:color="auto" w:sz="8" w:space="0"/>
            </w:tcBorders>
            <w:shd w:val="clear" w:color="auto" w:fill="auto"/>
            <w:hideMark/>
          </w:tcPr>
          <w:p w:rsidRPr="003B0F56" w:rsidR="00904212" w:rsidP="00904212" w:rsidRDefault="00904212" w14:paraId="5E85AEA1" w14:textId="3027338E">
            <w:pPr>
              <w:jc w:val="right"/>
            </w:pPr>
            <w:r w:rsidRPr="00625E4A">
              <w:t xml:space="preserve">$1,722,099 </w:t>
            </w:r>
          </w:p>
        </w:tc>
      </w:tr>
      <w:tr w:rsidRPr="003B0F56" w:rsidR="00904212" w:rsidTr="004168A3" w14:paraId="4592AB9B" w14:textId="77777777">
        <w:trPr>
          <w:trHeight w:val="330"/>
        </w:trPr>
        <w:tc>
          <w:tcPr>
            <w:tcW w:w="2323" w:type="dxa"/>
            <w:tcBorders>
              <w:top w:val="nil"/>
              <w:left w:val="single" w:color="auto" w:sz="8" w:space="0"/>
              <w:bottom w:val="single" w:color="auto" w:sz="8" w:space="0"/>
              <w:right w:val="single" w:color="auto" w:sz="8" w:space="0"/>
            </w:tcBorders>
            <w:shd w:val="clear" w:color="auto" w:fill="auto"/>
            <w:hideMark/>
          </w:tcPr>
          <w:p w:rsidRPr="003B0F56" w:rsidR="00904212" w:rsidP="00904212" w:rsidRDefault="00904212" w14:paraId="2E99FD7E" w14:textId="77777777">
            <w:r w:rsidRPr="003B0F56">
              <w:t xml:space="preserve">  Plans</w:t>
            </w:r>
          </w:p>
        </w:tc>
        <w:tc>
          <w:tcPr>
            <w:tcW w:w="2256" w:type="dxa"/>
            <w:tcBorders>
              <w:top w:val="nil"/>
              <w:left w:val="nil"/>
              <w:bottom w:val="single" w:color="auto" w:sz="8" w:space="0"/>
              <w:right w:val="single" w:color="auto" w:sz="8" w:space="0"/>
            </w:tcBorders>
            <w:shd w:val="clear" w:color="auto" w:fill="auto"/>
            <w:hideMark/>
          </w:tcPr>
          <w:p w:rsidRPr="003B0F56" w:rsidR="00904212" w:rsidP="00904212" w:rsidRDefault="00904212" w14:paraId="649E8D4F" w14:textId="6AF19338">
            <w:pPr>
              <w:jc w:val="right"/>
            </w:pPr>
            <w:r w:rsidRPr="00625E4A">
              <w:t>215,257</w:t>
            </w:r>
          </w:p>
        </w:tc>
        <w:tc>
          <w:tcPr>
            <w:tcW w:w="2758" w:type="dxa"/>
            <w:tcBorders>
              <w:top w:val="nil"/>
              <w:left w:val="nil"/>
              <w:bottom w:val="single" w:color="auto" w:sz="8" w:space="0"/>
              <w:right w:val="single" w:color="auto" w:sz="8" w:space="0"/>
            </w:tcBorders>
            <w:shd w:val="clear" w:color="auto" w:fill="auto"/>
            <w:hideMark/>
          </w:tcPr>
          <w:p w:rsidRPr="003B0F56" w:rsidR="00904212" w:rsidP="00904212" w:rsidRDefault="00904212" w14:paraId="319FF4EE" w14:textId="50A9B3DE">
            <w:pPr>
              <w:jc w:val="right"/>
            </w:pPr>
          </w:p>
        </w:tc>
        <w:tc>
          <w:tcPr>
            <w:tcW w:w="2063" w:type="dxa"/>
            <w:tcBorders>
              <w:top w:val="nil"/>
              <w:left w:val="nil"/>
              <w:bottom w:val="single" w:color="auto" w:sz="8" w:space="0"/>
              <w:right w:val="single" w:color="auto" w:sz="8" w:space="0"/>
            </w:tcBorders>
            <w:shd w:val="clear" w:color="auto" w:fill="auto"/>
            <w:hideMark/>
          </w:tcPr>
          <w:p w:rsidRPr="003B0F56" w:rsidR="00904212" w:rsidP="00904212" w:rsidRDefault="00904212" w14:paraId="60841125" w14:textId="1966347A">
            <w:pPr>
              <w:jc w:val="right"/>
            </w:pPr>
            <w:r w:rsidRPr="00625E4A">
              <w:t xml:space="preserve">$43,051 </w:t>
            </w:r>
          </w:p>
        </w:tc>
      </w:tr>
      <w:tr w:rsidRPr="003B0F56" w:rsidR="00904212" w:rsidTr="004168A3" w14:paraId="356E980A" w14:textId="77777777">
        <w:trPr>
          <w:trHeight w:val="330"/>
        </w:trPr>
        <w:tc>
          <w:tcPr>
            <w:tcW w:w="2323" w:type="dxa"/>
            <w:tcBorders>
              <w:top w:val="nil"/>
              <w:left w:val="single" w:color="auto" w:sz="8" w:space="0"/>
              <w:bottom w:val="single" w:color="auto" w:sz="8" w:space="0"/>
              <w:right w:val="single" w:color="auto" w:sz="8" w:space="0"/>
            </w:tcBorders>
            <w:shd w:val="clear" w:color="auto" w:fill="auto"/>
            <w:hideMark/>
          </w:tcPr>
          <w:p w:rsidRPr="003B0F56" w:rsidR="00904212" w:rsidP="00904212" w:rsidRDefault="00904212" w14:paraId="26CE3A1E" w14:textId="77777777">
            <w:r w:rsidRPr="003B0F56">
              <w:t xml:space="preserve">  IRAs</w:t>
            </w:r>
          </w:p>
        </w:tc>
        <w:tc>
          <w:tcPr>
            <w:tcW w:w="2256" w:type="dxa"/>
            <w:tcBorders>
              <w:top w:val="nil"/>
              <w:left w:val="nil"/>
              <w:bottom w:val="single" w:color="auto" w:sz="8" w:space="0"/>
              <w:right w:val="single" w:color="auto" w:sz="8" w:space="0"/>
            </w:tcBorders>
            <w:shd w:val="clear" w:color="auto" w:fill="auto"/>
            <w:hideMark/>
          </w:tcPr>
          <w:p w:rsidRPr="003B0F56" w:rsidR="00904212" w:rsidP="00904212" w:rsidRDefault="00904212" w14:paraId="50985E73" w14:textId="00F7E439">
            <w:pPr>
              <w:jc w:val="right"/>
            </w:pPr>
            <w:r w:rsidRPr="00625E4A">
              <w:t>8,395,237</w:t>
            </w:r>
          </w:p>
        </w:tc>
        <w:tc>
          <w:tcPr>
            <w:tcW w:w="2758" w:type="dxa"/>
            <w:tcBorders>
              <w:top w:val="nil"/>
              <w:left w:val="nil"/>
              <w:bottom w:val="single" w:color="auto" w:sz="8" w:space="0"/>
              <w:right w:val="single" w:color="auto" w:sz="8" w:space="0"/>
            </w:tcBorders>
            <w:shd w:val="clear" w:color="auto" w:fill="auto"/>
            <w:hideMark/>
          </w:tcPr>
          <w:p w:rsidRPr="003B0F56" w:rsidR="00904212" w:rsidP="00904212" w:rsidRDefault="00904212" w14:paraId="006C3B8C" w14:textId="40FAFF27">
            <w:pPr>
              <w:jc w:val="right"/>
            </w:pPr>
          </w:p>
        </w:tc>
        <w:tc>
          <w:tcPr>
            <w:tcW w:w="2063" w:type="dxa"/>
            <w:tcBorders>
              <w:top w:val="nil"/>
              <w:left w:val="nil"/>
              <w:bottom w:val="single" w:color="auto" w:sz="8" w:space="0"/>
              <w:right w:val="single" w:color="auto" w:sz="8" w:space="0"/>
            </w:tcBorders>
            <w:shd w:val="clear" w:color="auto" w:fill="auto"/>
            <w:hideMark/>
          </w:tcPr>
          <w:p w:rsidRPr="003B0F56" w:rsidR="00904212" w:rsidP="00904212" w:rsidRDefault="00904212" w14:paraId="53350E33" w14:textId="781B4798">
            <w:pPr>
              <w:jc w:val="right"/>
            </w:pPr>
            <w:r w:rsidRPr="00625E4A">
              <w:t xml:space="preserve">$1,679,047 </w:t>
            </w:r>
          </w:p>
        </w:tc>
      </w:tr>
      <w:tr w:rsidRPr="003B0F56" w:rsidR="00904212" w:rsidTr="004168A3" w14:paraId="7F8E47CA" w14:textId="77777777">
        <w:trPr>
          <w:trHeight w:val="330"/>
        </w:trPr>
        <w:tc>
          <w:tcPr>
            <w:tcW w:w="2323" w:type="dxa"/>
            <w:tcBorders>
              <w:top w:val="nil"/>
              <w:left w:val="single" w:color="auto" w:sz="8" w:space="0"/>
              <w:bottom w:val="single" w:color="auto" w:sz="8" w:space="0"/>
              <w:right w:val="single" w:color="auto" w:sz="8" w:space="0"/>
            </w:tcBorders>
            <w:shd w:val="clear" w:color="auto" w:fill="auto"/>
            <w:hideMark/>
          </w:tcPr>
          <w:p w:rsidRPr="003B0F56" w:rsidR="00904212" w:rsidP="00904212" w:rsidRDefault="00904212" w14:paraId="6ECB90F2" w14:textId="77777777">
            <w:r w:rsidRPr="003B0F56">
              <w:t>Total Mailing</w:t>
            </w:r>
          </w:p>
        </w:tc>
        <w:tc>
          <w:tcPr>
            <w:tcW w:w="2256" w:type="dxa"/>
            <w:tcBorders>
              <w:top w:val="nil"/>
              <w:left w:val="nil"/>
              <w:bottom w:val="single" w:color="auto" w:sz="8" w:space="0"/>
              <w:right w:val="single" w:color="auto" w:sz="8" w:space="0"/>
            </w:tcBorders>
            <w:shd w:val="clear" w:color="auto" w:fill="auto"/>
            <w:hideMark/>
          </w:tcPr>
          <w:p w:rsidRPr="003B0F56" w:rsidR="00904212" w:rsidP="00904212" w:rsidRDefault="00904212" w14:paraId="1284818A" w14:textId="49968203">
            <w:pPr>
              <w:jc w:val="right"/>
            </w:pPr>
            <w:r w:rsidRPr="00625E4A">
              <w:t>4,305,247</w:t>
            </w:r>
          </w:p>
        </w:tc>
        <w:tc>
          <w:tcPr>
            <w:tcW w:w="2758" w:type="dxa"/>
            <w:tcBorders>
              <w:top w:val="nil"/>
              <w:left w:val="nil"/>
              <w:bottom w:val="single" w:color="auto" w:sz="8" w:space="0"/>
              <w:right w:val="single" w:color="auto" w:sz="8" w:space="0"/>
            </w:tcBorders>
            <w:shd w:val="clear" w:color="auto" w:fill="auto"/>
            <w:hideMark/>
          </w:tcPr>
          <w:p w:rsidRPr="003B0F56" w:rsidR="00904212" w:rsidP="00904212" w:rsidRDefault="00904212" w14:paraId="006A34B9" w14:textId="2E06873B">
            <w:pPr>
              <w:jc w:val="right"/>
            </w:pPr>
            <w:r w:rsidRPr="00625E4A">
              <w:t xml:space="preserve">$0.00 </w:t>
            </w:r>
          </w:p>
        </w:tc>
        <w:tc>
          <w:tcPr>
            <w:tcW w:w="2063" w:type="dxa"/>
            <w:tcBorders>
              <w:top w:val="nil"/>
              <w:left w:val="nil"/>
              <w:bottom w:val="single" w:color="auto" w:sz="8" w:space="0"/>
              <w:right w:val="single" w:color="auto" w:sz="8" w:space="0"/>
            </w:tcBorders>
            <w:shd w:val="clear" w:color="auto" w:fill="auto"/>
            <w:hideMark/>
          </w:tcPr>
          <w:p w:rsidRPr="003B0F56" w:rsidR="00904212" w:rsidP="00904212" w:rsidRDefault="00904212" w14:paraId="0575496B" w14:textId="4B7EA99D">
            <w:pPr>
              <w:jc w:val="right"/>
            </w:pPr>
            <w:r w:rsidRPr="00625E4A">
              <w:t xml:space="preserve">$2,367,886 </w:t>
            </w:r>
          </w:p>
        </w:tc>
      </w:tr>
      <w:tr w:rsidRPr="003B0F56" w:rsidR="00904212" w:rsidTr="004168A3" w14:paraId="13F3391A" w14:textId="77777777">
        <w:trPr>
          <w:trHeight w:val="330"/>
        </w:trPr>
        <w:tc>
          <w:tcPr>
            <w:tcW w:w="2323" w:type="dxa"/>
            <w:tcBorders>
              <w:top w:val="nil"/>
              <w:left w:val="single" w:color="auto" w:sz="8" w:space="0"/>
              <w:bottom w:val="single" w:color="auto" w:sz="8" w:space="0"/>
              <w:right w:val="single" w:color="auto" w:sz="8" w:space="0"/>
            </w:tcBorders>
            <w:shd w:val="clear" w:color="auto" w:fill="auto"/>
            <w:hideMark/>
          </w:tcPr>
          <w:p w:rsidRPr="003B0F56" w:rsidR="00904212" w:rsidP="00904212" w:rsidRDefault="00904212" w14:paraId="10650562" w14:textId="77777777">
            <w:r w:rsidRPr="003B0F56">
              <w:t xml:space="preserve">  Plans</w:t>
            </w:r>
          </w:p>
        </w:tc>
        <w:tc>
          <w:tcPr>
            <w:tcW w:w="2256" w:type="dxa"/>
            <w:tcBorders>
              <w:top w:val="nil"/>
              <w:left w:val="nil"/>
              <w:bottom w:val="single" w:color="auto" w:sz="8" w:space="0"/>
              <w:right w:val="single" w:color="auto" w:sz="8" w:space="0"/>
            </w:tcBorders>
            <w:shd w:val="clear" w:color="auto" w:fill="auto"/>
            <w:hideMark/>
          </w:tcPr>
          <w:p w:rsidRPr="003B0F56" w:rsidR="00904212" w:rsidP="00904212" w:rsidRDefault="00904212" w14:paraId="0E8C3188" w14:textId="553DDB4D">
            <w:pPr>
              <w:jc w:val="right"/>
            </w:pPr>
            <w:r w:rsidRPr="00625E4A">
              <w:t>107,629</w:t>
            </w:r>
          </w:p>
        </w:tc>
        <w:tc>
          <w:tcPr>
            <w:tcW w:w="2758" w:type="dxa"/>
            <w:tcBorders>
              <w:top w:val="nil"/>
              <w:left w:val="nil"/>
              <w:bottom w:val="single" w:color="auto" w:sz="8" w:space="0"/>
              <w:right w:val="single" w:color="auto" w:sz="8" w:space="0"/>
            </w:tcBorders>
            <w:shd w:val="clear" w:color="auto" w:fill="auto"/>
            <w:hideMark/>
          </w:tcPr>
          <w:p w:rsidRPr="003B0F56" w:rsidR="00904212" w:rsidP="00904212" w:rsidRDefault="00904212" w14:paraId="3354F956" w14:textId="41130F0F">
            <w:pPr>
              <w:jc w:val="right"/>
            </w:pPr>
          </w:p>
        </w:tc>
        <w:tc>
          <w:tcPr>
            <w:tcW w:w="2063" w:type="dxa"/>
            <w:tcBorders>
              <w:top w:val="nil"/>
              <w:left w:val="nil"/>
              <w:bottom w:val="single" w:color="auto" w:sz="8" w:space="0"/>
              <w:right w:val="single" w:color="auto" w:sz="8" w:space="0"/>
            </w:tcBorders>
            <w:shd w:val="clear" w:color="auto" w:fill="auto"/>
            <w:hideMark/>
          </w:tcPr>
          <w:p w:rsidRPr="003B0F56" w:rsidR="00904212" w:rsidP="00904212" w:rsidRDefault="00904212" w14:paraId="5DEE244B" w14:textId="1335967B">
            <w:pPr>
              <w:jc w:val="right"/>
            </w:pPr>
            <w:r w:rsidRPr="00625E4A">
              <w:t xml:space="preserve">$59,196 </w:t>
            </w:r>
          </w:p>
        </w:tc>
      </w:tr>
      <w:tr w:rsidRPr="003B0F56" w:rsidR="00904212" w:rsidTr="004168A3" w14:paraId="2AC5DFE1" w14:textId="77777777">
        <w:trPr>
          <w:trHeight w:val="330"/>
        </w:trPr>
        <w:tc>
          <w:tcPr>
            <w:tcW w:w="2323" w:type="dxa"/>
            <w:tcBorders>
              <w:top w:val="nil"/>
              <w:left w:val="single" w:color="auto" w:sz="8" w:space="0"/>
              <w:bottom w:val="single" w:color="auto" w:sz="8" w:space="0"/>
              <w:right w:val="single" w:color="auto" w:sz="8" w:space="0"/>
            </w:tcBorders>
            <w:shd w:val="clear" w:color="auto" w:fill="auto"/>
            <w:hideMark/>
          </w:tcPr>
          <w:p w:rsidRPr="003B0F56" w:rsidR="00904212" w:rsidP="00904212" w:rsidRDefault="00904212" w14:paraId="74E2447A" w14:textId="77777777">
            <w:r w:rsidRPr="003B0F56">
              <w:t xml:space="preserve">  IRAs</w:t>
            </w:r>
          </w:p>
        </w:tc>
        <w:tc>
          <w:tcPr>
            <w:tcW w:w="2256" w:type="dxa"/>
            <w:tcBorders>
              <w:top w:val="nil"/>
              <w:left w:val="nil"/>
              <w:bottom w:val="single" w:color="auto" w:sz="8" w:space="0"/>
              <w:right w:val="single" w:color="auto" w:sz="8" w:space="0"/>
            </w:tcBorders>
            <w:shd w:val="clear" w:color="auto" w:fill="auto"/>
            <w:hideMark/>
          </w:tcPr>
          <w:p w:rsidRPr="003B0F56" w:rsidR="00904212" w:rsidP="00904212" w:rsidRDefault="00904212" w14:paraId="2769F8B4" w14:textId="09DAB2F8">
            <w:pPr>
              <w:jc w:val="right"/>
            </w:pPr>
            <w:r w:rsidRPr="00625E4A">
              <w:t>4,197,619</w:t>
            </w:r>
          </w:p>
        </w:tc>
        <w:tc>
          <w:tcPr>
            <w:tcW w:w="2758" w:type="dxa"/>
            <w:tcBorders>
              <w:top w:val="nil"/>
              <w:left w:val="nil"/>
              <w:bottom w:val="single" w:color="auto" w:sz="8" w:space="0"/>
              <w:right w:val="single" w:color="auto" w:sz="8" w:space="0"/>
            </w:tcBorders>
            <w:shd w:val="clear" w:color="auto" w:fill="auto"/>
            <w:hideMark/>
          </w:tcPr>
          <w:p w:rsidRPr="003B0F56" w:rsidR="00904212" w:rsidP="00904212" w:rsidRDefault="00904212" w14:paraId="2776D8F3" w14:textId="2610961C">
            <w:pPr>
              <w:jc w:val="right"/>
            </w:pPr>
          </w:p>
        </w:tc>
        <w:tc>
          <w:tcPr>
            <w:tcW w:w="2063" w:type="dxa"/>
            <w:tcBorders>
              <w:top w:val="nil"/>
              <w:left w:val="nil"/>
              <w:bottom w:val="single" w:color="auto" w:sz="8" w:space="0"/>
              <w:right w:val="single" w:color="auto" w:sz="8" w:space="0"/>
            </w:tcBorders>
            <w:shd w:val="clear" w:color="auto" w:fill="auto"/>
            <w:hideMark/>
          </w:tcPr>
          <w:p w:rsidRPr="003B0F56" w:rsidR="00904212" w:rsidP="00904212" w:rsidRDefault="00904212" w14:paraId="156DA7AA" w14:textId="655B649F">
            <w:pPr>
              <w:jc w:val="right"/>
            </w:pPr>
            <w:r w:rsidRPr="00625E4A">
              <w:t xml:space="preserve">$2,308,690 </w:t>
            </w:r>
          </w:p>
        </w:tc>
      </w:tr>
      <w:tr w:rsidRPr="003B0F56" w:rsidR="00904212" w:rsidTr="004168A3" w14:paraId="4EDD9CC0" w14:textId="77777777">
        <w:trPr>
          <w:trHeight w:val="330"/>
        </w:trPr>
        <w:tc>
          <w:tcPr>
            <w:tcW w:w="2323" w:type="dxa"/>
            <w:tcBorders>
              <w:top w:val="nil"/>
              <w:left w:val="single" w:color="auto" w:sz="8" w:space="0"/>
              <w:bottom w:val="single" w:color="auto" w:sz="8" w:space="0"/>
              <w:right w:val="single" w:color="auto" w:sz="8" w:space="0"/>
            </w:tcBorders>
            <w:shd w:val="clear" w:color="auto" w:fill="auto"/>
            <w:hideMark/>
          </w:tcPr>
          <w:p w:rsidRPr="003B0F56" w:rsidR="00904212" w:rsidP="00904212" w:rsidRDefault="00904212" w14:paraId="042A7A48" w14:textId="77777777">
            <w:r w:rsidRPr="003B0F56">
              <w:t>TOTAL</w:t>
            </w:r>
          </w:p>
        </w:tc>
        <w:tc>
          <w:tcPr>
            <w:tcW w:w="2256" w:type="dxa"/>
            <w:tcBorders>
              <w:top w:val="nil"/>
              <w:left w:val="nil"/>
              <w:bottom w:val="single" w:color="auto" w:sz="8" w:space="0"/>
              <w:right w:val="single" w:color="auto" w:sz="8" w:space="0"/>
            </w:tcBorders>
            <w:shd w:val="clear" w:color="auto" w:fill="auto"/>
            <w:hideMark/>
          </w:tcPr>
          <w:p w:rsidRPr="003B0F56" w:rsidR="00904212" w:rsidP="00904212" w:rsidRDefault="00904212" w14:paraId="6CA1D0D4" w14:textId="7E30074B">
            <w:pPr>
              <w:jc w:val="right"/>
            </w:pPr>
          </w:p>
        </w:tc>
        <w:tc>
          <w:tcPr>
            <w:tcW w:w="2758" w:type="dxa"/>
            <w:tcBorders>
              <w:top w:val="nil"/>
              <w:left w:val="nil"/>
              <w:bottom w:val="single" w:color="auto" w:sz="8" w:space="0"/>
              <w:right w:val="single" w:color="auto" w:sz="8" w:space="0"/>
            </w:tcBorders>
            <w:shd w:val="clear" w:color="auto" w:fill="auto"/>
            <w:hideMark/>
          </w:tcPr>
          <w:p w:rsidRPr="003B0F56" w:rsidR="00904212" w:rsidP="00904212" w:rsidRDefault="00904212" w14:paraId="16D54975" w14:textId="1394B8CB">
            <w:pPr>
              <w:jc w:val="right"/>
            </w:pPr>
          </w:p>
        </w:tc>
        <w:tc>
          <w:tcPr>
            <w:tcW w:w="2063" w:type="dxa"/>
            <w:tcBorders>
              <w:top w:val="nil"/>
              <w:left w:val="nil"/>
              <w:bottom w:val="single" w:color="auto" w:sz="8" w:space="0"/>
              <w:right w:val="single" w:color="auto" w:sz="8" w:space="0"/>
            </w:tcBorders>
            <w:shd w:val="clear" w:color="auto" w:fill="auto"/>
            <w:hideMark/>
          </w:tcPr>
          <w:p w:rsidRPr="003B0F56" w:rsidR="00904212" w:rsidP="00904212" w:rsidRDefault="00904212" w14:paraId="0F6FCB79" w14:textId="4B81F0A1">
            <w:pPr>
              <w:jc w:val="right"/>
            </w:pPr>
            <w:r w:rsidRPr="00625E4A">
              <w:t xml:space="preserve">$4,089,985 </w:t>
            </w:r>
          </w:p>
        </w:tc>
      </w:tr>
    </w:tbl>
    <w:p w:rsidRPr="003B0F56" w:rsidR="00D12B46" w:rsidP="00530837" w:rsidRDefault="00D12B46" w14:paraId="26D349A5" w14:textId="77777777">
      <w:pPr>
        <w:ind w:left="720"/>
        <w:rPr>
          <w:color w:val="000000"/>
        </w:rPr>
      </w:pPr>
    </w:p>
    <w:p w:rsidRPr="003B0F56" w:rsidR="006962D3" w:rsidP="00530837" w:rsidRDefault="006962D3" w14:paraId="12BCF4E5" w14:textId="54D2B102">
      <w:pPr>
        <w:ind w:left="720"/>
        <w:rPr>
          <w:color w:val="000000"/>
        </w:rPr>
      </w:pPr>
      <w:r w:rsidRPr="003B0F56">
        <w:rPr>
          <w:color w:val="000000"/>
        </w:rPr>
        <w:t xml:space="preserve">When the costs of the IRA computer disclosure program generation and distribution of disclosure packages are added together, the statutory exemption has an </w:t>
      </w:r>
      <w:r w:rsidRPr="003B0F56" w:rsidR="002D68D3">
        <w:rPr>
          <w:color w:val="000000"/>
        </w:rPr>
        <w:t xml:space="preserve">annual </w:t>
      </w:r>
      <w:r w:rsidRPr="003B0F56">
        <w:rPr>
          <w:color w:val="000000"/>
        </w:rPr>
        <w:t>cost burden of $</w:t>
      </w:r>
      <w:r w:rsidRPr="009E50BD" w:rsidR="009E50BD">
        <w:rPr>
          <w:color w:val="000000"/>
        </w:rPr>
        <w:t>11,220,816</w:t>
      </w:r>
      <w:r w:rsidRPr="003B0F56">
        <w:rPr>
          <w:color w:val="000000"/>
        </w:rPr>
        <w:t>.</w:t>
      </w:r>
    </w:p>
    <w:p w:rsidRPr="003B0F56" w:rsidR="000D0535" w:rsidP="00530837" w:rsidRDefault="000D0535" w14:paraId="760BA046" w14:textId="77777777">
      <w:pPr>
        <w:ind w:left="720"/>
        <w:rPr>
          <w:color w:val="000000"/>
        </w:rPr>
      </w:pPr>
    </w:p>
    <w:tbl>
      <w:tblPr>
        <w:tblW w:w="5000" w:type="dxa"/>
        <w:tblInd w:w="720" w:type="dxa"/>
        <w:tblLook w:val="04A0" w:firstRow="1" w:lastRow="0" w:firstColumn="1" w:lastColumn="0" w:noHBand="0" w:noVBand="1"/>
      </w:tblPr>
      <w:tblGrid>
        <w:gridCol w:w="2800"/>
        <w:gridCol w:w="2200"/>
      </w:tblGrid>
      <w:tr w:rsidRPr="003B0F56" w:rsidR="000D0535" w:rsidTr="00530837" w14:paraId="1048E689" w14:textId="77777777">
        <w:trPr>
          <w:trHeight w:val="330"/>
        </w:trPr>
        <w:tc>
          <w:tcPr>
            <w:tcW w:w="5000" w:type="dxa"/>
            <w:gridSpan w:val="2"/>
            <w:tcBorders>
              <w:top w:val="nil"/>
              <w:left w:val="nil"/>
              <w:bottom w:val="nil"/>
              <w:right w:val="nil"/>
            </w:tcBorders>
            <w:shd w:val="clear" w:color="auto" w:fill="auto"/>
            <w:vAlign w:val="bottom"/>
            <w:hideMark/>
          </w:tcPr>
          <w:p w:rsidRPr="003B0F56" w:rsidR="000D0535" w:rsidRDefault="000D0535" w14:paraId="37108847" w14:textId="77777777">
            <w:r w:rsidRPr="003B0F56">
              <w:t>Table 10.--Summary of Disclosures Cost Burden</w:t>
            </w:r>
          </w:p>
        </w:tc>
      </w:tr>
      <w:tr w:rsidRPr="003B0F56" w:rsidR="000D0535" w:rsidTr="00F90B3D" w14:paraId="1F1A0A33" w14:textId="77777777">
        <w:trPr>
          <w:trHeight w:val="457"/>
        </w:trPr>
        <w:tc>
          <w:tcPr>
            <w:tcW w:w="2800" w:type="dxa"/>
            <w:tcBorders>
              <w:top w:val="single" w:color="auto" w:sz="8" w:space="0"/>
              <w:left w:val="single" w:color="auto" w:sz="8" w:space="0"/>
              <w:bottom w:val="single" w:color="auto" w:sz="8" w:space="0"/>
              <w:right w:val="single" w:color="auto" w:sz="8" w:space="0"/>
            </w:tcBorders>
            <w:shd w:val="clear" w:color="auto" w:fill="auto"/>
            <w:hideMark/>
          </w:tcPr>
          <w:p w:rsidRPr="003B0F56" w:rsidR="000D0535" w:rsidRDefault="000D0535" w14:paraId="57C0C7F8" w14:textId="77777777">
            <w:pPr>
              <w:jc w:val="center"/>
              <w:rPr>
                <w:b/>
                <w:bCs/>
              </w:rPr>
            </w:pPr>
            <w:r w:rsidRPr="003B0F56">
              <w:rPr>
                <w:b/>
                <w:bCs/>
              </w:rPr>
              <w:t> </w:t>
            </w:r>
          </w:p>
        </w:tc>
        <w:tc>
          <w:tcPr>
            <w:tcW w:w="2200" w:type="dxa"/>
            <w:tcBorders>
              <w:top w:val="single" w:color="auto" w:sz="8" w:space="0"/>
              <w:left w:val="nil"/>
              <w:bottom w:val="single" w:color="auto" w:sz="8" w:space="0"/>
              <w:right w:val="single" w:color="auto" w:sz="8" w:space="0"/>
            </w:tcBorders>
            <w:shd w:val="clear" w:color="auto" w:fill="auto"/>
            <w:hideMark/>
          </w:tcPr>
          <w:p w:rsidRPr="003B0F56" w:rsidR="000D0535" w:rsidRDefault="000D0535" w14:paraId="19C469C2" w14:textId="77777777">
            <w:pPr>
              <w:jc w:val="center"/>
              <w:rPr>
                <w:b/>
                <w:bCs/>
              </w:rPr>
            </w:pPr>
            <w:r w:rsidRPr="003B0F56">
              <w:rPr>
                <w:b/>
                <w:bCs/>
              </w:rPr>
              <w:t>Annual Cost Burden</w:t>
            </w:r>
          </w:p>
        </w:tc>
      </w:tr>
      <w:tr w:rsidRPr="003B0F56" w:rsidR="009E50BD" w:rsidTr="00530837" w14:paraId="27A816EC" w14:textId="77777777">
        <w:trPr>
          <w:trHeight w:val="330"/>
        </w:trPr>
        <w:tc>
          <w:tcPr>
            <w:tcW w:w="2800" w:type="dxa"/>
            <w:tcBorders>
              <w:top w:val="nil"/>
              <w:left w:val="single" w:color="auto" w:sz="8" w:space="0"/>
              <w:bottom w:val="single" w:color="auto" w:sz="8" w:space="0"/>
              <w:right w:val="single" w:color="auto" w:sz="8" w:space="0"/>
            </w:tcBorders>
            <w:shd w:val="clear" w:color="auto" w:fill="auto"/>
            <w:hideMark/>
          </w:tcPr>
          <w:p w:rsidRPr="003B0F56" w:rsidR="009E50BD" w:rsidP="009E50BD" w:rsidRDefault="009E50BD" w14:paraId="45060E62" w14:textId="77777777">
            <w:r w:rsidRPr="003B0F56">
              <w:t>IRA Computer Program</w:t>
            </w:r>
          </w:p>
        </w:tc>
        <w:tc>
          <w:tcPr>
            <w:tcW w:w="2200" w:type="dxa"/>
            <w:tcBorders>
              <w:top w:val="nil"/>
              <w:left w:val="nil"/>
              <w:bottom w:val="single" w:color="auto" w:sz="8" w:space="0"/>
              <w:right w:val="single" w:color="auto" w:sz="8" w:space="0"/>
            </w:tcBorders>
            <w:shd w:val="clear" w:color="auto" w:fill="auto"/>
            <w:hideMark/>
          </w:tcPr>
          <w:p w:rsidRPr="003B0F56" w:rsidR="009E50BD" w:rsidP="009E50BD" w:rsidRDefault="009E50BD" w14:paraId="1462A6DD" w14:textId="31DD6F39">
            <w:pPr>
              <w:jc w:val="right"/>
            </w:pPr>
            <w:r w:rsidRPr="00A17691">
              <w:t xml:space="preserve">$6,837,600 </w:t>
            </w:r>
          </w:p>
        </w:tc>
      </w:tr>
      <w:tr w:rsidRPr="003B0F56" w:rsidR="009E50BD" w:rsidTr="00530837" w14:paraId="41D23A8F" w14:textId="77777777">
        <w:trPr>
          <w:trHeight w:val="330"/>
        </w:trPr>
        <w:tc>
          <w:tcPr>
            <w:tcW w:w="2800" w:type="dxa"/>
            <w:tcBorders>
              <w:top w:val="nil"/>
              <w:left w:val="single" w:color="auto" w:sz="8" w:space="0"/>
              <w:bottom w:val="single" w:color="auto" w:sz="8" w:space="0"/>
              <w:right w:val="single" w:color="auto" w:sz="8" w:space="0"/>
            </w:tcBorders>
            <w:shd w:val="clear" w:color="auto" w:fill="auto"/>
            <w:hideMark/>
          </w:tcPr>
          <w:p w:rsidRPr="003B0F56" w:rsidR="009E50BD" w:rsidP="009E50BD" w:rsidRDefault="009E50BD" w14:paraId="76841CC5" w14:textId="77777777">
            <w:r w:rsidRPr="003B0F56">
              <w:t>Distribution</w:t>
            </w:r>
          </w:p>
        </w:tc>
        <w:tc>
          <w:tcPr>
            <w:tcW w:w="2200" w:type="dxa"/>
            <w:tcBorders>
              <w:top w:val="nil"/>
              <w:left w:val="nil"/>
              <w:bottom w:val="single" w:color="auto" w:sz="8" w:space="0"/>
              <w:right w:val="single" w:color="auto" w:sz="8" w:space="0"/>
            </w:tcBorders>
            <w:shd w:val="clear" w:color="auto" w:fill="auto"/>
            <w:hideMark/>
          </w:tcPr>
          <w:p w:rsidRPr="003B0F56" w:rsidR="009E50BD" w:rsidP="009E50BD" w:rsidRDefault="009E50BD" w14:paraId="4550A4E2" w14:textId="17009ADA">
            <w:pPr>
              <w:jc w:val="right"/>
            </w:pPr>
            <w:r w:rsidRPr="00A17691">
              <w:t xml:space="preserve">$4,383,216 </w:t>
            </w:r>
          </w:p>
        </w:tc>
      </w:tr>
      <w:tr w:rsidRPr="003B0F56" w:rsidR="009E50BD" w:rsidTr="00530837" w14:paraId="51175044" w14:textId="77777777">
        <w:trPr>
          <w:trHeight w:val="330"/>
        </w:trPr>
        <w:tc>
          <w:tcPr>
            <w:tcW w:w="2800" w:type="dxa"/>
            <w:tcBorders>
              <w:top w:val="nil"/>
              <w:left w:val="single" w:color="auto" w:sz="8" w:space="0"/>
              <w:bottom w:val="single" w:color="auto" w:sz="8" w:space="0"/>
              <w:right w:val="single" w:color="auto" w:sz="8" w:space="0"/>
            </w:tcBorders>
            <w:shd w:val="clear" w:color="auto" w:fill="auto"/>
            <w:hideMark/>
          </w:tcPr>
          <w:p w:rsidRPr="003B0F56" w:rsidR="009E50BD" w:rsidP="009E50BD" w:rsidRDefault="009E50BD" w14:paraId="391D4C3A" w14:textId="77777777">
            <w:r w:rsidRPr="003B0F56">
              <w:t>TOTAL</w:t>
            </w:r>
          </w:p>
        </w:tc>
        <w:tc>
          <w:tcPr>
            <w:tcW w:w="2200" w:type="dxa"/>
            <w:tcBorders>
              <w:top w:val="nil"/>
              <w:left w:val="nil"/>
              <w:bottom w:val="single" w:color="auto" w:sz="8" w:space="0"/>
              <w:right w:val="single" w:color="auto" w:sz="8" w:space="0"/>
            </w:tcBorders>
            <w:shd w:val="clear" w:color="auto" w:fill="auto"/>
            <w:hideMark/>
          </w:tcPr>
          <w:p w:rsidRPr="003B0F56" w:rsidR="009E50BD" w:rsidP="009E50BD" w:rsidRDefault="009E50BD" w14:paraId="34022377" w14:textId="0D415911">
            <w:pPr>
              <w:jc w:val="right"/>
            </w:pPr>
            <w:r w:rsidRPr="00A17691">
              <w:t xml:space="preserve">$11,220,816 </w:t>
            </w:r>
          </w:p>
        </w:tc>
      </w:tr>
    </w:tbl>
    <w:p w:rsidRPr="003B0F56" w:rsidR="006962D3" w:rsidP="002D4FB5" w:rsidRDefault="006962D3" w14:paraId="066F17D9" w14:textId="77777777">
      <w:pPr>
        <w:rPr>
          <w:color w:val="000000"/>
        </w:rPr>
      </w:pPr>
    </w:p>
    <w:p w:rsidRPr="003B0F56" w:rsidR="006962D3" w:rsidP="00530837" w:rsidRDefault="00530837" w14:paraId="6EF29CD2" w14:textId="77777777">
      <w:pPr>
        <w:ind w:left="1440" w:hanging="720"/>
        <w:outlineLvl w:val="0"/>
        <w:rPr>
          <w:b/>
          <w:color w:val="000000"/>
          <w:u w:val="single"/>
        </w:rPr>
      </w:pPr>
      <w:r w:rsidRPr="00530837">
        <w:rPr>
          <w:b/>
          <w:color w:val="000000"/>
        </w:rPr>
        <w:t>b.</w:t>
      </w:r>
      <w:r w:rsidRPr="00530837">
        <w:rPr>
          <w:b/>
          <w:color w:val="000000"/>
        </w:rPr>
        <w:tab/>
      </w:r>
      <w:r w:rsidRPr="003B0F56" w:rsidR="006962D3">
        <w:rPr>
          <w:b/>
          <w:color w:val="000000"/>
          <w:u w:val="single"/>
        </w:rPr>
        <w:t>Computer Model Certification</w:t>
      </w:r>
    </w:p>
    <w:p w:rsidRPr="003B0F56" w:rsidR="006962D3" w:rsidP="00530837" w:rsidRDefault="006962D3" w14:paraId="6C771EF2" w14:textId="77777777">
      <w:pPr>
        <w:ind w:left="720"/>
        <w:rPr>
          <w:color w:val="000000"/>
        </w:rPr>
      </w:pPr>
    </w:p>
    <w:p w:rsidRPr="003B0F56" w:rsidR="006962D3" w:rsidP="009A2EA5" w:rsidRDefault="006962D3" w14:paraId="30EB1117" w14:textId="4C979612">
      <w:pPr>
        <w:tabs>
          <w:tab w:val="left" w:pos="7470"/>
        </w:tabs>
        <w:ind w:left="720"/>
        <w:rPr>
          <w:color w:val="000000"/>
        </w:rPr>
      </w:pPr>
      <w:r w:rsidRPr="003B0F56">
        <w:rPr>
          <w:color w:val="000000"/>
        </w:rPr>
        <w:t>As discussed in the response to Question 12.</w:t>
      </w:r>
      <w:r w:rsidRPr="003B0F56" w:rsidR="002B3D57">
        <w:rPr>
          <w:color w:val="000000"/>
        </w:rPr>
        <w:t>c</w:t>
      </w:r>
      <w:r w:rsidRPr="003B0F56" w:rsidR="002464FB">
        <w:rPr>
          <w:color w:val="000000"/>
        </w:rPr>
        <w:t>.,</w:t>
      </w:r>
      <w:r w:rsidRPr="003B0F56">
        <w:rPr>
          <w:color w:val="000000"/>
        </w:rPr>
        <w:t xml:space="preserve"> above, the Department assumes that all firms will outsource the </w:t>
      </w:r>
      <w:r w:rsidRPr="003B0F56" w:rsidR="00517D4D">
        <w:rPr>
          <w:color w:val="000000"/>
        </w:rPr>
        <w:t>annual re-</w:t>
      </w:r>
      <w:r w:rsidRPr="003B0F56">
        <w:rPr>
          <w:color w:val="000000"/>
        </w:rPr>
        <w:t xml:space="preserve">certification of the financial investment advice computer model to an independent expert.  The Department estimates that the independent expert will charge on average $9,000 per financial investment advice firm </w:t>
      </w:r>
      <w:r w:rsidRPr="003B0F56">
        <w:rPr>
          <w:color w:val="000000"/>
        </w:rPr>
        <w:lastRenderedPageBreak/>
        <w:t>each year</w:t>
      </w:r>
      <w:r w:rsidRPr="003B0F56" w:rsidR="00926B9D">
        <w:rPr>
          <w:color w:val="000000"/>
        </w:rPr>
        <w:t>;</w:t>
      </w:r>
      <w:r w:rsidRPr="003B0F56">
        <w:rPr>
          <w:rStyle w:val="FootnoteReference"/>
          <w:color w:val="000000"/>
        </w:rPr>
        <w:footnoteReference w:id="6"/>
      </w:r>
      <w:r w:rsidRPr="003B0F56">
        <w:rPr>
          <w:color w:val="000000"/>
        </w:rPr>
        <w:t xml:space="preserve"> thus the cost burden, given there are </w:t>
      </w:r>
      <w:r w:rsidRPr="00112CEA" w:rsidR="00112CEA">
        <w:rPr>
          <w:color w:val="000000"/>
        </w:rPr>
        <w:t>11,396</w:t>
      </w:r>
      <w:r w:rsidR="00112CEA">
        <w:rPr>
          <w:color w:val="000000"/>
        </w:rPr>
        <w:t xml:space="preserve"> </w:t>
      </w:r>
      <w:r w:rsidRPr="003B0F56">
        <w:rPr>
          <w:color w:val="000000"/>
        </w:rPr>
        <w:t>investment advisory firms, will be $</w:t>
      </w:r>
      <w:r w:rsidRPr="00B00DF2" w:rsidR="00B00DF2">
        <w:rPr>
          <w:color w:val="000000"/>
        </w:rPr>
        <w:t xml:space="preserve">102,564,000 </w:t>
      </w:r>
      <w:r w:rsidRPr="003B0F56" w:rsidR="00CD1371">
        <w:rPr>
          <w:color w:val="000000"/>
        </w:rPr>
        <w:t>each</w:t>
      </w:r>
      <w:r w:rsidRPr="003B0F56">
        <w:rPr>
          <w:color w:val="000000"/>
        </w:rPr>
        <w:t xml:space="preserve"> year.</w:t>
      </w:r>
    </w:p>
    <w:p w:rsidRPr="003B0F56" w:rsidR="00F106C9" w:rsidP="009A2EA5" w:rsidRDefault="00F106C9" w14:paraId="44FB7DD7" w14:textId="77777777">
      <w:pPr>
        <w:tabs>
          <w:tab w:val="left" w:pos="7470"/>
        </w:tabs>
        <w:ind w:left="720"/>
        <w:rPr>
          <w:color w:val="000000"/>
        </w:rPr>
      </w:pPr>
    </w:p>
    <w:tbl>
      <w:tblPr>
        <w:tblW w:w="7180" w:type="dxa"/>
        <w:tblInd w:w="720" w:type="dxa"/>
        <w:tblLook w:val="04A0" w:firstRow="1" w:lastRow="0" w:firstColumn="1" w:lastColumn="0" w:noHBand="0" w:noVBand="1"/>
      </w:tblPr>
      <w:tblGrid>
        <w:gridCol w:w="1840"/>
        <w:gridCol w:w="2920"/>
        <w:gridCol w:w="2420"/>
      </w:tblGrid>
      <w:tr w:rsidRPr="003B0F56" w:rsidR="00F106C9" w:rsidTr="00530837" w14:paraId="431C445A" w14:textId="77777777">
        <w:trPr>
          <w:trHeight w:val="330"/>
        </w:trPr>
        <w:tc>
          <w:tcPr>
            <w:tcW w:w="7180" w:type="dxa"/>
            <w:gridSpan w:val="3"/>
            <w:tcBorders>
              <w:top w:val="nil"/>
              <w:left w:val="nil"/>
              <w:bottom w:val="nil"/>
              <w:right w:val="nil"/>
            </w:tcBorders>
            <w:shd w:val="clear" w:color="auto" w:fill="auto"/>
            <w:vAlign w:val="bottom"/>
            <w:hideMark/>
          </w:tcPr>
          <w:p w:rsidRPr="003B0F56" w:rsidR="00F106C9" w:rsidP="009A2EA5" w:rsidRDefault="00F106C9" w14:paraId="7F177CD0" w14:textId="77777777">
            <w:pPr>
              <w:tabs>
                <w:tab w:val="left" w:pos="7470"/>
              </w:tabs>
            </w:pPr>
            <w:r w:rsidRPr="003B0F56">
              <w:t>Table 11.--Investment Advice Computer Model Certification Cost Estimates</w:t>
            </w:r>
          </w:p>
        </w:tc>
      </w:tr>
      <w:tr w:rsidRPr="003B0F56" w:rsidR="00F106C9" w:rsidTr="00530837" w14:paraId="5C2757E8" w14:textId="77777777">
        <w:trPr>
          <w:trHeight w:val="330"/>
        </w:trPr>
        <w:tc>
          <w:tcPr>
            <w:tcW w:w="1840" w:type="dxa"/>
            <w:tcBorders>
              <w:top w:val="single" w:color="auto" w:sz="8" w:space="0"/>
              <w:left w:val="single" w:color="auto" w:sz="8" w:space="0"/>
              <w:bottom w:val="single" w:color="auto" w:sz="8" w:space="0"/>
              <w:right w:val="single" w:color="auto" w:sz="8" w:space="0"/>
            </w:tcBorders>
            <w:shd w:val="clear" w:color="auto" w:fill="auto"/>
            <w:hideMark/>
          </w:tcPr>
          <w:p w:rsidRPr="003B0F56" w:rsidR="00F106C9" w:rsidP="009A2EA5" w:rsidRDefault="00F106C9" w14:paraId="2E771639" w14:textId="77777777">
            <w:pPr>
              <w:tabs>
                <w:tab w:val="left" w:pos="7470"/>
              </w:tabs>
              <w:jc w:val="center"/>
              <w:rPr>
                <w:b/>
                <w:bCs/>
              </w:rPr>
            </w:pPr>
            <w:r w:rsidRPr="003B0F56">
              <w:rPr>
                <w:b/>
                <w:bCs/>
              </w:rPr>
              <w:t>Advice Firms</w:t>
            </w:r>
          </w:p>
        </w:tc>
        <w:tc>
          <w:tcPr>
            <w:tcW w:w="2920" w:type="dxa"/>
            <w:tcBorders>
              <w:top w:val="single" w:color="auto" w:sz="8" w:space="0"/>
              <w:left w:val="nil"/>
              <w:bottom w:val="single" w:color="auto" w:sz="8" w:space="0"/>
              <w:right w:val="single" w:color="auto" w:sz="8" w:space="0"/>
            </w:tcBorders>
            <w:shd w:val="clear" w:color="auto" w:fill="auto"/>
            <w:hideMark/>
          </w:tcPr>
          <w:p w:rsidRPr="003B0F56" w:rsidR="00F106C9" w:rsidP="009A2EA5" w:rsidRDefault="00F106C9" w14:paraId="299C6745" w14:textId="77777777">
            <w:pPr>
              <w:tabs>
                <w:tab w:val="left" w:pos="7470"/>
              </w:tabs>
              <w:jc w:val="center"/>
              <w:rPr>
                <w:b/>
                <w:bCs/>
              </w:rPr>
            </w:pPr>
            <w:r w:rsidRPr="003B0F56">
              <w:rPr>
                <w:b/>
                <w:bCs/>
              </w:rPr>
              <w:t>Cost per Advice Firm</w:t>
            </w:r>
          </w:p>
        </w:tc>
        <w:tc>
          <w:tcPr>
            <w:tcW w:w="2420" w:type="dxa"/>
            <w:tcBorders>
              <w:top w:val="single" w:color="auto" w:sz="8" w:space="0"/>
              <w:left w:val="nil"/>
              <w:bottom w:val="single" w:color="auto" w:sz="8" w:space="0"/>
              <w:right w:val="single" w:color="auto" w:sz="8" w:space="0"/>
            </w:tcBorders>
            <w:shd w:val="clear" w:color="auto" w:fill="auto"/>
            <w:hideMark/>
          </w:tcPr>
          <w:p w:rsidRPr="003B0F56" w:rsidR="00F106C9" w:rsidP="009A2EA5" w:rsidRDefault="00F106C9" w14:paraId="70327E62" w14:textId="77777777">
            <w:pPr>
              <w:tabs>
                <w:tab w:val="left" w:pos="7470"/>
              </w:tabs>
              <w:jc w:val="center"/>
              <w:rPr>
                <w:b/>
                <w:bCs/>
              </w:rPr>
            </w:pPr>
            <w:r w:rsidRPr="003B0F56">
              <w:rPr>
                <w:b/>
                <w:bCs/>
              </w:rPr>
              <w:t>Annual Cost Burden</w:t>
            </w:r>
          </w:p>
        </w:tc>
      </w:tr>
      <w:tr w:rsidRPr="003B0F56" w:rsidR="00112CEA" w:rsidTr="00F90B3D" w14:paraId="59077163" w14:textId="77777777">
        <w:trPr>
          <w:trHeight w:val="330"/>
        </w:trPr>
        <w:tc>
          <w:tcPr>
            <w:tcW w:w="1840" w:type="dxa"/>
            <w:tcBorders>
              <w:top w:val="nil"/>
              <w:left w:val="single" w:color="auto" w:sz="8" w:space="0"/>
              <w:bottom w:val="single" w:color="auto" w:sz="8" w:space="0"/>
              <w:right w:val="single" w:color="auto" w:sz="8" w:space="0"/>
            </w:tcBorders>
            <w:shd w:val="clear" w:color="auto" w:fill="auto"/>
            <w:hideMark/>
          </w:tcPr>
          <w:p w:rsidRPr="003B0F56" w:rsidR="00112CEA" w:rsidP="00112CEA" w:rsidRDefault="00112CEA" w14:paraId="6C64451B" w14:textId="6E6513BE">
            <w:pPr>
              <w:tabs>
                <w:tab w:val="left" w:pos="7470"/>
              </w:tabs>
              <w:jc w:val="right"/>
            </w:pPr>
            <w:r w:rsidRPr="00E23E9C">
              <w:t>11,396</w:t>
            </w:r>
          </w:p>
        </w:tc>
        <w:tc>
          <w:tcPr>
            <w:tcW w:w="2920" w:type="dxa"/>
            <w:tcBorders>
              <w:top w:val="nil"/>
              <w:left w:val="nil"/>
              <w:bottom w:val="single" w:color="auto" w:sz="8" w:space="0"/>
              <w:right w:val="single" w:color="auto" w:sz="8" w:space="0"/>
            </w:tcBorders>
            <w:shd w:val="clear" w:color="auto" w:fill="auto"/>
            <w:hideMark/>
          </w:tcPr>
          <w:p w:rsidRPr="003B0F56" w:rsidR="00112CEA" w:rsidP="00112CEA" w:rsidRDefault="00112CEA" w14:paraId="5DBC173D" w14:textId="36B34CBF">
            <w:pPr>
              <w:tabs>
                <w:tab w:val="left" w:pos="7470"/>
              </w:tabs>
              <w:jc w:val="right"/>
            </w:pPr>
            <w:r w:rsidRPr="00E23E9C">
              <w:t xml:space="preserve">$9,000 </w:t>
            </w:r>
          </w:p>
        </w:tc>
        <w:tc>
          <w:tcPr>
            <w:tcW w:w="2420" w:type="dxa"/>
            <w:tcBorders>
              <w:top w:val="nil"/>
              <w:left w:val="nil"/>
              <w:bottom w:val="single" w:color="auto" w:sz="8" w:space="0"/>
              <w:right w:val="single" w:color="auto" w:sz="8" w:space="0"/>
            </w:tcBorders>
            <w:shd w:val="clear" w:color="auto" w:fill="auto"/>
            <w:hideMark/>
          </w:tcPr>
          <w:p w:rsidRPr="003B0F56" w:rsidR="00112CEA" w:rsidP="00112CEA" w:rsidRDefault="00112CEA" w14:paraId="13D477DF" w14:textId="17940472">
            <w:pPr>
              <w:tabs>
                <w:tab w:val="left" w:pos="7470"/>
              </w:tabs>
              <w:jc w:val="right"/>
            </w:pPr>
            <w:r w:rsidRPr="00E23E9C">
              <w:t xml:space="preserve">$102,564,000 </w:t>
            </w:r>
          </w:p>
        </w:tc>
      </w:tr>
    </w:tbl>
    <w:p w:rsidRPr="003B0F56" w:rsidR="00F106C9" w:rsidP="009A2EA5" w:rsidRDefault="00F106C9" w14:paraId="0D95D8D5" w14:textId="77777777">
      <w:pPr>
        <w:tabs>
          <w:tab w:val="left" w:pos="7470"/>
        </w:tabs>
        <w:ind w:left="720"/>
        <w:rPr>
          <w:color w:val="000000"/>
        </w:rPr>
      </w:pPr>
    </w:p>
    <w:p w:rsidRPr="003B0F56" w:rsidR="006962D3" w:rsidP="009A2EA5" w:rsidRDefault="002B3D57" w14:paraId="48AC0C24" w14:textId="77777777">
      <w:pPr>
        <w:tabs>
          <w:tab w:val="left" w:pos="7470"/>
        </w:tabs>
        <w:ind w:left="1440" w:hanging="720"/>
        <w:outlineLvl w:val="0"/>
        <w:rPr>
          <w:color w:val="000000"/>
        </w:rPr>
      </w:pPr>
      <w:r w:rsidRPr="00530837">
        <w:rPr>
          <w:b/>
          <w:color w:val="000000"/>
        </w:rPr>
        <w:t>c</w:t>
      </w:r>
      <w:r w:rsidRPr="00530837" w:rsidR="00530837">
        <w:rPr>
          <w:b/>
          <w:color w:val="000000"/>
        </w:rPr>
        <w:t>.</w:t>
      </w:r>
      <w:r w:rsidRPr="00530837" w:rsidR="00530837">
        <w:rPr>
          <w:b/>
          <w:color w:val="000000"/>
        </w:rPr>
        <w:tab/>
      </w:r>
      <w:r w:rsidRPr="003B0F56" w:rsidR="006962D3">
        <w:rPr>
          <w:b/>
          <w:color w:val="000000"/>
          <w:u w:val="single"/>
        </w:rPr>
        <w:t>Audit Requirements</w:t>
      </w:r>
    </w:p>
    <w:p w:rsidRPr="003B0F56" w:rsidR="006962D3" w:rsidP="00530837" w:rsidRDefault="006962D3" w14:paraId="0B5A93BA" w14:textId="77777777">
      <w:pPr>
        <w:ind w:left="720"/>
        <w:rPr>
          <w:color w:val="000000"/>
        </w:rPr>
      </w:pPr>
    </w:p>
    <w:p w:rsidRPr="003B0F56" w:rsidR="006962D3" w:rsidP="00530837" w:rsidRDefault="006962D3" w14:paraId="2CE20776" w14:textId="49F5FB30">
      <w:pPr>
        <w:ind w:left="720"/>
        <w:rPr>
          <w:color w:val="000000"/>
        </w:rPr>
      </w:pPr>
      <w:r w:rsidRPr="003B0F56">
        <w:rPr>
          <w:color w:val="000000"/>
        </w:rPr>
        <w:t>As discussed in the response to Question 12.e.</w:t>
      </w:r>
      <w:r w:rsidRPr="003B0F56" w:rsidR="002464FB">
        <w:rPr>
          <w:color w:val="000000"/>
        </w:rPr>
        <w:t>,</w:t>
      </w:r>
      <w:r w:rsidRPr="003B0F56">
        <w:rPr>
          <w:color w:val="000000"/>
        </w:rPr>
        <w:t xml:space="preserve"> above, all investment advisory firms are required have an independent audit every year.  The Department assumes that the statutory exemption audits will be performed by a legal professional for each of the </w:t>
      </w:r>
      <w:r w:rsidR="00112CEA">
        <w:rPr>
          <w:color w:val="000000"/>
        </w:rPr>
        <w:t xml:space="preserve">11,396 </w:t>
      </w:r>
      <w:r w:rsidRPr="003B0F56">
        <w:rPr>
          <w:color w:val="000000"/>
        </w:rPr>
        <w:t xml:space="preserve">investment advisory firms and </w:t>
      </w:r>
      <w:r w:rsidRPr="003B0F56" w:rsidR="0087375C">
        <w:rPr>
          <w:color w:val="000000"/>
        </w:rPr>
        <w:t xml:space="preserve">will </w:t>
      </w:r>
      <w:r w:rsidRPr="003B0F56">
        <w:rPr>
          <w:color w:val="000000"/>
        </w:rPr>
        <w:t>cost on average $18,000 for each investment advisory firm</w:t>
      </w:r>
      <w:r w:rsidRPr="003B0F56" w:rsidR="009434E4">
        <w:rPr>
          <w:color w:val="000000"/>
        </w:rPr>
        <w:t>, which includes any costs necessary to notify the Department of non-compliance</w:t>
      </w:r>
      <w:r w:rsidRPr="003B0F56">
        <w:rPr>
          <w:color w:val="000000"/>
        </w:rPr>
        <w:t>.</w:t>
      </w:r>
      <w:r w:rsidRPr="003B0F56">
        <w:rPr>
          <w:rStyle w:val="FootnoteReference"/>
          <w:color w:val="000000"/>
        </w:rPr>
        <w:footnoteReference w:id="7"/>
      </w:r>
      <w:r w:rsidRPr="003B0F56">
        <w:rPr>
          <w:color w:val="000000"/>
        </w:rPr>
        <w:t xml:space="preserve">  Thus</w:t>
      </w:r>
      <w:r w:rsidRPr="003B0F56" w:rsidR="003F14DA">
        <w:rPr>
          <w:color w:val="000000"/>
        </w:rPr>
        <w:t>,</w:t>
      </w:r>
      <w:r w:rsidRPr="003B0F56">
        <w:rPr>
          <w:color w:val="000000"/>
        </w:rPr>
        <w:t xml:space="preserve"> the annual cost burden will be $</w:t>
      </w:r>
      <w:r w:rsidRPr="00BB1E1B" w:rsidR="00BB1E1B">
        <w:rPr>
          <w:color w:val="000000"/>
        </w:rPr>
        <w:t>205,128,000</w:t>
      </w:r>
      <w:r w:rsidRPr="003B0F56">
        <w:rPr>
          <w:color w:val="000000"/>
        </w:rPr>
        <w:t>.</w:t>
      </w:r>
    </w:p>
    <w:p w:rsidRPr="003B0F56" w:rsidR="00F106C9" w:rsidP="00530837" w:rsidRDefault="00F106C9" w14:paraId="7644F8E1" w14:textId="77777777">
      <w:pPr>
        <w:ind w:left="720"/>
        <w:rPr>
          <w:color w:val="000000"/>
        </w:rPr>
      </w:pPr>
    </w:p>
    <w:tbl>
      <w:tblPr>
        <w:tblW w:w="7200" w:type="dxa"/>
        <w:tblInd w:w="720" w:type="dxa"/>
        <w:tblLook w:val="04A0" w:firstRow="1" w:lastRow="0" w:firstColumn="1" w:lastColumn="0" w:noHBand="0" w:noVBand="1"/>
      </w:tblPr>
      <w:tblGrid>
        <w:gridCol w:w="2580"/>
        <w:gridCol w:w="2420"/>
        <w:gridCol w:w="2200"/>
      </w:tblGrid>
      <w:tr w:rsidRPr="003B0F56" w:rsidR="00F106C9" w:rsidTr="00CF6F61" w14:paraId="38309221" w14:textId="77777777">
        <w:trPr>
          <w:trHeight w:val="330"/>
        </w:trPr>
        <w:tc>
          <w:tcPr>
            <w:tcW w:w="7200" w:type="dxa"/>
            <w:gridSpan w:val="3"/>
            <w:tcBorders>
              <w:top w:val="nil"/>
              <w:left w:val="nil"/>
              <w:bottom w:val="nil"/>
              <w:right w:val="nil"/>
            </w:tcBorders>
            <w:shd w:val="clear" w:color="auto" w:fill="auto"/>
            <w:vAlign w:val="bottom"/>
            <w:hideMark/>
          </w:tcPr>
          <w:p w:rsidRPr="003B0F56" w:rsidR="00F106C9" w:rsidRDefault="00F106C9" w14:paraId="4F0CC6B9" w14:textId="77777777">
            <w:r w:rsidRPr="003B0F56">
              <w:t>Table 12.--Annual Audit Cost Burden Estimates</w:t>
            </w:r>
          </w:p>
        </w:tc>
      </w:tr>
      <w:tr w:rsidRPr="003B0F56" w:rsidR="00F106C9" w:rsidTr="00CF6F61" w14:paraId="32994DA0" w14:textId="77777777">
        <w:trPr>
          <w:trHeight w:val="330"/>
        </w:trPr>
        <w:tc>
          <w:tcPr>
            <w:tcW w:w="2580" w:type="dxa"/>
            <w:tcBorders>
              <w:top w:val="single" w:color="auto" w:sz="8" w:space="0"/>
              <w:left w:val="single" w:color="auto" w:sz="8" w:space="0"/>
              <w:bottom w:val="single" w:color="auto" w:sz="8" w:space="0"/>
              <w:right w:val="single" w:color="auto" w:sz="8" w:space="0"/>
            </w:tcBorders>
            <w:shd w:val="clear" w:color="auto" w:fill="auto"/>
            <w:hideMark/>
          </w:tcPr>
          <w:p w:rsidRPr="003B0F56" w:rsidR="00F106C9" w:rsidRDefault="00F106C9" w14:paraId="3A62DD8C" w14:textId="77777777">
            <w:pPr>
              <w:jc w:val="center"/>
              <w:rPr>
                <w:b/>
                <w:bCs/>
              </w:rPr>
            </w:pPr>
            <w:r w:rsidRPr="003B0F56">
              <w:rPr>
                <w:b/>
                <w:bCs/>
              </w:rPr>
              <w:t>Number of Advice Firms</w:t>
            </w:r>
          </w:p>
        </w:tc>
        <w:tc>
          <w:tcPr>
            <w:tcW w:w="2420" w:type="dxa"/>
            <w:tcBorders>
              <w:top w:val="single" w:color="auto" w:sz="8" w:space="0"/>
              <w:left w:val="nil"/>
              <w:bottom w:val="single" w:color="auto" w:sz="8" w:space="0"/>
              <w:right w:val="single" w:color="auto" w:sz="8" w:space="0"/>
            </w:tcBorders>
            <w:shd w:val="clear" w:color="auto" w:fill="auto"/>
            <w:hideMark/>
          </w:tcPr>
          <w:p w:rsidRPr="003B0F56" w:rsidR="00F106C9" w:rsidRDefault="00F106C9" w14:paraId="7DDA0A5D" w14:textId="77777777">
            <w:pPr>
              <w:jc w:val="center"/>
              <w:rPr>
                <w:b/>
                <w:bCs/>
              </w:rPr>
            </w:pPr>
            <w:r w:rsidRPr="003B0F56">
              <w:rPr>
                <w:b/>
                <w:bCs/>
              </w:rPr>
              <w:t>Cost per Advice Firm</w:t>
            </w:r>
          </w:p>
        </w:tc>
        <w:tc>
          <w:tcPr>
            <w:tcW w:w="2200" w:type="dxa"/>
            <w:tcBorders>
              <w:top w:val="single" w:color="auto" w:sz="8" w:space="0"/>
              <w:left w:val="nil"/>
              <w:bottom w:val="single" w:color="auto" w:sz="8" w:space="0"/>
              <w:right w:val="single" w:color="auto" w:sz="8" w:space="0"/>
            </w:tcBorders>
            <w:shd w:val="clear" w:color="auto" w:fill="auto"/>
            <w:hideMark/>
          </w:tcPr>
          <w:p w:rsidRPr="003B0F56" w:rsidR="00F106C9" w:rsidRDefault="00F106C9" w14:paraId="30CC8F11" w14:textId="77777777">
            <w:pPr>
              <w:jc w:val="center"/>
              <w:rPr>
                <w:b/>
                <w:bCs/>
              </w:rPr>
            </w:pPr>
            <w:r w:rsidRPr="003B0F56">
              <w:rPr>
                <w:b/>
                <w:bCs/>
              </w:rPr>
              <w:t>Annual Cost Burden</w:t>
            </w:r>
          </w:p>
        </w:tc>
      </w:tr>
      <w:tr w:rsidRPr="003B0F56" w:rsidR="002D0FA9" w:rsidTr="00CF6F61" w14:paraId="3556B6E1" w14:textId="77777777">
        <w:trPr>
          <w:trHeight w:val="330"/>
        </w:trPr>
        <w:tc>
          <w:tcPr>
            <w:tcW w:w="2580" w:type="dxa"/>
            <w:tcBorders>
              <w:top w:val="nil"/>
              <w:left w:val="single" w:color="auto" w:sz="8" w:space="0"/>
              <w:bottom w:val="single" w:color="auto" w:sz="8" w:space="0"/>
              <w:right w:val="single" w:color="auto" w:sz="8" w:space="0"/>
            </w:tcBorders>
            <w:shd w:val="clear" w:color="auto" w:fill="auto"/>
            <w:hideMark/>
          </w:tcPr>
          <w:p w:rsidRPr="003B0F56" w:rsidR="002D0FA9" w:rsidP="002D0FA9" w:rsidRDefault="002D0FA9" w14:paraId="3E43D3C8" w14:textId="7CB23780">
            <w:pPr>
              <w:jc w:val="right"/>
            </w:pPr>
            <w:r w:rsidRPr="00FC5D70">
              <w:t>11,396</w:t>
            </w:r>
          </w:p>
        </w:tc>
        <w:tc>
          <w:tcPr>
            <w:tcW w:w="2420" w:type="dxa"/>
            <w:tcBorders>
              <w:top w:val="nil"/>
              <w:left w:val="nil"/>
              <w:bottom w:val="single" w:color="auto" w:sz="8" w:space="0"/>
              <w:right w:val="single" w:color="auto" w:sz="8" w:space="0"/>
            </w:tcBorders>
            <w:shd w:val="clear" w:color="auto" w:fill="auto"/>
            <w:hideMark/>
          </w:tcPr>
          <w:p w:rsidRPr="003B0F56" w:rsidR="002D0FA9" w:rsidP="002D0FA9" w:rsidRDefault="002D0FA9" w14:paraId="4B2085A2" w14:textId="5C082C40">
            <w:pPr>
              <w:jc w:val="right"/>
            </w:pPr>
            <w:r w:rsidRPr="00FC5D70">
              <w:t xml:space="preserve">$18,000 </w:t>
            </w:r>
          </w:p>
        </w:tc>
        <w:tc>
          <w:tcPr>
            <w:tcW w:w="2200" w:type="dxa"/>
            <w:tcBorders>
              <w:top w:val="nil"/>
              <w:left w:val="nil"/>
              <w:bottom w:val="single" w:color="auto" w:sz="8" w:space="0"/>
              <w:right w:val="single" w:color="auto" w:sz="8" w:space="0"/>
            </w:tcBorders>
            <w:shd w:val="clear" w:color="auto" w:fill="auto"/>
            <w:hideMark/>
          </w:tcPr>
          <w:p w:rsidRPr="003B0F56" w:rsidR="002D0FA9" w:rsidP="002D0FA9" w:rsidRDefault="002D0FA9" w14:paraId="39B379DC" w14:textId="40966BBE">
            <w:pPr>
              <w:jc w:val="right"/>
            </w:pPr>
            <w:r w:rsidRPr="00FC5D70">
              <w:t xml:space="preserve">$205,128,000 </w:t>
            </w:r>
          </w:p>
        </w:tc>
      </w:tr>
    </w:tbl>
    <w:p w:rsidRPr="003B0F56" w:rsidR="006962D3" w:rsidP="00CF6F61" w:rsidRDefault="006962D3" w14:paraId="5AB293ED" w14:textId="77777777">
      <w:pPr>
        <w:ind w:left="720"/>
        <w:rPr>
          <w:color w:val="000000"/>
        </w:rPr>
      </w:pPr>
    </w:p>
    <w:p w:rsidRPr="00CF6F61" w:rsidR="006962D3" w:rsidP="00CF6F61" w:rsidRDefault="006962D3" w14:paraId="0FE1E229" w14:textId="77777777">
      <w:pPr>
        <w:ind w:left="720"/>
        <w:outlineLvl w:val="0"/>
        <w:rPr>
          <w:b/>
          <w:color w:val="000000"/>
        </w:rPr>
      </w:pPr>
      <w:r w:rsidRPr="00CF6F61">
        <w:rPr>
          <w:b/>
          <w:color w:val="000000"/>
        </w:rPr>
        <w:t>Summary of Statutory Exemption Cost Burden Estimates</w:t>
      </w:r>
    </w:p>
    <w:p w:rsidRPr="003B0F56" w:rsidR="006962D3" w:rsidP="00CF6F61" w:rsidRDefault="006962D3" w14:paraId="67AE0A6C" w14:textId="77777777">
      <w:pPr>
        <w:ind w:left="720"/>
        <w:rPr>
          <w:color w:val="000000"/>
        </w:rPr>
      </w:pPr>
    </w:p>
    <w:p w:rsidRPr="00DA10AD" w:rsidR="00FA3780" w:rsidP="00CF6F61" w:rsidRDefault="006962D3" w14:paraId="1AD2AEAC" w14:textId="0CA3DCB7">
      <w:pPr>
        <w:ind w:left="720"/>
        <w:rPr>
          <w:color w:val="000000"/>
        </w:rPr>
      </w:pPr>
      <w:r w:rsidRPr="00DA10AD">
        <w:rPr>
          <w:color w:val="000000"/>
        </w:rPr>
        <w:t>The Department estimates that the statutory exemption has a</w:t>
      </w:r>
      <w:r w:rsidRPr="00DA10AD" w:rsidR="00664FC6">
        <w:rPr>
          <w:color w:val="000000"/>
        </w:rPr>
        <w:t>n annual</w:t>
      </w:r>
      <w:r w:rsidRPr="00146B9F">
        <w:rPr>
          <w:color w:val="000000"/>
        </w:rPr>
        <w:t xml:space="preserve"> cost burden of $</w:t>
      </w:r>
      <w:r w:rsidRPr="00146B9F" w:rsidR="0034282D">
        <w:rPr>
          <w:color w:val="000000"/>
        </w:rPr>
        <w:t>318,912,816</w:t>
      </w:r>
      <w:r w:rsidRPr="00DA10AD">
        <w:rPr>
          <w:color w:val="000000"/>
        </w:rPr>
        <w:t>.</w:t>
      </w:r>
    </w:p>
    <w:p w:rsidRPr="00DA10AD" w:rsidR="00BD06D2" w:rsidP="00CF6F61" w:rsidRDefault="00BD06D2" w14:paraId="1F83C35E" w14:textId="77777777">
      <w:pPr>
        <w:ind w:left="720"/>
        <w:rPr>
          <w:color w:val="000000"/>
        </w:rPr>
      </w:pPr>
    </w:p>
    <w:tbl>
      <w:tblPr>
        <w:tblW w:w="5326" w:type="dxa"/>
        <w:tblInd w:w="720" w:type="dxa"/>
        <w:tblLook w:val="04A0" w:firstRow="1" w:lastRow="0" w:firstColumn="1" w:lastColumn="0" w:noHBand="0" w:noVBand="1"/>
      </w:tblPr>
      <w:tblGrid>
        <w:gridCol w:w="2747"/>
        <w:gridCol w:w="2579"/>
      </w:tblGrid>
      <w:tr w:rsidRPr="003B0F56" w:rsidR="00BD06D2" w:rsidTr="00A81396" w14:paraId="74E974B3" w14:textId="77777777">
        <w:trPr>
          <w:trHeight w:val="323"/>
        </w:trPr>
        <w:tc>
          <w:tcPr>
            <w:tcW w:w="5326" w:type="dxa"/>
            <w:gridSpan w:val="2"/>
            <w:tcBorders>
              <w:top w:val="nil"/>
              <w:left w:val="nil"/>
              <w:bottom w:val="nil"/>
              <w:right w:val="nil"/>
            </w:tcBorders>
            <w:shd w:val="clear" w:color="auto" w:fill="auto"/>
            <w:vAlign w:val="bottom"/>
            <w:hideMark/>
          </w:tcPr>
          <w:p w:rsidRPr="003B0F56" w:rsidR="00BD06D2" w:rsidRDefault="00BD06D2" w14:paraId="1CEAC08C" w14:textId="77777777">
            <w:r w:rsidRPr="00DA10AD">
              <w:t>Table 13.--Total Cost Burden</w:t>
            </w:r>
          </w:p>
        </w:tc>
      </w:tr>
      <w:tr w:rsidRPr="003B0F56" w:rsidR="00BD06D2" w:rsidTr="009A2EA5" w14:paraId="0E2B1464" w14:textId="77777777">
        <w:trPr>
          <w:trHeight w:val="323"/>
        </w:trPr>
        <w:tc>
          <w:tcPr>
            <w:tcW w:w="2747" w:type="dxa"/>
            <w:tcBorders>
              <w:top w:val="single" w:color="auto" w:sz="8" w:space="0"/>
              <w:left w:val="single" w:color="auto" w:sz="8" w:space="0"/>
              <w:bottom w:val="single" w:color="auto" w:sz="8" w:space="0"/>
              <w:right w:val="single" w:color="auto" w:sz="8" w:space="0"/>
            </w:tcBorders>
            <w:shd w:val="clear" w:color="auto" w:fill="auto"/>
            <w:hideMark/>
          </w:tcPr>
          <w:p w:rsidRPr="003B0F56" w:rsidR="00BD06D2" w:rsidRDefault="00BD06D2" w14:paraId="3B2EFFEC" w14:textId="77777777">
            <w:pPr>
              <w:jc w:val="center"/>
              <w:rPr>
                <w:b/>
                <w:bCs/>
              </w:rPr>
            </w:pPr>
            <w:r w:rsidRPr="003B0F56">
              <w:rPr>
                <w:b/>
                <w:bCs/>
              </w:rPr>
              <w:t> </w:t>
            </w:r>
          </w:p>
        </w:tc>
        <w:tc>
          <w:tcPr>
            <w:tcW w:w="2579" w:type="dxa"/>
            <w:tcBorders>
              <w:top w:val="single" w:color="auto" w:sz="8" w:space="0"/>
              <w:left w:val="nil"/>
              <w:bottom w:val="single" w:color="auto" w:sz="8" w:space="0"/>
              <w:right w:val="single" w:color="auto" w:sz="8" w:space="0"/>
            </w:tcBorders>
            <w:shd w:val="clear" w:color="auto" w:fill="auto"/>
            <w:hideMark/>
          </w:tcPr>
          <w:p w:rsidRPr="003B0F56" w:rsidR="00BD06D2" w:rsidRDefault="00BD06D2" w14:paraId="151CD52E" w14:textId="77777777">
            <w:pPr>
              <w:jc w:val="center"/>
              <w:rPr>
                <w:b/>
                <w:bCs/>
              </w:rPr>
            </w:pPr>
            <w:r w:rsidRPr="003B0F56">
              <w:rPr>
                <w:b/>
                <w:bCs/>
              </w:rPr>
              <w:t>Annual Cost Burden</w:t>
            </w:r>
          </w:p>
        </w:tc>
      </w:tr>
      <w:tr w:rsidRPr="003B0F56" w:rsidR="0034282D" w:rsidTr="009A2EA5" w14:paraId="7F775323" w14:textId="77777777">
        <w:trPr>
          <w:trHeight w:val="323"/>
        </w:trPr>
        <w:tc>
          <w:tcPr>
            <w:tcW w:w="2747" w:type="dxa"/>
            <w:tcBorders>
              <w:top w:val="nil"/>
              <w:left w:val="single" w:color="auto" w:sz="8" w:space="0"/>
              <w:bottom w:val="single" w:color="auto" w:sz="8" w:space="0"/>
              <w:right w:val="single" w:color="auto" w:sz="8" w:space="0"/>
            </w:tcBorders>
            <w:shd w:val="clear" w:color="auto" w:fill="auto"/>
            <w:hideMark/>
          </w:tcPr>
          <w:p w:rsidRPr="003B0F56" w:rsidR="0034282D" w:rsidP="0034282D" w:rsidRDefault="0034282D" w14:paraId="25B9E92A" w14:textId="77777777">
            <w:r w:rsidRPr="003B0F56">
              <w:t>Disclosures</w:t>
            </w:r>
          </w:p>
        </w:tc>
        <w:tc>
          <w:tcPr>
            <w:tcW w:w="2579" w:type="dxa"/>
            <w:tcBorders>
              <w:top w:val="nil"/>
              <w:left w:val="nil"/>
              <w:bottom w:val="single" w:color="auto" w:sz="8" w:space="0"/>
              <w:right w:val="single" w:color="auto" w:sz="8" w:space="0"/>
            </w:tcBorders>
            <w:shd w:val="clear" w:color="auto" w:fill="auto"/>
            <w:hideMark/>
          </w:tcPr>
          <w:p w:rsidRPr="003B0F56" w:rsidR="0034282D" w:rsidP="0034282D" w:rsidRDefault="0034282D" w14:paraId="6832C9DF" w14:textId="055710AE">
            <w:pPr>
              <w:jc w:val="right"/>
            </w:pPr>
            <w:r w:rsidRPr="001B6785">
              <w:t xml:space="preserve"> $11,220,816 </w:t>
            </w:r>
          </w:p>
        </w:tc>
      </w:tr>
      <w:tr w:rsidRPr="003B0F56" w:rsidR="0034282D" w:rsidTr="009A2EA5" w14:paraId="34DE95BE" w14:textId="77777777">
        <w:trPr>
          <w:trHeight w:val="323"/>
        </w:trPr>
        <w:tc>
          <w:tcPr>
            <w:tcW w:w="2747" w:type="dxa"/>
            <w:tcBorders>
              <w:top w:val="nil"/>
              <w:left w:val="single" w:color="auto" w:sz="8" w:space="0"/>
              <w:bottom w:val="single" w:color="auto" w:sz="8" w:space="0"/>
              <w:right w:val="single" w:color="auto" w:sz="8" w:space="0"/>
            </w:tcBorders>
            <w:shd w:val="clear" w:color="auto" w:fill="auto"/>
            <w:hideMark/>
          </w:tcPr>
          <w:p w:rsidRPr="003B0F56" w:rsidR="0034282D" w:rsidP="0034282D" w:rsidRDefault="0034282D" w14:paraId="1FBD71D5" w14:textId="77777777">
            <w:r w:rsidRPr="003B0F56">
              <w:t>Model Certification</w:t>
            </w:r>
          </w:p>
        </w:tc>
        <w:tc>
          <w:tcPr>
            <w:tcW w:w="2579" w:type="dxa"/>
            <w:tcBorders>
              <w:top w:val="nil"/>
              <w:left w:val="nil"/>
              <w:bottom w:val="single" w:color="auto" w:sz="8" w:space="0"/>
              <w:right w:val="single" w:color="auto" w:sz="8" w:space="0"/>
            </w:tcBorders>
            <w:shd w:val="clear" w:color="auto" w:fill="auto"/>
            <w:hideMark/>
          </w:tcPr>
          <w:p w:rsidRPr="003B0F56" w:rsidR="0034282D" w:rsidP="0034282D" w:rsidRDefault="0034282D" w14:paraId="41C4C5A1" w14:textId="78279F86">
            <w:pPr>
              <w:jc w:val="right"/>
            </w:pPr>
            <w:r w:rsidRPr="001B6785">
              <w:t xml:space="preserve"> $102,564,000 </w:t>
            </w:r>
          </w:p>
        </w:tc>
      </w:tr>
      <w:tr w:rsidRPr="003B0F56" w:rsidR="0034282D" w:rsidTr="009A2EA5" w14:paraId="4C0B206D" w14:textId="77777777">
        <w:trPr>
          <w:trHeight w:val="323"/>
        </w:trPr>
        <w:tc>
          <w:tcPr>
            <w:tcW w:w="2747" w:type="dxa"/>
            <w:tcBorders>
              <w:top w:val="nil"/>
              <w:left w:val="single" w:color="auto" w:sz="8" w:space="0"/>
              <w:bottom w:val="single" w:color="auto" w:sz="8" w:space="0"/>
              <w:right w:val="single" w:color="auto" w:sz="8" w:space="0"/>
            </w:tcBorders>
            <w:shd w:val="clear" w:color="auto" w:fill="auto"/>
            <w:hideMark/>
          </w:tcPr>
          <w:p w:rsidRPr="003B0F56" w:rsidR="0034282D" w:rsidP="0034282D" w:rsidRDefault="0034282D" w14:paraId="5A237536" w14:textId="77777777">
            <w:r w:rsidRPr="003B0F56">
              <w:t>Audit</w:t>
            </w:r>
          </w:p>
        </w:tc>
        <w:tc>
          <w:tcPr>
            <w:tcW w:w="2579" w:type="dxa"/>
            <w:tcBorders>
              <w:top w:val="nil"/>
              <w:left w:val="nil"/>
              <w:bottom w:val="single" w:color="auto" w:sz="8" w:space="0"/>
              <w:right w:val="single" w:color="auto" w:sz="8" w:space="0"/>
            </w:tcBorders>
            <w:shd w:val="clear" w:color="auto" w:fill="auto"/>
            <w:hideMark/>
          </w:tcPr>
          <w:p w:rsidRPr="003B0F56" w:rsidR="0034282D" w:rsidP="0034282D" w:rsidRDefault="0034282D" w14:paraId="1D5474A2" w14:textId="231FE05A">
            <w:pPr>
              <w:jc w:val="right"/>
            </w:pPr>
            <w:r w:rsidRPr="001B6785">
              <w:t xml:space="preserve"> $205,128,000 </w:t>
            </w:r>
          </w:p>
        </w:tc>
      </w:tr>
      <w:tr w:rsidRPr="003B0F56" w:rsidR="0034282D" w:rsidTr="009A2EA5" w14:paraId="4DAB38EB" w14:textId="77777777">
        <w:trPr>
          <w:trHeight w:val="323"/>
        </w:trPr>
        <w:tc>
          <w:tcPr>
            <w:tcW w:w="2747" w:type="dxa"/>
            <w:tcBorders>
              <w:top w:val="nil"/>
              <w:left w:val="single" w:color="auto" w:sz="8" w:space="0"/>
              <w:bottom w:val="single" w:color="auto" w:sz="8" w:space="0"/>
              <w:right w:val="single" w:color="auto" w:sz="8" w:space="0"/>
            </w:tcBorders>
            <w:shd w:val="clear" w:color="auto" w:fill="auto"/>
            <w:hideMark/>
          </w:tcPr>
          <w:p w:rsidRPr="003B0F56" w:rsidR="0034282D" w:rsidP="0034282D" w:rsidRDefault="0034282D" w14:paraId="61E7CA91" w14:textId="77777777">
            <w:r w:rsidRPr="003B0F56">
              <w:t>TOTAL</w:t>
            </w:r>
          </w:p>
        </w:tc>
        <w:tc>
          <w:tcPr>
            <w:tcW w:w="2579" w:type="dxa"/>
            <w:tcBorders>
              <w:top w:val="nil"/>
              <w:left w:val="nil"/>
              <w:bottom w:val="single" w:color="auto" w:sz="8" w:space="0"/>
              <w:right w:val="single" w:color="auto" w:sz="8" w:space="0"/>
            </w:tcBorders>
            <w:shd w:val="clear" w:color="auto" w:fill="auto"/>
            <w:hideMark/>
          </w:tcPr>
          <w:p w:rsidRPr="003B0F56" w:rsidR="0034282D" w:rsidP="0034282D" w:rsidRDefault="0034282D" w14:paraId="1452F5C5" w14:textId="18EE9C2A">
            <w:pPr>
              <w:jc w:val="right"/>
            </w:pPr>
            <w:r w:rsidRPr="001B6785">
              <w:t xml:space="preserve"> $</w:t>
            </w:r>
            <w:bookmarkStart w:name="OLE_LINK5" w:id="3"/>
            <w:bookmarkStart w:name="OLE_LINK6" w:id="4"/>
            <w:r w:rsidRPr="001B6785">
              <w:t xml:space="preserve">318,912,816 </w:t>
            </w:r>
            <w:bookmarkEnd w:id="3"/>
            <w:bookmarkEnd w:id="4"/>
          </w:p>
        </w:tc>
      </w:tr>
    </w:tbl>
    <w:p w:rsidRPr="003B0F56" w:rsidR="00725B76" w:rsidP="00CF6F61" w:rsidRDefault="00725B76" w14:paraId="3CB36B9C" w14:textId="77777777">
      <w:pPr>
        <w:ind w:left="720"/>
        <w:rPr>
          <w:color w:val="000000"/>
        </w:rPr>
      </w:pPr>
    </w:p>
    <w:p w:rsidRPr="007A284A" w:rsidR="006962D3" w:rsidP="00CF6F61" w:rsidRDefault="006962D3" w14:paraId="4A340A26" w14:textId="77777777">
      <w:pPr>
        <w:ind w:left="720" w:hanging="720"/>
        <w:rPr>
          <w:b/>
          <w:iCs/>
          <w:color w:val="000000"/>
        </w:rPr>
      </w:pPr>
      <w:r w:rsidRPr="007A284A">
        <w:rPr>
          <w:b/>
          <w:iCs/>
          <w:color w:val="000000"/>
        </w:rPr>
        <w:t>14.</w:t>
      </w:r>
      <w:r w:rsidRPr="007A284A">
        <w:rPr>
          <w:b/>
          <w:iCs/>
          <w:color w:val="000000"/>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B0F56" w:rsidR="006962D3" w:rsidP="00CF6F61" w:rsidRDefault="006962D3" w14:paraId="497642C6" w14:textId="77777777">
      <w:pPr>
        <w:ind w:left="720"/>
        <w:rPr>
          <w:iCs/>
          <w:color w:val="000000"/>
        </w:rPr>
      </w:pPr>
    </w:p>
    <w:p w:rsidRPr="003B0F56" w:rsidR="006962D3" w:rsidP="00CF6F61" w:rsidRDefault="006962D3" w14:paraId="58EC8024" w14:textId="77777777">
      <w:pPr>
        <w:pStyle w:val="BodyText"/>
        <w:ind w:left="720"/>
        <w:rPr>
          <w:color w:val="000000"/>
          <w:szCs w:val="24"/>
        </w:rPr>
      </w:pPr>
      <w:r w:rsidRPr="003B0F56">
        <w:rPr>
          <w:color w:val="000000"/>
          <w:szCs w:val="24"/>
        </w:rPr>
        <w:t>There are no annualized costs to the Federal government for this information collection.</w:t>
      </w:r>
    </w:p>
    <w:p w:rsidRPr="003B0F56" w:rsidR="0023556A" w:rsidP="00CF6F61" w:rsidRDefault="0023556A" w14:paraId="03FCD998" w14:textId="77777777">
      <w:pPr>
        <w:ind w:left="720"/>
        <w:rPr>
          <w:iCs/>
          <w:color w:val="000000"/>
        </w:rPr>
      </w:pPr>
    </w:p>
    <w:p w:rsidRPr="007A284A" w:rsidR="006962D3" w:rsidP="00CF6F61" w:rsidRDefault="006962D3" w14:paraId="16346101" w14:textId="77777777">
      <w:pPr>
        <w:tabs>
          <w:tab w:val="left" w:pos="-1440"/>
        </w:tabs>
        <w:ind w:left="720" w:hanging="720"/>
        <w:rPr>
          <w:b/>
          <w:iCs/>
          <w:color w:val="000000"/>
        </w:rPr>
      </w:pPr>
      <w:r w:rsidRPr="007A284A">
        <w:rPr>
          <w:b/>
          <w:iCs/>
          <w:color w:val="000000"/>
        </w:rPr>
        <w:t>15.</w:t>
      </w:r>
      <w:r w:rsidRPr="007A284A">
        <w:rPr>
          <w:b/>
          <w:iCs/>
          <w:color w:val="000000"/>
        </w:rPr>
        <w:tab/>
        <w:t>Explain the reasons for any program changes or adjustments reported in Items 13 or 14.</w:t>
      </w:r>
    </w:p>
    <w:p w:rsidRPr="003B0F56" w:rsidR="006962D3" w:rsidP="00CF6F61" w:rsidRDefault="006962D3" w14:paraId="727A3375" w14:textId="77777777">
      <w:pPr>
        <w:tabs>
          <w:tab w:val="left" w:pos="-1440"/>
        </w:tabs>
        <w:ind w:left="720"/>
        <w:rPr>
          <w:iCs/>
          <w:color w:val="000000"/>
        </w:rPr>
      </w:pPr>
    </w:p>
    <w:p w:rsidR="005C46C5" w:rsidP="00A81396" w:rsidRDefault="00EA38B7" w14:paraId="55151660" w14:textId="77777777">
      <w:pPr>
        <w:tabs>
          <w:tab w:val="left" w:pos="-1440"/>
        </w:tabs>
        <w:ind w:left="720"/>
        <w:rPr>
          <w:iCs/>
          <w:color w:val="000000"/>
        </w:rPr>
      </w:pPr>
      <w:bookmarkStart w:name="OLE_LINK1" w:id="5"/>
      <w:bookmarkStart w:name="OLE_LINK2" w:id="6"/>
      <w:r>
        <w:rPr>
          <w:iCs/>
          <w:color w:val="000000"/>
        </w:rPr>
        <w:t>Changes to f</w:t>
      </w:r>
      <w:r w:rsidR="005C46C5">
        <w:rPr>
          <w:iCs/>
          <w:color w:val="000000"/>
        </w:rPr>
        <w:t>our burden estimate input</w:t>
      </w:r>
      <w:r w:rsidR="005130B3">
        <w:rPr>
          <w:iCs/>
          <w:color w:val="000000"/>
        </w:rPr>
        <w:t>s</w:t>
      </w:r>
      <w:r w:rsidR="005C46C5">
        <w:rPr>
          <w:iCs/>
          <w:color w:val="000000"/>
        </w:rPr>
        <w:t xml:space="preserve"> caused burden estimates to increase for this submission:</w:t>
      </w:r>
    </w:p>
    <w:p w:rsidR="00A0416B" w:rsidP="00A81396" w:rsidRDefault="00A0416B" w14:paraId="250838EB" w14:textId="77777777">
      <w:pPr>
        <w:numPr>
          <w:ilvl w:val="0"/>
          <w:numId w:val="21"/>
        </w:numPr>
        <w:tabs>
          <w:tab w:val="left" w:pos="-1440"/>
        </w:tabs>
        <w:ind w:left="1440" w:hanging="720"/>
        <w:rPr>
          <w:iCs/>
          <w:color w:val="000000"/>
        </w:rPr>
      </w:pPr>
      <w:r>
        <w:rPr>
          <w:iCs/>
          <w:color w:val="000000"/>
        </w:rPr>
        <w:t>Increased usage of this exemption;</w:t>
      </w:r>
    </w:p>
    <w:p w:rsidR="00A0416B" w:rsidP="00A81396" w:rsidRDefault="00A0416B" w14:paraId="477C5342" w14:textId="77777777">
      <w:pPr>
        <w:numPr>
          <w:ilvl w:val="0"/>
          <w:numId w:val="21"/>
        </w:numPr>
        <w:tabs>
          <w:tab w:val="left" w:pos="-1440"/>
        </w:tabs>
        <w:ind w:left="1440" w:hanging="720"/>
        <w:rPr>
          <w:iCs/>
          <w:color w:val="000000"/>
        </w:rPr>
      </w:pPr>
      <w:r>
        <w:rPr>
          <w:iCs/>
          <w:color w:val="000000"/>
        </w:rPr>
        <w:t>Increased labor costs due to inflation;</w:t>
      </w:r>
    </w:p>
    <w:p w:rsidR="00A0416B" w:rsidP="00A81396" w:rsidRDefault="00A0416B" w14:paraId="0792D42F" w14:textId="77777777">
      <w:pPr>
        <w:numPr>
          <w:ilvl w:val="0"/>
          <w:numId w:val="21"/>
        </w:numPr>
        <w:tabs>
          <w:tab w:val="left" w:pos="-1440"/>
        </w:tabs>
        <w:ind w:left="1440" w:hanging="720"/>
        <w:rPr>
          <w:iCs/>
          <w:color w:val="000000"/>
        </w:rPr>
      </w:pPr>
      <w:r>
        <w:rPr>
          <w:iCs/>
          <w:color w:val="000000"/>
        </w:rPr>
        <w:t>Increased postage costs due to inflation; and</w:t>
      </w:r>
    </w:p>
    <w:p w:rsidRPr="00146B9F" w:rsidR="0056066A" w:rsidP="00A81396" w:rsidRDefault="00A0416B" w14:paraId="26E2D44F" w14:textId="2D875D7E">
      <w:pPr>
        <w:numPr>
          <w:ilvl w:val="0"/>
          <w:numId w:val="21"/>
        </w:numPr>
        <w:tabs>
          <w:tab w:val="left" w:pos="-1440"/>
        </w:tabs>
        <w:ind w:left="1440" w:hanging="720"/>
        <w:rPr>
          <w:iCs/>
          <w:color w:val="000000"/>
        </w:rPr>
      </w:pPr>
      <w:r w:rsidRPr="00DA10AD">
        <w:rPr>
          <w:iCs/>
          <w:color w:val="000000"/>
        </w:rPr>
        <w:t>A change to EBSA’s assumption regarding electronic transmission of the disclosures</w:t>
      </w:r>
      <w:r w:rsidRPr="00DA10AD" w:rsidR="00231EB3">
        <w:rPr>
          <w:iCs/>
          <w:color w:val="000000"/>
        </w:rPr>
        <w:t xml:space="preserve"> for DC plans and IRAs</w:t>
      </w:r>
      <w:r w:rsidRPr="00146B9F" w:rsidR="007A284A">
        <w:rPr>
          <w:iCs/>
          <w:color w:val="000000"/>
        </w:rPr>
        <w:t xml:space="preserve">.  </w:t>
      </w:r>
      <w:r w:rsidRPr="008108C4" w:rsidR="009B2308">
        <w:rPr>
          <w:iCs/>
          <w:color w:val="000000"/>
        </w:rPr>
        <w:t xml:space="preserve">As a result of final </w:t>
      </w:r>
      <w:r w:rsidRPr="008108C4" w:rsidR="00523110">
        <w:rPr>
          <w:iCs/>
          <w:color w:val="000000"/>
        </w:rPr>
        <w:t xml:space="preserve">Default Electronic Disclosure </w:t>
      </w:r>
      <w:r w:rsidRPr="008108C4" w:rsidR="009B2308">
        <w:rPr>
          <w:iCs/>
          <w:color w:val="000000"/>
        </w:rPr>
        <w:t>regulation issued by the Department on May 27, 2020</w:t>
      </w:r>
      <w:r w:rsidRPr="008108C4" w:rsidR="00523110">
        <w:rPr>
          <w:iCs/>
          <w:color w:val="000000"/>
        </w:rPr>
        <w:t xml:space="preserve"> (85 Fed. Reg. 31884)</w:t>
      </w:r>
      <w:r w:rsidRPr="008108C4" w:rsidR="009B2308">
        <w:rPr>
          <w:iCs/>
          <w:color w:val="000000"/>
        </w:rPr>
        <w:t xml:space="preserve">, </w:t>
      </w:r>
      <w:r w:rsidRPr="008108C4">
        <w:rPr>
          <w:iCs/>
          <w:color w:val="000000"/>
        </w:rPr>
        <w:t>EBSA has revised the electronic disclosure assumption</w:t>
      </w:r>
      <w:r w:rsidRPr="008108C4" w:rsidR="00F476A9">
        <w:rPr>
          <w:iCs/>
          <w:color w:val="000000"/>
        </w:rPr>
        <w:t xml:space="preserve"> from 56.4</w:t>
      </w:r>
      <w:r w:rsidRPr="008108C4">
        <w:rPr>
          <w:iCs/>
          <w:color w:val="000000"/>
        </w:rPr>
        <w:t xml:space="preserve"> to </w:t>
      </w:r>
      <w:r w:rsidRPr="008108C4" w:rsidR="00231EB3">
        <w:rPr>
          <w:iCs/>
          <w:color w:val="000000"/>
        </w:rPr>
        <w:t>92.7</w:t>
      </w:r>
      <w:r w:rsidRPr="008108C4">
        <w:rPr>
          <w:iCs/>
          <w:color w:val="000000"/>
        </w:rPr>
        <w:t xml:space="preserve"> percent</w:t>
      </w:r>
      <w:r w:rsidRPr="008108C4" w:rsidR="006A5A49">
        <w:rPr>
          <w:iCs/>
          <w:color w:val="000000"/>
        </w:rPr>
        <w:t xml:space="preserve"> for DC plans</w:t>
      </w:r>
      <w:r w:rsidRPr="008108C4" w:rsidR="00EB2A56">
        <w:rPr>
          <w:iCs/>
          <w:color w:val="000000"/>
        </w:rPr>
        <w:t>.</w:t>
      </w:r>
      <w:r w:rsidR="00EB2A56">
        <w:rPr>
          <w:iCs/>
          <w:color w:val="000000"/>
        </w:rPr>
        <w:t xml:space="preserve">  </w:t>
      </w:r>
      <w:r w:rsidR="009B2308">
        <w:rPr>
          <w:iCs/>
          <w:color w:val="000000"/>
        </w:rPr>
        <w:t xml:space="preserve">EBSA has also revised </w:t>
      </w:r>
      <w:r w:rsidR="009D461E">
        <w:rPr>
          <w:iCs/>
          <w:color w:val="000000"/>
        </w:rPr>
        <w:t xml:space="preserve">the </w:t>
      </w:r>
      <w:r w:rsidRPr="009B2308" w:rsidR="009B2308">
        <w:rPr>
          <w:iCs/>
          <w:color w:val="000000"/>
        </w:rPr>
        <w:t>electronic disclosure assumption</w:t>
      </w:r>
      <w:r w:rsidRPr="00F90B3D" w:rsidR="006A5A49">
        <w:rPr>
          <w:iCs/>
          <w:color w:val="000000"/>
        </w:rPr>
        <w:t xml:space="preserve"> </w:t>
      </w:r>
      <w:r w:rsidR="009B2308">
        <w:rPr>
          <w:iCs/>
          <w:color w:val="000000"/>
        </w:rPr>
        <w:t xml:space="preserve">for IRAs to </w:t>
      </w:r>
      <w:r w:rsidRPr="00F90B3D" w:rsidR="006A5A49">
        <w:rPr>
          <w:iCs/>
          <w:color w:val="000000"/>
        </w:rPr>
        <w:t>58.2</w:t>
      </w:r>
      <w:r w:rsidR="009B2308">
        <w:rPr>
          <w:iCs/>
          <w:color w:val="000000"/>
        </w:rPr>
        <w:t xml:space="preserve"> percent. </w:t>
      </w:r>
    </w:p>
    <w:bookmarkEnd w:id="5"/>
    <w:bookmarkEnd w:id="6"/>
    <w:p w:rsidRPr="003B0F56" w:rsidR="0023556A" w:rsidP="00CF6F61" w:rsidRDefault="0023556A" w14:paraId="66F7AE3E" w14:textId="77777777">
      <w:pPr>
        <w:tabs>
          <w:tab w:val="left" w:pos="-1440"/>
        </w:tabs>
        <w:ind w:left="720"/>
        <w:rPr>
          <w:iCs/>
          <w:color w:val="000000"/>
        </w:rPr>
      </w:pPr>
    </w:p>
    <w:p w:rsidRPr="007A284A" w:rsidR="006962D3" w:rsidP="008B0E3B" w:rsidRDefault="006962D3" w14:paraId="46E46EAB" w14:textId="77777777">
      <w:pPr>
        <w:tabs>
          <w:tab w:val="left" w:pos="-1440"/>
        </w:tabs>
        <w:ind w:left="720" w:hanging="720"/>
        <w:rPr>
          <w:b/>
          <w:iCs/>
          <w:color w:val="000000"/>
        </w:rPr>
      </w:pPr>
      <w:r w:rsidRPr="007A284A">
        <w:rPr>
          <w:b/>
          <w:iCs/>
          <w:color w:val="000000"/>
        </w:rPr>
        <w:t>16.</w:t>
      </w:r>
      <w:r w:rsidRPr="007A284A">
        <w:rPr>
          <w:b/>
          <w:i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B0F56" w:rsidR="006962D3" w:rsidP="008B0E3B" w:rsidRDefault="006962D3" w14:paraId="44767069" w14:textId="77777777">
      <w:pPr>
        <w:tabs>
          <w:tab w:val="left" w:pos="-1440"/>
        </w:tabs>
        <w:ind w:left="720"/>
        <w:rPr>
          <w:iCs/>
          <w:color w:val="000000"/>
        </w:rPr>
      </w:pPr>
    </w:p>
    <w:p w:rsidRPr="003B0F56" w:rsidR="006962D3" w:rsidP="008B0E3B" w:rsidRDefault="006962D3" w14:paraId="0EC34144" w14:textId="77777777">
      <w:pPr>
        <w:tabs>
          <w:tab w:val="left" w:pos="-1440"/>
        </w:tabs>
        <w:ind w:left="720"/>
        <w:rPr>
          <w:iCs/>
          <w:color w:val="000000"/>
        </w:rPr>
      </w:pPr>
      <w:r w:rsidRPr="003B0F56">
        <w:rPr>
          <w:iCs/>
          <w:color w:val="000000"/>
        </w:rPr>
        <w:t>There are no plans to publish the results of this collection of information.</w:t>
      </w:r>
    </w:p>
    <w:p w:rsidRPr="003B0F56" w:rsidR="0023556A" w:rsidP="008B0E3B" w:rsidRDefault="0023556A" w14:paraId="73AB8E5D" w14:textId="77777777">
      <w:pPr>
        <w:tabs>
          <w:tab w:val="left" w:pos="-1440"/>
        </w:tabs>
        <w:ind w:left="720"/>
        <w:rPr>
          <w:iCs/>
          <w:color w:val="000000"/>
        </w:rPr>
      </w:pPr>
    </w:p>
    <w:p w:rsidRPr="003B0F56" w:rsidR="006962D3" w:rsidP="008B0E3B" w:rsidRDefault="006962D3" w14:paraId="17817CA0" w14:textId="77777777">
      <w:pPr>
        <w:tabs>
          <w:tab w:val="left" w:pos="-1440"/>
        </w:tabs>
        <w:ind w:left="720" w:hanging="720"/>
        <w:rPr>
          <w:iCs/>
          <w:color w:val="000000"/>
        </w:rPr>
      </w:pPr>
      <w:r w:rsidRPr="007A284A">
        <w:rPr>
          <w:b/>
          <w:iCs/>
          <w:color w:val="000000"/>
        </w:rPr>
        <w:t>17.</w:t>
      </w:r>
      <w:r w:rsidRPr="007A284A">
        <w:rPr>
          <w:b/>
          <w:iCs/>
          <w:color w:val="000000"/>
        </w:rPr>
        <w:tab/>
        <w:t>If seeking approval to not display the expiration date for OMB approval of the information collection, explain the reasons that display would be inappropriate</w:t>
      </w:r>
      <w:r w:rsidRPr="003B0F56">
        <w:rPr>
          <w:i/>
          <w:iCs/>
          <w:color w:val="000000"/>
        </w:rPr>
        <w:t>.</w:t>
      </w:r>
    </w:p>
    <w:p w:rsidRPr="003B0F56" w:rsidR="006962D3" w:rsidP="008B0E3B" w:rsidRDefault="006962D3" w14:paraId="5D96BCE5" w14:textId="77777777">
      <w:pPr>
        <w:tabs>
          <w:tab w:val="left" w:pos="-1440"/>
        </w:tabs>
        <w:ind w:left="720"/>
        <w:rPr>
          <w:iCs/>
          <w:color w:val="000000"/>
        </w:rPr>
      </w:pPr>
    </w:p>
    <w:p w:rsidRPr="003B0F56" w:rsidR="006962D3" w:rsidP="008B0E3B" w:rsidRDefault="00281A25" w14:paraId="7AD994EC" w14:textId="77777777">
      <w:pPr>
        <w:ind w:left="720"/>
        <w:rPr>
          <w:iCs/>
          <w:color w:val="000000"/>
        </w:rPr>
      </w:pPr>
      <w:r w:rsidRPr="003B0F56">
        <w:rPr>
          <w:iCs/>
          <w:color w:val="000000"/>
        </w:rPr>
        <w:t>T</w:t>
      </w:r>
      <w:r w:rsidRPr="003B0F56" w:rsidR="00180D07">
        <w:rPr>
          <w:iCs/>
          <w:color w:val="000000"/>
        </w:rPr>
        <w:t xml:space="preserve">he agency </w:t>
      </w:r>
      <w:r w:rsidRPr="003B0F56" w:rsidR="00CD4530">
        <w:rPr>
          <w:iCs/>
          <w:color w:val="000000"/>
        </w:rPr>
        <w:t xml:space="preserve">will </w:t>
      </w:r>
      <w:r w:rsidRPr="003B0F56" w:rsidR="00180D07">
        <w:rPr>
          <w:iCs/>
          <w:color w:val="000000"/>
        </w:rPr>
        <w:t xml:space="preserve">communicate the </w:t>
      </w:r>
      <w:r w:rsidRPr="003B0F56">
        <w:rPr>
          <w:iCs/>
          <w:color w:val="000000"/>
        </w:rPr>
        <w:t xml:space="preserve">expiration </w:t>
      </w:r>
      <w:r w:rsidRPr="003B0F56" w:rsidR="00180D07">
        <w:rPr>
          <w:iCs/>
          <w:color w:val="000000"/>
        </w:rPr>
        <w:t xml:space="preserve">date to the public </w:t>
      </w:r>
      <w:r w:rsidRPr="003B0F56">
        <w:rPr>
          <w:iCs/>
          <w:color w:val="000000"/>
        </w:rPr>
        <w:t>after OMB approval</w:t>
      </w:r>
      <w:r w:rsidRPr="003B0F56" w:rsidR="00180D07">
        <w:rPr>
          <w:iCs/>
          <w:color w:val="000000"/>
        </w:rPr>
        <w:t>.</w:t>
      </w:r>
    </w:p>
    <w:p w:rsidRPr="003B0F56" w:rsidR="0023556A" w:rsidP="008B0E3B" w:rsidRDefault="0023556A" w14:paraId="08332BFB" w14:textId="77777777">
      <w:pPr>
        <w:tabs>
          <w:tab w:val="left" w:pos="-1440"/>
        </w:tabs>
        <w:ind w:left="720"/>
        <w:rPr>
          <w:iCs/>
          <w:color w:val="000000"/>
        </w:rPr>
      </w:pPr>
    </w:p>
    <w:p w:rsidRPr="007A284A" w:rsidR="006962D3" w:rsidP="008B0E3B" w:rsidRDefault="006962D3" w14:paraId="2E2AF49B" w14:textId="09A3B7ED">
      <w:pPr>
        <w:tabs>
          <w:tab w:val="left" w:pos="-1440"/>
        </w:tabs>
        <w:ind w:left="720" w:hanging="720"/>
        <w:rPr>
          <w:b/>
          <w:iCs/>
          <w:color w:val="000000"/>
        </w:rPr>
      </w:pPr>
      <w:r w:rsidRPr="007A284A">
        <w:rPr>
          <w:b/>
          <w:iCs/>
          <w:color w:val="000000"/>
        </w:rPr>
        <w:t>18.</w:t>
      </w:r>
      <w:r w:rsidRPr="007A284A">
        <w:rPr>
          <w:b/>
          <w:iCs/>
          <w:color w:val="000000"/>
        </w:rPr>
        <w:tab/>
        <w:t>Explain each exception to the certification statement identified in Item 19</w:t>
      </w:r>
      <w:r w:rsidR="00102497">
        <w:rPr>
          <w:b/>
          <w:iCs/>
          <w:color w:val="000000"/>
        </w:rPr>
        <w:t>.</w:t>
      </w:r>
    </w:p>
    <w:p w:rsidRPr="003B0F56" w:rsidR="006B390F" w:rsidP="008B0E3B" w:rsidRDefault="006B390F" w14:paraId="40F6AF88" w14:textId="77777777">
      <w:pPr>
        <w:ind w:left="720"/>
        <w:rPr>
          <w:iCs/>
          <w:color w:val="000000"/>
        </w:rPr>
      </w:pPr>
    </w:p>
    <w:p w:rsidRPr="003B0F56" w:rsidR="00A81396" w:rsidP="00BC1AFB" w:rsidRDefault="006B390F" w14:paraId="52B8CA59" w14:textId="77777777">
      <w:pPr>
        <w:ind w:left="720"/>
        <w:rPr>
          <w:color w:val="000000"/>
        </w:rPr>
      </w:pPr>
      <w:r w:rsidRPr="003B0F56">
        <w:rPr>
          <w:iCs/>
          <w:color w:val="000000"/>
        </w:rPr>
        <w:t>There are no exceptions to the certification statement.</w:t>
      </w:r>
    </w:p>
    <w:p w:rsidRPr="003B0F56" w:rsidR="00824DF1" w:rsidP="008B0E3B" w:rsidRDefault="00824DF1" w14:paraId="16379F49" w14:textId="77777777">
      <w:pPr>
        <w:ind w:left="720"/>
        <w:rPr>
          <w:color w:val="000000"/>
        </w:rPr>
      </w:pPr>
    </w:p>
    <w:p w:rsidRPr="00BC1AFB" w:rsidR="00BC1AFB" w:rsidP="00BC1AFB" w:rsidRDefault="00BC1AFB" w14:paraId="6EE67D06" w14:textId="77777777">
      <w:pPr>
        <w:numPr>
          <w:ilvl w:val="0"/>
          <w:numId w:val="17"/>
        </w:numPr>
        <w:ind w:left="720" w:hanging="720"/>
        <w:rPr>
          <w:b/>
          <w:bCs/>
          <w:color w:val="000000"/>
        </w:rPr>
      </w:pPr>
      <w:r w:rsidRPr="00BC1AFB">
        <w:rPr>
          <w:b/>
          <w:bCs/>
          <w:color w:val="000000"/>
        </w:rPr>
        <w:t>COLLECTIONS OF INFORMATION EMPLOYING STATISTICAL METHODS</w:t>
      </w:r>
    </w:p>
    <w:p w:rsidRPr="003B0F56" w:rsidR="009366F4" w:rsidP="008B0E3B" w:rsidRDefault="009366F4" w14:paraId="1B57304A" w14:textId="77777777">
      <w:pPr>
        <w:ind w:left="720"/>
        <w:outlineLvl w:val="0"/>
        <w:rPr>
          <w:b/>
          <w:color w:val="000000"/>
        </w:rPr>
      </w:pPr>
    </w:p>
    <w:p w:rsidRPr="003B0F56" w:rsidR="0043499E" w:rsidP="008B0E3B" w:rsidRDefault="006962D3" w14:paraId="7AE449F1" w14:textId="77777777">
      <w:pPr>
        <w:ind w:left="720"/>
        <w:outlineLvl w:val="0"/>
        <w:rPr>
          <w:color w:val="000000"/>
        </w:rPr>
      </w:pPr>
      <w:r w:rsidRPr="003B0F56">
        <w:rPr>
          <w:color w:val="000000"/>
        </w:rPr>
        <w:t>No</w:t>
      </w:r>
      <w:r w:rsidRPr="003B0F56" w:rsidR="006B390F">
        <w:rPr>
          <w:color w:val="000000"/>
        </w:rPr>
        <w:t>t</w:t>
      </w:r>
      <w:r w:rsidRPr="003B0F56">
        <w:rPr>
          <w:color w:val="000000"/>
        </w:rPr>
        <w:t xml:space="preserve"> applicable.  The use of statistical methods is not relevant to this collection of information.</w:t>
      </w:r>
    </w:p>
    <w:sectPr w:rsidRPr="003B0F56" w:rsidR="0043499E" w:rsidSect="003C3C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14E8A" w14:textId="77777777" w:rsidR="008E7626" w:rsidRDefault="008E7626">
      <w:r>
        <w:separator/>
      </w:r>
    </w:p>
  </w:endnote>
  <w:endnote w:type="continuationSeparator" w:id="0">
    <w:p w14:paraId="5CB6AB71" w14:textId="77777777" w:rsidR="008E7626" w:rsidRDefault="008E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A3FBC" w14:textId="749E6798" w:rsidR="008E7626" w:rsidRDefault="008E7626" w:rsidP="00373571">
    <w:pPr>
      <w:pStyle w:val="Footer"/>
      <w:jc w:val="center"/>
    </w:pPr>
    <w:r>
      <w:t xml:space="preserve">Page </w:t>
    </w:r>
    <w:r>
      <w:fldChar w:fldCharType="begin"/>
    </w:r>
    <w:r>
      <w:instrText xml:space="preserve"> PAGE </w:instrText>
    </w:r>
    <w:r>
      <w:fldChar w:fldCharType="separate"/>
    </w:r>
    <w:r w:rsidR="002C5870">
      <w:rPr>
        <w:noProof/>
      </w:rPr>
      <w:t>19</w:t>
    </w:r>
    <w:r>
      <w:fldChar w:fldCharType="end"/>
    </w:r>
    <w:r>
      <w:t xml:space="preserve"> of </w:t>
    </w:r>
    <w:r w:rsidR="002C5870">
      <w:fldChar w:fldCharType="begin"/>
    </w:r>
    <w:r w:rsidR="002C5870">
      <w:instrText xml:space="preserve"> NUMPAGES </w:instrText>
    </w:r>
    <w:r w:rsidR="002C5870">
      <w:fldChar w:fldCharType="separate"/>
    </w:r>
    <w:r w:rsidR="002C5870">
      <w:rPr>
        <w:noProof/>
      </w:rPr>
      <w:t>19</w:t>
    </w:r>
    <w:r w:rsidR="002C587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EC858" w14:textId="77777777" w:rsidR="008E7626" w:rsidRDefault="008E7626">
      <w:r>
        <w:separator/>
      </w:r>
    </w:p>
  </w:footnote>
  <w:footnote w:type="continuationSeparator" w:id="0">
    <w:p w14:paraId="4B714A18" w14:textId="77777777" w:rsidR="008E7626" w:rsidRDefault="008E7626">
      <w:r>
        <w:continuationSeparator/>
      </w:r>
    </w:p>
  </w:footnote>
  <w:footnote w:id="1">
    <w:p w14:paraId="69657E59" w14:textId="1FB25DD5" w:rsidR="008E7626" w:rsidRDefault="008E7626">
      <w:pPr>
        <w:pStyle w:val="FootnoteText"/>
      </w:pPr>
      <w:r>
        <w:rPr>
          <w:rStyle w:val="FootnoteReference"/>
        </w:rPr>
        <w:footnoteRef/>
      </w:r>
      <w:r>
        <w:t xml:space="preserve"> </w:t>
      </w:r>
      <w:hyperlink r:id="rId1" w:history="1">
        <w:r w:rsidRPr="00A81396">
          <w:rPr>
            <w:rStyle w:val="Hyperlink"/>
            <w:color w:val="auto"/>
            <w:u w:val="none"/>
          </w:rPr>
          <w:t>For</w:t>
        </w:r>
      </w:hyperlink>
      <w:r>
        <w:t xml:space="preserve"> more information on how labor cost is calculated please see </w:t>
      </w:r>
      <w:r w:rsidRPr="003446F3">
        <w:t>https://www.dol.gov/sites/dolgov/files/EBSA/laws-and-regulations/rules-and-regulations/technical-appendices/labor-cost-inputs-used-in-ebsa-opr-ria-and-pra-burden-calculations-june-2019.pdf</w:t>
      </w:r>
    </w:p>
  </w:footnote>
  <w:footnote w:id="2">
    <w:p w14:paraId="035171CD" w14:textId="47D0BBFD" w:rsidR="008E7626" w:rsidRPr="00376088" w:rsidRDefault="008E7626" w:rsidP="00376088">
      <w:pPr>
        <w:pStyle w:val="FootnoteText"/>
        <w:rPr>
          <w:b/>
          <w:bCs/>
        </w:rPr>
      </w:pPr>
      <w:r>
        <w:rPr>
          <w:rStyle w:val="FootnoteReference"/>
        </w:rPr>
        <w:footnoteRef/>
      </w:r>
      <w:r>
        <w:t xml:space="preserve"> The Department assumes 50% of firms providing investment advice to plans and IRAs will use the exemption based on feedback from the Industry.  Firm counts are derived from </w:t>
      </w:r>
      <w:r w:rsidRPr="00B361EA">
        <w:rPr>
          <w:bCs/>
        </w:rPr>
        <w:t>Prohibited Transaction Exemption 2020-02,</w:t>
      </w:r>
    </w:p>
    <w:p w14:paraId="75AD0754" w14:textId="4B4E1516" w:rsidR="008E7626" w:rsidRDefault="008E7626" w:rsidP="006962D3">
      <w:pPr>
        <w:pStyle w:val="FootnoteText"/>
      </w:pPr>
      <w:r w:rsidRPr="00B361EA">
        <w:rPr>
          <w:i/>
        </w:rPr>
        <w:t xml:space="preserve">Improving Investment Advice for Workers </w:t>
      </w:r>
      <w:r>
        <w:rPr>
          <w:i/>
        </w:rPr>
        <w:t>&amp;</w:t>
      </w:r>
      <w:r w:rsidRPr="00B361EA">
        <w:rPr>
          <w:i/>
        </w:rPr>
        <w:t xml:space="preserve"> Retirees</w:t>
      </w:r>
      <w:r w:rsidRPr="00B361EA">
        <w:t>.</w:t>
      </w:r>
      <w:r>
        <w:rPr>
          <w:i/>
        </w:rPr>
        <w:t xml:space="preserve"> </w:t>
      </w:r>
      <w:r w:rsidRPr="009A0D1A">
        <w:t xml:space="preserve"> </w:t>
      </w:r>
    </w:p>
  </w:footnote>
  <w:footnote w:id="3">
    <w:p w14:paraId="2C6B08C4" w14:textId="77777777" w:rsidR="008E7626" w:rsidRDefault="008E7626" w:rsidP="00726626">
      <w:pPr>
        <w:pStyle w:val="FootnoteText"/>
      </w:pPr>
      <w:r>
        <w:rPr>
          <w:rStyle w:val="FootnoteReference"/>
        </w:rPr>
        <w:footnoteRef/>
      </w:r>
      <w:r>
        <w:t xml:space="preserve"> Based on limited information with respect to the investment computer model industry, the Department estimates that there are six companies that produce investment advice computer models.</w:t>
      </w:r>
    </w:p>
  </w:footnote>
  <w:footnote w:id="4">
    <w:p w14:paraId="17F25585" w14:textId="77777777" w:rsidR="008E7626" w:rsidRDefault="008E7626">
      <w:pPr>
        <w:pStyle w:val="FootnoteText"/>
      </w:pPr>
      <w:r>
        <w:rPr>
          <w:rStyle w:val="FootnoteReference"/>
        </w:rPr>
        <w:footnoteRef/>
      </w:r>
      <w:r>
        <w:t xml:space="preserve"> Audit firms are expected to transmit the final audit report to the advisory firm through electronic means at no additional costs.  The advisory firms must either furnish a copy of the audit report to IRA Participants or make the audit report available on their website and inform IRA Participants of the purpose of the report and how and where to locate the report applicable to their account with the other disclosures discussed above.  The Department assumes that all advisory firms will make the audit report available on their website and add a few sentences to the single disclosure package at negligible costs.  Any advisory firm whose audit report identifies noncompliance with the requirements of this rule must send a copy of the report to the Department within 30 days following receipt of the report.  The Department assumes that the majority of advisory firms will comply with the exemption; therefore, the costs associated with sending the audit reports to the Department are expected to be negligible.</w:t>
      </w:r>
    </w:p>
  </w:footnote>
  <w:footnote w:id="5">
    <w:p w14:paraId="46C78D48" w14:textId="77777777" w:rsidR="008E7626" w:rsidRDefault="008E7626" w:rsidP="006962D3">
      <w:pPr>
        <w:pStyle w:val="FootnoteText"/>
      </w:pPr>
      <w:r>
        <w:rPr>
          <w:rStyle w:val="FootnoteReference"/>
        </w:rPr>
        <w:footnoteRef/>
      </w:r>
      <w:r>
        <w:t xml:space="preserve"> The Department has based this cost estimate on limited industry data.</w:t>
      </w:r>
    </w:p>
  </w:footnote>
  <w:footnote w:id="6">
    <w:p w14:paraId="7083E54F" w14:textId="77777777" w:rsidR="008E7626" w:rsidRDefault="008E7626" w:rsidP="006962D3">
      <w:pPr>
        <w:pStyle w:val="FootnoteText"/>
      </w:pPr>
      <w:r>
        <w:rPr>
          <w:rStyle w:val="FootnoteReference"/>
        </w:rPr>
        <w:footnoteRef/>
      </w:r>
      <w:r>
        <w:t xml:space="preserve"> The Department has based this cost estimate on limited industry data.</w:t>
      </w:r>
    </w:p>
  </w:footnote>
  <w:footnote w:id="7">
    <w:p w14:paraId="0F0105F5" w14:textId="77777777" w:rsidR="008E7626" w:rsidRDefault="008E7626" w:rsidP="006962D3">
      <w:pPr>
        <w:pStyle w:val="FootnoteText"/>
      </w:pPr>
      <w:r>
        <w:rPr>
          <w:rStyle w:val="FootnoteReference"/>
        </w:rPr>
        <w:footnoteRef/>
      </w:r>
      <w:r>
        <w:t xml:space="preserve"> The Department has based this cost estimate on limited industry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5DB25" w14:textId="77777777" w:rsidR="008E7626" w:rsidRDefault="008E7626" w:rsidP="00102497">
    <w:pPr>
      <w:rPr>
        <w:sz w:val="20"/>
        <w:szCs w:val="20"/>
      </w:rPr>
    </w:pPr>
    <w:r>
      <w:rPr>
        <w:sz w:val="20"/>
        <w:szCs w:val="20"/>
      </w:rPr>
      <w:t xml:space="preserve">Statutory </w:t>
    </w:r>
    <w:r w:rsidRPr="00DE0FF8">
      <w:rPr>
        <w:sz w:val="20"/>
        <w:szCs w:val="20"/>
      </w:rPr>
      <w:t>Exemption for the Provision of</w:t>
    </w:r>
    <w:r>
      <w:rPr>
        <w:sz w:val="20"/>
        <w:szCs w:val="20"/>
      </w:rPr>
      <w:t xml:space="preserve"> Investment Advice </w:t>
    </w:r>
    <w:r w:rsidRPr="00DE0FF8">
      <w:rPr>
        <w:sz w:val="20"/>
        <w:szCs w:val="20"/>
      </w:rPr>
      <w:t>to Participants</w:t>
    </w:r>
  </w:p>
  <w:p w14:paraId="2A24D363" w14:textId="77777777" w:rsidR="008E7626" w:rsidRDefault="008E7626" w:rsidP="00BC1AFB">
    <w:pPr>
      <w:rPr>
        <w:sz w:val="20"/>
        <w:szCs w:val="20"/>
      </w:rPr>
    </w:pPr>
    <w:r w:rsidRPr="00DE0FF8">
      <w:rPr>
        <w:sz w:val="20"/>
        <w:szCs w:val="20"/>
      </w:rPr>
      <w:t>and Beneficiaries</w:t>
    </w:r>
    <w:r>
      <w:rPr>
        <w:sz w:val="20"/>
        <w:szCs w:val="20"/>
      </w:rPr>
      <w:t xml:space="preserve"> </w:t>
    </w:r>
    <w:r w:rsidRPr="00DE0FF8">
      <w:rPr>
        <w:sz w:val="20"/>
        <w:szCs w:val="20"/>
      </w:rPr>
      <w:t>of Self-Directed Individual Account Plans and IRAs</w:t>
    </w:r>
  </w:p>
  <w:p w14:paraId="61CE589A" w14:textId="77777777" w:rsidR="008E7626" w:rsidRPr="00DE0FF8" w:rsidRDefault="008E7626" w:rsidP="00BC1AFB">
    <w:pPr>
      <w:rPr>
        <w:sz w:val="20"/>
        <w:szCs w:val="20"/>
      </w:rPr>
    </w:pPr>
    <w:r>
      <w:rPr>
        <w:sz w:val="20"/>
        <w:szCs w:val="20"/>
      </w:rPr>
      <w:t>OMB Control Number 1210-0134</w:t>
    </w:r>
  </w:p>
  <w:p w14:paraId="4429EB67" w14:textId="77777777" w:rsidR="008E7626" w:rsidRDefault="008E7626" w:rsidP="00BC1AFB">
    <w:pPr>
      <w:rPr>
        <w:sz w:val="20"/>
        <w:szCs w:val="20"/>
      </w:rPr>
    </w:pPr>
    <w:r>
      <w:rPr>
        <w:sz w:val="20"/>
        <w:szCs w:val="20"/>
      </w:rPr>
      <w:t>Expiration Date: 2/28/2021</w:t>
    </w:r>
  </w:p>
  <w:p w14:paraId="1738B7FF" w14:textId="77777777" w:rsidR="008E7626" w:rsidRPr="00DE0FF8" w:rsidRDefault="008E7626" w:rsidP="00102497">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C5525C8E"/>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5D457C4"/>
    <w:multiLevelType w:val="hybridMultilevel"/>
    <w:tmpl w:val="7F4AC0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51293"/>
    <w:multiLevelType w:val="hybridMultilevel"/>
    <w:tmpl w:val="643CC478"/>
    <w:lvl w:ilvl="0" w:tplc="0FA47EEA">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F1448"/>
    <w:multiLevelType w:val="hybridMultilevel"/>
    <w:tmpl w:val="43904EB6"/>
    <w:lvl w:ilvl="0" w:tplc="EF44B8F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2204C1"/>
    <w:multiLevelType w:val="hybridMultilevel"/>
    <w:tmpl w:val="50FA0ECA"/>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A3573D"/>
    <w:multiLevelType w:val="hybridMultilevel"/>
    <w:tmpl w:val="EF2ACF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D92740E"/>
    <w:multiLevelType w:val="hybridMultilevel"/>
    <w:tmpl w:val="3CD2A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244CCC"/>
    <w:multiLevelType w:val="hybridMultilevel"/>
    <w:tmpl w:val="FB32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E3020"/>
    <w:multiLevelType w:val="hybridMultilevel"/>
    <w:tmpl w:val="58E0EA50"/>
    <w:lvl w:ilvl="0" w:tplc="04090019">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5BE00B9"/>
    <w:multiLevelType w:val="hybridMultilevel"/>
    <w:tmpl w:val="FA8EE2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B2831"/>
    <w:multiLevelType w:val="hybridMultilevel"/>
    <w:tmpl w:val="58922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1627C"/>
    <w:multiLevelType w:val="hybridMultilevel"/>
    <w:tmpl w:val="EDA0B4E6"/>
    <w:lvl w:ilvl="0" w:tplc="C2AE3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7B14AA"/>
    <w:multiLevelType w:val="hybridMultilevel"/>
    <w:tmpl w:val="E95AA7E8"/>
    <w:lvl w:ilvl="0" w:tplc="FE86146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1D5746"/>
    <w:multiLevelType w:val="hybridMultilevel"/>
    <w:tmpl w:val="A3D806FE"/>
    <w:lvl w:ilvl="0" w:tplc="7FFA07A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20702"/>
    <w:multiLevelType w:val="hybridMultilevel"/>
    <w:tmpl w:val="64E8B21A"/>
    <w:lvl w:ilvl="0" w:tplc="3C54BE62">
      <w:start w:val="1"/>
      <w:numFmt w:val="lowerLetter"/>
      <w:lvlText w:val="%1."/>
      <w:lvlJc w:val="left"/>
      <w:pPr>
        <w:tabs>
          <w:tab w:val="num" w:pos="720"/>
        </w:tabs>
        <w:ind w:left="720" w:hanging="720"/>
      </w:pPr>
      <w:rPr>
        <w:rFonts w:hint="default"/>
        <w:b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7D20630"/>
    <w:multiLevelType w:val="hybridMultilevel"/>
    <w:tmpl w:val="9626A2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8336D6"/>
    <w:multiLevelType w:val="hybridMultilevel"/>
    <w:tmpl w:val="0EC0396C"/>
    <w:lvl w:ilvl="0" w:tplc="68B2C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672CAB"/>
    <w:multiLevelType w:val="hybridMultilevel"/>
    <w:tmpl w:val="BA3871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5E1F71"/>
    <w:multiLevelType w:val="hybridMultilevel"/>
    <w:tmpl w:val="ED0EF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rPr>
          <w:rFonts w:ascii="Times New Roman" w:hAnsi="Times New Roman" w:cs="Times New Roman" w:hint="default"/>
        </w:rPr>
      </w:lvl>
    </w:lvlOverride>
  </w:num>
  <w:num w:numId="2">
    <w:abstractNumId w:val="14"/>
  </w:num>
  <w:num w:numId="3">
    <w:abstractNumId w:val="8"/>
  </w:num>
  <w:num w:numId="4">
    <w:abstractNumId w:val="4"/>
  </w:num>
  <w:num w:numId="5">
    <w:abstractNumId w:val="17"/>
  </w:num>
  <w:num w:numId="6">
    <w:abstractNumId w:val="18"/>
  </w:num>
  <w:num w:numId="7">
    <w:abstractNumId w:val="10"/>
  </w:num>
  <w:num w:numId="8">
    <w:abstractNumId w:val="5"/>
  </w:num>
  <w:num w:numId="9">
    <w:abstractNumId w:val="9"/>
  </w:num>
  <w:num w:numId="10">
    <w:abstractNumId w:val="0"/>
    <w:lvlOverride w:ilvl="0">
      <w:lvl w:ilvl="0">
        <w:start w:val="1"/>
        <w:numFmt w:val="decimal"/>
        <w:pStyle w:val="Quick1"/>
        <w:lvlText w:val="%1."/>
        <w:lvlJc w:val="left"/>
        <w:rPr>
          <w:rFonts w:ascii="Times New Roman" w:hAnsi="Times New Roman" w:cs="Times New Roman" w:hint="default"/>
        </w:rPr>
      </w:lvl>
    </w:lvlOverride>
  </w:num>
  <w:num w:numId="11">
    <w:abstractNumId w:val="15"/>
  </w:num>
  <w:num w:numId="12">
    <w:abstractNumId w:val="0"/>
    <w:lvlOverride w:ilvl="0">
      <w:lvl w:ilvl="0">
        <w:start w:val="1"/>
        <w:numFmt w:val="decimal"/>
        <w:pStyle w:val="Quick1"/>
        <w:lvlText w:val="%1."/>
        <w:lvlJc w:val="left"/>
        <w:pPr>
          <w:ind w:left="0" w:firstLine="0"/>
        </w:pPr>
        <w:rPr>
          <w:rFonts w:ascii="Times New Roman" w:hAnsi="Times New Roman" w:cs="Times New Roman" w:hint="default"/>
          <w:sz w:val="24"/>
          <w:szCs w:val="24"/>
        </w:rPr>
      </w:lvl>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1"/>
  </w:num>
  <w:num w:numId="18">
    <w:abstractNumId w:val="12"/>
  </w:num>
  <w:num w:numId="19">
    <w:abstractNumId w:val="13"/>
  </w:num>
  <w:num w:numId="20">
    <w:abstractNumId w:val="11"/>
  </w:num>
  <w:num w:numId="21">
    <w:abstractNumId w:val="16"/>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9E"/>
    <w:rsid w:val="000011BA"/>
    <w:rsid w:val="000014FB"/>
    <w:rsid w:val="00003B6E"/>
    <w:rsid w:val="000042BA"/>
    <w:rsid w:val="000050A8"/>
    <w:rsid w:val="000065EC"/>
    <w:rsid w:val="000075CC"/>
    <w:rsid w:val="00007665"/>
    <w:rsid w:val="000111A7"/>
    <w:rsid w:val="000129BB"/>
    <w:rsid w:val="0001644C"/>
    <w:rsid w:val="00017981"/>
    <w:rsid w:val="00017B34"/>
    <w:rsid w:val="00017DF6"/>
    <w:rsid w:val="00017FD6"/>
    <w:rsid w:val="00022F53"/>
    <w:rsid w:val="00023C66"/>
    <w:rsid w:val="00023D52"/>
    <w:rsid w:val="000240F8"/>
    <w:rsid w:val="00024E82"/>
    <w:rsid w:val="0002722C"/>
    <w:rsid w:val="0003068E"/>
    <w:rsid w:val="00030E46"/>
    <w:rsid w:val="00031433"/>
    <w:rsid w:val="00031895"/>
    <w:rsid w:val="00036E48"/>
    <w:rsid w:val="00037236"/>
    <w:rsid w:val="00037F23"/>
    <w:rsid w:val="00043369"/>
    <w:rsid w:val="00044567"/>
    <w:rsid w:val="00044812"/>
    <w:rsid w:val="000466B2"/>
    <w:rsid w:val="00046C24"/>
    <w:rsid w:val="000477AD"/>
    <w:rsid w:val="000479FD"/>
    <w:rsid w:val="000503D1"/>
    <w:rsid w:val="00052EF1"/>
    <w:rsid w:val="0005313B"/>
    <w:rsid w:val="00053A88"/>
    <w:rsid w:val="000547C5"/>
    <w:rsid w:val="00055B1A"/>
    <w:rsid w:val="00056DA6"/>
    <w:rsid w:val="00057B1F"/>
    <w:rsid w:val="00061778"/>
    <w:rsid w:val="000627CB"/>
    <w:rsid w:val="000642B2"/>
    <w:rsid w:val="000654F3"/>
    <w:rsid w:val="0006602D"/>
    <w:rsid w:val="0006676B"/>
    <w:rsid w:val="00070032"/>
    <w:rsid w:val="000715D5"/>
    <w:rsid w:val="00071B10"/>
    <w:rsid w:val="00072619"/>
    <w:rsid w:val="00073A2D"/>
    <w:rsid w:val="00074703"/>
    <w:rsid w:val="00082911"/>
    <w:rsid w:val="00082BB5"/>
    <w:rsid w:val="00083332"/>
    <w:rsid w:val="000843B0"/>
    <w:rsid w:val="00085305"/>
    <w:rsid w:val="0008590B"/>
    <w:rsid w:val="00085FC1"/>
    <w:rsid w:val="000864D4"/>
    <w:rsid w:val="00087720"/>
    <w:rsid w:val="00087ED9"/>
    <w:rsid w:val="000926E1"/>
    <w:rsid w:val="00095D1F"/>
    <w:rsid w:val="000A0E99"/>
    <w:rsid w:val="000A2FD9"/>
    <w:rsid w:val="000A4F76"/>
    <w:rsid w:val="000A5B77"/>
    <w:rsid w:val="000A651C"/>
    <w:rsid w:val="000B3BA6"/>
    <w:rsid w:val="000B7B05"/>
    <w:rsid w:val="000B7F20"/>
    <w:rsid w:val="000C0475"/>
    <w:rsid w:val="000C2A2F"/>
    <w:rsid w:val="000C2B7D"/>
    <w:rsid w:val="000C3859"/>
    <w:rsid w:val="000C438C"/>
    <w:rsid w:val="000C4673"/>
    <w:rsid w:val="000C496F"/>
    <w:rsid w:val="000C4A04"/>
    <w:rsid w:val="000C523E"/>
    <w:rsid w:val="000C55CC"/>
    <w:rsid w:val="000C7D95"/>
    <w:rsid w:val="000D0535"/>
    <w:rsid w:val="000D0BCB"/>
    <w:rsid w:val="000D3B57"/>
    <w:rsid w:val="000D455D"/>
    <w:rsid w:val="000D4BD0"/>
    <w:rsid w:val="000D512D"/>
    <w:rsid w:val="000D585D"/>
    <w:rsid w:val="000D776D"/>
    <w:rsid w:val="000E2029"/>
    <w:rsid w:val="000E27AA"/>
    <w:rsid w:val="000E2A34"/>
    <w:rsid w:val="000E30B5"/>
    <w:rsid w:val="000E31A7"/>
    <w:rsid w:val="000E38C2"/>
    <w:rsid w:val="000E4941"/>
    <w:rsid w:val="000E73E5"/>
    <w:rsid w:val="000F2058"/>
    <w:rsid w:val="000F293C"/>
    <w:rsid w:val="000F3C44"/>
    <w:rsid w:val="000F3FE2"/>
    <w:rsid w:val="000F4FB1"/>
    <w:rsid w:val="000F5903"/>
    <w:rsid w:val="000F6358"/>
    <w:rsid w:val="000F6A67"/>
    <w:rsid w:val="000F752D"/>
    <w:rsid w:val="000F78FE"/>
    <w:rsid w:val="001004DB"/>
    <w:rsid w:val="00102497"/>
    <w:rsid w:val="0010322B"/>
    <w:rsid w:val="00104DC1"/>
    <w:rsid w:val="001068E1"/>
    <w:rsid w:val="00107E50"/>
    <w:rsid w:val="0011199A"/>
    <w:rsid w:val="001123A9"/>
    <w:rsid w:val="00112CEA"/>
    <w:rsid w:val="00113D5F"/>
    <w:rsid w:val="0011547C"/>
    <w:rsid w:val="001176A4"/>
    <w:rsid w:val="00117B8A"/>
    <w:rsid w:val="00117F31"/>
    <w:rsid w:val="00120576"/>
    <w:rsid w:val="00120FEF"/>
    <w:rsid w:val="00121212"/>
    <w:rsid w:val="00123687"/>
    <w:rsid w:val="00125DA9"/>
    <w:rsid w:val="0012620F"/>
    <w:rsid w:val="00126C5A"/>
    <w:rsid w:val="0013062D"/>
    <w:rsid w:val="001352D6"/>
    <w:rsid w:val="00137D3C"/>
    <w:rsid w:val="00140260"/>
    <w:rsid w:val="00142E7A"/>
    <w:rsid w:val="00143900"/>
    <w:rsid w:val="00144FB9"/>
    <w:rsid w:val="00146B9F"/>
    <w:rsid w:val="001474E2"/>
    <w:rsid w:val="00147F0A"/>
    <w:rsid w:val="00151EC8"/>
    <w:rsid w:val="00156603"/>
    <w:rsid w:val="001568BC"/>
    <w:rsid w:val="00157835"/>
    <w:rsid w:val="00160E73"/>
    <w:rsid w:val="00162FFA"/>
    <w:rsid w:val="001649F7"/>
    <w:rsid w:val="00166BBC"/>
    <w:rsid w:val="00166F9A"/>
    <w:rsid w:val="0016735E"/>
    <w:rsid w:val="00171EB9"/>
    <w:rsid w:val="00172B71"/>
    <w:rsid w:val="00173AA0"/>
    <w:rsid w:val="00174468"/>
    <w:rsid w:val="00175544"/>
    <w:rsid w:val="00175DCB"/>
    <w:rsid w:val="00176E62"/>
    <w:rsid w:val="00177531"/>
    <w:rsid w:val="00177F35"/>
    <w:rsid w:val="00180A1E"/>
    <w:rsid w:val="00180D07"/>
    <w:rsid w:val="00181E6D"/>
    <w:rsid w:val="00184A67"/>
    <w:rsid w:val="00184DBB"/>
    <w:rsid w:val="0018588E"/>
    <w:rsid w:val="00186B38"/>
    <w:rsid w:val="00186CED"/>
    <w:rsid w:val="00190727"/>
    <w:rsid w:val="00191D92"/>
    <w:rsid w:val="001978EB"/>
    <w:rsid w:val="001A03DD"/>
    <w:rsid w:val="001A1A65"/>
    <w:rsid w:val="001A4091"/>
    <w:rsid w:val="001A4EF6"/>
    <w:rsid w:val="001A761E"/>
    <w:rsid w:val="001A7BD2"/>
    <w:rsid w:val="001B021B"/>
    <w:rsid w:val="001B04BD"/>
    <w:rsid w:val="001B46FC"/>
    <w:rsid w:val="001B5E20"/>
    <w:rsid w:val="001B73DB"/>
    <w:rsid w:val="001C0634"/>
    <w:rsid w:val="001C3F07"/>
    <w:rsid w:val="001C4DDA"/>
    <w:rsid w:val="001C5F86"/>
    <w:rsid w:val="001C6225"/>
    <w:rsid w:val="001C6FE4"/>
    <w:rsid w:val="001D193F"/>
    <w:rsid w:val="001D54BC"/>
    <w:rsid w:val="001D5C23"/>
    <w:rsid w:val="001D6307"/>
    <w:rsid w:val="001D6391"/>
    <w:rsid w:val="001D6E63"/>
    <w:rsid w:val="001D7079"/>
    <w:rsid w:val="001E190F"/>
    <w:rsid w:val="001E3E35"/>
    <w:rsid w:val="001E5638"/>
    <w:rsid w:val="001E5C2C"/>
    <w:rsid w:val="001E6DE5"/>
    <w:rsid w:val="001F2BCD"/>
    <w:rsid w:val="00200EE2"/>
    <w:rsid w:val="002016D4"/>
    <w:rsid w:val="00201C2E"/>
    <w:rsid w:val="00202A0D"/>
    <w:rsid w:val="00202BB5"/>
    <w:rsid w:val="0020470C"/>
    <w:rsid w:val="0021152E"/>
    <w:rsid w:val="00211875"/>
    <w:rsid w:val="00211E75"/>
    <w:rsid w:val="00213E6A"/>
    <w:rsid w:val="00214BFB"/>
    <w:rsid w:val="00215A1D"/>
    <w:rsid w:val="002162A6"/>
    <w:rsid w:val="00231DA3"/>
    <w:rsid w:val="00231EB3"/>
    <w:rsid w:val="00232762"/>
    <w:rsid w:val="002338B4"/>
    <w:rsid w:val="0023495B"/>
    <w:rsid w:val="0023556A"/>
    <w:rsid w:val="002363C0"/>
    <w:rsid w:val="0024082B"/>
    <w:rsid w:val="00242934"/>
    <w:rsid w:val="00245F7C"/>
    <w:rsid w:val="002464FB"/>
    <w:rsid w:val="00246677"/>
    <w:rsid w:val="002516FE"/>
    <w:rsid w:val="002535B5"/>
    <w:rsid w:val="00260441"/>
    <w:rsid w:val="00260EF5"/>
    <w:rsid w:val="002621E0"/>
    <w:rsid w:val="00265D1C"/>
    <w:rsid w:val="00266184"/>
    <w:rsid w:val="002668AF"/>
    <w:rsid w:val="00266E70"/>
    <w:rsid w:val="00267375"/>
    <w:rsid w:val="00267630"/>
    <w:rsid w:val="00271254"/>
    <w:rsid w:val="00271FD5"/>
    <w:rsid w:val="00272500"/>
    <w:rsid w:val="00272AC9"/>
    <w:rsid w:val="002741D3"/>
    <w:rsid w:val="002747D9"/>
    <w:rsid w:val="00274990"/>
    <w:rsid w:val="00274A6F"/>
    <w:rsid w:val="00275B44"/>
    <w:rsid w:val="00280013"/>
    <w:rsid w:val="00280FF7"/>
    <w:rsid w:val="00281A25"/>
    <w:rsid w:val="00281C6E"/>
    <w:rsid w:val="00282008"/>
    <w:rsid w:val="00283282"/>
    <w:rsid w:val="00287A61"/>
    <w:rsid w:val="00287FAE"/>
    <w:rsid w:val="00292313"/>
    <w:rsid w:val="00292B24"/>
    <w:rsid w:val="00293915"/>
    <w:rsid w:val="0029464C"/>
    <w:rsid w:val="002954E3"/>
    <w:rsid w:val="00297033"/>
    <w:rsid w:val="002A0B91"/>
    <w:rsid w:val="002A2616"/>
    <w:rsid w:val="002A39F5"/>
    <w:rsid w:val="002A441F"/>
    <w:rsid w:val="002A4B8D"/>
    <w:rsid w:val="002B0599"/>
    <w:rsid w:val="002B294C"/>
    <w:rsid w:val="002B3477"/>
    <w:rsid w:val="002B3C08"/>
    <w:rsid w:val="002B3D57"/>
    <w:rsid w:val="002B3D5E"/>
    <w:rsid w:val="002B4190"/>
    <w:rsid w:val="002B505C"/>
    <w:rsid w:val="002B73A6"/>
    <w:rsid w:val="002B7699"/>
    <w:rsid w:val="002C1722"/>
    <w:rsid w:val="002C2EBE"/>
    <w:rsid w:val="002C3A5E"/>
    <w:rsid w:val="002C5870"/>
    <w:rsid w:val="002D0FA9"/>
    <w:rsid w:val="002D4FB5"/>
    <w:rsid w:val="002D5CDB"/>
    <w:rsid w:val="002D68D3"/>
    <w:rsid w:val="002D6E77"/>
    <w:rsid w:val="002E231B"/>
    <w:rsid w:val="002E2877"/>
    <w:rsid w:val="002E430E"/>
    <w:rsid w:val="002F1DE1"/>
    <w:rsid w:val="002F4648"/>
    <w:rsid w:val="002F5B15"/>
    <w:rsid w:val="002F613A"/>
    <w:rsid w:val="002F64D3"/>
    <w:rsid w:val="002F65CC"/>
    <w:rsid w:val="002F7A03"/>
    <w:rsid w:val="00300005"/>
    <w:rsid w:val="00301380"/>
    <w:rsid w:val="00301712"/>
    <w:rsid w:val="00301E31"/>
    <w:rsid w:val="003026F8"/>
    <w:rsid w:val="00305E2E"/>
    <w:rsid w:val="00310760"/>
    <w:rsid w:val="00310AD2"/>
    <w:rsid w:val="003134B3"/>
    <w:rsid w:val="00314808"/>
    <w:rsid w:val="00321FD7"/>
    <w:rsid w:val="00322CBB"/>
    <w:rsid w:val="00324723"/>
    <w:rsid w:val="00326E70"/>
    <w:rsid w:val="00330CCC"/>
    <w:rsid w:val="0033214A"/>
    <w:rsid w:val="0033271F"/>
    <w:rsid w:val="00340E85"/>
    <w:rsid w:val="0034282D"/>
    <w:rsid w:val="0034352F"/>
    <w:rsid w:val="003446F3"/>
    <w:rsid w:val="00344E1E"/>
    <w:rsid w:val="00344F91"/>
    <w:rsid w:val="003453A6"/>
    <w:rsid w:val="00346D01"/>
    <w:rsid w:val="0034791B"/>
    <w:rsid w:val="0035161C"/>
    <w:rsid w:val="0035335F"/>
    <w:rsid w:val="0035361B"/>
    <w:rsid w:val="003559B3"/>
    <w:rsid w:val="00356B59"/>
    <w:rsid w:val="00356C6D"/>
    <w:rsid w:val="0036064A"/>
    <w:rsid w:val="0036085F"/>
    <w:rsid w:val="00361BD8"/>
    <w:rsid w:val="00365687"/>
    <w:rsid w:val="00367110"/>
    <w:rsid w:val="003672DE"/>
    <w:rsid w:val="00372AE1"/>
    <w:rsid w:val="00373571"/>
    <w:rsid w:val="0037394C"/>
    <w:rsid w:val="0037411A"/>
    <w:rsid w:val="00375226"/>
    <w:rsid w:val="00376088"/>
    <w:rsid w:val="00376BC8"/>
    <w:rsid w:val="00377A10"/>
    <w:rsid w:val="00380A8E"/>
    <w:rsid w:val="00381536"/>
    <w:rsid w:val="00381B00"/>
    <w:rsid w:val="00382A80"/>
    <w:rsid w:val="0038420C"/>
    <w:rsid w:val="003946A5"/>
    <w:rsid w:val="0039625E"/>
    <w:rsid w:val="00397239"/>
    <w:rsid w:val="00397A54"/>
    <w:rsid w:val="003A0DBA"/>
    <w:rsid w:val="003A0E62"/>
    <w:rsid w:val="003A12EF"/>
    <w:rsid w:val="003A1784"/>
    <w:rsid w:val="003A3D8B"/>
    <w:rsid w:val="003A4E53"/>
    <w:rsid w:val="003A5AFA"/>
    <w:rsid w:val="003B0F04"/>
    <w:rsid w:val="003B0F56"/>
    <w:rsid w:val="003B294F"/>
    <w:rsid w:val="003B39DB"/>
    <w:rsid w:val="003B3DDC"/>
    <w:rsid w:val="003B4EF5"/>
    <w:rsid w:val="003B6841"/>
    <w:rsid w:val="003B7998"/>
    <w:rsid w:val="003C140F"/>
    <w:rsid w:val="003C180A"/>
    <w:rsid w:val="003C2672"/>
    <w:rsid w:val="003C348C"/>
    <w:rsid w:val="003C3C56"/>
    <w:rsid w:val="003C7B39"/>
    <w:rsid w:val="003C7D16"/>
    <w:rsid w:val="003D0F46"/>
    <w:rsid w:val="003D0F8C"/>
    <w:rsid w:val="003D0FCC"/>
    <w:rsid w:val="003D3158"/>
    <w:rsid w:val="003D317B"/>
    <w:rsid w:val="003D7938"/>
    <w:rsid w:val="003E0FFA"/>
    <w:rsid w:val="003E1762"/>
    <w:rsid w:val="003E2D29"/>
    <w:rsid w:val="003E37AC"/>
    <w:rsid w:val="003E480B"/>
    <w:rsid w:val="003E5578"/>
    <w:rsid w:val="003E5708"/>
    <w:rsid w:val="003E7CE8"/>
    <w:rsid w:val="003F01E0"/>
    <w:rsid w:val="003F14DA"/>
    <w:rsid w:val="003F1874"/>
    <w:rsid w:val="003F1B75"/>
    <w:rsid w:val="003F2C59"/>
    <w:rsid w:val="003F4770"/>
    <w:rsid w:val="003F51C2"/>
    <w:rsid w:val="003F7A4E"/>
    <w:rsid w:val="003F7E9A"/>
    <w:rsid w:val="00400F38"/>
    <w:rsid w:val="00401870"/>
    <w:rsid w:val="00402FD1"/>
    <w:rsid w:val="00403DEC"/>
    <w:rsid w:val="00404831"/>
    <w:rsid w:val="00405476"/>
    <w:rsid w:val="0041029E"/>
    <w:rsid w:val="00410BFA"/>
    <w:rsid w:val="004131B6"/>
    <w:rsid w:val="00413E80"/>
    <w:rsid w:val="00415AEB"/>
    <w:rsid w:val="00416614"/>
    <w:rsid w:val="004166ED"/>
    <w:rsid w:val="004168A3"/>
    <w:rsid w:val="00425D7C"/>
    <w:rsid w:val="004273E5"/>
    <w:rsid w:val="004307A3"/>
    <w:rsid w:val="00432A87"/>
    <w:rsid w:val="00432A93"/>
    <w:rsid w:val="0043407E"/>
    <w:rsid w:val="0043499E"/>
    <w:rsid w:val="00435805"/>
    <w:rsid w:val="004359DB"/>
    <w:rsid w:val="0043735A"/>
    <w:rsid w:val="0044189A"/>
    <w:rsid w:val="0044691C"/>
    <w:rsid w:val="004470F7"/>
    <w:rsid w:val="0045149C"/>
    <w:rsid w:val="00451C0C"/>
    <w:rsid w:val="00453E7D"/>
    <w:rsid w:val="00454255"/>
    <w:rsid w:val="0045470F"/>
    <w:rsid w:val="004549E6"/>
    <w:rsid w:val="00460249"/>
    <w:rsid w:val="004638EC"/>
    <w:rsid w:val="00463D85"/>
    <w:rsid w:val="00464092"/>
    <w:rsid w:val="00464760"/>
    <w:rsid w:val="004650D3"/>
    <w:rsid w:val="004651B1"/>
    <w:rsid w:val="00466C0A"/>
    <w:rsid w:val="00466ECC"/>
    <w:rsid w:val="0046774C"/>
    <w:rsid w:val="00472E08"/>
    <w:rsid w:val="004735B3"/>
    <w:rsid w:val="00473746"/>
    <w:rsid w:val="004753B3"/>
    <w:rsid w:val="0048198A"/>
    <w:rsid w:val="00482534"/>
    <w:rsid w:val="004825F2"/>
    <w:rsid w:val="004841CB"/>
    <w:rsid w:val="00484D5E"/>
    <w:rsid w:val="0048621A"/>
    <w:rsid w:val="00491068"/>
    <w:rsid w:val="00491D4A"/>
    <w:rsid w:val="00494626"/>
    <w:rsid w:val="00497C99"/>
    <w:rsid w:val="004A01C3"/>
    <w:rsid w:val="004A303D"/>
    <w:rsid w:val="004A3F84"/>
    <w:rsid w:val="004A724F"/>
    <w:rsid w:val="004A7EC5"/>
    <w:rsid w:val="004B0E23"/>
    <w:rsid w:val="004B12E4"/>
    <w:rsid w:val="004B1C7F"/>
    <w:rsid w:val="004B2A8B"/>
    <w:rsid w:val="004B2EE0"/>
    <w:rsid w:val="004B33C3"/>
    <w:rsid w:val="004B5439"/>
    <w:rsid w:val="004B6F62"/>
    <w:rsid w:val="004B7076"/>
    <w:rsid w:val="004B7A90"/>
    <w:rsid w:val="004C0C83"/>
    <w:rsid w:val="004C1777"/>
    <w:rsid w:val="004C25B2"/>
    <w:rsid w:val="004C3D34"/>
    <w:rsid w:val="004C7EF3"/>
    <w:rsid w:val="004C7EF9"/>
    <w:rsid w:val="004D1BE8"/>
    <w:rsid w:val="004D2333"/>
    <w:rsid w:val="004D38EB"/>
    <w:rsid w:val="004D4128"/>
    <w:rsid w:val="004D4A19"/>
    <w:rsid w:val="004D6757"/>
    <w:rsid w:val="004D7E72"/>
    <w:rsid w:val="004E0570"/>
    <w:rsid w:val="004E0BA8"/>
    <w:rsid w:val="004E187A"/>
    <w:rsid w:val="004E1B31"/>
    <w:rsid w:val="004E1C9D"/>
    <w:rsid w:val="004E274E"/>
    <w:rsid w:val="004E43D1"/>
    <w:rsid w:val="004F22CB"/>
    <w:rsid w:val="004F3001"/>
    <w:rsid w:val="004F3AD8"/>
    <w:rsid w:val="004F6A14"/>
    <w:rsid w:val="004F6C6B"/>
    <w:rsid w:val="004F754B"/>
    <w:rsid w:val="004F756D"/>
    <w:rsid w:val="004F7D3F"/>
    <w:rsid w:val="00503B6A"/>
    <w:rsid w:val="00504775"/>
    <w:rsid w:val="00505184"/>
    <w:rsid w:val="005064DA"/>
    <w:rsid w:val="00506695"/>
    <w:rsid w:val="005074FE"/>
    <w:rsid w:val="00511259"/>
    <w:rsid w:val="00511BC6"/>
    <w:rsid w:val="00511DEF"/>
    <w:rsid w:val="005130B3"/>
    <w:rsid w:val="00515948"/>
    <w:rsid w:val="00515D05"/>
    <w:rsid w:val="005160AF"/>
    <w:rsid w:val="0051624C"/>
    <w:rsid w:val="005162DD"/>
    <w:rsid w:val="00517D4D"/>
    <w:rsid w:val="00522160"/>
    <w:rsid w:val="00523110"/>
    <w:rsid w:val="00523A59"/>
    <w:rsid w:val="005259AB"/>
    <w:rsid w:val="00530837"/>
    <w:rsid w:val="00530A78"/>
    <w:rsid w:val="00531E9B"/>
    <w:rsid w:val="00532286"/>
    <w:rsid w:val="00532616"/>
    <w:rsid w:val="00532729"/>
    <w:rsid w:val="00532848"/>
    <w:rsid w:val="005331C5"/>
    <w:rsid w:val="00535997"/>
    <w:rsid w:val="005376D7"/>
    <w:rsid w:val="00540106"/>
    <w:rsid w:val="00546345"/>
    <w:rsid w:val="00547F2A"/>
    <w:rsid w:val="00552944"/>
    <w:rsid w:val="0055668F"/>
    <w:rsid w:val="00556861"/>
    <w:rsid w:val="005575F2"/>
    <w:rsid w:val="00560391"/>
    <w:rsid w:val="0056066A"/>
    <w:rsid w:val="005607CA"/>
    <w:rsid w:val="0056180C"/>
    <w:rsid w:val="00562F4D"/>
    <w:rsid w:val="005647D8"/>
    <w:rsid w:val="005664B3"/>
    <w:rsid w:val="005664BE"/>
    <w:rsid w:val="0056749A"/>
    <w:rsid w:val="00570DAE"/>
    <w:rsid w:val="00574A60"/>
    <w:rsid w:val="0057539F"/>
    <w:rsid w:val="005753B0"/>
    <w:rsid w:val="00582D00"/>
    <w:rsid w:val="005856E4"/>
    <w:rsid w:val="00585C3B"/>
    <w:rsid w:val="00592B22"/>
    <w:rsid w:val="005958A0"/>
    <w:rsid w:val="00595C53"/>
    <w:rsid w:val="00596096"/>
    <w:rsid w:val="005A168D"/>
    <w:rsid w:val="005A2CAB"/>
    <w:rsid w:val="005A4553"/>
    <w:rsid w:val="005B0F0C"/>
    <w:rsid w:val="005B3BA0"/>
    <w:rsid w:val="005B3BF2"/>
    <w:rsid w:val="005B3EAA"/>
    <w:rsid w:val="005B4A00"/>
    <w:rsid w:val="005B5D75"/>
    <w:rsid w:val="005B702E"/>
    <w:rsid w:val="005B723F"/>
    <w:rsid w:val="005B780D"/>
    <w:rsid w:val="005C0B84"/>
    <w:rsid w:val="005C31AA"/>
    <w:rsid w:val="005C46C5"/>
    <w:rsid w:val="005C6A55"/>
    <w:rsid w:val="005C6CF0"/>
    <w:rsid w:val="005C78CA"/>
    <w:rsid w:val="005C7CB2"/>
    <w:rsid w:val="005D0348"/>
    <w:rsid w:val="005D0E65"/>
    <w:rsid w:val="005D2F93"/>
    <w:rsid w:val="005D570E"/>
    <w:rsid w:val="005E04F4"/>
    <w:rsid w:val="005E10E4"/>
    <w:rsid w:val="005E6208"/>
    <w:rsid w:val="005F0B3F"/>
    <w:rsid w:val="005F110C"/>
    <w:rsid w:val="005F16F1"/>
    <w:rsid w:val="005F3A2B"/>
    <w:rsid w:val="006016F1"/>
    <w:rsid w:val="00601E86"/>
    <w:rsid w:val="00602134"/>
    <w:rsid w:val="00602172"/>
    <w:rsid w:val="00603025"/>
    <w:rsid w:val="0060442C"/>
    <w:rsid w:val="00604C4C"/>
    <w:rsid w:val="00605613"/>
    <w:rsid w:val="0060568C"/>
    <w:rsid w:val="006056B5"/>
    <w:rsid w:val="00605AC2"/>
    <w:rsid w:val="00605EFD"/>
    <w:rsid w:val="006125B8"/>
    <w:rsid w:val="00615056"/>
    <w:rsid w:val="00616335"/>
    <w:rsid w:val="00617D4B"/>
    <w:rsid w:val="0062213C"/>
    <w:rsid w:val="006265A8"/>
    <w:rsid w:val="006308C9"/>
    <w:rsid w:val="00630B5E"/>
    <w:rsid w:val="006325C3"/>
    <w:rsid w:val="00632A8B"/>
    <w:rsid w:val="006340F1"/>
    <w:rsid w:val="006370BA"/>
    <w:rsid w:val="006408B0"/>
    <w:rsid w:val="0064145A"/>
    <w:rsid w:val="00645509"/>
    <w:rsid w:val="006455FC"/>
    <w:rsid w:val="006459E7"/>
    <w:rsid w:val="00645ACE"/>
    <w:rsid w:val="0064648D"/>
    <w:rsid w:val="0064691C"/>
    <w:rsid w:val="00646FA0"/>
    <w:rsid w:val="0064711F"/>
    <w:rsid w:val="0065078C"/>
    <w:rsid w:val="00651367"/>
    <w:rsid w:val="00651A4C"/>
    <w:rsid w:val="00651E86"/>
    <w:rsid w:val="00653F1B"/>
    <w:rsid w:val="00655AA3"/>
    <w:rsid w:val="0065649D"/>
    <w:rsid w:val="00661D67"/>
    <w:rsid w:val="00664ABF"/>
    <w:rsid w:val="00664FC6"/>
    <w:rsid w:val="0066562E"/>
    <w:rsid w:val="006677FF"/>
    <w:rsid w:val="00670016"/>
    <w:rsid w:val="00670159"/>
    <w:rsid w:val="0067018C"/>
    <w:rsid w:val="00670C52"/>
    <w:rsid w:val="0067273E"/>
    <w:rsid w:val="00673C9F"/>
    <w:rsid w:val="006762F5"/>
    <w:rsid w:val="00676EFE"/>
    <w:rsid w:val="00680FDA"/>
    <w:rsid w:val="00685953"/>
    <w:rsid w:val="006863F7"/>
    <w:rsid w:val="006875CA"/>
    <w:rsid w:val="00687DE0"/>
    <w:rsid w:val="00690D32"/>
    <w:rsid w:val="00690FF2"/>
    <w:rsid w:val="0069116D"/>
    <w:rsid w:val="006921ED"/>
    <w:rsid w:val="00692A60"/>
    <w:rsid w:val="00692D70"/>
    <w:rsid w:val="00693923"/>
    <w:rsid w:val="00694521"/>
    <w:rsid w:val="0069482D"/>
    <w:rsid w:val="00696125"/>
    <w:rsid w:val="006962D3"/>
    <w:rsid w:val="0069765F"/>
    <w:rsid w:val="006A1893"/>
    <w:rsid w:val="006A1956"/>
    <w:rsid w:val="006A35AD"/>
    <w:rsid w:val="006A4496"/>
    <w:rsid w:val="006A5A49"/>
    <w:rsid w:val="006A7078"/>
    <w:rsid w:val="006A724D"/>
    <w:rsid w:val="006B27A4"/>
    <w:rsid w:val="006B2B4F"/>
    <w:rsid w:val="006B390F"/>
    <w:rsid w:val="006B41A7"/>
    <w:rsid w:val="006B4756"/>
    <w:rsid w:val="006B5521"/>
    <w:rsid w:val="006B5B9B"/>
    <w:rsid w:val="006B66ED"/>
    <w:rsid w:val="006B74C9"/>
    <w:rsid w:val="006C12B4"/>
    <w:rsid w:val="006C1C57"/>
    <w:rsid w:val="006C2049"/>
    <w:rsid w:val="006C2979"/>
    <w:rsid w:val="006C2AC2"/>
    <w:rsid w:val="006C31CF"/>
    <w:rsid w:val="006C5671"/>
    <w:rsid w:val="006C57B9"/>
    <w:rsid w:val="006C5E15"/>
    <w:rsid w:val="006C5F8E"/>
    <w:rsid w:val="006C7F2F"/>
    <w:rsid w:val="006D0588"/>
    <w:rsid w:val="006D1706"/>
    <w:rsid w:val="006D1DDF"/>
    <w:rsid w:val="006D2C6E"/>
    <w:rsid w:val="006D46BC"/>
    <w:rsid w:val="006D4E55"/>
    <w:rsid w:val="006D7895"/>
    <w:rsid w:val="006D7D83"/>
    <w:rsid w:val="006E2369"/>
    <w:rsid w:val="006E4FC1"/>
    <w:rsid w:val="006E5B4F"/>
    <w:rsid w:val="006F08FC"/>
    <w:rsid w:val="006F091C"/>
    <w:rsid w:val="006F0AE8"/>
    <w:rsid w:val="006F403E"/>
    <w:rsid w:val="006F47E4"/>
    <w:rsid w:val="006F64B8"/>
    <w:rsid w:val="006F7289"/>
    <w:rsid w:val="006F7CF0"/>
    <w:rsid w:val="00700755"/>
    <w:rsid w:val="00702251"/>
    <w:rsid w:val="00704445"/>
    <w:rsid w:val="00705B83"/>
    <w:rsid w:val="007067C2"/>
    <w:rsid w:val="00707281"/>
    <w:rsid w:val="00710354"/>
    <w:rsid w:val="00715172"/>
    <w:rsid w:val="007153AD"/>
    <w:rsid w:val="00715BBD"/>
    <w:rsid w:val="007174B6"/>
    <w:rsid w:val="0072013B"/>
    <w:rsid w:val="00722675"/>
    <w:rsid w:val="0072382B"/>
    <w:rsid w:val="0072575A"/>
    <w:rsid w:val="00725B76"/>
    <w:rsid w:val="00726626"/>
    <w:rsid w:val="0073150B"/>
    <w:rsid w:val="0073382B"/>
    <w:rsid w:val="007353BC"/>
    <w:rsid w:val="00735904"/>
    <w:rsid w:val="007375A9"/>
    <w:rsid w:val="00737DF2"/>
    <w:rsid w:val="00740C7B"/>
    <w:rsid w:val="0074168B"/>
    <w:rsid w:val="007463D6"/>
    <w:rsid w:val="00746948"/>
    <w:rsid w:val="00747A5B"/>
    <w:rsid w:val="007501C3"/>
    <w:rsid w:val="00751B1C"/>
    <w:rsid w:val="00751CF8"/>
    <w:rsid w:val="00752306"/>
    <w:rsid w:val="00756AC1"/>
    <w:rsid w:val="00760453"/>
    <w:rsid w:val="00760684"/>
    <w:rsid w:val="00760DF4"/>
    <w:rsid w:val="00761454"/>
    <w:rsid w:val="0076162A"/>
    <w:rsid w:val="00762347"/>
    <w:rsid w:val="00762BD2"/>
    <w:rsid w:val="00762D92"/>
    <w:rsid w:val="00763169"/>
    <w:rsid w:val="007631B1"/>
    <w:rsid w:val="0076327F"/>
    <w:rsid w:val="007663AC"/>
    <w:rsid w:val="00770746"/>
    <w:rsid w:val="007719BF"/>
    <w:rsid w:val="007720B5"/>
    <w:rsid w:val="00774580"/>
    <w:rsid w:val="00775255"/>
    <w:rsid w:val="00775384"/>
    <w:rsid w:val="00777932"/>
    <w:rsid w:val="00777984"/>
    <w:rsid w:val="00781115"/>
    <w:rsid w:val="0078122A"/>
    <w:rsid w:val="00781987"/>
    <w:rsid w:val="00783D7B"/>
    <w:rsid w:val="0078480E"/>
    <w:rsid w:val="00784AAA"/>
    <w:rsid w:val="00785C0B"/>
    <w:rsid w:val="00786EB3"/>
    <w:rsid w:val="0078788E"/>
    <w:rsid w:val="00787E83"/>
    <w:rsid w:val="00792265"/>
    <w:rsid w:val="00792E0E"/>
    <w:rsid w:val="0079351E"/>
    <w:rsid w:val="00793B6D"/>
    <w:rsid w:val="00794727"/>
    <w:rsid w:val="007960D2"/>
    <w:rsid w:val="007968A8"/>
    <w:rsid w:val="007A284A"/>
    <w:rsid w:val="007A3842"/>
    <w:rsid w:val="007A3995"/>
    <w:rsid w:val="007A39C7"/>
    <w:rsid w:val="007A3C69"/>
    <w:rsid w:val="007A3E6E"/>
    <w:rsid w:val="007A4D4A"/>
    <w:rsid w:val="007A4FE4"/>
    <w:rsid w:val="007A50CB"/>
    <w:rsid w:val="007B0017"/>
    <w:rsid w:val="007B2BAB"/>
    <w:rsid w:val="007B5959"/>
    <w:rsid w:val="007B6BF2"/>
    <w:rsid w:val="007B6D10"/>
    <w:rsid w:val="007B73BA"/>
    <w:rsid w:val="007B7A10"/>
    <w:rsid w:val="007C0AD2"/>
    <w:rsid w:val="007C380C"/>
    <w:rsid w:val="007C41BF"/>
    <w:rsid w:val="007C5217"/>
    <w:rsid w:val="007C5356"/>
    <w:rsid w:val="007D52C6"/>
    <w:rsid w:val="007D62EE"/>
    <w:rsid w:val="007D6618"/>
    <w:rsid w:val="007D7B66"/>
    <w:rsid w:val="007E17B3"/>
    <w:rsid w:val="007E29CC"/>
    <w:rsid w:val="007E5641"/>
    <w:rsid w:val="007F029A"/>
    <w:rsid w:val="007F08C7"/>
    <w:rsid w:val="007F2C26"/>
    <w:rsid w:val="007F496A"/>
    <w:rsid w:val="007F7107"/>
    <w:rsid w:val="007F71AD"/>
    <w:rsid w:val="007F77AA"/>
    <w:rsid w:val="0080198E"/>
    <w:rsid w:val="0080231E"/>
    <w:rsid w:val="008033A3"/>
    <w:rsid w:val="0080386D"/>
    <w:rsid w:val="00803B03"/>
    <w:rsid w:val="008051A3"/>
    <w:rsid w:val="008051E8"/>
    <w:rsid w:val="00806068"/>
    <w:rsid w:val="008108C4"/>
    <w:rsid w:val="00810967"/>
    <w:rsid w:val="00811BDE"/>
    <w:rsid w:val="00814362"/>
    <w:rsid w:val="00814404"/>
    <w:rsid w:val="00814818"/>
    <w:rsid w:val="008167AC"/>
    <w:rsid w:val="008171F4"/>
    <w:rsid w:val="008178B4"/>
    <w:rsid w:val="0082104C"/>
    <w:rsid w:val="00824239"/>
    <w:rsid w:val="00824DF1"/>
    <w:rsid w:val="00827DDA"/>
    <w:rsid w:val="0083053F"/>
    <w:rsid w:val="00831DA6"/>
    <w:rsid w:val="008334AC"/>
    <w:rsid w:val="0083430A"/>
    <w:rsid w:val="00835E75"/>
    <w:rsid w:val="008364E6"/>
    <w:rsid w:val="00837E01"/>
    <w:rsid w:val="00841F0E"/>
    <w:rsid w:val="008420E1"/>
    <w:rsid w:val="008429D7"/>
    <w:rsid w:val="00845867"/>
    <w:rsid w:val="008464EA"/>
    <w:rsid w:val="00847FA0"/>
    <w:rsid w:val="00855CCF"/>
    <w:rsid w:val="00855E05"/>
    <w:rsid w:val="0085707F"/>
    <w:rsid w:val="0086244B"/>
    <w:rsid w:val="00864801"/>
    <w:rsid w:val="00865319"/>
    <w:rsid w:val="0086546C"/>
    <w:rsid w:val="008662E1"/>
    <w:rsid w:val="008667DA"/>
    <w:rsid w:val="0087002C"/>
    <w:rsid w:val="008718C7"/>
    <w:rsid w:val="00872121"/>
    <w:rsid w:val="00872EAE"/>
    <w:rsid w:val="0087375C"/>
    <w:rsid w:val="00873E11"/>
    <w:rsid w:val="0087500F"/>
    <w:rsid w:val="008766E9"/>
    <w:rsid w:val="00877A9E"/>
    <w:rsid w:val="0088032B"/>
    <w:rsid w:val="0088075C"/>
    <w:rsid w:val="00880CA4"/>
    <w:rsid w:val="00883DC7"/>
    <w:rsid w:val="008859E8"/>
    <w:rsid w:val="00886B9B"/>
    <w:rsid w:val="00886D10"/>
    <w:rsid w:val="008933FC"/>
    <w:rsid w:val="008938AB"/>
    <w:rsid w:val="00894BF6"/>
    <w:rsid w:val="008950EC"/>
    <w:rsid w:val="00896DC0"/>
    <w:rsid w:val="00897356"/>
    <w:rsid w:val="008A0769"/>
    <w:rsid w:val="008A3503"/>
    <w:rsid w:val="008A3C32"/>
    <w:rsid w:val="008A458B"/>
    <w:rsid w:val="008A7369"/>
    <w:rsid w:val="008A74CA"/>
    <w:rsid w:val="008A78EE"/>
    <w:rsid w:val="008B0E3B"/>
    <w:rsid w:val="008B4622"/>
    <w:rsid w:val="008B4655"/>
    <w:rsid w:val="008B58BC"/>
    <w:rsid w:val="008B7E80"/>
    <w:rsid w:val="008C0AEB"/>
    <w:rsid w:val="008C6846"/>
    <w:rsid w:val="008C6CB1"/>
    <w:rsid w:val="008D1D8C"/>
    <w:rsid w:val="008D2C9A"/>
    <w:rsid w:val="008D2F55"/>
    <w:rsid w:val="008D3008"/>
    <w:rsid w:val="008D3159"/>
    <w:rsid w:val="008D35D5"/>
    <w:rsid w:val="008D39C2"/>
    <w:rsid w:val="008D6832"/>
    <w:rsid w:val="008D7661"/>
    <w:rsid w:val="008E2FDD"/>
    <w:rsid w:val="008E3F34"/>
    <w:rsid w:val="008E6038"/>
    <w:rsid w:val="008E7346"/>
    <w:rsid w:val="008E7626"/>
    <w:rsid w:val="008E7746"/>
    <w:rsid w:val="008F2B10"/>
    <w:rsid w:val="008F4CBB"/>
    <w:rsid w:val="008F5195"/>
    <w:rsid w:val="008F5AEA"/>
    <w:rsid w:val="008F79C4"/>
    <w:rsid w:val="008F7D77"/>
    <w:rsid w:val="00902AEA"/>
    <w:rsid w:val="00902C14"/>
    <w:rsid w:val="009035AD"/>
    <w:rsid w:val="00904212"/>
    <w:rsid w:val="00904BE0"/>
    <w:rsid w:val="009053BB"/>
    <w:rsid w:val="00906FA6"/>
    <w:rsid w:val="00907086"/>
    <w:rsid w:val="00913008"/>
    <w:rsid w:val="00913C3E"/>
    <w:rsid w:val="00914598"/>
    <w:rsid w:val="00915935"/>
    <w:rsid w:val="00920976"/>
    <w:rsid w:val="00925766"/>
    <w:rsid w:val="00926B9D"/>
    <w:rsid w:val="00926DF5"/>
    <w:rsid w:val="00927B10"/>
    <w:rsid w:val="009302E3"/>
    <w:rsid w:val="0093106F"/>
    <w:rsid w:val="009329C7"/>
    <w:rsid w:val="009341B1"/>
    <w:rsid w:val="00934CCB"/>
    <w:rsid w:val="009358FA"/>
    <w:rsid w:val="009365BD"/>
    <w:rsid w:val="009366F4"/>
    <w:rsid w:val="009434E4"/>
    <w:rsid w:val="009456A1"/>
    <w:rsid w:val="00945859"/>
    <w:rsid w:val="00946BB5"/>
    <w:rsid w:val="00947250"/>
    <w:rsid w:val="00947904"/>
    <w:rsid w:val="00947972"/>
    <w:rsid w:val="00950980"/>
    <w:rsid w:val="00951861"/>
    <w:rsid w:val="0095445B"/>
    <w:rsid w:val="00956642"/>
    <w:rsid w:val="00956A5B"/>
    <w:rsid w:val="009578B3"/>
    <w:rsid w:val="00960778"/>
    <w:rsid w:val="00961173"/>
    <w:rsid w:val="00962111"/>
    <w:rsid w:val="00963CA1"/>
    <w:rsid w:val="00964A1E"/>
    <w:rsid w:val="00965D07"/>
    <w:rsid w:val="00970944"/>
    <w:rsid w:val="0097196D"/>
    <w:rsid w:val="009726D6"/>
    <w:rsid w:val="00973E89"/>
    <w:rsid w:val="009744DA"/>
    <w:rsid w:val="00974DA7"/>
    <w:rsid w:val="0097529B"/>
    <w:rsid w:val="00975D35"/>
    <w:rsid w:val="00976290"/>
    <w:rsid w:val="009764DF"/>
    <w:rsid w:val="00976761"/>
    <w:rsid w:val="00977098"/>
    <w:rsid w:val="009828B4"/>
    <w:rsid w:val="00983E61"/>
    <w:rsid w:val="00984C21"/>
    <w:rsid w:val="009859C5"/>
    <w:rsid w:val="00985A36"/>
    <w:rsid w:val="00987C41"/>
    <w:rsid w:val="0099023E"/>
    <w:rsid w:val="00994210"/>
    <w:rsid w:val="00995D47"/>
    <w:rsid w:val="00996246"/>
    <w:rsid w:val="00996F5F"/>
    <w:rsid w:val="009A0D1A"/>
    <w:rsid w:val="009A220B"/>
    <w:rsid w:val="009A2B46"/>
    <w:rsid w:val="009A2EA5"/>
    <w:rsid w:val="009A4029"/>
    <w:rsid w:val="009A5BF1"/>
    <w:rsid w:val="009A6783"/>
    <w:rsid w:val="009A70B8"/>
    <w:rsid w:val="009B0149"/>
    <w:rsid w:val="009B0BA2"/>
    <w:rsid w:val="009B13D7"/>
    <w:rsid w:val="009B1E9A"/>
    <w:rsid w:val="009B2308"/>
    <w:rsid w:val="009B4183"/>
    <w:rsid w:val="009B4829"/>
    <w:rsid w:val="009B6496"/>
    <w:rsid w:val="009B77A2"/>
    <w:rsid w:val="009B7D06"/>
    <w:rsid w:val="009C0E11"/>
    <w:rsid w:val="009C3320"/>
    <w:rsid w:val="009C3C71"/>
    <w:rsid w:val="009C3E10"/>
    <w:rsid w:val="009C58B2"/>
    <w:rsid w:val="009D292B"/>
    <w:rsid w:val="009D41C1"/>
    <w:rsid w:val="009D461E"/>
    <w:rsid w:val="009D4B63"/>
    <w:rsid w:val="009D6ECB"/>
    <w:rsid w:val="009E35D4"/>
    <w:rsid w:val="009E49E4"/>
    <w:rsid w:val="009E4ACB"/>
    <w:rsid w:val="009E4BD1"/>
    <w:rsid w:val="009E50BD"/>
    <w:rsid w:val="009E5515"/>
    <w:rsid w:val="009E5A50"/>
    <w:rsid w:val="009E76B4"/>
    <w:rsid w:val="009F0ED3"/>
    <w:rsid w:val="009F1B30"/>
    <w:rsid w:val="009F1F39"/>
    <w:rsid w:val="009F5176"/>
    <w:rsid w:val="00A01E7E"/>
    <w:rsid w:val="00A03E46"/>
    <w:rsid w:val="00A0416B"/>
    <w:rsid w:val="00A04461"/>
    <w:rsid w:val="00A04D95"/>
    <w:rsid w:val="00A060E6"/>
    <w:rsid w:val="00A1084F"/>
    <w:rsid w:val="00A10FFA"/>
    <w:rsid w:val="00A1148E"/>
    <w:rsid w:val="00A12425"/>
    <w:rsid w:val="00A12E88"/>
    <w:rsid w:val="00A14589"/>
    <w:rsid w:val="00A161B6"/>
    <w:rsid w:val="00A224C2"/>
    <w:rsid w:val="00A2390E"/>
    <w:rsid w:val="00A244E1"/>
    <w:rsid w:val="00A27819"/>
    <w:rsid w:val="00A27B22"/>
    <w:rsid w:val="00A301F6"/>
    <w:rsid w:val="00A34A6C"/>
    <w:rsid w:val="00A35219"/>
    <w:rsid w:val="00A35EE5"/>
    <w:rsid w:val="00A37A30"/>
    <w:rsid w:val="00A41439"/>
    <w:rsid w:val="00A41A62"/>
    <w:rsid w:val="00A428EB"/>
    <w:rsid w:val="00A42F9F"/>
    <w:rsid w:val="00A44739"/>
    <w:rsid w:val="00A45FFA"/>
    <w:rsid w:val="00A51B8F"/>
    <w:rsid w:val="00A5291D"/>
    <w:rsid w:val="00A544CF"/>
    <w:rsid w:val="00A54B78"/>
    <w:rsid w:val="00A55793"/>
    <w:rsid w:val="00A55EF2"/>
    <w:rsid w:val="00A57358"/>
    <w:rsid w:val="00A57F58"/>
    <w:rsid w:val="00A64BF9"/>
    <w:rsid w:val="00A66FD8"/>
    <w:rsid w:val="00A67ABD"/>
    <w:rsid w:val="00A67BD3"/>
    <w:rsid w:val="00A721F7"/>
    <w:rsid w:val="00A74B56"/>
    <w:rsid w:val="00A74E6A"/>
    <w:rsid w:val="00A75414"/>
    <w:rsid w:val="00A76426"/>
    <w:rsid w:val="00A76EDE"/>
    <w:rsid w:val="00A77039"/>
    <w:rsid w:val="00A81396"/>
    <w:rsid w:val="00A816B1"/>
    <w:rsid w:val="00A82A96"/>
    <w:rsid w:val="00A84E40"/>
    <w:rsid w:val="00A864DE"/>
    <w:rsid w:val="00A871D5"/>
    <w:rsid w:val="00A87C02"/>
    <w:rsid w:val="00A904CE"/>
    <w:rsid w:val="00A90730"/>
    <w:rsid w:val="00A90D6F"/>
    <w:rsid w:val="00A917EB"/>
    <w:rsid w:val="00A91ACC"/>
    <w:rsid w:val="00A91C1A"/>
    <w:rsid w:val="00A921F2"/>
    <w:rsid w:val="00A93A16"/>
    <w:rsid w:val="00A946AC"/>
    <w:rsid w:val="00A978EB"/>
    <w:rsid w:val="00AA0C6D"/>
    <w:rsid w:val="00AA1265"/>
    <w:rsid w:val="00AA47D9"/>
    <w:rsid w:val="00AA767E"/>
    <w:rsid w:val="00AB115C"/>
    <w:rsid w:val="00AB22FF"/>
    <w:rsid w:val="00AB3B06"/>
    <w:rsid w:val="00AB68F3"/>
    <w:rsid w:val="00AB78AE"/>
    <w:rsid w:val="00AC1E6E"/>
    <w:rsid w:val="00AC2827"/>
    <w:rsid w:val="00AC309C"/>
    <w:rsid w:val="00AC312F"/>
    <w:rsid w:val="00AC37ED"/>
    <w:rsid w:val="00AC3ED8"/>
    <w:rsid w:val="00AC4F97"/>
    <w:rsid w:val="00AC6BCC"/>
    <w:rsid w:val="00AC6D37"/>
    <w:rsid w:val="00AD02AD"/>
    <w:rsid w:val="00AD1948"/>
    <w:rsid w:val="00AD2BD7"/>
    <w:rsid w:val="00AD2F6E"/>
    <w:rsid w:val="00AD4848"/>
    <w:rsid w:val="00AE006B"/>
    <w:rsid w:val="00AE042E"/>
    <w:rsid w:val="00AE0FD4"/>
    <w:rsid w:val="00AE3B9D"/>
    <w:rsid w:val="00AE3F35"/>
    <w:rsid w:val="00AE4FFA"/>
    <w:rsid w:val="00AE5C45"/>
    <w:rsid w:val="00AE7645"/>
    <w:rsid w:val="00AF01D9"/>
    <w:rsid w:val="00AF0BC8"/>
    <w:rsid w:val="00AF0ED6"/>
    <w:rsid w:val="00AF4440"/>
    <w:rsid w:val="00AF64DC"/>
    <w:rsid w:val="00AF653E"/>
    <w:rsid w:val="00AF715E"/>
    <w:rsid w:val="00B00DF2"/>
    <w:rsid w:val="00B029E0"/>
    <w:rsid w:val="00B034DC"/>
    <w:rsid w:val="00B03B92"/>
    <w:rsid w:val="00B05489"/>
    <w:rsid w:val="00B05496"/>
    <w:rsid w:val="00B05685"/>
    <w:rsid w:val="00B06596"/>
    <w:rsid w:val="00B0784A"/>
    <w:rsid w:val="00B12A85"/>
    <w:rsid w:val="00B1530D"/>
    <w:rsid w:val="00B154D1"/>
    <w:rsid w:val="00B17261"/>
    <w:rsid w:val="00B2263B"/>
    <w:rsid w:val="00B2708B"/>
    <w:rsid w:val="00B30C1A"/>
    <w:rsid w:val="00B36028"/>
    <w:rsid w:val="00B361EA"/>
    <w:rsid w:val="00B366B1"/>
    <w:rsid w:val="00B41DD3"/>
    <w:rsid w:val="00B425EB"/>
    <w:rsid w:val="00B43971"/>
    <w:rsid w:val="00B5077A"/>
    <w:rsid w:val="00B51AAF"/>
    <w:rsid w:val="00B51E02"/>
    <w:rsid w:val="00B54AFE"/>
    <w:rsid w:val="00B54BF3"/>
    <w:rsid w:val="00B60AA6"/>
    <w:rsid w:val="00B611B6"/>
    <w:rsid w:val="00B6209B"/>
    <w:rsid w:val="00B6258E"/>
    <w:rsid w:val="00B62983"/>
    <w:rsid w:val="00B6476B"/>
    <w:rsid w:val="00B649E9"/>
    <w:rsid w:val="00B65D0B"/>
    <w:rsid w:val="00B66EB5"/>
    <w:rsid w:val="00B72A04"/>
    <w:rsid w:val="00B743EC"/>
    <w:rsid w:val="00B7572F"/>
    <w:rsid w:val="00B758BB"/>
    <w:rsid w:val="00B76D57"/>
    <w:rsid w:val="00B81AAA"/>
    <w:rsid w:val="00B81E86"/>
    <w:rsid w:val="00B841A4"/>
    <w:rsid w:val="00B84839"/>
    <w:rsid w:val="00B8761C"/>
    <w:rsid w:val="00B8794B"/>
    <w:rsid w:val="00B87ACF"/>
    <w:rsid w:val="00B9368D"/>
    <w:rsid w:val="00B948AB"/>
    <w:rsid w:val="00B95754"/>
    <w:rsid w:val="00B95D67"/>
    <w:rsid w:val="00B96A62"/>
    <w:rsid w:val="00BA12C2"/>
    <w:rsid w:val="00BA327D"/>
    <w:rsid w:val="00BA494F"/>
    <w:rsid w:val="00BA517D"/>
    <w:rsid w:val="00BA602F"/>
    <w:rsid w:val="00BA6B1E"/>
    <w:rsid w:val="00BB0845"/>
    <w:rsid w:val="00BB1A97"/>
    <w:rsid w:val="00BB1E1B"/>
    <w:rsid w:val="00BB2E49"/>
    <w:rsid w:val="00BB44B5"/>
    <w:rsid w:val="00BB4531"/>
    <w:rsid w:val="00BB558C"/>
    <w:rsid w:val="00BC027E"/>
    <w:rsid w:val="00BC1AFB"/>
    <w:rsid w:val="00BC47C8"/>
    <w:rsid w:val="00BC4BBD"/>
    <w:rsid w:val="00BD06D2"/>
    <w:rsid w:val="00BD1507"/>
    <w:rsid w:val="00BD4BEE"/>
    <w:rsid w:val="00BD508B"/>
    <w:rsid w:val="00BD6CF6"/>
    <w:rsid w:val="00BE0396"/>
    <w:rsid w:val="00BE2C04"/>
    <w:rsid w:val="00BE5F43"/>
    <w:rsid w:val="00BE720C"/>
    <w:rsid w:val="00BF1B60"/>
    <w:rsid w:val="00BF2800"/>
    <w:rsid w:val="00BF3895"/>
    <w:rsid w:val="00BF3D22"/>
    <w:rsid w:val="00BF4AF9"/>
    <w:rsid w:val="00BF4CA4"/>
    <w:rsid w:val="00BF4E5E"/>
    <w:rsid w:val="00BF4FF0"/>
    <w:rsid w:val="00BF5816"/>
    <w:rsid w:val="00C02F67"/>
    <w:rsid w:val="00C0638A"/>
    <w:rsid w:val="00C068AD"/>
    <w:rsid w:val="00C072A4"/>
    <w:rsid w:val="00C073E6"/>
    <w:rsid w:val="00C10021"/>
    <w:rsid w:val="00C10DF8"/>
    <w:rsid w:val="00C127F4"/>
    <w:rsid w:val="00C12AC0"/>
    <w:rsid w:val="00C13032"/>
    <w:rsid w:val="00C1581B"/>
    <w:rsid w:val="00C159D5"/>
    <w:rsid w:val="00C16476"/>
    <w:rsid w:val="00C2775B"/>
    <w:rsid w:val="00C279C9"/>
    <w:rsid w:val="00C30DA0"/>
    <w:rsid w:val="00C30F9F"/>
    <w:rsid w:val="00C31AA5"/>
    <w:rsid w:val="00C32468"/>
    <w:rsid w:val="00C33085"/>
    <w:rsid w:val="00C34349"/>
    <w:rsid w:val="00C37107"/>
    <w:rsid w:val="00C40564"/>
    <w:rsid w:val="00C42875"/>
    <w:rsid w:val="00C44241"/>
    <w:rsid w:val="00C45546"/>
    <w:rsid w:val="00C46B0D"/>
    <w:rsid w:val="00C504C3"/>
    <w:rsid w:val="00C51CDA"/>
    <w:rsid w:val="00C523C0"/>
    <w:rsid w:val="00C52828"/>
    <w:rsid w:val="00C55E29"/>
    <w:rsid w:val="00C6175F"/>
    <w:rsid w:val="00C6364E"/>
    <w:rsid w:val="00C63B48"/>
    <w:rsid w:val="00C659D5"/>
    <w:rsid w:val="00C72969"/>
    <w:rsid w:val="00C72CBB"/>
    <w:rsid w:val="00C74428"/>
    <w:rsid w:val="00C7671E"/>
    <w:rsid w:val="00C76A1D"/>
    <w:rsid w:val="00C77DFB"/>
    <w:rsid w:val="00C82051"/>
    <w:rsid w:val="00C8222C"/>
    <w:rsid w:val="00C827E1"/>
    <w:rsid w:val="00C83C80"/>
    <w:rsid w:val="00C83F5C"/>
    <w:rsid w:val="00C841B6"/>
    <w:rsid w:val="00C85073"/>
    <w:rsid w:val="00C903F8"/>
    <w:rsid w:val="00C91996"/>
    <w:rsid w:val="00C94B0C"/>
    <w:rsid w:val="00C94EAC"/>
    <w:rsid w:val="00C95953"/>
    <w:rsid w:val="00C9781F"/>
    <w:rsid w:val="00CA008F"/>
    <w:rsid w:val="00CA0560"/>
    <w:rsid w:val="00CA7569"/>
    <w:rsid w:val="00CA7B0E"/>
    <w:rsid w:val="00CB04C2"/>
    <w:rsid w:val="00CB064A"/>
    <w:rsid w:val="00CB1C79"/>
    <w:rsid w:val="00CB2A6A"/>
    <w:rsid w:val="00CB5307"/>
    <w:rsid w:val="00CB539D"/>
    <w:rsid w:val="00CB6BC6"/>
    <w:rsid w:val="00CB6E4A"/>
    <w:rsid w:val="00CB7256"/>
    <w:rsid w:val="00CC0E9D"/>
    <w:rsid w:val="00CC152D"/>
    <w:rsid w:val="00CC1A81"/>
    <w:rsid w:val="00CC1FD3"/>
    <w:rsid w:val="00CC31FC"/>
    <w:rsid w:val="00CC3222"/>
    <w:rsid w:val="00CC3242"/>
    <w:rsid w:val="00CC3345"/>
    <w:rsid w:val="00CC3BC5"/>
    <w:rsid w:val="00CC6C8E"/>
    <w:rsid w:val="00CC7A8B"/>
    <w:rsid w:val="00CD0A2F"/>
    <w:rsid w:val="00CD1371"/>
    <w:rsid w:val="00CD1634"/>
    <w:rsid w:val="00CD26D6"/>
    <w:rsid w:val="00CD2BA4"/>
    <w:rsid w:val="00CD2E7A"/>
    <w:rsid w:val="00CD356E"/>
    <w:rsid w:val="00CD44A6"/>
    <w:rsid w:val="00CD4530"/>
    <w:rsid w:val="00CD546B"/>
    <w:rsid w:val="00CD609A"/>
    <w:rsid w:val="00CD6B9E"/>
    <w:rsid w:val="00CD7135"/>
    <w:rsid w:val="00CD755D"/>
    <w:rsid w:val="00CE1362"/>
    <w:rsid w:val="00CE1F0F"/>
    <w:rsid w:val="00CE2A80"/>
    <w:rsid w:val="00CE3B4F"/>
    <w:rsid w:val="00CE3D2C"/>
    <w:rsid w:val="00CE73AA"/>
    <w:rsid w:val="00CE76EF"/>
    <w:rsid w:val="00CE7AAC"/>
    <w:rsid w:val="00CF00A6"/>
    <w:rsid w:val="00CF06BC"/>
    <w:rsid w:val="00CF1E36"/>
    <w:rsid w:val="00CF3E84"/>
    <w:rsid w:val="00CF4DD8"/>
    <w:rsid w:val="00CF6BC6"/>
    <w:rsid w:val="00CF6F61"/>
    <w:rsid w:val="00CF727E"/>
    <w:rsid w:val="00CF74D3"/>
    <w:rsid w:val="00D02B65"/>
    <w:rsid w:val="00D07BE5"/>
    <w:rsid w:val="00D12B46"/>
    <w:rsid w:val="00D13528"/>
    <w:rsid w:val="00D1679D"/>
    <w:rsid w:val="00D17C05"/>
    <w:rsid w:val="00D21059"/>
    <w:rsid w:val="00D304B6"/>
    <w:rsid w:val="00D31950"/>
    <w:rsid w:val="00D3226B"/>
    <w:rsid w:val="00D37CFC"/>
    <w:rsid w:val="00D45927"/>
    <w:rsid w:val="00D4631A"/>
    <w:rsid w:val="00D4637D"/>
    <w:rsid w:val="00D546AA"/>
    <w:rsid w:val="00D547BA"/>
    <w:rsid w:val="00D55FA1"/>
    <w:rsid w:val="00D57BBB"/>
    <w:rsid w:val="00D60CEF"/>
    <w:rsid w:val="00D61C84"/>
    <w:rsid w:val="00D6260E"/>
    <w:rsid w:val="00D62BB2"/>
    <w:rsid w:val="00D6462D"/>
    <w:rsid w:val="00D64996"/>
    <w:rsid w:val="00D6536F"/>
    <w:rsid w:val="00D666FC"/>
    <w:rsid w:val="00D6719F"/>
    <w:rsid w:val="00D6726C"/>
    <w:rsid w:val="00D701D7"/>
    <w:rsid w:val="00D70832"/>
    <w:rsid w:val="00D70CA3"/>
    <w:rsid w:val="00D711E2"/>
    <w:rsid w:val="00D7199E"/>
    <w:rsid w:val="00D71C9A"/>
    <w:rsid w:val="00D72170"/>
    <w:rsid w:val="00D746E5"/>
    <w:rsid w:val="00D755C6"/>
    <w:rsid w:val="00D76CDC"/>
    <w:rsid w:val="00D827B6"/>
    <w:rsid w:val="00D86C3A"/>
    <w:rsid w:val="00D921D8"/>
    <w:rsid w:val="00D9288F"/>
    <w:rsid w:val="00D94A95"/>
    <w:rsid w:val="00D94E42"/>
    <w:rsid w:val="00D954F2"/>
    <w:rsid w:val="00D95721"/>
    <w:rsid w:val="00D9797D"/>
    <w:rsid w:val="00DA10AD"/>
    <w:rsid w:val="00DA230F"/>
    <w:rsid w:val="00DA5491"/>
    <w:rsid w:val="00DB2892"/>
    <w:rsid w:val="00DB4108"/>
    <w:rsid w:val="00DB7F01"/>
    <w:rsid w:val="00DC0404"/>
    <w:rsid w:val="00DC0B2B"/>
    <w:rsid w:val="00DC136F"/>
    <w:rsid w:val="00DC30BD"/>
    <w:rsid w:val="00DC33A1"/>
    <w:rsid w:val="00DC3CFD"/>
    <w:rsid w:val="00DC5F2F"/>
    <w:rsid w:val="00DC6127"/>
    <w:rsid w:val="00DC68F5"/>
    <w:rsid w:val="00DD03D3"/>
    <w:rsid w:val="00DD1665"/>
    <w:rsid w:val="00DD1A99"/>
    <w:rsid w:val="00DD2621"/>
    <w:rsid w:val="00DD3283"/>
    <w:rsid w:val="00DD3B1C"/>
    <w:rsid w:val="00DD70DC"/>
    <w:rsid w:val="00DE0FF8"/>
    <w:rsid w:val="00DE223F"/>
    <w:rsid w:val="00DE305A"/>
    <w:rsid w:val="00DE79A4"/>
    <w:rsid w:val="00DF0D0B"/>
    <w:rsid w:val="00DF17CE"/>
    <w:rsid w:val="00DF23C6"/>
    <w:rsid w:val="00DF2E3E"/>
    <w:rsid w:val="00DF2F81"/>
    <w:rsid w:val="00DF5E9A"/>
    <w:rsid w:val="00DF61A7"/>
    <w:rsid w:val="00DF643E"/>
    <w:rsid w:val="00E01135"/>
    <w:rsid w:val="00E05638"/>
    <w:rsid w:val="00E0563A"/>
    <w:rsid w:val="00E07F10"/>
    <w:rsid w:val="00E10B50"/>
    <w:rsid w:val="00E11E16"/>
    <w:rsid w:val="00E14716"/>
    <w:rsid w:val="00E14E60"/>
    <w:rsid w:val="00E16A91"/>
    <w:rsid w:val="00E175D9"/>
    <w:rsid w:val="00E2094B"/>
    <w:rsid w:val="00E264BA"/>
    <w:rsid w:val="00E3031A"/>
    <w:rsid w:val="00E3232B"/>
    <w:rsid w:val="00E327A0"/>
    <w:rsid w:val="00E3406F"/>
    <w:rsid w:val="00E35F2B"/>
    <w:rsid w:val="00E36C59"/>
    <w:rsid w:val="00E36EB3"/>
    <w:rsid w:val="00E41332"/>
    <w:rsid w:val="00E4191A"/>
    <w:rsid w:val="00E4295A"/>
    <w:rsid w:val="00E42AFC"/>
    <w:rsid w:val="00E4399D"/>
    <w:rsid w:val="00E44E42"/>
    <w:rsid w:val="00E45311"/>
    <w:rsid w:val="00E4548A"/>
    <w:rsid w:val="00E46D19"/>
    <w:rsid w:val="00E503B5"/>
    <w:rsid w:val="00E50EEF"/>
    <w:rsid w:val="00E519C3"/>
    <w:rsid w:val="00E5330B"/>
    <w:rsid w:val="00E5676B"/>
    <w:rsid w:val="00E5721C"/>
    <w:rsid w:val="00E573A8"/>
    <w:rsid w:val="00E60CC7"/>
    <w:rsid w:val="00E6122A"/>
    <w:rsid w:val="00E61E6D"/>
    <w:rsid w:val="00E62613"/>
    <w:rsid w:val="00E62E7B"/>
    <w:rsid w:val="00E634C0"/>
    <w:rsid w:val="00E647BA"/>
    <w:rsid w:val="00E707D1"/>
    <w:rsid w:val="00E727B8"/>
    <w:rsid w:val="00E73435"/>
    <w:rsid w:val="00E75CD4"/>
    <w:rsid w:val="00E82462"/>
    <w:rsid w:val="00E82994"/>
    <w:rsid w:val="00E83408"/>
    <w:rsid w:val="00E84134"/>
    <w:rsid w:val="00E8465E"/>
    <w:rsid w:val="00E859A1"/>
    <w:rsid w:val="00E877A6"/>
    <w:rsid w:val="00E879B1"/>
    <w:rsid w:val="00E90DE6"/>
    <w:rsid w:val="00E92AF4"/>
    <w:rsid w:val="00E930D7"/>
    <w:rsid w:val="00E958BA"/>
    <w:rsid w:val="00EA00B9"/>
    <w:rsid w:val="00EA05F3"/>
    <w:rsid w:val="00EA0A7C"/>
    <w:rsid w:val="00EA0BF3"/>
    <w:rsid w:val="00EA1AA6"/>
    <w:rsid w:val="00EA207E"/>
    <w:rsid w:val="00EA38B7"/>
    <w:rsid w:val="00EA3B86"/>
    <w:rsid w:val="00EA48C7"/>
    <w:rsid w:val="00EA78C5"/>
    <w:rsid w:val="00EB2A56"/>
    <w:rsid w:val="00EC04F8"/>
    <w:rsid w:val="00EC52C7"/>
    <w:rsid w:val="00EC53FC"/>
    <w:rsid w:val="00EC5770"/>
    <w:rsid w:val="00EC6252"/>
    <w:rsid w:val="00EC6838"/>
    <w:rsid w:val="00EC7B22"/>
    <w:rsid w:val="00ED08A3"/>
    <w:rsid w:val="00ED29B9"/>
    <w:rsid w:val="00ED3C4F"/>
    <w:rsid w:val="00ED3C61"/>
    <w:rsid w:val="00EE056B"/>
    <w:rsid w:val="00EE2728"/>
    <w:rsid w:val="00EE30BD"/>
    <w:rsid w:val="00EE3270"/>
    <w:rsid w:val="00EE3C89"/>
    <w:rsid w:val="00EE551F"/>
    <w:rsid w:val="00EE6005"/>
    <w:rsid w:val="00EE6566"/>
    <w:rsid w:val="00EF05D1"/>
    <w:rsid w:val="00EF1667"/>
    <w:rsid w:val="00EF35C4"/>
    <w:rsid w:val="00F02354"/>
    <w:rsid w:val="00F02D95"/>
    <w:rsid w:val="00F02F90"/>
    <w:rsid w:val="00F0599D"/>
    <w:rsid w:val="00F065E9"/>
    <w:rsid w:val="00F106C9"/>
    <w:rsid w:val="00F1126A"/>
    <w:rsid w:val="00F11FB2"/>
    <w:rsid w:val="00F132B2"/>
    <w:rsid w:val="00F13DC1"/>
    <w:rsid w:val="00F14BD2"/>
    <w:rsid w:val="00F160B2"/>
    <w:rsid w:val="00F16CA9"/>
    <w:rsid w:val="00F20E11"/>
    <w:rsid w:val="00F214C4"/>
    <w:rsid w:val="00F2339B"/>
    <w:rsid w:val="00F3035A"/>
    <w:rsid w:val="00F30944"/>
    <w:rsid w:val="00F318D8"/>
    <w:rsid w:val="00F31F9F"/>
    <w:rsid w:val="00F32902"/>
    <w:rsid w:val="00F32E26"/>
    <w:rsid w:val="00F335CD"/>
    <w:rsid w:val="00F33D61"/>
    <w:rsid w:val="00F3434D"/>
    <w:rsid w:val="00F3441B"/>
    <w:rsid w:val="00F35DC8"/>
    <w:rsid w:val="00F371C0"/>
    <w:rsid w:val="00F40BA6"/>
    <w:rsid w:val="00F40BCC"/>
    <w:rsid w:val="00F41510"/>
    <w:rsid w:val="00F41D33"/>
    <w:rsid w:val="00F41FD7"/>
    <w:rsid w:val="00F42DF2"/>
    <w:rsid w:val="00F464C7"/>
    <w:rsid w:val="00F473F8"/>
    <w:rsid w:val="00F476A9"/>
    <w:rsid w:val="00F5050E"/>
    <w:rsid w:val="00F50891"/>
    <w:rsid w:val="00F52E1C"/>
    <w:rsid w:val="00F55F71"/>
    <w:rsid w:val="00F60530"/>
    <w:rsid w:val="00F61999"/>
    <w:rsid w:val="00F64E27"/>
    <w:rsid w:val="00F65AFC"/>
    <w:rsid w:val="00F66C5B"/>
    <w:rsid w:val="00F67627"/>
    <w:rsid w:val="00F67F13"/>
    <w:rsid w:val="00F700B9"/>
    <w:rsid w:val="00F70DBC"/>
    <w:rsid w:val="00F71C9D"/>
    <w:rsid w:val="00F71FA4"/>
    <w:rsid w:val="00F72C36"/>
    <w:rsid w:val="00F74409"/>
    <w:rsid w:val="00F74B02"/>
    <w:rsid w:val="00F77577"/>
    <w:rsid w:val="00F778F9"/>
    <w:rsid w:val="00F7796E"/>
    <w:rsid w:val="00F80E3A"/>
    <w:rsid w:val="00F82D9E"/>
    <w:rsid w:val="00F84BA7"/>
    <w:rsid w:val="00F851EB"/>
    <w:rsid w:val="00F86B37"/>
    <w:rsid w:val="00F86DF0"/>
    <w:rsid w:val="00F87EBF"/>
    <w:rsid w:val="00F90B3D"/>
    <w:rsid w:val="00F90E57"/>
    <w:rsid w:val="00F92274"/>
    <w:rsid w:val="00F92845"/>
    <w:rsid w:val="00F930F4"/>
    <w:rsid w:val="00F935F4"/>
    <w:rsid w:val="00F945A0"/>
    <w:rsid w:val="00F9530C"/>
    <w:rsid w:val="00F96A38"/>
    <w:rsid w:val="00F96EF3"/>
    <w:rsid w:val="00F9724D"/>
    <w:rsid w:val="00FA3780"/>
    <w:rsid w:val="00FA3EF1"/>
    <w:rsid w:val="00FA4286"/>
    <w:rsid w:val="00FA4471"/>
    <w:rsid w:val="00FA7315"/>
    <w:rsid w:val="00FB0527"/>
    <w:rsid w:val="00FB2609"/>
    <w:rsid w:val="00FB3251"/>
    <w:rsid w:val="00FB3A13"/>
    <w:rsid w:val="00FB4518"/>
    <w:rsid w:val="00FB51BF"/>
    <w:rsid w:val="00FB5BEE"/>
    <w:rsid w:val="00FB69F3"/>
    <w:rsid w:val="00FB701A"/>
    <w:rsid w:val="00FC3777"/>
    <w:rsid w:val="00FC38C9"/>
    <w:rsid w:val="00FC50B3"/>
    <w:rsid w:val="00FC5C4A"/>
    <w:rsid w:val="00FC6222"/>
    <w:rsid w:val="00FD2E5D"/>
    <w:rsid w:val="00FD4256"/>
    <w:rsid w:val="00FD4943"/>
    <w:rsid w:val="00FD72E7"/>
    <w:rsid w:val="00FE00BC"/>
    <w:rsid w:val="00FE0B82"/>
    <w:rsid w:val="00FE59CA"/>
    <w:rsid w:val="00FE6214"/>
    <w:rsid w:val="00FE7598"/>
    <w:rsid w:val="00FF164B"/>
    <w:rsid w:val="00FF21EA"/>
    <w:rsid w:val="00FF2C1D"/>
    <w:rsid w:val="00FF38C7"/>
    <w:rsid w:val="00FF4EEC"/>
    <w:rsid w:val="00FF571D"/>
    <w:rsid w:val="00FF71F7"/>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9B023E6"/>
  <w15:chartTrackingRefBased/>
  <w15:docId w15:val="{26C5A249-70E1-4DB1-8C4F-B6DC260A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A0"/>
    <w:rPr>
      <w:sz w:val="24"/>
      <w:szCs w:val="24"/>
    </w:rPr>
  </w:style>
  <w:style w:type="paragraph" w:styleId="Heading1">
    <w:name w:val="heading 1"/>
    <w:basedOn w:val="Normal"/>
    <w:next w:val="Normal"/>
    <w:link w:val="Heading1Char"/>
    <w:qFormat/>
    <w:rsid w:val="003760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43499E"/>
    <w:pPr>
      <w:widowControl w:val="0"/>
      <w:numPr>
        <w:numId w:val="1"/>
      </w:numPr>
      <w:autoSpaceDE w:val="0"/>
      <w:autoSpaceDN w:val="0"/>
      <w:adjustRightInd w:val="0"/>
      <w:ind w:left="720" w:hanging="720"/>
    </w:pPr>
    <w:rPr>
      <w:rFonts w:ascii="Courier" w:hAnsi="Courier"/>
    </w:rPr>
  </w:style>
  <w:style w:type="paragraph" w:styleId="FootnoteText">
    <w:name w:val="footnote text"/>
    <w:basedOn w:val="Normal"/>
    <w:link w:val="FootnoteTextChar"/>
    <w:semiHidden/>
    <w:rsid w:val="00F851EB"/>
    <w:rPr>
      <w:sz w:val="20"/>
      <w:szCs w:val="20"/>
    </w:rPr>
  </w:style>
  <w:style w:type="character" w:styleId="FootnoteReference">
    <w:name w:val="footnote reference"/>
    <w:uiPriority w:val="99"/>
    <w:qFormat/>
    <w:rsid w:val="00F851EB"/>
    <w:rPr>
      <w:vertAlign w:val="superscript"/>
    </w:rPr>
  </w:style>
  <w:style w:type="paragraph" w:styleId="BodyText">
    <w:name w:val="Body Text"/>
    <w:basedOn w:val="Normal"/>
    <w:rsid w:val="008A458B"/>
    <w:pPr>
      <w:autoSpaceDE w:val="0"/>
      <w:autoSpaceDN w:val="0"/>
      <w:adjustRightInd w:val="0"/>
    </w:pPr>
    <w:rPr>
      <w:szCs w:val="20"/>
    </w:rPr>
  </w:style>
  <w:style w:type="paragraph" w:styleId="Header">
    <w:name w:val="header"/>
    <w:basedOn w:val="Normal"/>
    <w:rsid w:val="00B1530D"/>
    <w:pPr>
      <w:tabs>
        <w:tab w:val="center" w:pos="4320"/>
        <w:tab w:val="right" w:pos="8640"/>
      </w:tabs>
    </w:pPr>
  </w:style>
  <w:style w:type="paragraph" w:styleId="Footer">
    <w:name w:val="footer"/>
    <w:basedOn w:val="Normal"/>
    <w:rsid w:val="00B1530D"/>
    <w:pPr>
      <w:tabs>
        <w:tab w:val="center" w:pos="4320"/>
        <w:tab w:val="right" w:pos="8640"/>
      </w:tabs>
    </w:pPr>
  </w:style>
  <w:style w:type="paragraph" w:styleId="BodyText2">
    <w:name w:val="Body Text 2"/>
    <w:basedOn w:val="Normal"/>
    <w:rsid w:val="00B1530D"/>
    <w:pPr>
      <w:spacing w:after="120" w:line="480" w:lineRule="auto"/>
    </w:pPr>
  </w:style>
  <w:style w:type="paragraph" w:styleId="BalloonText">
    <w:name w:val="Balloon Text"/>
    <w:basedOn w:val="Normal"/>
    <w:semiHidden/>
    <w:rsid w:val="003A0DBA"/>
    <w:rPr>
      <w:rFonts w:ascii="Tahoma" w:hAnsi="Tahoma" w:cs="Tahoma"/>
      <w:sz w:val="16"/>
      <w:szCs w:val="16"/>
    </w:rPr>
  </w:style>
  <w:style w:type="character" w:styleId="CommentReference">
    <w:name w:val="annotation reference"/>
    <w:semiHidden/>
    <w:rsid w:val="00AC4F97"/>
    <w:rPr>
      <w:sz w:val="16"/>
      <w:szCs w:val="16"/>
    </w:rPr>
  </w:style>
  <w:style w:type="paragraph" w:styleId="CommentText">
    <w:name w:val="annotation text"/>
    <w:basedOn w:val="Normal"/>
    <w:semiHidden/>
    <w:rsid w:val="00AC4F97"/>
    <w:rPr>
      <w:sz w:val="20"/>
      <w:szCs w:val="20"/>
    </w:rPr>
  </w:style>
  <w:style w:type="paragraph" w:styleId="CommentSubject">
    <w:name w:val="annotation subject"/>
    <w:basedOn w:val="CommentText"/>
    <w:next w:val="CommentText"/>
    <w:semiHidden/>
    <w:rsid w:val="00AC4F97"/>
    <w:rPr>
      <w:b/>
      <w:bCs/>
    </w:rPr>
  </w:style>
  <w:style w:type="table" w:styleId="TableGrid">
    <w:name w:val="Table Grid"/>
    <w:basedOn w:val="TableNormal"/>
    <w:rsid w:val="00EA0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962D3"/>
  </w:style>
  <w:style w:type="paragraph" w:styleId="DocumentMap">
    <w:name w:val="Document Map"/>
    <w:basedOn w:val="Normal"/>
    <w:semiHidden/>
    <w:rsid w:val="001F2BCD"/>
    <w:pPr>
      <w:shd w:val="clear" w:color="auto" w:fill="000080"/>
    </w:pPr>
    <w:rPr>
      <w:rFonts w:ascii="Tahoma" w:hAnsi="Tahoma" w:cs="Tahoma"/>
      <w:sz w:val="20"/>
      <w:szCs w:val="20"/>
    </w:rPr>
  </w:style>
  <w:style w:type="character" w:styleId="Hyperlink">
    <w:name w:val="Hyperlink"/>
    <w:rsid w:val="00CD2BA4"/>
    <w:rPr>
      <w:color w:val="0000FF"/>
      <w:u w:val="single"/>
    </w:rPr>
  </w:style>
  <w:style w:type="character" w:customStyle="1" w:styleId="FootnoteTextChar">
    <w:name w:val="Footnote Text Char"/>
    <w:link w:val="FootnoteText"/>
    <w:semiHidden/>
    <w:locked/>
    <w:rsid w:val="00B60AA6"/>
    <w:rPr>
      <w:lang w:val="en-US" w:eastAsia="en-US" w:bidi="ar-SA"/>
    </w:rPr>
  </w:style>
  <w:style w:type="character" w:styleId="FollowedHyperlink">
    <w:name w:val="FollowedHyperlink"/>
    <w:rsid w:val="00EE6566"/>
    <w:rPr>
      <w:color w:val="800080"/>
      <w:u w:val="single"/>
    </w:rPr>
  </w:style>
  <w:style w:type="paragraph" w:styleId="Revision">
    <w:name w:val="Revision"/>
    <w:hidden/>
    <w:uiPriority w:val="99"/>
    <w:semiHidden/>
    <w:rsid w:val="00673C9F"/>
    <w:rPr>
      <w:sz w:val="24"/>
      <w:szCs w:val="24"/>
    </w:rPr>
  </w:style>
  <w:style w:type="paragraph" w:styleId="EndnoteText">
    <w:name w:val="endnote text"/>
    <w:basedOn w:val="Normal"/>
    <w:link w:val="EndnoteTextChar"/>
    <w:rsid w:val="00376BC8"/>
    <w:rPr>
      <w:sz w:val="20"/>
      <w:szCs w:val="20"/>
    </w:rPr>
  </w:style>
  <w:style w:type="character" w:customStyle="1" w:styleId="EndnoteTextChar">
    <w:name w:val="Endnote Text Char"/>
    <w:basedOn w:val="DefaultParagraphFont"/>
    <w:link w:val="EndnoteText"/>
    <w:rsid w:val="00376BC8"/>
  </w:style>
  <w:style w:type="character" w:styleId="EndnoteReference">
    <w:name w:val="endnote reference"/>
    <w:rsid w:val="00376BC8"/>
    <w:rPr>
      <w:vertAlign w:val="superscript"/>
    </w:rPr>
  </w:style>
  <w:style w:type="character" w:customStyle="1" w:styleId="Heading1Char">
    <w:name w:val="Heading 1 Char"/>
    <w:basedOn w:val="DefaultParagraphFont"/>
    <w:link w:val="Heading1"/>
    <w:rsid w:val="003760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63">
      <w:bodyDiv w:val="1"/>
      <w:marLeft w:val="0"/>
      <w:marRight w:val="0"/>
      <w:marTop w:val="0"/>
      <w:marBottom w:val="0"/>
      <w:divBdr>
        <w:top w:val="none" w:sz="0" w:space="0" w:color="auto"/>
        <w:left w:val="none" w:sz="0" w:space="0" w:color="auto"/>
        <w:bottom w:val="none" w:sz="0" w:space="0" w:color="auto"/>
        <w:right w:val="none" w:sz="0" w:space="0" w:color="auto"/>
      </w:divBdr>
    </w:div>
    <w:div w:id="26369544">
      <w:bodyDiv w:val="1"/>
      <w:marLeft w:val="0"/>
      <w:marRight w:val="0"/>
      <w:marTop w:val="0"/>
      <w:marBottom w:val="0"/>
      <w:divBdr>
        <w:top w:val="none" w:sz="0" w:space="0" w:color="auto"/>
        <w:left w:val="none" w:sz="0" w:space="0" w:color="auto"/>
        <w:bottom w:val="none" w:sz="0" w:space="0" w:color="auto"/>
        <w:right w:val="none" w:sz="0" w:space="0" w:color="auto"/>
      </w:divBdr>
    </w:div>
    <w:div w:id="39214109">
      <w:bodyDiv w:val="1"/>
      <w:marLeft w:val="0"/>
      <w:marRight w:val="0"/>
      <w:marTop w:val="0"/>
      <w:marBottom w:val="0"/>
      <w:divBdr>
        <w:top w:val="none" w:sz="0" w:space="0" w:color="auto"/>
        <w:left w:val="none" w:sz="0" w:space="0" w:color="auto"/>
        <w:bottom w:val="none" w:sz="0" w:space="0" w:color="auto"/>
        <w:right w:val="none" w:sz="0" w:space="0" w:color="auto"/>
      </w:divBdr>
    </w:div>
    <w:div w:id="41176570">
      <w:bodyDiv w:val="1"/>
      <w:marLeft w:val="0"/>
      <w:marRight w:val="0"/>
      <w:marTop w:val="0"/>
      <w:marBottom w:val="0"/>
      <w:divBdr>
        <w:top w:val="none" w:sz="0" w:space="0" w:color="auto"/>
        <w:left w:val="none" w:sz="0" w:space="0" w:color="auto"/>
        <w:bottom w:val="none" w:sz="0" w:space="0" w:color="auto"/>
        <w:right w:val="none" w:sz="0" w:space="0" w:color="auto"/>
      </w:divBdr>
    </w:div>
    <w:div w:id="45418299">
      <w:bodyDiv w:val="1"/>
      <w:marLeft w:val="0"/>
      <w:marRight w:val="0"/>
      <w:marTop w:val="0"/>
      <w:marBottom w:val="0"/>
      <w:divBdr>
        <w:top w:val="none" w:sz="0" w:space="0" w:color="auto"/>
        <w:left w:val="none" w:sz="0" w:space="0" w:color="auto"/>
        <w:bottom w:val="none" w:sz="0" w:space="0" w:color="auto"/>
        <w:right w:val="none" w:sz="0" w:space="0" w:color="auto"/>
      </w:divBdr>
    </w:div>
    <w:div w:id="49379605">
      <w:bodyDiv w:val="1"/>
      <w:marLeft w:val="0"/>
      <w:marRight w:val="0"/>
      <w:marTop w:val="0"/>
      <w:marBottom w:val="0"/>
      <w:divBdr>
        <w:top w:val="none" w:sz="0" w:space="0" w:color="auto"/>
        <w:left w:val="none" w:sz="0" w:space="0" w:color="auto"/>
        <w:bottom w:val="none" w:sz="0" w:space="0" w:color="auto"/>
        <w:right w:val="none" w:sz="0" w:space="0" w:color="auto"/>
      </w:divBdr>
    </w:div>
    <w:div w:id="65345154">
      <w:bodyDiv w:val="1"/>
      <w:marLeft w:val="0"/>
      <w:marRight w:val="0"/>
      <w:marTop w:val="0"/>
      <w:marBottom w:val="0"/>
      <w:divBdr>
        <w:top w:val="none" w:sz="0" w:space="0" w:color="auto"/>
        <w:left w:val="none" w:sz="0" w:space="0" w:color="auto"/>
        <w:bottom w:val="none" w:sz="0" w:space="0" w:color="auto"/>
        <w:right w:val="none" w:sz="0" w:space="0" w:color="auto"/>
      </w:divBdr>
    </w:div>
    <w:div w:id="69010017">
      <w:bodyDiv w:val="1"/>
      <w:marLeft w:val="0"/>
      <w:marRight w:val="0"/>
      <w:marTop w:val="0"/>
      <w:marBottom w:val="0"/>
      <w:divBdr>
        <w:top w:val="none" w:sz="0" w:space="0" w:color="auto"/>
        <w:left w:val="none" w:sz="0" w:space="0" w:color="auto"/>
        <w:bottom w:val="none" w:sz="0" w:space="0" w:color="auto"/>
        <w:right w:val="none" w:sz="0" w:space="0" w:color="auto"/>
      </w:divBdr>
    </w:div>
    <w:div w:id="85880770">
      <w:bodyDiv w:val="1"/>
      <w:marLeft w:val="0"/>
      <w:marRight w:val="0"/>
      <w:marTop w:val="0"/>
      <w:marBottom w:val="0"/>
      <w:divBdr>
        <w:top w:val="none" w:sz="0" w:space="0" w:color="auto"/>
        <w:left w:val="none" w:sz="0" w:space="0" w:color="auto"/>
        <w:bottom w:val="none" w:sz="0" w:space="0" w:color="auto"/>
        <w:right w:val="none" w:sz="0" w:space="0" w:color="auto"/>
      </w:divBdr>
    </w:div>
    <w:div w:id="98764616">
      <w:bodyDiv w:val="1"/>
      <w:marLeft w:val="0"/>
      <w:marRight w:val="0"/>
      <w:marTop w:val="0"/>
      <w:marBottom w:val="0"/>
      <w:divBdr>
        <w:top w:val="none" w:sz="0" w:space="0" w:color="auto"/>
        <w:left w:val="none" w:sz="0" w:space="0" w:color="auto"/>
        <w:bottom w:val="none" w:sz="0" w:space="0" w:color="auto"/>
        <w:right w:val="none" w:sz="0" w:space="0" w:color="auto"/>
      </w:divBdr>
    </w:div>
    <w:div w:id="109863215">
      <w:bodyDiv w:val="1"/>
      <w:marLeft w:val="0"/>
      <w:marRight w:val="0"/>
      <w:marTop w:val="0"/>
      <w:marBottom w:val="0"/>
      <w:divBdr>
        <w:top w:val="none" w:sz="0" w:space="0" w:color="auto"/>
        <w:left w:val="none" w:sz="0" w:space="0" w:color="auto"/>
        <w:bottom w:val="none" w:sz="0" w:space="0" w:color="auto"/>
        <w:right w:val="none" w:sz="0" w:space="0" w:color="auto"/>
      </w:divBdr>
    </w:div>
    <w:div w:id="130561807">
      <w:bodyDiv w:val="1"/>
      <w:marLeft w:val="0"/>
      <w:marRight w:val="0"/>
      <w:marTop w:val="0"/>
      <w:marBottom w:val="0"/>
      <w:divBdr>
        <w:top w:val="none" w:sz="0" w:space="0" w:color="auto"/>
        <w:left w:val="none" w:sz="0" w:space="0" w:color="auto"/>
        <w:bottom w:val="none" w:sz="0" w:space="0" w:color="auto"/>
        <w:right w:val="none" w:sz="0" w:space="0" w:color="auto"/>
      </w:divBdr>
    </w:div>
    <w:div w:id="132531404">
      <w:bodyDiv w:val="1"/>
      <w:marLeft w:val="0"/>
      <w:marRight w:val="0"/>
      <w:marTop w:val="0"/>
      <w:marBottom w:val="0"/>
      <w:divBdr>
        <w:top w:val="none" w:sz="0" w:space="0" w:color="auto"/>
        <w:left w:val="none" w:sz="0" w:space="0" w:color="auto"/>
        <w:bottom w:val="none" w:sz="0" w:space="0" w:color="auto"/>
        <w:right w:val="none" w:sz="0" w:space="0" w:color="auto"/>
      </w:divBdr>
    </w:div>
    <w:div w:id="149908095">
      <w:bodyDiv w:val="1"/>
      <w:marLeft w:val="0"/>
      <w:marRight w:val="0"/>
      <w:marTop w:val="0"/>
      <w:marBottom w:val="0"/>
      <w:divBdr>
        <w:top w:val="none" w:sz="0" w:space="0" w:color="auto"/>
        <w:left w:val="none" w:sz="0" w:space="0" w:color="auto"/>
        <w:bottom w:val="none" w:sz="0" w:space="0" w:color="auto"/>
        <w:right w:val="none" w:sz="0" w:space="0" w:color="auto"/>
      </w:divBdr>
    </w:div>
    <w:div w:id="154301527">
      <w:bodyDiv w:val="1"/>
      <w:marLeft w:val="0"/>
      <w:marRight w:val="0"/>
      <w:marTop w:val="0"/>
      <w:marBottom w:val="0"/>
      <w:divBdr>
        <w:top w:val="none" w:sz="0" w:space="0" w:color="auto"/>
        <w:left w:val="none" w:sz="0" w:space="0" w:color="auto"/>
        <w:bottom w:val="none" w:sz="0" w:space="0" w:color="auto"/>
        <w:right w:val="none" w:sz="0" w:space="0" w:color="auto"/>
      </w:divBdr>
    </w:div>
    <w:div w:id="174925135">
      <w:bodyDiv w:val="1"/>
      <w:marLeft w:val="0"/>
      <w:marRight w:val="0"/>
      <w:marTop w:val="0"/>
      <w:marBottom w:val="0"/>
      <w:divBdr>
        <w:top w:val="none" w:sz="0" w:space="0" w:color="auto"/>
        <w:left w:val="none" w:sz="0" w:space="0" w:color="auto"/>
        <w:bottom w:val="none" w:sz="0" w:space="0" w:color="auto"/>
        <w:right w:val="none" w:sz="0" w:space="0" w:color="auto"/>
      </w:divBdr>
    </w:div>
    <w:div w:id="181938984">
      <w:bodyDiv w:val="1"/>
      <w:marLeft w:val="0"/>
      <w:marRight w:val="0"/>
      <w:marTop w:val="0"/>
      <w:marBottom w:val="0"/>
      <w:divBdr>
        <w:top w:val="none" w:sz="0" w:space="0" w:color="auto"/>
        <w:left w:val="none" w:sz="0" w:space="0" w:color="auto"/>
        <w:bottom w:val="none" w:sz="0" w:space="0" w:color="auto"/>
        <w:right w:val="none" w:sz="0" w:space="0" w:color="auto"/>
      </w:divBdr>
    </w:div>
    <w:div w:id="186987667">
      <w:bodyDiv w:val="1"/>
      <w:marLeft w:val="0"/>
      <w:marRight w:val="0"/>
      <w:marTop w:val="0"/>
      <w:marBottom w:val="0"/>
      <w:divBdr>
        <w:top w:val="none" w:sz="0" w:space="0" w:color="auto"/>
        <w:left w:val="none" w:sz="0" w:space="0" w:color="auto"/>
        <w:bottom w:val="none" w:sz="0" w:space="0" w:color="auto"/>
        <w:right w:val="none" w:sz="0" w:space="0" w:color="auto"/>
      </w:divBdr>
    </w:div>
    <w:div w:id="197818373">
      <w:bodyDiv w:val="1"/>
      <w:marLeft w:val="0"/>
      <w:marRight w:val="0"/>
      <w:marTop w:val="0"/>
      <w:marBottom w:val="0"/>
      <w:divBdr>
        <w:top w:val="none" w:sz="0" w:space="0" w:color="auto"/>
        <w:left w:val="none" w:sz="0" w:space="0" w:color="auto"/>
        <w:bottom w:val="none" w:sz="0" w:space="0" w:color="auto"/>
        <w:right w:val="none" w:sz="0" w:space="0" w:color="auto"/>
      </w:divBdr>
    </w:div>
    <w:div w:id="200631652">
      <w:bodyDiv w:val="1"/>
      <w:marLeft w:val="0"/>
      <w:marRight w:val="0"/>
      <w:marTop w:val="0"/>
      <w:marBottom w:val="0"/>
      <w:divBdr>
        <w:top w:val="none" w:sz="0" w:space="0" w:color="auto"/>
        <w:left w:val="none" w:sz="0" w:space="0" w:color="auto"/>
        <w:bottom w:val="none" w:sz="0" w:space="0" w:color="auto"/>
        <w:right w:val="none" w:sz="0" w:space="0" w:color="auto"/>
      </w:divBdr>
    </w:div>
    <w:div w:id="202913614">
      <w:bodyDiv w:val="1"/>
      <w:marLeft w:val="0"/>
      <w:marRight w:val="0"/>
      <w:marTop w:val="0"/>
      <w:marBottom w:val="0"/>
      <w:divBdr>
        <w:top w:val="none" w:sz="0" w:space="0" w:color="auto"/>
        <w:left w:val="none" w:sz="0" w:space="0" w:color="auto"/>
        <w:bottom w:val="none" w:sz="0" w:space="0" w:color="auto"/>
        <w:right w:val="none" w:sz="0" w:space="0" w:color="auto"/>
      </w:divBdr>
    </w:div>
    <w:div w:id="214775652">
      <w:bodyDiv w:val="1"/>
      <w:marLeft w:val="0"/>
      <w:marRight w:val="0"/>
      <w:marTop w:val="0"/>
      <w:marBottom w:val="0"/>
      <w:divBdr>
        <w:top w:val="none" w:sz="0" w:space="0" w:color="auto"/>
        <w:left w:val="none" w:sz="0" w:space="0" w:color="auto"/>
        <w:bottom w:val="none" w:sz="0" w:space="0" w:color="auto"/>
        <w:right w:val="none" w:sz="0" w:space="0" w:color="auto"/>
      </w:divBdr>
    </w:div>
    <w:div w:id="265575704">
      <w:bodyDiv w:val="1"/>
      <w:marLeft w:val="0"/>
      <w:marRight w:val="0"/>
      <w:marTop w:val="0"/>
      <w:marBottom w:val="0"/>
      <w:divBdr>
        <w:top w:val="none" w:sz="0" w:space="0" w:color="auto"/>
        <w:left w:val="none" w:sz="0" w:space="0" w:color="auto"/>
        <w:bottom w:val="none" w:sz="0" w:space="0" w:color="auto"/>
        <w:right w:val="none" w:sz="0" w:space="0" w:color="auto"/>
      </w:divBdr>
    </w:div>
    <w:div w:id="279646895">
      <w:bodyDiv w:val="1"/>
      <w:marLeft w:val="0"/>
      <w:marRight w:val="0"/>
      <w:marTop w:val="0"/>
      <w:marBottom w:val="0"/>
      <w:divBdr>
        <w:top w:val="none" w:sz="0" w:space="0" w:color="auto"/>
        <w:left w:val="none" w:sz="0" w:space="0" w:color="auto"/>
        <w:bottom w:val="none" w:sz="0" w:space="0" w:color="auto"/>
        <w:right w:val="none" w:sz="0" w:space="0" w:color="auto"/>
      </w:divBdr>
    </w:div>
    <w:div w:id="299847450">
      <w:bodyDiv w:val="1"/>
      <w:marLeft w:val="0"/>
      <w:marRight w:val="0"/>
      <w:marTop w:val="0"/>
      <w:marBottom w:val="0"/>
      <w:divBdr>
        <w:top w:val="none" w:sz="0" w:space="0" w:color="auto"/>
        <w:left w:val="none" w:sz="0" w:space="0" w:color="auto"/>
        <w:bottom w:val="none" w:sz="0" w:space="0" w:color="auto"/>
        <w:right w:val="none" w:sz="0" w:space="0" w:color="auto"/>
      </w:divBdr>
    </w:div>
    <w:div w:id="337849576">
      <w:bodyDiv w:val="1"/>
      <w:marLeft w:val="0"/>
      <w:marRight w:val="0"/>
      <w:marTop w:val="0"/>
      <w:marBottom w:val="0"/>
      <w:divBdr>
        <w:top w:val="none" w:sz="0" w:space="0" w:color="auto"/>
        <w:left w:val="none" w:sz="0" w:space="0" w:color="auto"/>
        <w:bottom w:val="none" w:sz="0" w:space="0" w:color="auto"/>
        <w:right w:val="none" w:sz="0" w:space="0" w:color="auto"/>
      </w:divBdr>
    </w:div>
    <w:div w:id="345980177">
      <w:bodyDiv w:val="1"/>
      <w:marLeft w:val="0"/>
      <w:marRight w:val="0"/>
      <w:marTop w:val="0"/>
      <w:marBottom w:val="0"/>
      <w:divBdr>
        <w:top w:val="none" w:sz="0" w:space="0" w:color="auto"/>
        <w:left w:val="none" w:sz="0" w:space="0" w:color="auto"/>
        <w:bottom w:val="none" w:sz="0" w:space="0" w:color="auto"/>
        <w:right w:val="none" w:sz="0" w:space="0" w:color="auto"/>
      </w:divBdr>
    </w:div>
    <w:div w:id="363673957">
      <w:bodyDiv w:val="1"/>
      <w:marLeft w:val="0"/>
      <w:marRight w:val="0"/>
      <w:marTop w:val="0"/>
      <w:marBottom w:val="0"/>
      <w:divBdr>
        <w:top w:val="none" w:sz="0" w:space="0" w:color="auto"/>
        <w:left w:val="none" w:sz="0" w:space="0" w:color="auto"/>
        <w:bottom w:val="none" w:sz="0" w:space="0" w:color="auto"/>
        <w:right w:val="none" w:sz="0" w:space="0" w:color="auto"/>
      </w:divBdr>
    </w:div>
    <w:div w:id="381947933">
      <w:bodyDiv w:val="1"/>
      <w:marLeft w:val="0"/>
      <w:marRight w:val="0"/>
      <w:marTop w:val="0"/>
      <w:marBottom w:val="0"/>
      <w:divBdr>
        <w:top w:val="none" w:sz="0" w:space="0" w:color="auto"/>
        <w:left w:val="none" w:sz="0" w:space="0" w:color="auto"/>
        <w:bottom w:val="none" w:sz="0" w:space="0" w:color="auto"/>
        <w:right w:val="none" w:sz="0" w:space="0" w:color="auto"/>
      </w:divBdr>
    </w:div>
    <w:div w:id="406726746">
      <w:bodyDiv w:val="1"/>
      <w:marLeft w:val="0"/>
      <w:marRight w:val="0"/>
      <w:marTop w:val="0"/>
      <w:marBottom w:val="0"/>
      <w:divBdr>
        <w:top w:val="none" w:sz="0" w:space="0" w:color="auto"/>
        <w:left w:val="none" w:sz="0" w:space="0" w:color="auto"/>
        <w:bottom w:val="none" w:sz="0" w:space="0" w:color="auto"/>
        <w:right w:val="none" w:sz="0" w:space="0" w:color="auto"/>
      </w:divBdr>
    </w:div>
    <w:div w:id="409936654">
      <w:bodyDiv w:val="1"/>
      <w:marLeft w:val="0"/>
      <w:marRight w:val="0"/>
      <w:marTop w:val="0"/>
      <w:marBottom w:val="0"/>
      <w:divBdr>
        <w:top w:val="none" w:sz="0" w:space="0" w:color="auto"/>
        <w:left w:val="none" w:sz="0" w:space="0" w:color="auto"/>
        <w:bottom w:val="none" w:sz="0" w:space="0" w:color="auto"/>
        <w:right w:val="none" w:sz="0" w:space="0" w:color="auto"/>
      </w:divBdr>
    </w:div>
    <w:div w:id="412162051">
      <w:bodyDiv w:val="1"/>
      <w:marLeft w:val="0"/>
      <w:marRight w:val="0"/>
      <w:marTop w:val="0"/>
      <w:marBottom w:val="0"/>
      <w:divBdr>
        <w:top w:val="none" w:sz="0" w:space="0" w:color="auto"/>
        <w:left w:val="none" w:sz="0" w:space="0" w:color="auto"/>
        <w:bottom w:val="none" w:sz="0" w:space="0" w:color="auto"/>
        <w:right w:val="none" w:sz="0" w:space="0" w:color="auto"/>
      </w:divBdr>
    </w:div>
    <w:div w:id="422730714">
      <w:bodyDiv w:val="1"/>
      <w:marLeft w:val="0"/>
      <w:marRight w:val="0"/>
      <w:marTop w:val="0"/>
      <w:marBottom w:val="0"/>
      <w:divBdr>
        <w:top w:val="none" w:sz="0" w:space="0" w:color="auto"/>
        <w:left w:val="none" w:sz="0" w:space="0" w:color="auto"/>
        <w:bottom w:val="none" w:sz="0" w:space="0" w:color="auto"/>
        <w:right w:val="none" w:sz="0" w:space="0" w:color="auto"/>
      </w:divBdr>
    </w:div>
    <w:div w:id="426315139">
      <w:bodyDiv w:val="1"/>
      <w:marLeft w:val="0"/>
      <w:marRight w:val="0"/>
      <w:marTop w:val="0"/>
      <w:marBottom w:val="0"/>
      <w:divBdr>
        <w:top w:val="none" w:sz="0" w:space="0" w:color="auto"/>
        <w:left w:val="none" w:sz="0" w:space="0" w:color="auto"/>
        <w:bottom w:val="none" w:sz="0" w:space="0" w:color="auto"/>
        <w:right w:val="none" w:sz="0" w:space="0" w:color="auto"/>
      </w:divBdr>
    </w:div>
    <w:div w:id="429275016">
      <w:bodyDiv w:val="1"/>
      <w:marLeft w:val="0"/>
      <w:marRight w:val="0"/>
      <w:marTop w:val="0"/>
      <w:marBottom w:val="0"/>
      <w:divBdr>
        <w:top w:val="none" w:sz="0" w:space="0" w:color="auto"/>
        <w:left w:val="none" w:sz="0" w:space="0" w:color="auto"/>
        <w:bottom w:val="none" w:sz="0" w:space="0" w:color="auto"/>
        <w:right w:val="none" w:sz="0" w:space="0" w:color="auto"/>
      </w:divBdr>
    </w:div>
    <w:div w:id="434637942">
      <w:bodyDiv w:val="1"/>
      <w:marLeft w:val="0"/>
      <w:marRight w:val="0"/>
      <w:marTop w:val="0"/>
      <w:marBottom w:val="0"/>
      <w:divBdr>
        <w:top w:val="none" w:sz="0" w:space="0" w:color="auto"/>
        <w:left w:val="none" w:sz="0" w:space="0" w:color="auto"/>
        <w:bottom w:val="none" w:sz="0" w:space="0" w:color="auto"/>
        <w:right w:val="none" w:sz="0" w:space="0" w:color="auto"/>
      </w:divBdr>
    </w:div>
    <w:div w:id="438767219">
      <w:bodyDiv w:val="1"/>
      <w:marLeft w:val="0"/>
      <w:marRight w:val="0"/>
      <w:marTop w:val="0"/>
      <w:marBottom w:val="0"/>
      <w:divBdr>
        <w:top w:val="none" w:sz="0" w:space="0" w:color="auto"/>
        <w:left w:val="none" w:sz="0" w:space="0" w:color="auto"/>
        <w:bottom w:val="none" w:sz="0" w:space="0" w:color="auto"/>
        <w:right w:val="none" w:sz="0" w:space="0" w:color="auto"/>
      </w:divBdr>
    </w:div>
    <w:div w:id="459492685">
      <w:bodyDiv w:val="1"/>
      <w:marLeft w:val="0"/>
      <w:marRight w:val="0"/>
      <w:marTop w:val="0"/>
      <w:marBottom w:val="0"/>
      <w:divBdr>
        <w:top w:val="none" w:sz="0" w:space="0" w:color="auto"/>
        <w:left w:val="none" w:sz="0" w:space="0" w:color="auto"/>
        <w:bottom w:val="none" w:sz="0" w:space="0" w:color="auto"/>
        <w:right w:val="none" w:sz="0" w:space="0" w:color="auto"/>
      </w:divBdr>
    </w:div>
    <w:div w:id="461004801">
      <w:bodyDiv w:val="1"/>
      <w:marLeft w:val="0"/>
      <w:marRight w:val="0"/>
      <w:marTop w:val="0"/>
      <w:marBottom w:val="0"/>
      <w:divBdr>
        <w:top w:val="none" w:sz="0" w:space="0" w:color="auto"/>
        <w:left w:val="none" w:sz="0" w:space="0" w:color="auto"/>
        <w:bottom w:val="none" w:sz="0" w:space="0" w:color="auto"/>
        <w:right w:val="none" w:sz="0" w:space="0" w:color="auto"/>
      </w:divBdr>
    </w:div>
    <w:div w:id="489248268">
      <w:bodyDiv w:val="1"/>
      <w:marLeft w:val="0"/>
      <w:marRight w:val="0"/>
      <w:marTop w:val="0"/>
      <w:marBottom w:val="0"/>
      <w:divBdr>
        <w:top w:val="none" w:sz="0" w:space="0" w:color="auto"/>
        <w:left w:val="none" w:sz="0" w:space="0" w:color="auto"/>
        <w:bottom w:val="none" w:sz="0" w:space="0" w:color="auto"/>
        <w:right w:val="none" w:sz="0" w:space="0" w:color="auto"/>
      </w:divBdr>
    </w:div>
    <w:div w:id="495414670">
      <w:bodyDiv w:val="1"/>
      <w:marLeft w:val="0"/>
      <w:marRight w:val="0"/>
      <w:marTop w:val="0"/>
      <w:marBottom w:val="0"/>
      <w:divBdr>
        <w:top w:val="none" w:sz="0" w:space="0" w:color="auto"/>
        <w:left w:val="none" w:sz="0" w:space="0" w:color="auto"/>
        <w:bottom w:val="none" w:sz="0" w:space="0" w:color="auto"/>
        <w:right w:val="none" w:sz="0" w:space="0" w:color="auto"/>
      </w:divBdr>
    </w:div>
    <w:div w:id="510678627">
      <w:bodyDiv w:val="1"/>
      <w:marLeft w:val="0"/>
      <w:marRight w:val="0"/>
      <w:marTop w:val="0"/>
      <w:marBottom w:val="0"/>
      <w:divBdr>
        <w:top w:val="none" w:sz="0" w:space="0" w:color="auto"/>
        <w:left w:val="none" w:sz="0" w:space="0" w:color="auto"/>
        <w:bottom w:val="none" w:sz="0" w:space="0" w:color="auto"/>
        <w:right w:val="none" w:sz="0" w:space="0" w:color="auto"/>
      </w:divBdr>
    </w:div>
    <w:div w:id="519929162">
      <w:bodyDiv w:val="1"/>
      <w:marLeft w:val="0"/>
      <w:marRight w:val="0"/>
      <w:marTop w:val="0"/>
      <w:marBottom w:val="0"/>
      <w:divBdr>
        <w:top w:val="none" w:sz="0" w:space="0" w:color="auto"/>
        <w:left w:val="none" w:sz="0" w:space="0" w:color="auto"/>
        <w:bottom w:val="none" w:sz="0" w:space="0" w:color="auto"/>
        <w:right w:val="none" w:sz="0" w:space="0" w:color="auto"/>
      </w:divBdr>
    </w:div>
    <w:div w:id="524248330">
      <w:bodyDiv w:val="1"/>
      <w:marLeft w:val="0"/>
      <w:marRight w:val="0"/>
      <w:marTop w:val="0"/>
      <w:marBottom w:val="0"/>
      <w:divBdr>
        <w:top w:val="none" w:sz="0" w:space="0" w:color="auto"/>
        <w:left w:val="none" w:sz="0" w:space="0" w:color="auto"/>
        <w:bottom w:val="none" w:sz="0" w:space="0" w:color="auto"/>
        <w:right w:val="none" w:sz="0" w:space="0" w:color="auto"/>
      </w:divBdr>
    </w:div>
    <w:div w:id="531115057">
      <w:bodyDiv w:val="1"/>
      <w:marLeft w:val="0"/>
      <w:marRight w:val="0"/>
      <w:marTop w:val="0"/>
      <w:marBottom w:val="0"/>
      <w:divBdr>
        <w:top w:val="none" w:sz="0" w:space="0" w:color="auto"/>
        <w:left w:val="none" w:sz="0" w:space="0" w:color="auto"/>
        <w:bottom w:val="none" w:sz="0" w:space="0" w:color="auto"/>
        <w:right w:val="none" w:sz="0" w:space="0" w:color="auto"/>
      </w:divBdr>
    </w:div>
    <w:div w:id="536891456">
      <w:bodyDiv w:val="1"/>
      <w:marLeft w:val="0"/>
      <w:marRight w:val="0"/>
      <w:marTop w:val="0"/>
      <w:marBottom w:val="0"/>
      <w:divBdr>
        <w:top w:val="none" w:sz="0" w:space="0" w:color="auto"/>
        <w:left w:val="none" w:sz="0" w:space="0" w:color="auto"/>
        <w:bottom w:val="none" w:sz="0" w:space="0" w:color="auto"/>
        <w:right w:val="none" w:sz="0" w:space="0" w:color="auto"/>
      </w:divBdr>
    </w:div>
    <w:div w:id="539434396">
      <w:bodyDiv w:val="1"/>
      <w:marLeft w:val="0"/>
      <w:marRight w:val="0"/>
      <w:marTop w:val="0"/>
      <w:marBottom w:val="0"/>
      <w:divBdr>
        <w:top w:val="none" w:sz="0" w:space="0" w:color="auto"/>
        <w:left w:val="none" w:sz="0" w:space="0" w:color="auto"/>
        <w:bottom w:val="none" w:sz="0" w:space="0" w:color="auto"/>
        <w:right w:val="none" w:sz="0" w:space="0" w:color="auto"/>
      </w:divBdr>
    </w:div>
    <w:div w:id="541601559">
      <w:bodyDiv w:val="1"/>
      <w:marLeft w:val="0"/>
      <w:marRight w:val="0"/>
      <w:marTop w:val="0"/>
      <w:marBottom w:val="0"/>
      <w:divBdr>
        <w:top w:val="none" w:sz="0" w:space="0" w:color="auto"/>
        <w:left w:val="none" w:sz="0" w:space="0" w:color="auto"/>
        <w:bottom w:val="none" w:sz="0" w:space="0" w:color="auto"/>
        <w:right w:val="none" w:sz="0" w:space="0" w:color="auto"/>
      </w:divBdr>
    </w:div>
    <w:div w:id="546065746">
      <w:bodyDiv w:val="1"/>
      <w:marLeft w:val="0"/>
      <w:marRight w:val="0"/>
      <w:marTop w:val="0"/>
      <w:marBottom w:val="0"/>
      <w:divBdr>
        <w:top w:val="none" w:sz="0" w:space="0" w:color="auto"/>
        <w:left w:val="none" w:sz="0" w:space="0" w:color="auto"/>
        <w:bottom w:val="none" w:sz="0" w:space="0" w:color="auto"/>
        <w:right w:val="none" w:sz="0" w:space="0" w:color="auto"/>
      </w:divBdr>
    </w:div>
    <w:div w:id="582180310">
      <w:bodyDiv w:val="1"/>
      <w:marLeft w:val="0"/>
      <w:marRight w:val="0"/>
      <w:marTop w:val="0"/>
      <w:marBottom w:val="0"/>
      <w:divBdr>
        <w:top w:val="none" w:sz="0" w:space="0" w:color="auto"/>
        <w:left w:val="none" w:sz="0" w:space="0" w:color="auto"/>
        <w:bottom w:val="none" w:sz="0" w:space="0" w:color="auto"/>
        <w:right w:val="none" w:sz="0" w:space="0" w:color="auto"/>
      </w:divBdr>
    </w:div>
    <w:div w:id="597182577">
      <w:bodyDiv w:val="1"/>
      <w:marLeft w:val="0"/>
      <w:marRight w:val="0"/>
      <w:marTop w:val="0"/>
      <w:marBottom w:val="0"/>
      <w:divBdr>
        <w:top w:val="none" w:sz="0" w:space="0" w:color="auto"/>
        <w:left w:val="none" w:sz="0" w:space="0" w:color="auto"/>
        <w:bottom w:val="none" w:sz="0" w:space="0" w:color="auto"/>
        <w:right w:val="none" w:sz="0" w:space="0" w:color="auto"/>
      </w:divBdr>
    </w:div>
    <w:div w:id="606080803">
      <w:bodyDiv w:val="1"/>
      <w:marLeft w:val="0"/>
      <w:marRight w:val="0"/>
      <w:marTop w:val="0"/>
      <w:marBottom w:val="0"/>
      <w:divBdr>
        <w:top w:val="none" w:sz="0" w:space="0" w:color="auto"/>
        <w:left w:val="none" w:sz="0" w:space="0" w:color="auto"/>
        <w:bottom w:val="none" w:sz="0" w:space="0" w:color="auto"/>
        <w:right w:val="none" w:sz="0" w:space="0" w:color="auto"/>
      </w:divBdr>
    </w:div>
    <w:div w:id="610086815">
      <w:bodyDiv w:val="1"/>
      <w:marLeft w:val="0"/>
      <w:marRight w:val="0"/>
      <w:marTop w:val="0"/>
      <w:marBottom w:val="0"/>
      <w:divBdr>
        <w:top w:val="none" w:sz="0" w:space="0" w:color="auto"/>
        <w:left w:val="none" w:sz="0" w:space="0" w:color="auto"/>
        <w:bottom w:val="none" w:sz="0" w:space="0" w:color="auto"/>
        <w:right w:val="none" w:sz="0" w:space="0" w:color="auto"/>
      </w:divBdr>
    </w:div>
    <w:div w:id="620845833">
      <w:bodyDiv w:val="1"/>
      <w:marLeft w:val="0"/>
      <w:marRight w:val="0"/>
      <w:marTop w:val="0"/>
      <w:marBottom w:val="0"/>
      <w:divBdr>
        <w:top w:val="none" w:sz="0" w:space="0" w:color="auto"/>
        <w:left w:val="none" w:sz="0" w:space="0" w:color="auto"/>
        <w:bottom w:val="none" w:sz="0" w:space="0" w:color="auto"/>
        <w:right w:val="none" w:sz="0" w:space="0" w:color="auto"/>
      </w:divBdr>
    </w:div>
    <w:div w:id="639530934">
      <w:bodyDiv w:val="1"/>
      <w:marLeft w:val="0"/>
      <w:marRight w:val="0"/>
      <w:marTop w:val="0"/>
      <w:marBottom w:val="0"/>
      <w:divBdr>
        <w:top w:val="none" w:sz="0" w:space="0" w:color="auto"/>
        <w:left w:val="none" w:sz="0" w:space="0" w:color="auto"/>
        <w:bottom w:val="none" w:sz="0" w:space="0" w:color="auto"/>
        <w:right w:val="none" w:sz="0" w:space="0" w:color="auto"/>
      </w:divBdr>
    </w:div>
    <w:div w:id="647438364">
      <w:bodyDiv w:val="1"/>
      <w:marLeft w:val="0"/>
      <w:marRight w:val="0"/>
      <w:marTop w:val="0"/>
      <w:marBottom w:val="0"/>
      <w:divBdr>
        <w:top w:val="none" w:sz="0" w:space="0" w:color="auto"/>
        <w:left w:val="none" w:sz="0" w:space="0" w:color="auto"/>
        <w:bottom w:val="none" w:sz="0" w:space="0" w:color="auto"/>
        <w:right w:val="none" w:sz="0" w:space="0" w:color="auto"/>
      </w:divBdr>
    </w:div>
    <w:div w:id="663705783">
      <w:bodyDiv w:val="1"/>
      <w:marLeft w:val="0"/>
      <w:marRight w:val="0"/>
      <w:marTop w:val="0"/>
      <w:marBottom w:val="0"/>
      <w:divBdr>
        <w:top w:val="none" w:sz="0" w:space="0" w:color="auto"/>
        <w:left w:val="none" w:sz="0" w:space="0" w:color="auto"/>
        <w:bottom w:val="none" w:sz="0" w:space="0" w:color="auto"/>
        <w:right w:val="none" w:sz="0" w:space="0" w:color="auto"/>
      </w:divBdr>
    </w:div>
    <w:div w:id="682167073">
      <w:bodyDiv w:val="1"/>
      <w:marLeft w:val="0"/>
      <w:marRight w:val="0"/>
      <w:marTop w:val="0"/>
      <w:marBottom w:val="0"/>
      <w:divBdr>
        <w:top w:val="none" w:sz="0" w:space="0" w:color="auto"/>
        <w:left w:val="none" w:sz="0" w:space="0" w:color="auto"/>
        <w:bottom w:val="none" w:sz="0" w:space="0" w:color="auto"/>
        <w:right w:val="none" w:sz="0" w:space="0" w:color="auto"/>
      </w:divBdr>
    </w:div>
    <w:div w:id="687176072">
      <w:bodyDiv w:val="1"/>
      <w:marLeft w:val="0"/>
      <w:marRight w:val="0"/>
      <w:marTop w:val="0"/>
      <w:marBottom w:val="0"/>
      <w:divBdr>
        <w:top w:val="none" w:sz="0" w:space="0" w:color="auto"/>
        <w:left w:val="none" w:sz="0" w:space="0" w:color="auto"/>
        <w:bottom w:val="none" w:sz="0" w:space="0" w:color="auto"/>
        <w:right w:val="none" w:sz="0" w:space="0" w:color="auto"/>
      </w:divBdr>
    </w:div>
    <w:div w:id="691763037">
      <w:bodyDiv w:val="1"/>
      <w:marLeft w:val="0"/>
      <w:marRight w:val="0"/>
      <w:marTop w:val="0"/>
      <w:marBottom w:val="0"/>
      <w:divBdr>
        <w:top w:val="none" w:sz="0" w:space="0" w:color="auto"/>
        <w:left w:val="none" w:sz="0" w:space="0" w:color="auto"/>
        <w:bottom w:val="none" w:sz="0" w:space="0" w:color="auto"/>
        <w:right w:val="none" w:sz="0" w:space="0" w:color="auto"/>
      </w:divBdr>
    </w:div>
    <w:div w:id="726301176">
      <w:bodyDiv w:val="1"/>
      <w:marLeft w:val="0"/>
      <w:marRight w:val="0"/>
      <w:marTop w:val="0"/>
      <w:marBottom w:val="0"/>
      <w:divBdr>
        <w:top w:val="none" w:sz="0" w:space="0" w:color="auto"/>
        <w:left w:val="none" w:sz="0" w:space="0" w:color="auto"/>
        <w:bottom w:val="none" w:sz="0" w:space="0" w:color="auto"/>
        <w:right w:val="none" w:sz="0" w:space="0" w:color="auto"/>
      </w:divBdr>
    </w:div>
    <w:div w:id="747851031">
      <w:bodyDiv w:val="1"/>
      <w:marLeft w:val="0"/>
      <w:marRight w:val="0"/>
      <w:marTop w:val="0"/>
      <w:marBottom w:val="0"/>
      <w:divBdr>
        <w:top w:val="none" w:sz="0" w:space="0" w:color="auto"/>
        <w:left w:val="none" w:sz="0" w:space="0" w:color="auto"/>
        <w:bottom w:val="none" w:sz="0" w:space="0" w:color="auto"/>
        <w:right w:val="none" w:sz="0" w:space="0" w:color="auto"/>
      </w:divBdr>
    </w:div>
    <w:div w:id="754128475">
      <w:bodyDiv w:val="1"/>
      <w:marLeft w:val="0"/>
      <w:marRight w:val="0"/>
      <w:marTop w:val="0"/>
      <w:marBottom w:val="0"/>
      <w:divBdr>
        <w:top w:val="none" w:sz="0" w:space="0" w:color="auto"/>
        <w:left w:val="none" w:sz="0" w:space="0" w:color="auto"/>
        <w:bottom w:val="none" w:sz="0" w:space="0" w:color="auto"/>
        <w:right w:val="none" w:sz="0" w:space="0" w:color="auto"/>
      </w:divBdr>
    </w:div>
    <w:div w:id="784613426">
      <w:bodyDiv w:val="1"/>
      <w:marLeft w:val="0"/>
      <w:marRight w:val="0"/>
      <w:marTop w:val="0"/>
      <w:marBottom w:val="0"/>
      <w:divBdr>
        <w:top w:val="none" w:sz="0" w:space="0" w:color="auto"/>
        <w:left w:val="none" w:sz="0" w:space="0" w:color="auto"/>
        <w:bottom w:val="none" w:sz="0" w:space="0" w:color="auto"/>
        <w:right w:val="none" w:sz="0" w:space="0" w:color="auto"/>
      </w:divBdr>
    </w:div>
    <w:div w:id="785007710">
      <w:bodyDiv w:val="1"/>
      <w:marLeft w:val="0"/>
      <w:marRight w:val="0"/>
      <w:marTop w:val="0"/>
      <w:marBottom w:val="0"/>
      <w:divBdr>
        <w:top w:val="none" w:sz="0" w:space="0" w:color="auto"/>
        <w:left w:val="none" w:sz="0" w:space="0" w:color="auto"/>
        <w:bottom w:val="none" w:sz="0" w:space="0" w:color="auto"/>
        <w:right w:val="none" w:sz="0" w:space="0" w:color="auto"/>
      </w:divBdr>
    </w:div>
    <w:div w:id="787578349">
      <w:bodyDiv w:val="1"/>
      <w:marLeft w:val="0"/>
      <w:marRight w:val="0"/>
      <w:marTop w:val="0"/>
      <w:marBottom w:val="0"/>
      <w:divBdr>
        <w:top w:val="none" w:sz="0" w:space="0" w:color="auto"/>
        <w:left w:val="none" w:sz="0" w:space="0" w:color="auto"/>
        <w:bottom w:val="none" w:sz="0" w:space="0" w:color="auto"/>
        <w:right w:val="none" w:sz="0" w:space="0" w:color="auto"/>
      </w:divBdr>
    </w:div>
    <w:div w:id="831799726">
      <w:bodyDiv w:val="1"/>
      <w:marLeft w:val="0"/>
      <w:marRight w:val="0"/>
      <w:marTop w:val="0"/>
      <w:marBottom w:val="0"/>
      <w:divBdr>
        <w:top w:val="none" w:sz="0" w:space="0" w:color="auto"/>
        <w:left w:val="none" w:sz="0" w:space="0" w:color="auto"/>
        <w:bottom w:val="none" w:sz="0" w:space="0" w:color="auto"/>
        <w:right w:val="none" w:sz="0" w:space="0" w:color="auto"/>
      </w:divBdr>
    </w:div>
    <w:div w:id="833957371">
      <w:bodyDiv w:val="1"/>
      <w:marLeft w:val="0"/>
      <w:marRight w:val="0"/>
      <w:marTop w:val="0"/>
      <w:marBottom w:val="0"/>
      <w:divBdr>
        <w:top w:val="none" w:sz="0" w:space="0" w:color="auto"/>
        <w:left w:val="none" w:sz="0" w:space="0" w:color="auto"/>
        <w:bottom w:val="none" w:sz="0" w:space="0" w:color="auto"/>
        <w:right w:val="none" w:sz="0" w:space="0" w:color="auto"/>
      </w:divBdr>
    </w:div>
    <w:div w:id="863521345">
      <w:bodyDiv w:val="1"/>
      <w:marLeft w:val="0"/>
      <w:marRight w:val="0"/>
      <w:marTop w:val="0"/>
      <w:marBottom w:val="0"/>
      <w:divBdr>
        <w:top w:val="none" w:sz="0" w:space="0" w:color="auto"/>
        <w:left w:val="none" w:sz="0" w:space="0" w:color="auto"/>
        <w:bottom w:val="none" w:sz="0" w:space="0" w:color="auto"/>
        <w:right w:val="none" w:sz="0" w:space="0" w:color="auto"/>
      </w:divBdr>
    </w:div>
    <w:div w:id="864633973">
      <w:bodyDiv w:val="1"/>
      <w:marLeft w:val="0"/>
      <w:marRight w:val="0"/>
      <w:marTop w:val="0"/>
      <w:marBottom w:val="0"/>
      <w:divBdr>
        <w:top w:val="none" w:sz="0" w:space="0" w:color="auto"/>
        <w:left w:val="none" w:sz="0" w:space="0" w:color="auto"/>
        <w:bottom w:val="none" w:sz="0" w:space="0" w:color="auto"/>
        <w:right w:val="none" w:sz="0" w:space="0" w:color="auto"/>
      </w:divBdr>
    </w:div>
    <w:div w:id="875234882">
      <w:bodyDiv w:val="1"/>
      <w:marLeft w:val="0"/>
      <w:marRight w:val="0"/>
      <w:marTop w:val="0"/>
      <w:marBottom w:val="0"/>
      <w:divBdr>
        <w:top w:val="none" w:sz="0" w:space="0" w:color="auto"/>
        <w:left w:val="none" w:sz="0" w:space="0" w:color="auto"/>
        <w:bottom w:val="none" w:sz="0" w:space="0" w:color="auto"/>
        <w:right w:val="none" w:sz="0" w:space="0" w:color="auto"/>
      </w:divBdr>
    </w:div>
    <w:div w:id="877280612">
      <w:bodyDiv w:val="1"/>
      <w:marLeft w:val="0"/>
      <w:marRight w:val="0"/>
      <w:marTop w:val="0"/>
      <w:marBottom w:val="0"/>
      <w:divBdr>
        <w:top w:val="none" w:sz="0" w:space="0" w:color="auto"/>
        <w:left w:val="none" w:sz="0" w:space="0" w:color="auto"/>
        <w:bottom w:val="none" w:sz="0" w:space="0" w:color="auto"/>
        <w:right w:val="none" w:sz="0" w:space="0" w:color="auto"/>
      </w:divBdr>
    </w:div>
    <w:div w:id="891618436">
      <w:bodyDiv w:val="1"/>
      <w:marLeft w:val="0"/>
      <w:marRight w:val="0"/>
      <w:marTop w:val="0"/>
      <w:marBottom w:val="0"/>
      <w:divBdr>
        <w:top w:val="none" w:sz="0" w:space="0" w:color="auto"/>
        <w:left w:val="none" w:sz="0" w:space="0" w:color="auto"/>
        <w:bottom w:val="none" w:sz="0" w:space="0" w:color="auto"/>
        <w:right w:val="none" w:sz="0" w:space="0" w:color="auto"/>
      </w:divBdr>
    </w:div>
    <w:div w:id="895891216">
      <w:bodyDiv w:val="1"/>
      <w:marLeft w:val="0"/>
      <w:marRight w:val="0"/>
      <w:marTop w:val="0"/>
      <w:marBottom w:val="0"/>
      <w:divBdr>
        <w:top w:val="none" w:sz="0" w:space="0" w:color="auto"/>
        <w:left w:val="none" w:sz="0" w:space="0" w:color="auto"/>
        <w:bottom w:val="none" w:sz="0" w:space="0" w:color="auto"/>
        <w:right w:val="none" w:sz="0" w:space="0" w:color="auto"/>
      </w:divBdr>
    </w:div>
    <w:div w:id="913248134">
      <w:bodyDiv w:val="1"/>
      <w:marLeft w:val="0"/>
      <w:marRight w:val="0"/>
      <w:marTop w:val="0"/>
      <w:marBottom w:val="0"/>
      <w:divBdr>
        <w:top w:val="none" w:sz="0" w:space="0" w:color="auto"/>
        <w:left w:val="none" w:sz="0" w:space="0" w:color="auto"/>
        <w:bottom w:val="none" w:sz="0" w:space="0" w:color="auto"/>
        <w:right w:val="none" w:sz="0" w:space="0" w:color="auto"/>
      </w:divBdr>
    </w:div>
    <w:div w:id="916015926">
      <w:bodyDiv w:val="1"/>
      <w:marLeft w:val="0"/>
      <w:marRight w:val="0"/>
      <w:marTop w:val="0"/>
      <w:marBottom w:val="0"/>
      <w:divBdr>
        <w:top w:val="none" w:sz="0" w:space="0" w:color="auto"/>
        <w:left w:val="none" w:sz="0" w:space="0" w:color="auto"/>
        <w:bottom w:val="none" w:sz="0" w:space="0" w:color="auto"/>
        <w:right w:val="none" w:sz="0" w:space="0" w:color="auto"/>
      </w:divBdr>
    </w:div>
    <w:div w:id="919288275">
      <w:bodyDiv w:val="1"/>
      <w:marLeft w:val="0"/>
      <w:marRight w:val="0"/>
      <w:marTop w:val="0"/>
      <w:marBottom w:val="0"/>
      <w:divBdr>
        <w:top w:val="none" w:sz="0" w:space="0" w:color="auto"/>
        <w:left w:val="none" w:sz="0" w:space="0" w:color="auto"/>
        <w:bottom w:val="none" w:sz="0" w:space="0" w:color="auto"/>
        <w:right w:val="none" w:sz="0" w:space="0" w:color="auto"/>
      </w:divBdr>
    </w:div>
    <w:div w:id="927814142">
      <w:bodyDiv w:val="1"/>
      <w:marLeft w:val="0"/>
      <w:marRight w:val="0"/>
      <w:marTop w:val="0"/>
      <w:marBottom w:val="0"/>
      <w:divBdr>
        <w:top w:val="none" w:sz="0" w:space="0" w:color="auto"/>
        <w:left w:val="none" w:sz="0" w:space="0" w:color="auto"/>
        <w:bottom w:val="none" w:sz="0" w:space="0" w:color="auto"/>
        <w:right w:val="none" w:sz="0" w:space="0" w:color="auto"/>
      </w:divBdr>
    </w:div>
    <w:div w:id="929192451">
      <w:bodyDiv w:val="1"/>
      <w:marLeft w:val="0"/>
      <w:marRight w:val="0"/>
      <w:marTop w:val="0"/>
      <w:marBottom w:val="0"/>
      <w:divBdr>
        <w:top w:val="none" w:sz="0" w:space="0" w:color="auto"/>
        <w:left w:val="none" w:sz="0" w:space="0" w:color="auto"/>
        <w:bottom w:val="none" w:sz="0" w:space="0" w:color="auto"/>
        <w:right w:val="none" w:sz="0" w:space="0" w:color="auto"/>
      </w:divBdr>
    </w:div>
    <w:div w:id="947201452">
      <w:bodyDiv w:val="1"/>
      <w:marLeft w:val="0"/>
      <w:marRight w:val="0"/>
      <w:marTop w:val="0"/>
      <w:marBottom w:val="0"/>
      <w:divBdr>
        <w:top w:val="none" w:sz="0" w:space="0" w:color="auto"/>
        <w:left w:val="none" w:sz="0" w:space="0" w:color="auto"/>
        <w:bottom w:val="none" w:sz="0" w:space="0" w:color="auto"/>
        <w:right w:val="none" w:sz="0" w:space="0" w:color="auto"/>
      </w:divBdr>
    </w:div>
    <w:div w:id="947660483">
      <w:bodyDiv w:val="1"/>
      <w:marLeft w:val="0"/>
      <w:marRight w:val="0"/>
      <w:marTop w:val="0"/>
      <w:marBottom w:val="0"/>
      <w:divBdr>
        <w:top w:val="none" w:sz="0" w:space="0" w:color="auto"/>
        <w:left w:val="none" w:sz="0" w:space="0" w:color="auto"/>
        <w:bottom w:val="none" w:sz="0" w:space="0" w:color="auto"/>
        <w:right w:val="none" w:sz="0" w:space="0" w:color="auto"/>
      </w:divBdr>
    </w:div>
    <w:div w:id="949970439">
      <w:bodyDiv w:val="1"/>
      <w:marLeft w:val="0"/>
      <w:marRight w:val="0"/>
      <w:marTop w:val="0"/>
      <w:marBottom w:val="0"/>
      <w:divBdr>
        <w:top w:val="none" w:sz="0" w:space="0" w:color="auto"/>
        <w:left w:val="none" w:sz="0" w:space="0" w:color="auto"/>
        <w:bottom w:val="none" w:sz="0" w:space="0" w:color="auto"/>
        <w:right w:val="none" w:sz="0" w:space="0" w:color="auto"/>
      </w:divBdr>
    </w:div>
    <w:div w:id="952785792">
      <w:bodyDiv w:val="1"/>
      <w:marLeft w:val="0"/>
      <w:marRight w:val="0"/>
      <w:marTop w:val="0"/>
      <w:marBottom w:val="0"/>
      <w:divBdr>
        <w:top w:val="none" w:sz="0" w:space="0" w:color="auto"/>
        <w:left w:val="none" w:sz="0" w:space="0" w:color="auto"/>
        <w:bottom w:val="none" w:sz="0" w:space="0" w:color="auto"/>
        <w:right w:val="none" w:sz="0" w:space="0" w:color="auto"/>
      </w:divBdr>
    </w:div>
    <w:div w:id="953176716">
      <w:bodyDiv w:val="1"/>
      <w:marLeft w:val="0"/>
      <w:marRight w:val="0"/>
      <w:marTop w:val="0"/>
      <w:marBottom w:val="0"/>
      <w:divBdr>
        <w:top w:val="none" w:sz="0" w:space="0" w:color="auto"/>
        <w:left w:val="none" w:sz="0" w:space="0" w:color="auto"/>
        <w:bottom w:val="none" w:sz="0" w:space="0" w:color="auto"/>
        <w:right w:val="none" w:sz="0" w:space="0" w:color="auto"/>
      </w:divBdr>
    </w:div>
    <w:div w:id="958757615">
      <w:bodyDiv w:val="1"/>
      <w:marLeft w:val="0"/>
      <w:marRight w:val="0"/>
      <w:marTop w:val="0"/>
      <w:marBottom w:val="0"/>
      <w:divBdr>
        <w:top w:val="none" w:sz="0" w:space="0" w:color="auto"/>
        <w:left w:val="none" w:sz="0" w:space="0" w:color="auto"/>
        <w:bottom w:val="none" w:sz="0" w:space="0" w:color="auto"/>
        <w:right w:val="none" w:sz="0" w:space="0" w:color="auto"/>
      </w:divBdr>
    </w:div>
    <w:div w:id="974411732">
      <w:bodyDiv w:val="1"/>
      <w:marLeft w:val="0"/>
      <w:marRight w:val="0"/>
      <w:marTop w:val="0"/>
      <w:marBottom w:val="0"/>
      <w:divBdr>
        <w:top w:val="none" w:sz="0" w:space="0" w:color="auto"/>
        <w:left w:val="none" w:sz="0" w:space="0" w:color="auto"/>
        <w:bottom w:val="none" w:sz="0" w:space="0" w:color="auto"/>
        <w:right w:val="none" w:sz="0" w:space="0" w:color="auto"/>
      </w:divBdr>
    </w:div>
    <w:div w:id="992029968">
      <w:bodyDiv w:val="1"/>
      <w:marLeft w:val="0"/>
      <w:marRight w:val="0"/>
      <w:marTop w:val="0"/>
      <w:marBottom w:val="0"/>
      <w:divBdr>
        <w:top w:val="none" w:sz="0" w:space="0" w:color="auto"/>
        <w:left w:val="none" w:sz="0" w:space="0" w:color="auto"/>
        <w:bottom w:val="none" w:sz="0" w:space="0" w:color="auto"/>
        <w:right w:val="none" w:sz="0" w:space="0" w:color="auto"/>
      </w:divBdr>
    </w:div>
    <w:div w:id="1003045970">
      <w:bodyDiv w:val="1"/>
      <w:marLeft w:val="0"/>
      <w:marRight w:val="0"/>
      <w:marTop w:val="0"/>
      <w:marBottom w:val="0"/>
      <w:divBdr>
        <w:top w:val="none" w:sz="0" w:space="0" w:color="auto"/>
        <w:left w:val="none" w:sz="0" w:space="0" w:color="auto"/>
        <w:bottom w:val="none" w:sz="0" w:space="0" w:color="auto"/>
        <w:right w:val="none" w:sz="0" w:space="0" w:color="auto"/>
      </w:divBdr>
    </w:div>
    <w:div w:id="1010254253">
      <w:bodyDiv w:val="1"/>
      <w:marLeft w:val="0"/>
      <w:marRight w:val="0"/>
      <w:marTop w:val="0"/>
      <w:marBottom w:val="0"/>
      <w:divBdr>
        <w:top w:val="none" w:sz="0" w:space="0" w:color="auto"/>
        <w:left w:val="none" w:sz="0" w:space="0" w:color="auto"/>
        <w:bottom w:val="none" w:sz="0" w:space="0" w:color="auto"/>
        <w:right w:val="none" w:sz="0" w:space="0" w:color="auto"/>
      </w:divBdr>
    </w:div>
    <w:div w:id="1016539110">
      <w:bodyDiv w:val="1"/>
      <w:marLeft w:val="0"/>
      <w:marRight w:val="0"/>
      <w:marTop w:val="0"/>
      <w:marBottom w:val="0"/>
      <w:divBdr>
        <w:top w:val="none" w:sz="0" w:space="0" w:color="auto"/>
        <w:left w:val="none" w:sz="0" w:space="0" w:color="auto"/>
        <w:bottom w:val="none" w:sz="0" w:space="0" w:color="auto"/>
        <w:right w:val="none" w:sz="0" w:space="0" w:color="auto"/>
      </w:divBdr>
    </w:div>
    <w:div w:id="1057169332">
      <w:bodyDiv w:val="1"/>
      <w:marLeft w:val="0"/>
      <w:marRight w:val="0"/>
      <w:marTop w:val="0"/>
      <w:marBottom w:val="0"/>
      <w:divBdr>
        <w:top w:val="none" w:sz="0" w:space="0" w:color="auto"/>
        <w:left w:val="none" w:sz="0" w:space="0" w:color="auto"/>
        <w:bottom w:val="none" w:sz="0" w:space="0" w:color="auto"/>
        <w:right w:val="none" w:sz="0" w:space="0" w:color="auto"/>
      </w:divBdr>
    </w:div>
    <w:div w:id="1069771115">
      <w:bodyDiv w:val="1"/>
      <w:marLeft w:val="0"/>
      <w:marRight w:val="0"/>
      <w:marTop w:val="0"/>
      <w:marBottom w:val="0"/>
      <w:divBdr>
        <w:top w:val="none" w:sz="0" w:space="0" w:color="auto"/>
        <w:left w:val="none" w:sz="0" w:space="0" w:color="auto"/>
        <w:bottom w:val="none" w:sz="0" w:space="0" w:color="auto"/>
        <w:right w:val="none" w:sz="0" w:space="0" w:color="auto"/>
      </w:divBdr>
    </w:div>
    <w:div w:id="1086802816">
      <w:bodyDiv w:val="1"/>
      <w:marLeft w:val="0"/>
      <w:marRight w:val="0"/>
      <w:marTop w:val="0"/>
      <w:marBottom w:val="0"/>
      <w:divBdr>
        <w:top w:val="none" w:sz="0" w:space="0" w:color="auto"/>
        <w:left w:val="none" w:sz="0" w:space="0" w:color="auto"/>
        <w:bottom w:val="none" w:sz="0" w:space="0" w:color="auto"/>
        <w:right w:val="none" w:sz="0" w:space="0" w:color="auto"/>
      </w:divBdr>
    </w:div>
    <w:div w:id="1113667751">
      <w:bodyDiv w:val="1"/>
      <w:marLeft w:val="0"/>
      <w:marRight w:val="0"/>
      <w:marTop w:val="0"/>
      <w:marBottom w:val="0"/>
      <w:divBdr>
        <w:top w:val="none" w:sz="0" w:space="0" w:color="auto"/>
        <w:left w:val="none" w:sz="0" w:space="0" w:color="auto"/>
        <w:bottom w:val="none" w:sz="0" w:space="0" w:color="auto"/>
        <w:right w:val="none" w:sz="0" w:space="0" w:color="auto"/>
      </w:divBdr>
    </w:div>
    <w:div w:id="1114858881">
      <w:bodyDiv w:val="1"/>
      <w:marLeft w:val="0"/>
      <w:marRight w:val="0"/>
      <w:marTop w:val="0"/>
      <w:marBottom w:val="0"/>
      <w:divBdr>
        <w:top w:val="none" w:sz="0" w:space="0" w:color="auto"/>
        <w:left w:val="none" w:sz="0" w:space="0" w:color="auto"/>
        <w:bottom w:val="none" w:sz="0" w:space="0" w:color="auto"/>
        <w:right w:val="none" w:sz="0" w:space="0" w:color="auto"/>
      </w:divBdr>
    </w:div>
    <w:div w:id="1124272948">
      <w:bodyDiv w:val="1"/>
      <w:marLeft w:val="0"/>
      <w:marRight w:val="0"/>
      <w:marTop w:val="0"/>
      <w:marBottom w:val="0"/>
      <w:divBdr>
        <w:top w:val="none" w:sz="0" w:space="0" w:color="auto"/>
        <w:left w:val="none" w:sz="0" w:space="0" w:color="auto"/>
        <w:bottom w:val="none" w:sz="0" w:space="0" w:color="auto"/>
        <w:right w:val="none" w:sz="0" w:space="0" w:color="auto"/>
      </w:divBdr>
    </w:div>
    <w:div w:id="1130636976">
      <w:bodyDiv w:val="1"/>
      <w:marLeft w:val="0"/>
      <w:marRight w:val="0"/>
      <w:marTop w:val="0"/>
      <w:marBottom w:val="0"/>
      <w:divBdr>
        <w:top w:val="none" w:sz="0" w:space="0" w:color="auto"/>
        <w:left w:val="none" w:sz="0" w:space="0" w:color="auto"/>
        <w:bottom w:val="none" w:sz="0" w:space="0" w:color="auto"/>
        <w:right w:val="none" w:sz="0" w:space="0" w:color="auto"/>
      </w:divBdr>
    </w:div>
    <w:div w:id="1136140565">
      <w:bodyDiv w:val="1"/>
      <w:marLeft w:val="0"/>
      <w:marRight w:val="0"/>
      <w:marTop w:val="0"/>
      <w:marBottom w:val="0"/>
      <w:divBdr>
        <w:top w:val="none" w:sz="0" w:space="0" w:color="auto"/>
        <w:left w:val="none" w:sz="0" w:space="0" w:color="auto"/>
        <w:bottom w:val="none" w:sz="0" w:space="0" w:color="auto"/>
        <w:right w:val="none" w:sz="0" w:space="0" w:color="auto"/>
      </w:divBdr>
    </w:div>
    <w:div w:id="1136290630">
      <w:bodyDiv w:val="1"/>
      <w:marLeft w:val="0"/>
      <w:marRight w:val="0"/>
      <w:marTop w:val="0"/>
      <w:marBottom w:val="0"/>
      <w:divBdr>
        <w:top w:val="none" w:sz="0" w:space="0" w:color="auto"/>
        <w:left w:val="none" w:sz="0" w:space="0" w:color="auto"/>
        <w:bottom w:val="none" w:sz="0" w:space="0" w:color="auto"/>
        <w:right w:val="none" w:sz="0" w:space="0" w:color="auto"/>
      </w:divBdr>
    </w:div>
    <w:div w:id="1144153864">
      <w:bodyDiv w:val="1"/>
      <w:marLeft w:val="0"/>
      <w:marRight w:val="0"/>
      <w:marTop w:val="0"/>
      <w:marBottom w:val="0"/>
      <w:divBdr>
        <w:top w:val="none" w:sz="0" w:space="0" w:color="auto"/>
        <w:left w:val="none" w:sz="0" w:space="0" w:color="auto"/>
        <w:bottom w:val="none" w:sz="0" w:space="0" w:color="auto"/>
        <w:right w:val="none" w:sz="0" w:space="0" w:color="auto"/>
      </w:divBdr>
    </w:div>
    <w:div w:id="1173841810">
      <w:bodyDiv w:val="1"/>
      <w:marLeft w:val="0"/>
      <w:marRight w:val="0"/>
      <w:marTop w:val="0"/>
      <w:marBottom w:val="0"/>
      <w:divBdr>
        <w:top w:val="none" w:sz="0" w:space="0" w:color="auto"/>
        <w:left w:val="none" w:sz="0" w:space="0" w:color="auto"/>
        <w:bottom w:val="none" w:sz="0" w:space="0" w:color="auto"/>
        <w:right w:val="none" w:sz="0" w:space="0" w:color="auto"/>
      </w:divBdr>
    </w:div>
    <w:div w:id="1175339778">
      <w:bodyDiv w:val="1"/>
      <w:marLeft w:val="0"/>
      <w:marRight w:val="0"/>
      <w:marTop w:val="0"/>
      <w:marBottom w:val="0"/>
      <w:divBdr>
        <w:top w:val="none" w:sz="0" w:space="0" w:color="auto"/>
        <w:left w:val="none" w:sz="0" w:space="0" w:color="auto"/>
        <w:bottom w:val="none" w:sz="0" w:space="0" w:color="auto"/>
        <w:right w:val="none" w:sz="0" w:space="0" w:color="auto"/>
      </w:divBdr>
    </w:div>
    <w:div w:id="1175919869">
      <w:bodyDiv w:val="1"/>
      <w:marLeft w:val="0"/>
      <w:marRight w:val="0"/>
      <w:marTop w:val="0"/>
      <w:marBottom w:val="0"/>
      <w:divBdr>
        <w:top w:val="none" w:sz="0" w:space="0" w:color="auto"/>
        <w:left w:val="none" w:sz="0" w:space="0" w:color="auto"/>
        <w:bottom w:val="none" w:sz="0" w:space="0" w:color="auto"/>
        <w:right w:val="none" w:sz="0" w:space="0" w:color="auto"/>
      </w:divBdr>
    </w:div>
    <w:div w:id="1182281415">
      <w:bodyDiv w:val="1"/>
      <w:marLeft w:val="0"/>
      <w:marRight w:val="0"/>
      <w:marTop w:val="0"/>
      <w:marBottom w:val="0"/>
      <w:divBdr>
        <w:top w:val="none" w:sz="0" w:space="0" w:color="auto"/>
        <w:left w:val="none" w:sz="0" w:space="0" w:color="auto"/>
        <w:bottom w:val="none" w:sz="0" w:space="0" w:color="auto"/>
        <w:right w:val="none" w:sz="0" w:space="0" w:color="auto"/>
      </w:divBdr>
    </w:div>
    <w:div w:id="1207107606">
      <w:bodyDiv w:val="1"/>
      <w:marLeft w:val="0"/>
      <w:marRight w:val="0"/>
      <w:marTop w:val="0"/>
      <w:marBottom w:val="0"/>
      <w:divBdr>
        <w:top w:val="none" w:sz="0" w:space="0" w:color="auto"/>
        <w:left w:val="none" w:sz="0" w:space="0" w:color="auto"/>
        <w:bottom w:val="none" w:sz="0" w:space="0" w:color="auto"/>
        <w:right w:val="none" w:sz="0" w:space="0" w:color="auto"/>
      </w:divBdr>
    </w:div>
    <w:div w:id="1209298718">
      <w:bodyDiv w:val="1"/>
      <w:marLeft w:val="0"/>
      <w:marRight w:val="0"/>
      <w:marTop w:val="0"/>
      <w:marBottom w:val="0"/>
      <w:divBdr>
        <w:top w:val="none" w:sz="0" w:space="0" w:color="auto"/>
        <w:left w:val="none" w:sz="0" w:space="0" w:color="auto"/>
        <w:bottom w:val="none" w:sz="0" w:space="0" w:color="auto"/>
        <w:right w:val="none" w:sz="0" w:space="0" w:color="auto"/>
      </w:divBdr>
    </w:div>
    <w:div w:id="1210459419">
      <w:bodyDiv w:val="1"/>
      <w:marLeft w:val="0"/>
      <w:marRight w:val="0"/>
      <w:marTop w:val="0"/>
      <w:marBottom w:val="0"/>
      <w:divBdr>
        <w:top w:val="none" w:sz="0" w:space="0" w:color="auto"/>
        <w:left w:val="none" w:sz="0" w:space="0" w:color="auto"/>
        <w:bottom w:val="none" w:sz="0" w:space="0" w:color="auto"/>
        <w:right w:val="none" w:sz="0" w:space="0" w:color="auto"/>
      </w:divBdr>
    </w:div>
    <w:div w:id="1219782080">
      <w:bodyDiv w:val="1"/>
      <w:marLeft w:val="0"/>
      <w:marRight w:val="0"/>
      <w:marTop w:val="0"/>
      <w:marBottom w:val="0"/>
      <w:divBdr>
        <w:top w:val="none" w:sz="0" w:space="0" w:color="auto"/>
        <w:left w:val="none" w:sz="0" w:space="0" w:color="auto"/>
        <w:bottom w:val="none" w:sz="0" w:space="0" w:color="auto"/>
        <w:right w:val="none" w:sz="0" w:space="0" w:color="auto"/>
      </w:divBdr>
    </w:div>
    <w:div w:id="1237327064">
      <w:bodyDiv w:val="1"/>
      <w:marLeft w:val="0"/>
      <w:marRight w:val="0"/>
      <w:marTop w:val="0"/>
      <w:marBottom w:val="0"/>
      <w:divBdr>
        <w:top w:val="none" w:sz="0" w:space="0" w:color="auto"/>
        <w:left w:val="none" w:sz="0" w:space="0" w:color="auto"/>
        <w:bottom w:val="none" w:sz="0" w:space="0" w:color="auto"/>
        <w:right w:val="none" w:sz="0" w:space="0" w:color="auto"/>
      </w:divBdr>
    </w:div>
    <w:div w:id="1254246841">
      <w:bodyDiv w:val="1"/>
      <w:marLeft w:val="0"/>
      <w:marRight w:val="0"/>
      <w:marTop w:val="0"/>
      <w:marBottom w:val="0"/>
      <w:divBdr>
        <w:top w:val="none" w:sz="0" w:space="0" w:color="auto"/>
        <w:left w:val="none" w:sz="0" w:space="0" w:color="auto"/>
        <w:bottom w:val="none" w:sz="0" w:space="0" w:color="auto"/>
        <w:right w:val="none" w:sz="0" w:space="0" w:color="auto"/>
      </w:divBdr>
    </w:div>
    <w:div w:id="1270813557">
      <w:bodyDiv w:val="1"/>
      <w:marLeft w:val="0"/>
      <w:marRight w:val="0"/>
      <w:marTop w:val="0"/>
      <w:marBottom w:val="0"/>
      <w:divBdr>
        <w:top w:val="none" w:sz="0" w:space="0" w:color="auto"/>
        <w:left w:val="none" w:sz="0" w:space="0" w:color="auto"/>
        <w:bottom w:val="none" w:sz="0" w:space="0" w:color="auto"/>
        <w:right w:val="none" w:sz="0" w:space="0" w:color="auto"/>
      </w:divBdr>
    </w:div>
    <w:div w:id="1308164351">
      <w:bodyDiv w:val="1"/>
      <w:marLeft w:val="0"/>
      <w:marRight w:val="0"/>
      <w:marTop w:val="0"/>
      <w:marBottom w:val="0"/>
      <w:divBdr>
        <w:top w:val="none" w:sz="0" w:space="0" w:color="auto"/>
        <w:left w:val="none" w:sz="0" w:space="0" w:color="auto"/>
        <w:bottom w:val="none" w:sz="0" w:space="0" w:color="auto"/>
        <w:right w:val="none" w:sz="0" w:space="0" w:color="auto"/>
      </w:divBdr>
    </w:div>
    <w:div w:id="1309214027">
      <w:bodyDiv w:val="1"/>
      <w:marLeft w:val="0"/>
      <w:marRight w:val="0"/>
      <w:marTop w:val="0"/>
      <w:marBottom w:val="0"/>
      <w:divBdr>
        <w:top w:val="none" w:sz="0" w:space="0" w:color="auto"/>
        <w:left w:val="none" w:sz="0" w:space="0" w:color="auto"/>
        <w:bottom w:val="none" w:sz="0" w:space="0" w:color="auto"/>
        <w:right w:val="none" w:sz="0" w:space="0" w:color="auto"/>
      </w:divBdr>
    </w:div>
    <w:div w:id="1336573423">
      <w:bodyDiv w:val="1"/>
      <w:marLeft w:val="0"/>
      <w:marRight w:val="0"/>
      <w:marTop w:val="0"/>
      <w:marBottom w:val="0"/>
      <w:divBdr>
        <w:top w:val="none" w:sz="0" w:space="0" w:color="auto"/>
        <w:left w:val="none" w:sz="0" w:space="0" w:color="auto"/>
        <w:bottom w:val="none" w:sz="0" w:space="0" w:color="auto"/>
        <w:right w:val="none" w:sz="0" w:space="0" w:color="auto"/>
      </w:divBdr>
    </w:div>
    <w:div w:id="1341279151">
      <w:bodyDiv w:val="1"/>
      <w:marLeft w:val="0"/>
      <w:marRight w:val="0"/>
      <w:marTop w:val="0"/>
      <w:marBottom w:val="0"/>
      <w:divBdr>
        <w:top w:val="none" w:sz="0" w:space="0" w:color="auto"/>
        <w:left w:val="none" w:sz="0" w:space="0" w:color="auto"/>
        <w:bottom w:val="none" w:sz="0" w:space="0" w:color="auto"/>
        <w:right w:val="none" w:sz="0" w:space="0" w:color="auto"/>
      </w:divBdr>
    </w:div>
    <w:div w:id="1348941357">
      <w:bodyDiv w:val="1"/>
      <w:marLeft w:val="0"/>
      <w:marRight w:val="0"/>
      <w:marTop w:val="0"/>
      <w:marBottom w:val="0"/>
      <w:divBdr>
        <w:top w:val="none" w:sz="0" w:space="0" w:color="auto"/>
        <w:left w:val="none" w:sz="0" w:space="0" w:color="auto"/>
        <w:bottom w:val="none" w:sz="0" w:space="0" w:color="auto"/>
        <w:right w:val="none" w:sz="0" w:space="0" w:color="auto"/>
      </w:divBdr>
    </w:div>
    <w:div w:id="1356232345">
      <w:bodyDiv w:val="1"/>
      <w:marLeft w:val="0"/>
      <w:marRight w:val="0"/>
      <w:marTop w:val="0"/>
      <w:marBottom w:val="0"/>
      <w:divBdr>
        <w:top w:val="none" w:sz="0" w:space="0" w:color="auto"/>
        <w:left w:val="none" w:sz="0" w:space="0" w:color="auto"/>
        <w:bottom w:val="none" w:sz="0" w:space="0" w:color="auto"/>
        <w:right w:val="none" w:sz="0" w:space="0" w:color="auto"/>
      </w:divBdr>
    </w:div>
    <w:div w:id="1357999242">
      <w:bodyDiv w:val="1"/>
      <w:marLeft w:val="0"/>
      <w:marRight w:val="0"/>
      <w:marTop w:val="0"/>
      <w:marBottom w:val="0"/>
      <w:divBdr>
        <w:top w:val="none" w:sz="0" w:space="0" w:color="auto"/>
        <w:left w:val="none" w:sz="0" w:space="0" w:color="auto"/>
        <w:bottom w:val="none" w:sz="0" w:space="0" w:color="auto"/>
        <w:right w:val="none" w:sz="0" w:space="0" w:color="auto"/>
      </w:divBdr>
    </w:div>
    <w:div w:id="1358584585">
      <w:bodyDiv w:val="1"/>
      <w:marLeft w:val="0"/>
      <w:marRight w:val="0"/>
      <w:marTop w:val="0"/>
      <w:marBottom w:val="0"/>
      <w:divBdr>
        <w:top w:val="none" w:sz="0" w:space="0" w:color="auto"/>
        <w:left w:val="none" w:sz="0" w:space="0" w:color="auto"/>
        <w:bottom w:val="none" w:sz="0" w:space="0" w:color="auto"/>
        <w:right w:val="none" w:sz="0" w:space="0" w:color="auto"/>
      </w:divBdr>
    </w:div>
    <w:div w:id="1373842017">
      <w:bodyDiv w:val="1"/>
      <w:marLeft w:val="0"/>
      <w:marRight w:val="0"/>
      <w:marTop w:val="0"/>
      <w:marBottom w:val="0"/>
      <w:divBdr>
        <w:top w:val="none" w:sz="0" w:space="0" w:color="auto"/>
        <w:left w:val="none" w:sz="0" w:space="0" w:color="auto"/>
        <w:bottom w:val="none" w:sz="0" w:space="0" w:color="auto"/>
        <w:right w:val="none" w:sz="0" w:space="0" w:color="auto"/>
      </w:divBdr>
    </w:div>
    <w:div w:id="1377386642">
      <w:bodyDiv w:val="1"/>
      <w:marLeft w:val="0"/>
      <w:marRight w:val="0"/>
      <w:marTop w:val="0"/>
      <w:marBottom w:val="0"/>
      <w:divBdr>
        <w:top w:val="none" w:sz="0" w:space="0" w:color="auto"/>
        <w:left w:val="none" w:sz="0" w:space="0" w:color="auto"/>
        <w:bottom w:val="none" w:sz="0" w:space="0" w:color="auto"/>
        <w:right w:val="none" w:sz="0" w:space="0" w:color="auto"/>
      </w:divBdr>
    </w:div>
    <w:div w:id="1378117666">
      <w:bodyDiv w:val="1"/>
      <w:marLeft w:val="0"/>
      <w:marRight w:val="0"/>
      <w:marTop w:val="0"/>
      <w:marBottom w:val="0"/>
      <w:divBdr>
        <w:top w:val="none" w:sz="0" w:space="0" w:color="auto"/>
        <w:left w:val="none" w:sz="0" w:space="0" w:color="auto"/>
        <w:bottom w:val="none" w:sz="0" w:space="0" w:color="auto"/>
        <w:right w:val="none" w:sz="0" w:space="0" w:color="auto"/>
      </w:divBdr>
    </w:div>
    <w:div w:id="1395280757">
      <w:bodyDiv w:val="1"/>
      <w:marLeft w:val="0"/>
      <w:marRight w:val="0"/>
      <w:marTop w:val="0"/>
      <w:marBottom w:val="0"/>
      <w:divBdr>
        <w:top w:val="none" w:sz="0" w:space="0" w:color="auto"/>
        <w:left w:val="none" w:sz="0" w:space="0" w:color="auto"/>
        <w:bottom w:val="none" w:sz="0" w:space="0" w:color="auto"/>
        <w:right w:val="none" w:sz="0" w:space="0" w:color="auto"/>
      </w:divBdr>
    </w:div>
    <w:div w:id="1401753307">
      <w:bodyDiv w:val="1"/>
      <w:marLeft w:val="0"/>
      <w:marRight w:val="0"/>
      <w:marTop w:val="0"/>
      <w:marBottom w:val="0"/>
      <w:divBdr>
        <w:top w:val="none" w:sz="0" w:space="0" w:color="auto"/>
        <w:left w:val="none" w:sz="0" w:space="0" w:color="auto"/>
        <w:bottom w:val="none" w:sz="0" w:space="0" w:color="auto"/>
        <w:right w:val="none" w:sz="0" w:space="0" w:color="auto"/>
      </w:divBdr>
    </w:div>
    <w:div w:id="1420716096">
      <w:bodyDiv w:val="1"/>
      <w:marLeft w:val="0"/>
      <w:marRight w:val="0"/>
      <w:marTop w:val="0"/>
      <w:marBottom w:val="0"/>
      <w:divBdr>
        <w:top w:val="none" w:sz="0" w:space="0" w:color="auto"/>
        <w:left w:val="none" w:sz="0" w:space="0" w:color="auto"/>
        <w:bottom w:val="none" w:sz="0" w:space="0" w:color="auto"/>
        <w:right w:val="none" w:sz="0" w:space="0" w:color="auto"/>
      </w:divBdr>
    </w:div>
    <w:div w:id="1423913840">
      <w:bodyDiv w:val="1"/>
      <w:marLeft w:val="0"/>
      <w:marRight w:val="0"/>
      <w:marTop w:val="0"/>
      <w:marBottom w:val="0"/>
      <w:divBdr>
        <w:top w:val="none" w:sz="0" w:space="0" w:color="auto"/>
        <w:left w:val="none" w:sz="0" w:space="0" w:color="auto"/>
        <w:bottom w:val="none" w:sz="0" w:space="0" w:color="auto"/>
        <w:right w:val="none" w:sz="0" w:space="0" w:color="auto"/>
      </w:divBdr>
    </w:div>
    <w:div w:id="1424719130">
      <w:bodyDiv w:val="1"/>
      <w:marLeft w:val="0"/>
      <w:marRight w:val="0"/>
      <w:marTop w:val="0"/>
      <w:marBottom w:val="0"/>
      <w:divBdr>
        <w:top w:val="none" w:sz="0" w:space="0" w:color="auto"/>
        <w:left w:val="none" w:sz="0" w:space="0" w:color="auto"/>
        <w:bottom w:val="none" w:sz="0" w:space="0" w:color="auto"/>
        <w:right w:val="none" w:sz="0" w:space="0" w:color="auto"/>
      </w:divBdr>
    </w:div>
    <w:div w:id="1436171917">
      <w:bodyDiv w:val="1"/>
      <w:marLeft w:val="0"/>
      <w:marRight w:val="0"/>
      <w:marTop w:val="0"/>
      <w:marBottom w:val="0"/>
      <w:divBdr>
        <w:top w:val="none" w:sz="0" w:space="0" w:color="auto"/>
        <w:left w:val="none" w:sz="0" w:space="0" w:color="auto"/>
        <w:bottom w:val="none" w:sz="0" w:space="0" w:color="auto"/>
        <w:right w:val="none" w:sz="0" w:space="0" w:color="auto"/>
      </w:divBdr>
    </w:div>
    <w:div w:id="1456827151">
      <w:bodyDiv w:val="1"/>
      <w:marLeft w:val="0"/>
      <w:marRight w:val="0"/>
      <w:marTop w:val="0"/>
      <w:marBottom w:val="0"/>
      <w:divBdr>
        <w:top w:val="none" w:sz="0" w:space="0" w:color="auto"/>
        <w:left w:val="none" w:sz="0" w:space="0" w:color="auto"/>
        <w:bottom w:val="none" w:sz="0" w:space="0" w:color="auto"/>
        <w:right w:val="none" w:sz="0" w:space="0" w:color="auto"/>
      </w:divBdr>
    </w:div>
    <w:div w:id="1466387141">
      <w:bodyDiv w:val="1"/>
      <w:marLeft w:val="0"/>
      <w:marRight w:val="0"/>
      <w:marTop w:val="0"/>
      <w:marBottom w:val="0"/>
      <w:divBdr>
        <w:top w:val="none" w:sz="0" w:space="0" w:color="auto"/>
        <w:left w:val="none" w:sz="0" w:space="0" w:color="auto"/>
        <w:bottom w:val="none" w:sz="0" w:space="0" w:color="auto"/>
        <w:right w:val="none" w:sz="0" w:space="0" w:color="auto"/>
      </w:divBdr>
    </w:div>
    <w:div w:id="1471509207">
      <w:bodyDiv w:val="1"/>
      <w:marLeft w:val="0"/>
      <w:marRight w:val="0"/>
      <w:marTop w:val="0"/>
      <w:marBottom w:val="0"/>
      <w:divBdr>
        <w:top w:val="none" w:sz="0" w:space="0" w:color="auto"/>
        <w:left w:val="none" w:sz="0" w:space="0" w:color="auto"/>
        <w:bottom w:val="none" w:sz="0" w:space="0" w:color="auto"/>
        <w:right w:val="none" w:sz="0" w:space="0" w:color="auto"/>
      </w:divBdr>
    </w:div>
    <w:div w:id="1472092772">
      <w:bodyDiv w:val="1"/>
      <w:marLeft w:val="0"/>
      <w:marRight w:val="0"/>
      <w:marTop w:val="0"/>
      <w:marBottom w:val="0"/>
      <w:divBdr>
        <w:top w:val="none" w:sz="0" w:space="0" w:color="auto"/>
        <w:left w:val="none" w:sz="0" w:space="0" w:color="auto"/>
        <w:bottom w:val="none" w:sz="0" w:space="0" w:color="auto"/>
        <w:right w:val="none" w:sz="0" w:space="0" w:color="auto"/>
      </w:divBdr>
    </w:div>
    <w:div w:id="1472599362">
      <w:bodyDiv w:val="1"/>
      <w:marLeft w:val="0"/>
      <w:marRight w:val="0"/>
      <w:marTop w:val="0"/>
      <w:marBottom w:val="0"/>
      <w:divBdr>
        <w:top w:val="none" w:sz="0" w:space="0" w:color="auto"/>
        <w:left w:val="none" w:sz="0" w:space="0" w:color="auto"/>
        <w:bottom w:val="none" w:sz="0" w:space="0" w:color="auto"/>
        <w:right w:val="none" w:sz="0" w:space="0" w:color="auto"/>
      </w:divBdr>
    </w:div>
    <w:div w:id="1482310897">
      <w:bodyDiv w:val="1"/>
      <w:marLeft w:val="0"/>
      <w:marRight w:val="0"/>
      <w:marTop w:val="0"/>
      <w:marBottom w:val="0"/>
      <w:divBdr>
        <w:top w:val="none" w:sz="0" w:space="0" w:color="auto"/>
        <w:left w:val="none" w:sz="0" w:space="0" w:color="auto"/>
        <w:bottom w:val="none" w:sz="0" w:space="0" w:color="auto"/>
        <w:right w:val="none" w:sz="0" w:space="0" w:color="auto"/>
      </w:divBdr>
    </w:div>
    <w:div w:id="1484928928">
      <w:bodyDiv w:val="1"/>
      <w:marLeft w:val="0"/>
      <w:marRight w:val="0"/>
      <w:marTop w:val="0"/>
      <w:marBottom w:val="0"/>
      <w:divBdr>
        <w:top w:val="none" w:sz="0" w:space="0" w:color="auto"/>
        <w:left w:val="none" w:sz="0" w:space="0" w:color="auto"/>
        <w:bottom w:val="none" w:sz="0" w:space="0" w:color="auto"/>
        <w:right w:val="none" w:sz="0" w:space="0" w:color="auto"/>
      </w:divBdr>
    </w:div>
    <w:div w:id="1497064912">
      <w:bodyDiv w:val="1"/>
      <w:marLeft w:val="0"/>
      <w:marRight w:val="0"/>
      <w:marTop w:val="0"/>
      <w:marBottom w:val="0"/>
      <w:divBdr>
        <w:top w:val="none" w:sz="0" w:space="0" w:color="auto"/>
        <w:left w:val="none" w:sz="0" w:space="0" w:color="auto"/>
        <w:bottom w:val="none" w:sz="0" w:space="0" w:color="auto"/>
        <w:right w:val="none" w:sz="0" w:space="0" w:color="auto"/>
      </w:divBdr>
    </w:div>
    <w:div w:id="1526793875">
      <w:bodyDiv w:val="1"/>
      <w:marLeft w:val="0"/>
      <w:marRight w:val="0"/>
      <w:marTop w:val="0"/>
      <w:marBottom w:val="0"/>
      <w:divBdr>
        <w:top w:val="none" w:sz="0" w:space="0" w:color="auto"/>
        <w:left w:val="none" w:sz="0" w:space="0" w:color="auto"/>
        <w:bottom w:val="none" w:sz="0" w:space="0" w:color="auto"/>
        <w:right w:val="none" w:sz="0" w:space="0" w:color="auto"/>
      </w:divBdr>
    </w:div>
    <w:div w:id="1567448064">
      <w:bodyDiv w:val="1"/>
      <w:marLeft w:val="0"/>
      <w:marRight w:val="0"/>
      <w:marTop w:val="0"/>
      <w:marBottom w:val="0"/>
      <w:divBdr>
        <w:top w:val="none" w:sz="0" w:space="0" w:color="auto"/>
        <w:left w:val="none" w:sz="0" w:space="0" w:color="auto"/>
        <w:bottom w:val="none" w:sz="0" w:space="0" w:color="auto"/>
        <w:right w:val="none" w:sz="0" w:space="0" w:color="auto"/>
      </w:divBdr>
    </w:div>
    <w:div w:id="1570647535">
      <w:bodyDiv w:val="1"/>
      <w:marLeft w:val="0"/>
      <w:marRight w:val="0"/>
      <w:marTop w:val="0"/>
      <w:marBottom w:val="0"/>
      <w:divBdr>
        <w:top w:val="none" w:sz="0" w:space="0" w:color="auto"/>
        <w:left w:val="none" w:sz="0" w:space="0" w:color="auto"/>
        <w:bottom w:val="none" w:sz="0" w:space="0" w:color="auto"/>
        <w:right w:val="none" w:sz="0" w:space="0" w:color="auto"/>
      </w:divBdr>
    </w:div>
    <w:div w:id="1584149003">
      <w:bodyDiv w:val="1"/>
      <w:marLeft w:val="0"/>
      <w:marRight w:val="0"/>
      <w:marTop w:val="0"/>
      <w:marBottom w:val="0"/>
      <w:divBdr>
        <w:top w:val="none" w:sz="0" w:space="0" w:color="auto"/>
        <w:left w:val="none" w:sz="0" w:space="0" w:color="auto"/>
        <w:bottom w:val="none" w:sz="0" w:space="0" w:color="auto"/>
        <w:right w:val="none" w:sz="0" w:space="0" w:color="auto"/>
      </w:divBdr>
    </w:div>
    <w:div w:id="1603411292">
      <w:bodyDiv w:val="1"/>
      <w:marLeft w:val="0"/>
      <w:marRight w:val="0"/>
      <w:marTop w:val="0"/>
      <w:marBottom w:val="0"/>
      <w:divBdr>
        <w:top w:val="none" w:sz="0" w:space="0" w:color="auto"/>
        <w:left w:val="none" w:sz="0" w:space="0" w:color="auto"/>
        <w:bottom w:val="none" w:sz="0" w:space="0" w:color="auto"/>
        <w:right w:val="none" w:sz="0" w:space="0" w:color="auto"/>
      </w:divBdr>
    </w:div>
    <w:div w:id="1608199690">
      <w:bodyDiv w:val="1"/>
      <w:marLeft w:val="0"/>
      <w:marRight w:val="0"/>
      <w:marTop w:val="0"/>
      <w:marBottom w:val="0"/>
      <w:divBdr>
        <w:top w:val="none" w:sz="0" w:space="0" w:color="auto"/>
        <w:left w:val="none" w:sz="0" w:space="0" w:color="auto"/>
        <w:bottom w:val="none" w:sz="0" w:space="0" w:color="auto"/>
        <w:right w:val="none" w:sz="0" w:space="0" w:color="auto"/>
      </w:divBdr>
    </w:div>
    <w:div w:id="1613200055">
      <w:bodyDiv w:val="1"/>
      <w:marLeft w:val="0"/>
      <w:marRight w:val="0"/>
      <w:marTop w:val="0"/>
      <w:marBottom w:val="0"/>
      <w:divBdr>
        <w:top w:val="none" w:sz="0" w:space="0" w:color="auto"/>
        <w:left w:val="none" w:sz="0" w:space="0" w:color="auto"/>
        <w:bottom w:val="none" w:sz="0" w:space="0" w:color="auto"/>
        <w:right w:val="none" w:sz="0" w:space="0" w:color="auto"/>
      </w:divBdr>
    </w:div>
    <w:div w:id="1614509768">
      <w:bodyDiv w:val="1"/>
      <w:marLeft w:val="0"/>
      <w:marRight w:val="0"/>
      <w:marTop w:val="0"/>
      <w:marBottom w:val="0"/>
      <w:divBdr>
        <w:top w:val="none" w:sz="0" w:space="0" w:color="auto"/>
        <w:left w:val="none" w:sz="0" w:space="0" w:color="auto"/>
        <w:bottom w:val="none" w:sz="0" w:space="0" w:color="auto"/>
        <w:right w:val="none" w:sz="0" w:space="0" w:color="auto"/>
      </w:divBdr>
    </w:div>
    <w:div w:id="1634291350">
      <w:bodyDiv w:val="1"/>
      <w:marLeft w:val="0"/>
      <w:marRight w:val="0"/>
      <w:marTop w:val="0"/>
      <w:marBottom w:val="0"/>
      <w:divBdr>
        <w:top w:val="none" w:sz="0" w:space="0" w:color="auto"/>
        <w:left w:val="none" w:sz="0" w:space="0" w:color="auto"/>
        <w:bottom w:val="none" w:sz="0" w:space="0" w:color="auto"/>
        <w:right w:val="none" w:sz="0" w:space="0" w:color="auto"/>
      </w:divBdr>
    </w:div>
    <w:div w:id="1635519524">
      <w:bodyDiv w:val="1"/>
      <w:marLeft w:val="0"/>
      <w:marRight w:val="0"/>
      <w:marTop w:val="0"/>
      <w:marBottom w:val="0"/>
      <w:divBdr>
        <w:top w:val="none" w:sz="0" w:space="0" w:color="auto"/>
        <w:left w:val="none" w:sz="0" w:space="0" w:color="auto"/>
        <w:bottom w:val="none" w:sz="0" w:space="0" w:color="auto"/>
        <w:right w:val="none" w:sz="0" w:space="0" w:color="auto"/>
      </w:divBdr>
    </w:div>
    <w:div w:id="1652714139">
      <w:bodyDiv w:val="1"/>
      <w:marLeft w:val="0"/>
      <w:marRight w:val="0"/>
      <w:marTop w:val="0"/>
      <w:marBottom w:val="0"/>
      <w:divBdr>
        <w:top w:val="none" w:sz="0" w:space="0" w:color="auto"/>
        <w:left w:val="none" w:sz="0" w:space="0" w:color="auto"/>
        <w:bottom w:val="none" w:sz="0" w:space="0" w:color="auto"/>
        <w:right w:val="none" w:sz="0" w:space="0" w:color="auto"/>
      </w:divBdr>
    </w:div>
    <w:div w:id="1655983666">
      <w:bodyDiv w:val="1"/>
      <w:marLeft w:val="0"/>
      <w:marRight w:val="0"/>
      <w:marTop w:val="0"/>
      <w:marBottom w:val="0"/>
      <w:divBdr>
        <w:top w:val="none" w:sz="0" w:space="0" w:color="auto"/>
        <w:left w:val="none" w:sz="0" w:space="0" w:color="auto"/>
        <w:bottom w:val="none" w:sz="0" w:space="0" w:color="auto"/>
        <w:right w:val="none" w:sz="0" w:space="0" w:color="auto"/>
      </w:divBdr>
    </w:div>
    <w:div w:id="1689410965">
      <w:bodyDiv w:val="1"/>
      <w:marLeft w:val="0"/>
      <w:marRight w:val="0"/>
      <w:marTop w:val="0"/>
      <w:marBottom w:val="0"/>
      <w:divBdr>
        <w:top w:val="none" w:sz="0" w:space="0" w:color="auto"/>
        <w:left w:val="none" w:sz="0" w:space="0" w:color="auto"/>
        <w:bottom w:val="none" w:sz="0" w:space="0" w:color="auto"/>
        <w:right w:val="none" w:sz="0" w:space="0" w:color="auto"/>
      </w:divBdr>
    </w:div>
    <w:div w:id="1707412163">
      <w:bodyDiv w:val="1"/>
      <w:marLeft w:val="0"/>
      <w:marRight w:val="0"/>
      <w:marTop w:val="0"/>
      <w:marBottom w:val="0"/>
      <w:divBdr>
        <w:top w:val="none" w:sz="0" w:space="0" w:color="auto"/>
        <w:left w:val="none" w:sz="0" w:space="0" w:color="auto"/>
        <w:bottom w:val="none" w:sz="0" w:space="0" w:color="auto"/>
        <w:right w:val="none" w:sz="0" w:space="0" w:color="auto"/>
      </w:divBdr>
    </w:div>
    <w:div w:id="1708021546">
      <w:bodyDiv w:val="1"/>
      <w:marLeft w:val="0"/>
      <w:marRight w:val="0"/>
      <w:marTop w:val="0"/>
      <w:marBottom w:val="0"/>
      <w:divBdr>
        <w:top w:val="none" w:sz="0" w:space="0" w:color="auto"/>
        <w:left w:val="none" w:sz="0" w:space="0" w:color="auto"/>
        <w:bottom w:val="none" w:sz="0" w:space="0" w:color="auto"/>
        <w:right w:val="none" w:sz="0" w:space="0" w:color="auto"/>
      </w:divBdr>
    </w:div>
    <w:div w:id="1726492485">
      <w:bodyDiv w:val="1"/>
      <w:marLeft w:val="0"/>
      <w:marRight w:val="0"/>
      <w:marTop w:val="0"/>
      <w:marBottom w:val="0"/>
      <w:divBdr>
        <w:top w:val="none" w:sz="0" w:space="0" w:color="auto"/>
        <w:left w:val="none" w:sz="0" w:space="0" w:color="auto"/>
        <w:bottom w:val="none" w:sz="0" w:space="0" w:color="auto"/>
        <w:right w:val="none" w:sz="0" w:space="0" w:color="auto"/>
      </w:divBdr>
    </w:div>
    <w:div w:id="1732802709">
      <w:bodyDiv w:val="1"/>
      <w:marLeft w:val="0"/>
      <w:marRight w:val="0"/>
      <w:marTop w:val="0"/>
      <w:marBottom w:val="0"/>
      <w:divBdr>
        <w:top w:val="none" w:sz="0" w:space="0" w:color="auto"/>
        <w:left w:val="none" w:sz="0" w:space="0" w:color="auto"/>
        <w:bottom w:val="none" w:sz="0" w:space="0" w:color="auto"/>
        <w:right w:val="none" w:sz="0" w:space="0" w:color="auto"/>
      </w:divBdr>
    </w:div>
    <w:div w:id="1743524009">
      <w:bodyDiv w:val="1"/>
      <w:marLeft w:val="0"/>
      <w:marRight w:val="0"/>
      <w:marTop w:val="0"/>
      <w:marBottom w:val="0"/>
      <w:divBdr>
        <w:top w:val="none" w:sz="0" w:space="0" w:color="auto"/>
        <w:left w:val="none" w:sz="0" w:space="0" w:color="auto"/>
        <w:bottom w:val="none" w:sz="0" w:space="0" w:color="auto"/>
        <w:right w:val="none" w:sz="0" w:space="0" w:color="auto"/>
      </w:divBdr>
    </w:div>
    <w:div w:id="1744141711">
      <w:bodyDiv w:val="1"/>
      <w:marLeft w:val="0"/>
      <w:marRight w:val="0"/>
      <w:marTop w:val="0"/>
      <w:marBottom w:val="0"/>
      <w:divBdr>
        <w:top w:val="none" w:sz="0" w:space="0" w:color="auto"/>
        <w:left w:val="none" w:sz="0" w:space="0" w:color="auto"/>
        <w:bottom w:val="none" w:sz="0" w:space="0" w:color="auto"/>
        <w:right w:val="none" w:sz="0" w:space="0" w:color="auto"/>
      </w:divBdr>
    </w:div>
    <w:div w:id="1745713569">
      <w:bodyDiv w:val="1"/>
      <w:marLeft w:val="0"/>
      <w:marRight w:val="0"/>
      <w:marTop w:val="0"/>
      <w:marBottom w:val="0"/>
      <w:divBdr>
        <w:top w:val="none" w:sz="0" w:space="0" w:color="auto"/>
        <w:left w:val="none" w:sz="0" w:space="0" w:color="auto"/>
        <w:bottom w:val="none" w:sz="0" w:space="0" w:color="auto"/>
        <w:right w:val="none" w:sz="0" w:space="0" w:color="auto"/>
      </w:divBdr>
    </w:div>
    <w:div w:id="1749383042">
      <w:bodyDiv w:val="1"/>
      <w:marLeft w:val="0"/>
      <w:marRight w:val="0"/>
      <w:marTop w:val="0"/>
      <w:marBottom w:val="0"/>
      <w:divBdr>
        <w:top w:val="none" w:sz="0" w:space="0" w:color="auto"/>
        <w:left w:val="none" w:sz="0" w:space="0" w:color="auto"/>
        <w:bottom w:val="none" w:sz="0" w:space="0" w:color="auto"/>
        <w:right w:val="none" w:sz="0" w:space="0" w:color="auto"/>
      </w:divBdr>
    </w:div>
    <w:div w:id="1750997543">
      <w:bodyDiv w:val="1"/>
      <w:marLeft w:val="0"/>
      <w:marRight w:val="0"/>
      <w:marTop w:val="0"/>
      <w:marBottom w:val="0"/>
      <w:divBdr>
        <w:top w:val="none" w:sz="0" w:space="0" w:color="auto"/>
        <w:left w:val="none" w:sz="0" w:space="0" w:color="auto"/>
        <w:bottom w:val="none" w:sz="0" w:space="0" w:color="auto"/>
        <w:right w:val="none" w:sz="0" w:space="0" w:color="auto"/>
      </w:divBdr>
    </w:div>
    <w:div w:id="1760057913">
      <w:bodyDiv w:val="1"/>
      <w:marLeft w:val="0"/>
      <w:marRight w:val="0"/>
      <w:marTop w:val="0"/>
      <w:marBottom w:val="0"/>
      <w:divBdr>
        <w:top w:val="none" w:sz="0" w:space="0" w:color="auto"/>
        <w:left w:val="none" w:sz="0" w:space="0" w:color="auto"/>
        <w:bottom w:val="none" w:sz="0" w:space="0" w:color="auto"/>
        <w:right w:val="none" w:sz="0" w:space="0" w:color="auto"/>
      </w:divBdr>
    </w:div>
    <w:div w:id="1762948241">
      <w:bodyDiv w:val="1"/>
      <w:marLeft w:val="0"/>
      <w:marRight w:val="0"/>
      <w:marTop w:val="0"/>
      <w:marBottom w:val="0"/>
      <w:divBdr>
        <w:top w:val="none" w:sz="0" w:space="0" w:color="auto"/>
        <w:left w:val="none" w:sz="0" w:space="0" w:color="auto"/>
        <w:bottom w:val="none" w:sz="0" w:space="0" w:color="auto"/>
        <w:right w:val="none" w:sz="0" w:space="0" w:color="auto"/>
      </w:divBdr>
    </w:div>
    <w:div w:id="1763213029">
      <w:bodyDiv w:val="1"/>
      <w:marLeft w:val="0"/>
      <w:marRight w:val="0"/>
      <w:marTop w:val="0"/>
      <w:marBottom w:val="0"/>
      <w:divBdr>
        <w:top w:val="none" w:sz="0" w:space="0" w:color="auto"/>
        <w:left w:val="none" w:sz="0" w:space="0" w:color="auto"/>
        <w:bottom w:val="none" w:sz="0" w:space="0" w:color="auto"/>
        <w:right w:val="none" w:sz="0" w:space="0" w:color="auto"/>
      </w:divBdr>
    </w:div>
    <w:div w:id="1778794685">
      <w:bodyDiv w:val="1"/>
      <w:marLeft w:val="0"/>
      <w:marRight w:val="0"/>
      <w:marTop w:val="0"/>
      <w:marBottom w:val="0"/>
      <w:divBdr>
        <w:top w:val="none" w:sz="0" w:space="0" w:color="auto"/>
        <w:left w:val="none" w:sz="0" w:space="0" w:color="auto"/>
        <w:bottom w:val="none" w:sz="0" w:space="0" w:color="auto"/>
        <w:right w:val="none" w:sz="0" w:space="0" w:color="auto"/>
      </w:divBdr>
    </w:div>
    <w:div w:id="1782139969">
      <w:bodyDiv w:val="1"/>
      <w:marLeft w:val="0"/>
      <w:marRight w:val="0"/>
      <w:marTop w:val="0"/>
      <w:marBottom w:val="0"/>
      <w:divBdr>
        <w:top w:val="none" w:sz="0" w:space="0" w:color="auto"/>
        <w:left w:val="none" w:sz="0" w:space="0" w:color="auto"/>
        <w:bottom w:val="none" w:sz="0" w:space="0" w:color="auto"/>
        <w:right w:val="none" w:sz="0" w:space="0" w:color="auto"/>
      </w:divBdr>
    </w:div>
    <w:div w:id="1792628923">
      <w:bodyDiv w:val="1"/>
      <w:marLeft w:val="0"/>
      <w:marRight w:val="0"/>
      <w:marTop w:val="0"/>
      <w:marBottom w:val="0"/>
      <w:divBdr>
        <w:top w:val="none" w:sz="0" w:space="0" w:color="auto"/>
        <w:left w:val="none" w:sz="0" w:space="0" w:color="auto"/>
        <w:bottom w:val="none" w:sz="0" w:space="0" w:color="auto"/>
        <w:right w:val="none" w:sz="0" w:space="0" w:color="auto"/>
      </w:divBdr>
    </w:div>
    <w:div w:id="1804231250">
      <w:bodyDiv w:val="1"/>
      <w:marLeft w:val="0"/>
      <w:marRight w:val="0"/>
      <w:marTop w:val="0"/>
      <w:marBottom w:val="0"/>
      <w:divBdr>
        <w:top w:val="none" w:sz="0" w:space="0" w:color="auto"/>
        <w:left w:val="none" w:sz="0" w:space="0" w:color="auto"/>
        <w:bottom w:val="none" w:sz="0" w:space="0" w:color="auto"/>
        <w:right w:val="none" w:sz="0" w:space="0" w:color="auto"/>
      </w:divBdr>
    </w:div>
    <w:div w:id="1808470251">
      <w:bodyDiv w:val="1"/>
      <w:marLeft w:val="0"/>
      <w:marRight w:val="0"/>
      <w:marTop w:val="0"/>
      <w:marBottom w:val="0"/>
      <w:divBdr>
        <w:top w:val="none" w:sz="0" w:space="0" w:color="auto"/>
        <w:left w:val="none" w:sz="0" w:space="0" w:color="auto"/>
        <w:bottom w:val="none" w:sz="0" w:space="0" w:color="auto"/>
        <w:right w:val="none" w:sz="0" w:space="0" w:color="auto"/>
      </w:divBdr>
    </w:div>
    <w:div w:id="1819760449">
      <w:bodyDiv w:val="1"/>
      <w:marLeft w:val="0"/>
      <w:marRight w:val="0"/>
      <w:marTop w:val="0"/>
      <w:marBottom w:val="0"/>
      <w:divBdr>
        <w:top w:val="none" w:sz="0" w:space="0" w:color="auto"/>
        <w:left w:val="none" w:sz="0" w:space="0" w:color="auto"/>
        <w:bottom w:val="none" w:sz="0" w:space="0" w:color="auto"/>
        <w:right w:val="none" w:sz="0" w:space="0" w:color="auto"/>
      </w:divBdr>
    </w:div>
    <w:div w:id="1847204624">
      <w:bodyDiv w:val="1"/>
      <w:marLeft w:val="0"/>
      <w:marRight w:val="0"/>
      <w:marTop w:val="0"/>
      <w:marBottom w:val="0"/>
      <w:divBdr>
        <w:top w:val="none" w:sz="0" w:space="0" w:color="auto"/>
        <w:left w:val="none" w:sz="0" w:space="0" w:color="auto"/>
        <w:bottom w:val="none" w:sz="0" w:space="0" w:color="auto"/>
        <w:right w:val="none" w:sz="0" w:space="0" w:color="auto"/>
      </w:divBdr>
    </w:div>
    <w:div w:id="1847816470">
      <w:bodyDiv w:val="1"/>
      <w:marLeft w:val="0"/>
      <w:marRight w:val="0"/>
      <w:marTop w:val="0"/>
      <w:marBottom w:val="0"/>
      <w:divBdr>
        <w:top w:val="none" w:sz="0" w:space="0" w:color="auto"/>
        <w:left w:val="none" w:sz="0" w:space="0" w:color="auto"/>
        <w:bottom w:val="none" w:sz="0" w:space="0" w:color="auto"/>
        <w:right w:val="none" w:sz="0" w:space="0" w:color="auto"/>
      </w:divBdr>
    </w:div>
    <w:div w:id="1854370671">
      <w:bodyDiv w:val="1"/>
      <w:marLeft w:val="0"/>
      <w:marRight w:val="0"/>
      <w:marTop w:val="0"/>
      <w:marBottom w:val="0"/>
      <w:divBdr>
        <w:top w:val="none" w:sz="0" w:space="0" w:color="auto"/>
        <w:left w:val="none" w:sz="0" w:space="0" w:color="auto"/>
        <w:bottom w:val="none" w:sz="0" w:space="0" w:color="auto"/>
        <w:right w:val="none" w:sz="0" w:space="0" w:color="auto"/>
      </w:divBdr>
    </w:div>
    <w:div w:id="1866749994">
      <w:bodyDiv w:val="1"/>
      <w:marLeft w:val="0"/>
      <w:marRight w:val="0"/>
      <w:marTop w:val="0"/>
      <w:marBottom w:val="0"/>
      <w:divBdr>
        <w:top w:val="none" w:sz="0" w:space="0" w:color="auto"/>
        <w:left w:val="none" w:sz="0" w:space="0" w:color="auto"/>
        <w:bottom w:val="none" w:sz="0" w:space="0" w:color="auto"/>
        <w:right w:val="none" w:sz="0" w:space="0" w:color="auto"/>
      </w:divBdr>
    </w:div>
    <w:div w:id="1885286879">
      <w:bodyDiv w:val="1"/>
      <w:marLeft w:val="0"/>
      <w:marRight w:val="0"/>
      <w:marTop w:val="0"/>
      <w:marBottom w:val="0"/>
      <w:divBdr>
        <w:top w:val="none" w:sz="0" w:space="0" w:color="auto"/>
        <w:left w:val="none" w:sz="0" w:space="0" w:color="auto"/>
        <w:bottom w:val="none" w:sz="0" w:space="0" w:color="auto"/>
        <w:right w:val="none" w:sz="0" w:space="0" w:color="auto"/>
      </w:divBdr>
    </w:div>
    <w:div w:id="1906060148">
      <w:bodyDiv w:val="1"/>
      <w:marLeft w:val="0"/>
      <w:marRight w:val="0"/>
      <w:marTop w:val="0"/>
      <w:marBottom w:val="0"/>
      <w:divBdr>
        <w:top w:val="none" w:sz="0" w:space="0" w:color="auto"/>
        <w:left w:val="none" w:sz="0" w:space="0" w:color="auto"/>
        <w:bottom w:val="none" w:sz="0" w:space="0" w:color="auto"/>
        <w:right w:val="none" w:sz="0" w:space="0" w:color="auto"/>
      </w:divBdr>
    </w:div>
    <w:div w:id="1919165384">
      <w:bodyDiv w:val="1"/>
      <w:marLeft w:val="0"/>
      <w:marRight w:val="0"/>
      <w:marTop w:val="0"/>
      <w:marBottom w:val="0"/>
      <w:divBdr>
        <w:top w:val="none" w:sz="0" w:space="0" w:color="auto"/>
        <w:left w:val="none" w:sz="0" w:space="0" w:color="auto"/>
        <w:bottom w:val="none" w:sz="0" w:space="0" w:color="auto"/>
        <w:right w:val="none" w:sz="0" w:space="0" w:color="auto"/>
      </w:divBdr>
    </w:div>
    <w:div w:id="1925988203">
      <w:bodyDiv w:val="1"/>
      <w:marLeft w:val="0"/>
      <w:marRight w:val="0"/>
      <w:marTop w:val="0"/>
      <w:marBottom w:val="0"/>
      <w:divBdr>
        <w:top w:val="none" w:sz="0" w:space="0" w:color="auto"/>
        <w:left w:val="none" w:sz="0" w:space="0" w:color="auto"/>
        <w:bottom w:val="none" w:sz="0" w:space="0" w:color="auto"/>
        <w:right w:val="none" w:sz="0" w:space="0" w:color="auto"/>
      </w:divBdr>
    </w:div>
    <w:div w:id="1935242391">
      <w:bodyDiv w:val="1"/>
      <w:marLeft w:val="0"/>
      <w:marRight w:val="0"/>
      <w:marTop w:val="0"/>
      <w:marBottom w:val="0"/>
      <w:divBdr>
        <w:top w:val="none" w:sz="0" w:space="0" w:color="auto"/>
        <w:left w:val="none" w:sz="0" w:space="0" w:color="auto"/>
        <w:bottom w:val="none" w:sz="0" w:space="0" w:color="auto"/>
        <w:right w:val="none" w:sz="0" w:space="0" w:color="auto"/>
      </w:divBdr>
    </w:div>
    <w:div w:id="1940066112">
      <w:bodyDiv w:val="1"/>
      <w:marLeft w:val="0"/>
      <w:marRight w:val="0"/>
      <w:marTop w:val="0"/>
      <w:marBottom w:val="0"/>
      <w:divBdr>
        <w:top w:val="none" w:sz="0" w:space="0" w:color="auto"/>
        <w:left w:val="none" w:sz="0" w:space="0" w:color="auto"/>
        <w:bottom w:val="none" w:sz="0" w:space="0" w:color="auto"/>
        <w:right w:val="none" w:sz="0" w:space="0" w:color="auto"/>
      </w:divBdr>
    </w:div>
    <w:div w:id="1959405609">
      <w:bodyDiv w:val="1"/>
      <w:marLeft w:val="0"/>
      <w:marRight w:val="0"/>
      <w:marTop w:val="0"/>
      <w:marBottom w:val="0"/>
      <w:divBdr>
        <w:top w:val="none" w:sz="0" w:space="0" w:color="auto"/>
        <w:left w:val="none" w:sz="0" w:space="0" w:color="auto"/>
        <w:bottom w:val="none" w:sz="0" w:space="0" w:color="auto"/>
        <w:right w:val="none" w:sz="0" w:space="0" w:color="auto"/>
      </w:divBdr>
    </w:div>
    <w:div w:id="1967587894">
      <w:bodyDiv w:val="1"/>
      <w:marLeft w:val="0"/>
      <w:marRight w:val="0"/>
      <w:marTop w:val="0"/>
      <w:marBottom w:val="0"/>
      <w:divBdr>
        <w:top w:val="none" w:sz="0" w:space="0" w:color="auto"/>
        <w:left w:val="none" w:sz="0" w:space="0" w:color="auto"/>
        <w:bottom w:val="none" w:sz="0" w:space="0" w:color="auto"/>
        <w:right w:val="none" w:sz="0" w:space="0" w:color="auto"/>
      </w:divBdr>
    </w:div>
    <w:div w:id="1982692036">
      <w:bodyDiv w:val="1"/>
      <w:marLeft w:val="0"/>
      <w:marRight w:val="0"/>
      <w:marTop w:val="0"/>
      <w:marBottom w:val="0"/>
      <w:divBdr>
        <w:top w:val="none" w:sz="0" w:space="0" w:color="auto"/>
        <w:left w:val="none" w:sz="0" w:space="0" w:color="auto"/>
        <w:bottom w:val="none" w:sz="0" w:space="0" w:color="auto"/>
        <w:right w:val="none" w:sz="0" w:space="0" w:color="auto"/>
      </w:divBdr>
    </w:div>
    <w:div w:id="1988583544">
      <w:bodyDiv w:val="1"/>
      <w:marLeft w:val="0"/>
      <w:marRight w:val="0"/>
      <w:marTop w:val="0"/>
      <w:marBottom w:val="0"/>
      <w:divBdr>
        <w:top w:val="none" w:sz="0" w:space="0" w:color="auto"/>
        <w:left w:val="none" w:sz="0" w:space="0" w:color="auto"/>
        <w:bottom w:val="none" w:sz="0" w:space="0" w:color="auto"/>
        <w:right w:val="none" w:sz="0" w:space="0" w:color="auto"/>
      </w:divBdr>
    </w:div>
    <w:div w:id="1995405813">
      <w:bodyDiv w:val="1"/>
      <w:marLeft w:val="0"/>
      <w:marRight w:val="0"/>
      <w:marTop w:val="0"/>
      <w:marBottom w:val="0"/>
      <w:divBdr>
        <w:top w:val="none" w:sz="0" w:space="0" w:color="auto"/>
        <w:left w:val="none" w:sz="0" w:space="0" w:color="auto"/>
        <w:bottom w:val="none" w:sz="0" w:space="0" w:color="auto"/>
        <w:right w:val="none" w:sz="0" w:space="0" w:color="auto"/>
      </w:divBdr>
    </w:div>
    <w:div w:id="2011902411">
      <w:bodyDiv w:val="1"/>
      <w:marLeft w:val="0"/>
      <w:marRight w:val="0"/>
      <w:marTop w:val="0"/>
      <w:marBottom w:val="0"/>
      <w:divBdr>
        <w:top w:val="none" w:sz="0" w:space="0" w:color="auto"/>
        <w:left w:val="none" w:sz="0" w:space="0" w:color="auto"/>
        <w:bottom w:val="none" w:sz="0" w:space="0" w:color="auto"/>
        <w:right w:val="none" w:sz="0" w:space="0" w:color="auto"/>
      </w:divBdr>
    </w:div>
    <w:div w:id="2019771093">
      <w:bodyDiv w:val="1"/>
      <w:marLeft w:val="0"/>
      <w:marRight w:val="0"/>
      <w:marTop w:val="0"/>
      <w:marBottom w:val="0"/>
      <w:divBdr>
        <w:top w:val="none" w:sz="0" w:space="0" w:color="auto"/>
        <w:left w:val="none" w:sz="0" w:space="0" w:color="auto"/>
        <w:bottom w:val="none" w:sz="0" w:space="0" w:color="auto"/>
        <w:right w:val="none" w:sz="0" w:space="0" w:color="auto"/>
      </w:divBdr>
    </w:div>
    <w:div w:id="2020306575">
      <w:bodyDiv w:val="1"/>
      <w:marLeft w:val="0"/>
      <w:marRight w:val="0"/>
      <w:marTop w:val="0"/>
      <w:marBottom w:val="0"/>
      <w:divBdr>
        <w:top w:val="none" w:sz="0" w:space="0" w:color="auto"/>
        <w:left w:val="none" w:sz="0" w:space="0" w:color="auto"/>
        <w:bottom w:val="none" w:sz="0" w:space="0" w:color="auto"/>
        <w:right w:val="none" w:sz="0" w:space="0" w:color="auto"/>
      </w:divBdr>
    </w:div>
    <w:div w:id="2037611458">
      <w:bodyDiv w:val="1"/>
      <w:marLeft w:val="0"/>
      <w:marRight w:val="0"/>
      <w:marTop w:val="0"/>
      <w:marBottom w:val="0"/>
      <w:divBdr>
        <w:top w:val="none" w:sz="0" w:space="0" w:color="auto"/>
        <w:left w:val="none" w:sz="0" w:space="0" w:color="auto"/>
        <w:bottom w:val="none" w:sz="0" w:space="0" w:color="auto"/>
        <w:right w:val="none" w:sz="0" w:space="0" w:color="auto"/>
      </w:divBdr>
    </w:div>
    <w:div w:id="2065525288">
      <w:bodyDiv w:val="1"/>
      <w:marLeft w:val="0"/>
      <w:marRight w:val="0"/>
      <w:marTop w:val="0"/>
      <w:marBottom w:val="0"/>
      <w:divBdr>
        <w:top w:val="none" w:sz="0" w:space="0" w:color="auto"/>
        <w:left w:val="none" w:sz="0" w:space="0" w:color="auto"/>
        <w:bottom w:val="none" w:sz="0" w:space="0" w:color="auto"/>
        <w:right w:val="none" w:sz="0" w:space="0" w:color="auto"/>
      </w:divBdr>
    </w:div>
    <w:div w:id="2065985802">
      <w:bodyDiv w:val="1"/>
      <w:marLeft w:val="0"/>
      <w:marRight w:val="0"/>
      <w:marTop w:val="0"/>
      <w:marBottom w:val="0"/>
      <w:divBdr>
        <w:top w:val="none" w:sz="0" w:space="0" w:color="auto"/>
        <w:left w:val="none" w:sz="0" w:space="0" w:color="auto"/>
        <w:bottom w:val="none" w:sz="0" w:space="0" w:color="auto"/>
        <w:right w:val="none" w:sz="0" w:space="0" w:color="auto"/>
      </w:divBdr>
    </w:div>
    <w:div w:id="2112893638">
      <w:bodyDiv w:val="1"/>
      <w:marLeft w:val="0"/>
      <w:marRight w:val="0"/>
      <w:marTop w:val="0"/>
      <w:marBottom w:val="0"/>
      <w:divBdr>
        <w:top w:val="none" w:sz="0" w:space="0" w:color="auto"/>
        <w:left w:val="none" w:sz="0" w:space="0" w:color="auto"/>
        <w:bottom w:val="none" w:sz="0" w:space="0" w:color="auto"/>
        <w:right w:val="none" w:sz="0" w:space="0" w:color="auto"/>
      </w:divBdr>
    </w:div>
    <w:div w:id="2133281794">
      <w:bodyDiv w:val="1"/>
      <w:marLeft w:val="0"/>
      <w:marRight w:val="0"/>
      <w:marTop w:val="0"/>
      <w:marBottom w:val="0"/>
      <w:divBdr>
        <w:top w:val="none" w:sz="0" w:space="0" w:color="auto"/>
        <w:left w:val="none" w:sz="0" w:space="0" w:color="auto"/>
        <w:bottom w:val="none" w:sz="0" w:space="0" w:color="auto"/>
        <w:right w:val="none" w:sz="0" w:space="0" w:color="auto"/>
      </w:divBdr>
    </w:div>
    <w:div w:id="21356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ebsanofs02\common\opr\oprarch\Reg%20OMB\Project%20Folders%20-%20Regs%20and%20PRAs\PPA06%20Reg%20Analysis%20Projects\Investment%20Advice%20Regulation\PRA%202021%20Statutory%20Exemption\F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3FF0F-C5E3-4477-802C-5D77F939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6677</Words>
  <Characters>39258</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EBSA</Company>
  <LinksUpToDate>false</LinksUpToDate>
  <CharactersWithSpaces>45844</CharactersWithSpaces>
  <SharedDoc>false</SharedDoc>
  <HLinks>
    <vt:vector size="6" baseType="variant">
      <vt:variant>
        <vt:i4>7274598</vt:i4>
      </vt:variant>
      <vt:variant>
        <vt:i4>0</vt:i4>
      </vt:variant>
      <vt:variant>
        <vt:i4>0</vt:i4>
      </vt:variant>
      <vt:variant>
        <vt:i4>5</vt:i4>
      </vt:variant>
      <vt:variant>
        <vt:lpwstr>For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Miranda Moore</dc:creator>
  <cp:keywords/>
  <cp:lastModifiedBy>Mariam Khan</cp:lastModifiedBy>
  <cp:revision>11</cp:revision>
  <cp:lastPrinted>2017-11-02T12:39:00Z</cp:lastPrinted>
  <dcterms:created xsi:type="dcterms:W3CDTF">2021-01-14T20:13:00Z</dcterms:created>
  <dcterms:modified xsi:type="dcterms:W3CDTF">2021-01-14T21:06:00Z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