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2F4" w:rsidP="00A24FC2" w:rsidRDefault="001652F4" w14:paraId="08D1B4AF" w14:textId="77777777">
      <w:pPr>
        <w:pStyle w:val="Default"/>
        <w:jc w:val="center"/>
        <w:rPr>
          <w:b/>
          <w:bCs/>
          <w:sz w:val="23"/>
          <w:szCs w:val="23"/>
        </w:rPr>
      </w:pPr>
    </w:p>
    <w:p w:rsidRPr="00782771" w:rsidR="00A24FC2" w:rsidP="00A24FC2" w:rsidRDefault="00A24FC2" w14:paraId="700D65CD" w14:textId="77777777">
      <w:pPr>
        <w:pStyle w:val="Default"/>
        <w:jc w:val="center"/>
      </w:pPr>
      <w:r w:rsidRPr="00782771">
        <w:rPr>
          <w:b/>
          <w:bCs/>
        </w:rPr>
        <w:t xml:space="preserve">SUPPORTING STATEMENT FOR </w:t>
      </w:r>
    </w:p>
    <w:p w:rsidRPr="00782771" w:rsidR="00A24FC2" w:rsidP="00A24FC2" w:rsidRDefault="00A24FC2" w14:paraId="4D076D92" w14:textId="77777777">
      <w:pPr>
        <w:pStyle w:val="Default"/>
        <w:jc w:val="center"/>
      </w:pPr>
      <w:r w:rsidRPr="00782771">
        <w:rPr>
          <w:b/>
          <w:bCs/>
        </w:rPr>
        <w:t xml:space="preserve">THE INFORMATION COLLECTION REQUIREMENTS OF </w:t>
      </w:r>
    </w:p>
    <w:p w:rsidRPr="00782771" w:rsidR="00A43477" w:rsidP="00A24FC2" w:rsidRDefault="00A43477" w14:paraId="31035CDF" w14:textId="77777777">
      <w:pPr>
        <w:pStyle w:val="Default"/>
        <w:jc w:val="center"/>
        <w:rPr>
          <w:b/>
          <w:bCs/>
        </w:rPr>
      </w:pPr>
      <w:r w:rsidRPr="00782771">
        <w:rPr>
          <w:b/>
          <w:bCs/>
        </w:rPr>
        <w:t>THE STAND</w:t>
      </w:r>
      <w:r w:rsidRPr="00782771" w:rsidR="00775902">
        <w:rPr>
          <w:b/>
          <w:bCs/>
        </w:rPr>
        <w:t>A</w:t>
      </w:r>
      <w:r w:rsidRPr="00782771">
        <w:rPr>
          <w:b/>
          <w:bCs/>
        </w:rPr>
        <w:t xml:space="preserve">RD ON EXCAVATIONS </w:t>
      </w:r>
    </w:p>
    <w:p w:rsidRPr="00782771" w:rsidR="00A43477" w:rsidP="00A24FC2" w:rsidRDefault="00A43477" w14:paraId="690EA0E4" w14:textId="77777777">
      <w:pPr>
        <w:pStyle w:val="Default"/>
        <w:jc w:val="center"/>
        <w:rPr>
          <w:b/>
          <w:bCs/>
        </w:rPr>
      </w:pPr>
      <w:r w:rsidRPr="00782771">
        <w:rPr>
          <w:b/>
          <w:bCs/>
        </w:rPr>
        <w:t>(</w:t>
      </w:r>
      <w:r w:rsidRPr="00782771" w:rsidR="00A24FC2">
        <w:rPr>
          <w:b/>
          <w:bCs/>
        </w:rPr>
        <w:t>DESIGN OF CAVE-IN PROTECTION SYSTEMS</w:t>
      </w:r>
      <w:r w:rsidRPr="00782771">
        <w:rPr>
          <w:b/>
          <w:bCs/>
        </w:rPr>
        <w:t>)</w:t>
      </w:r>
    </w:p>
    <w:p w:rsidRPr="00782771" w:rsidR="00A24FC2" w:rsidP="00A24FC2" w:rsidRDefault="00A24FC2" w14:paraId="713F2869" w14:textId="77777777">
      <w:pPr>
        <w:pStyle w:val="Default"/>
        <w:jc w:val="center"/>
        <w:rPr>
          <w:b/>
          <w:bCs/>
        </w:rPr>
      </w:pPr>
      <w:r w:rsidRPr="00782771">
        <w:rPr>
          <w:b/>
          <w:bCs/>
        </w:rPr>
        <w:t>(29 CFR PART 1926</w:t>
      </w:r>
      <w:r w:rsidRPr="00782771" w:rsidR="00A43477">
        <w:rPr>
          <w:b/>
          <w:bCs/>
        </w:rPr>
        <w:t>, SUBPART P</w:t>
      </w:r>
      <w:r w:rsidRPr="00782771">
        <w:rPr>
          <w:b/>
          <w:bCs/>
        </w:rPr>
        <w:t>)</w:t>
      </w:r>
      <w:r w:rsidRPr="00782771">
        <w:rPr>
          <w:rStyle w:val="FootnoteReference"/>
          <w:b/>
          <w:bCs/>
        </w:rPr>
        <w:footnoteReference w:id="1"/>
      </w:r>
    </w:p>
    <w:p w:rsidRPr="00782771" w:rsidR="00A24FC2" w:rsidP="00A24FC2" w:rsidRDefault="00A24FC2" w14:paraId="1EFE3F54" w14:textId="77777777">
      <w:pPr>
        <w:pStyle w:val="Default"/>
        <w:jc w:val="center"/>
      </w:pPr>
      <w:r w:rsidRPr="00782771">
        <w:rPr>
          <w:b/>
          <w:bCs/>
        </w:rPr>
        <w:t>OFFICE OF MANAGEMENT AND BUDGET (OMB)</w:t>
      </w:r>
    </w:p>
    <w:p w:rsidRPr="00782771" w:rsidR="00A24FC2" w:rsidP="00A24FC2" w:rsidRDefault="00A24FC2" w14:paraId="1AD044AC" w14:textId="0CF2E0E5">
      <w:pPr>
        <w:pStyle w:val="Default"/>
        <w:jc w:val="center"/>
        <w:rPr>
          <w:b/>
          <w:bCs/>
        </w:rPr>
      </w:pPr>
      <w:r w:rsidRPr="00782771">
        <w:rPr>
          <w:b/>
          <w:bCs/>
        </w:rPr>
        <w:t>CONTROL NUMBER 1218-0137 (</w:t>
      </w:r>
      <w:r w:rsidR="000F4411">
        <w:rPr>
          <w:b/>
          <w:bCs/>
        </w:rPr>
        <w:t>April</w:t>
      </w:r>
      <w:r w:rsidRPr="00782771" w:rsidR="00681409">
        <w:rPr>
          <w:b/>
          <w:bCs/>
        </w:rPr>
        <w:t xml:space="preserve"> </w:t>
      </w:r>
      <w:r w:rsidRPr="00782771" w:rsidR="001B313C">
        <w:rPr>
          <w:b/>
          <w:bCs/>
        </w:rPr>
        <w:t>202</w:t>
      </w:r>
      <w:r w:rsidRPr="00782771" w:rsidR="00681409">
        <w:rPr>
          <w:b/>
          <w:bCs/>
        </w:rPr>
        <w:t>1</w:t>
      </w:r>
      <w:r w:rsidRPr="00782771">
        <w:rPr>
          <w:b/>
          <w:bCs/>
        </w:rPr>
        <w:t xml:space="preserve">) </w:t>
      </w:r>
    </w:p>
    <w:p w:rsidRPr="00782771" w:rsidR="00C21DAC" w:rsidP="00A24FC2" w:rsidRDefault="00C21DAC" w14:paraId="6E32034B" w14:textId="488F9406">
      <w:pPr>
        <w:pStyle w:val="Default"/>
        <w:jc w:val="center"/>
        <w:rPr>
          <w:b/>
          <w:bCs/>
        </w:rPr>
      </w:pPr>
    </w:p>
    <w:p w:rsidRPr="00782771" w:rsidR="00C21DAC" w:rsidP="003C34C5" w:rsidRDefault="00C21DAC" w14:paraId="472E8E35" w14:textId="6A936E11">
      <w:pPr>
        <w:pStyle w:val="Default"/>
        <w:rPr>
          <w:bCs/>
          <w:u w:val="single"/>
        </w:rPr>
      </w:pPr>
      <w:r w:rsidRPr="00782771">
        <w:rPr>
          <w:bCs/>
          <w:u w:val="single"/>
        </w:rPr>
        <w:t>This ICR is requesting the extension of a currently approved data collection.</w:t>
      </w:r>
    </w:p>
    <w:p w:rsidRPr="00782771" w:rsidR="00A24FC2" w:rsidP="00A24FC2" w:rsidRDefault="00A24FC2" w14:paraId="3AEC1BC1" w14:textId="77777777">
      <w:pPr>
        <w:pStyle w:val="Default"/>
        <w:jc w:val="center"/>
      </w:pPr>
    </w:p>
    <w:p w:rsidRPr="00782771" w:rsidR="00A24FC2" w:rsidP="00DC6EAC" w:rsidRDefault="00A24FC2" w14:paraId="0EF18CA3" w14:textId="77777777">
      <w:pPr>
        <w:pStyle w:val="Default"/>
        <w:numPr>
          <w:ilvl w:val="0"/>
          <w:numId w:val="8"/>
        </w:numPr>
        <w:tabs>
          <w:tab w:val="clear" w:pos="720"/>
        </w:tabs>
        <w:ind w:left="360"/>
        <w:rPr>
          <w:b/>
          <w:bCs/>
        </w:rPr>
      </w:pPr>
      <w:r w:rsidRPr="00782771">
        <w:rPr>
          <w:b/>
          <w:bCs/>
        </w:rPr>
        <w:t xml:space="preserve">JUSTIFICATION </w:t>
      </w:r>
    </w:p>
    <w:p w:rsidRPr="00782771" w:rsidR="00A24FC2" w:rsidP="00A24FC2" w:rsidRDefault="00A24FC2" w14:paraId="63AD14AA" w14:textId="77777777">
      <w:pPr>
        <w:pStyle w:val="Default"/>
      </w:pPr>
    </w:p>
    <w:p w:rsidRPr="00782771" w:rsidR="00A24FC2" w:rsidP="00621A93" w:rsidRDefault="00A24FC2" w14:paraId="01FEBA98" w14:textId="77777777">
      <w:pPr>
        <w:pStyle w:val="Default"/>
        <w:numPr>
          <w:ilvl w:val="0"/>
          <w:numId w:val="10"/>
        </w:numPr>
        <w:tabs>
          <w:tab w:val="left" w:pos="360"/>
        </w:tabs>
        <w:ind w:left="0" w:firstLine="0"/>
        <w:jc w:val="both"/>
        <w:rPr>
          <w:b/>
          <w:bCs/>
        </w:rPr>
      </w:pPr>
      <w:r w:rsidRPr="00782771">
        <w:rPr>
          <w:b/>
          <w:bCs/>
        </w:rPr>
        <w:t>Explain the circumstances that make the collection of information necessary. Identify any legal</w:t>
      </w:r>
      <w:r w:rsidRPr="00782771" w:rsidR="00293E44">
        <w:rPr>
          <w:b/>
          <w:bCs/>
        </w:rPr>
        <w:t xml:space="preserve"> </w:t>
      </w:r>
      <w:r w:rsidRPr="00782771">
        <w:rPr>
          <w:b/>
          <w:bCs/>
        </w:rPr>
        <w:t xml:space="preserve">or administrative requirements that necessitate the collection. Attach a copy of the appropriate section of each statute and regulation mandating or authorizing the collection of information. </w:t>
      </w:r>
    </w:p>
    <w:p w:rsidRPr="00782771" w:rsidR="00A24FC2" w:rsidP="00A24FC2" w:rsidRDefault="00A24FC2" w14:paraId="2448FDDC" w14:textId="77777777">
      <w:pPr>
        <w:pStyle w:val="Default"/>
      </w:pPr>
    </w:p>
    <w:p w:rsidRPr="00782771" w:rsidR="00A24FC2" w:rsidP="00A24FC2" w:rsidRDefault="00EE4D66" w14:paraId="1F3FB3F2" w14:textId="77777777">
      <w:pPr>
        <w:pStyle w:val="Default"/>
      </w:pPr>
      <w:r w:rsidRPr="00782771">
        <w:t>C</w:t>
      </w:r>
      <w:r w:rsidRPr="00782771" w:rsidR="008F5896">
        <w:t xml:space="preserve">ongress declared </w:t>
      </w:r>
      <w:r w:rsidRPr="00782771" w:rsidR="00A24FC2">
        <w:t xml:space="preserve">the </w:t>
      </w:r>
      <w:r w:rsidRPr="00782771" w:rsidR="008F5896">
        <w:t xml:space="preserve">purpose of the </w:t>
      </w:r>
      <w:r w:rsidRPr="00782771" w:rsidR="00A24FC2">
        <w:t xml:space="preserve">Occupational Safety and Health Act (OSH Act) </w:t>
      </w:r>
      <w:r w:rsidRPr="00782771" w:rsidR="00C87999">
        <w:t xml:space="preserve">was </w:t>
      </w:r>
      <w:r w:rsidRPr="00782771" w:rsidR="00A24FC2">
        <w:t xml:space="preserve">to “assure so far as possible every working man and woman in the Nation safe and healthful working conditions and to preserve our human resources” (29 U.S.C. 651). </w:t>
      </w:r>
      <w:r w:rsidRPr="00782771" w:rsidR="00411CA6">
        <w:t xml:space="preserve">The OSH Act </w:t>
      </w:r>
      <w:r w:rsidRPr="00782771" w:rsidR="00C87999">
        <w:t>listed numerous ways of attaining its goals.</w:t>
      </w:r>
      <w:r w:rsidRPr="00782771" w:rsidR="00E3439D">
        <w:t xml:space="preserve"> </w:t>
      </w:r>
      <w:r w:rsidRPr="00782771" w:rsidR="00133CAC">
        <w:t>One</w:t>
      </w:r>
      <w:r w:rsidRPr="00782771" w:rsidR="00E3439D">
        <w:t xml:space="preserve"> </w:t>
      </w:r>
      <w:r w:rsidRPr="00782771" w:rsidR="00431963">
        <w:t xml:space="preserve">was </w:t>
      </w:r>
      <w:r w:rsidRPr="00782771" w:rsidR="00DD7179">
        <w:t>“[</w:t>
      </w:r>
      <w:r w:rsidRPr="00782771" w:rsidR="00431963">
        <w:t>to authorize</w:t>
      </w:r>
      <w:r w:rsidRPr="00782771" w:rsidR="00DD7179">
        <w:t>]</w:t>
      </w:r>
      <w:r w:rsidRPr="00782771" w:rsidR="00431963">
        <w:t xml:space="preserve"> the Secretary of Labor [“Secretary”]</w:t>
      </w:r>
      <w:r w:rsidRPr="00782771" w:rsidR="00A24FC2">
        <w:t xml:space="preserve"> </w:t>
      </w:r>
      <w:r w:rsidRPr="00782771" w:rsidR="00DD7179">
        <w:t>to set mandatory occupational safety and health standards …”</w:t>
      </w:r>
      <w:r w:rsidRPr="00782771" w:rsidR="000F0BE1">
        <w:t xml:space="preserve"> and </w:t>
      </w:r>
      <w:r w:rsidRPr="00782771" w:rsidR="00133CAC">
        <w:t xml:space="preserve">another was </w:t>
      </w:r>
      <w:r w:rsidRPr="00782771" w:rsidR="000F0BE1">
        <w:t>“[</w:t>
      </w:r>
      <w:r w:rsidRPr="00782771" w:rsidR="00133CAC">
        <w:t>to</w:t>
      </w:r>
      <w:r w:rsidRPr="00782771" w:rsidR="001652F4">
        <w:t xml:space="preserve"> </w:t>
      </w:r>
      <w:r w:rsidRPr="00782771" w:rsidR="000F0BE1">
        <w:t xml:space="preserve">provide] for </w:t>
      </w:r>
      <w:r w:rsidRPr="00782771" w:rsidR="00A24FC2">
        <w:t xml:space="preserve">the development and promulgation of </w:t>
      </w:r>
      <w:r w:rsidRPr="00782771" w:rsidR="000F0BE1">
        <w:t>[</w:t>
      </w:r>
      <w:r w:rsidRPr="00782771" w:rsidR="00F516A0">
        <w:t>the</w:t>
      </w:r>
      <w:r w:rsidRPr="00782771" w:rsidR="000F0BE1">
        <w:t>]</w:t>
      </w:r>
      <w:r w:rsidRPr="00782771" w:rsidR="00A24FC2">
        <w:t xml:space="preserve"> standards” (29 U.S.C. 651). In addition, the OSH Act specifies that </w:t>
      </w:r>
      <w:r w:rsidRPr="00782771" w:rsidR="002B286C">
        <w:t xml:space="preserve">“The Secretary may by rule promulgate, modify, or revoke any occupational safety or health standard…” (29 U.S.C. 655) and that </w:t>
      </w:r>
      <w:r w:rsidRPr="00782771" w:rsidR="00A24FC2">
        <w:t xml:space="preserve">“[e]ach employer shall make, keep and preserve, and make available to the Secretary ... such records ... as the Secretary ... may prescribe by regulation as necessary or appropriate for the enforcement of this Act ....” (29 U.S.C. 657). </w:t>
      </w:r>
    </w:p>
    <w:p w:rsidRPr="00782771" w:rsidR="00A24FC2" w:rsidP="00A24FC2" w:rsidRDefault="00A24FC2" w14:paraId="69E71F48" w14:textId="77777777">
      <w:pPr>
        <w:pStyle w:val="Default"/>
      </w:pPr>
    </w:p>
    <w:p w:rsidR="00A24FC2" w:rsidP="00A24FC2" w:rsidRDefault="00A24FC2" w14:paraId="62A7FB39" w14:textId="54D7847F">
      <w:pPr>
        <w:pStyle w:val="Default"/>
      </w:pPr>
      <w:r w:rsidRPr="00782771">
        <w:t xml:space="preserve">Under the authority granted by the OSH Act, the </w:t>
      </w:r>
      <w:r w:rsidRPr="00782771" w:rsidR="00EE4D66">
        <w:t xml:space="preserve">Department of Labor’s </w:t>
      </w:r>
      <w:r w:rsidRPr="00782771">
        <w:t xml:space="preserve">Occupational Safety and Health Administration (“OSHA” or “the Agency”) published 29 CFR </w:t>
      </w:r>
      <w:r w:rsidRPr="00782771" w:rsidR="0088004F">
        <w:t>p</w:t>
      </w:r>
      <w:r w:rsidRPr="00782771">
        <w:t>art 1926, subpart P</w:t>
      </w:r>
      <w:r w:rsidRPr="00782771" w:rsidR="0088004F">
        <w:t xml:space="preserve"> (</w:t>
      </w:r>
      <w:r w:rsidRPr="00782771">
        <w:t>Excavations</w:t>
      </w:r>
      <w:r w:rsidRPr="00782771" w:rsidR="0088004F">
        <w:t>)</w:t>
      </w:r>
      <w:r w:rsidRPr="00782771" w:rsidR="00305C7E">
        <w:t>.</w:t>
      </w:r>
      <w:r w:rsidRPr="00782771" w:rsidR="00935FF9">
        <w:t xml:space="preserve"> </w:t>
      </w:r>
      <w:r w:rsidRPr="00782771" w:rsidR="00305C7E">
        <w:t xml:space="preserve">Among </w:t>
      </w:r>
      <w:r w:rsidRPr="00782771" w:rsidR="007C35E3">
        <w:t xml:space="preserve">its </w:t>
      </w:r>
      <w:r w:rsidRPr="00782771" w:rsidR="00305C7E">
        <w:t xml:space="preserve">many </w:t>
      </w:r>
      <w:r w:rsidRPr="00782771" w:rsidR="007C35E3">
        <w:t>sections</w:t>
      </w:r>
      <w:r w:rsidRPr="00782771" w:rsidR="008A2AC1">
        <w:t>,</w:t>
      </w:r>
      <w:r w:rsidRPr="00782771" w:rsidR="007C35E3">
        <w:t xml:space="preserve"> </w:t>
      </w:r>
      <w:r w:rsidRPr="00782771" w:rsidR="00305C7E">
        <w:t xml:space="preserve">subpart P </w:t>
      </w:r>
      <w:r w:rsidRPr="00782771" w:rsidR="000E1EDC">
        <w:t>at §</w:t>
      </w:r>
      <w:r w:rsidRPr="00782771" w:rsidR="005D431A">
        <w:t>1926.651(b</w:t>
      </w:r>
      <w:proofErr w:type="gramStart"/>
      <w:r w:rsidRPr="00782771" w:rsidR="005D431A">
        <w:t>)(</w:t>
      </w:r>
      <w:proofErr w:type="gramEnd"/>
      <w:r w:rsidRPr="00782771" w:rsidR="005D431A">
        <w:t xml:space="preserve">2) </w:t>
      </w:r>
      <w:r w:rsidRPr="00782771" w:rsidR="00935FF9">
        <w:t>requir</w:t>
      </w:r>
      <w:r w:rsidRPr="00782771" w:rsidR="00305C7E">
        <w:t>es</w:t>
      </w:r>
      <w:r w:rsidRPr="00782771" w:rsidR="00687142">
        <w:t xml:space="preserve"> </w:t>
      </w:r>
      <w:r w:rsidRPr="00782771" w:rsidR="00671F98">
        <w:t xml:space="preserve">that, before digging, </w:t>
      </w:r>
      <w:r w:rsidRPr="00782771" w:rsidR="00B71475">
        <w:t>contractors</w:t>
      </w:r>
      <w:r w:rsidRPr="00782771" w:rsidR="007C35E3">
        <w:t xml:space="preserve"> request </w:t>
      </w:r>
      <w:r w:rsidRPr="00782771" w:rsidR="002327CF">
        <w:t>utility companies</w:t>
      </w:r>
      <w:r w:rsidRPr="00782771" w:rsidR="007C35E3">
        <w:t xml:space="preserve"> or owners</w:t>
      </w:r>
      <w:r w:rsidRPr="00782771" w:rsidR="002327CF">
        <w:t xml:space="preserve"> </w:t>
      </w:r>
      <w:r w:rsidRPr="00782771" w:rsidR="00411CA6">
        <w:t xml:space="preserve">to </w:t>
      </w:r>
      <w:r w:rsidRPr="00782771" w:rsidR="002327CF">
        <w:t xml:space="preserve">establish the </w:t>
      </w:r>
      <w:r w:rsidRPr="00782771" w:rsidR="00687142">
        <w:t>locat</w:t>
      </w:r>
      <w:r w:rsidRPr="00782771" w:rsidR="002327CF">
        <w:t xml:space="preserve">ion of </w:t>
      </w:r>
      <w:r w:rsidRPr="00782771" w:rsidR="00687142">
        <w:t>underground utilities</w:t>
      </w:r>
      <w:r w:rsidRPr="00782771" w:rsidR="007E0556">
        <w:t xml:space="preserve"> on the </w:t>
      </w:r>
      <w:r w:rsidRPr="00782771" w:rsidR="00B71475">
        <w:t xml:space="preserve">contractors’ </w:t>
      </w:r>
      <w:r w:rsidRPr="00782771" w:rsidR="007E0556">
        <w:t>jobsites</w:t>
      </w:r>
      <w:r w:rsidRPr="00782771" w:rsidR="00635297">
        <w:t>.</w:t>
      </w:r>
      <w:r w:rsidRPr="00782771" w:rsidR="00A32528">
        <w:t xml:space="preserve"> </w:t>
      </w:r>
      <w:r w:rsidRPr="00782771" w:rsidR="00EA77CA">
        <w:t>Additionally</w:t>
      </w:r>
      <w:r w:rsidRPr="00782771" w:rsidR="008A2AC1">
        <w:t>,</w:t>
      </w:r>
      <w:r w:rsidRPr="00782771" w:rsidR="009F71FB">
        <w:t xml:space="preserve"> </w:t>
      </w:r>
      <w:r w:rsidRPr="00782771" w:rsidR="001027D4">
        <w:t xml:space="preserve">the </w:t>
      </w:r>
      <w:r w:rsidRPr="00782771" w:rsidR="00635297">
        <w:t xml:space="preserve">standard </w:t>
      </w:r>
      <w:r w:rsidRPr="00782771" w:rsidR="00EA77CA">
        <w:t xml:space="preserve">requires </w:t>
      </w:r>
      <w:r w:rsidRPr="00782771" w:rsidR="001027D4">
        <w:t xml:space="preserve">that </w:t>
      </w:r>
      <w:r w:rsidRPr="00782771" w:rsidR="00AA4B1C">
        <w:t>“[</w:t>
      </w:r>
      <w:r w:rsidRPr="00782771" w:rsidR="009F71FB">
        <w:t>each</w:t>
      </w:r>
      <w:r w:rsidRPr="00782771" w:rsidR="00AA4B1C">
        <w:t>]</w:t>
      </w:r>
      <w:r w:rsidRPr="00782771" w:rsidR="009F71FB">
        <w:t xml:space="preserve"> </w:t>
      </w:r>
      <w:r w:rsidRPr="00782771" w:rsidR="00466906">
        <w:t>worker</w:t>
      </w:r>
      <w:r w:rsidRPr="00782771" w:rsidR="009F71FB">
        <w:t xml:space="preserve"> in an excavation [must] be protected </w:t>
      </w:r>
      <w:r w:rsidRPr="00782771" w:rsidR="00AA4B1C">
        <w:t xml:space="preserve">from cave-ins by an adequate protective </w:t>
      </w:r>
      <w:r w:rsidRPr="00782771" w:rsidR="001E650A">
        <w:t>system [</w:t>
      </w:r>
      <w:r w:rsidRPr="00782771" w:rsidR="00A86BB8">
        <w:t>…</w:t>
      </w:r>
      <w:r w:rsidRPr="00782771" w:rsidR="00275536">
        <w:t>]</w:t>
      </w:r>
      <w:proofErr w:type="gramStart"/>
      <w:r w:rsidRPr="00782771" w:rsidR="00A86BB8">
        <w:t xml:space="preserve">” </w:t>
      </w:r>
      <w:r w:rsidRPr="00782771" w:rsidR="00C46A7B">
        <w:t xml:space="preserve"> </w:t>
      </w:r>
      <w:r w:rsidRPr="00782771" w:rsidR="000E1EDC">
        <w:t>(</w:t>
      </w:r>
      <w:proofErr w:type="gramEnd"/>
      <w:r w:rsidRPr="00782771" w:rsidR="000E1EDC">
        <w:t>§</w:t>
      </w:r>
      <w:r w:rsidRPr="00782771" w:rsidR="00A86BB8">
        <w:t>1926.652(a)).</w:t>
      </w:r>
      <w:r w:rsidRPr="00782771" w:rsidR="00275536">
        <w:t xml:space="preserve"> </w:t>
      </w:r>
      <w:r w:rsidRPr="00782771" w:rsidR="00D410F5">
        <w:t>Section 1926.652 contains several additional sections that describe protective systems. Sections</w:t>
      </w:r>
      <w:r w:rsidRPr="00782771" w:rsidR="004C628F">
        <w:t xml:space="preserve"> 1926.652</w:t>
      </w:r>
      <w:r w:rsidRPr="00782771">
        <w:t>(b)</w:t>
      </w:r>
      <w:r w:rsidRPr="00782771" w:rsidR="005204AC">
        <w:t>, (c), and (d)</w:t>
      </w:r>
      <w:r w:rsidRPr="00782771" w:rsidR="00CE5F77">
        <w:t>,</w:t>
      </w:r>
      <w:r w:rsidRPr="00782771">
        <w:t xml:space="preserve"> </w:t>
      </w:r>
      <w:r w:rsidRPr="00782771" w:rsidR="00CE5F77">
        <w:rPr>
          <w:i/>
        </w:rPr>
        <w:t>Design of sloping and benching systems</w:t>
      </w:r>
      <w:r w:rsidRPr="00782771" w:rsidR="00CE5F77">
        <w:t xml:space="preserve">, </w:t>
      </w:r>
      <w:r w:rsidRPr="00782771" w:rsidR="00CE5F77">
        <w:rPr>
          <w:i/>
        </w:rPr>
        <w:t>Design of supports systems, shield systems, and other protective systems</w:t>
      </w:r>
      <w:r w:rsidRPr="00782771" w:rsidR="00CE5F77">
        <w:t>,</w:t>
      </w:r>
      <w:r w:rsidRPr="00782771" w:rsidR="00204FC0">
        <w:t xml:space="preserve"> </w:t>
      </w:r>
      <w:r w:rsidRPr="00782771" w:rsidR="00C87999">
        <w:t>and</w:t>
      </w:r>
      <w:r w:rsidRPr="00782771" w:rsidR="00204FC0">
        <w:t xml:space="preserve">  </w:t>
      </w:r>
      <w:r w:rsidRPr="00782771" w:rsidR="00204FC0">
        <w:rPr>
          <w:i/>
        </w:rPr>
        <w:t xml:space="preserve">Materials and </w:t>
      </w:r>
      <w:r w:rsidRPr="00782771" w:rsidR="00585301">
        <w:rPr>
          <w:i/>
        </w:rPr>
        <w:t>equipment</w:t>
      </w:r>
      <w:r w:rsidRPr="00782771" w:rsidR="008A2AC1">
        <w:rPr>
          <w:i/>
        </w:rPr>
        <w:t>,</w:t>
      </w:r>
      <w:r w:rsidRPr="00782771" w:rsidR="00585301">
        <w:t xml:space="preserve"> </w:t>
      </w:r>
      <w:r w:rsidRPr="00782771" w:rsidR="005204AC">
        <w:t>respectively</w:t>
      </w:r>
      <w:r w:rsidRPr="00782771" w:rsidR="008A2AC1">
        <w:t>,</w:t>
      </w:r>
      <w:r w:rsidRPr="00782771" w:rsidR="005204AC">
        <w:t xml:space="preserve"> provide </w:t>
      </w:r>
      <w:r w:rsidRPr="00782771" w:rsidR="00A43335">
        <w:t xml:space="preserve">methods </w:t>
      </w:r>
      <w:r w:rsidRPr="00782771" w:rsidR="005204AC">
        <w:t>for protecti</w:t>
      </w:r>
      <w:r w:rsidRPr="00782771" w:rsidR="00A43335">
        <w:t xml:space="preserve">ng </w:t>
      </w:r>
      <w:r w:rsidRPr="00782771" w:rsidR="00466906">
        <w:t>worker</w:t>
      </w:r>
      <w:r w:rsidRPr="00782771" w:rsidR="00A43335">
        <w:t>s</w:t>
      </w:r>
      <w:r w:rsidRPr="00782771" w:rsidR="007E0556">
        <w:t xml:space="preserve"> as required in §1926.65</w:t>
      </w:r>
      <w:r w:rsidRPr="00782771" w:rsidR="00990170">
        <w:t>2</w:t>
      </w:r>
      <w:r w:rsidRPr="00782771" w:rsidR="007E0556">
        <w:t>(a)</w:t>
      </w:r>
      <w:r w:rsidRPr="00782771" w:rsidR="00C87999">
        <w:t xml:space="preserve">. </w:t>
      </w:r>
      <w:r w:rsidRPr="00782771" w:rsidR="00A43335">
        <w:t>Some of the methods</w:t>
      </w:r>
      <w:r w:rsidRPr="00782771" w:rsidR="00C87999">
        <w:t xml:space="preserve"> </w:t>
      </w:r>
      <w:r w:rsidRPr="00782771" w:rsidR="00585301">
        <w:t>contain</w:t>
      </w:r>
      <w:r w:rsidRPr="00782771">
        <w:t xml:space="preserve"> paperwork requirements that impose burden hour costs on employers as specified by the Paperwork Reduction Act of 1995 (PRA).  </w:t>
      </w:r>
    </w:p>
    <w:p w:rsidRPr="00782771" w:rsidR="003138B9" w:rsidP="00A24FC2" w:rsidRDefault="003138B9" w14:paraId="6B02D899" w14:textId="5396B62B">
      <w:pPr>
        <w:pStyle w:val="Default"/>
      </w:pPr>
      <w:r w:rsidRPr="003138B9">
        <w:rPr>
          <w:i/>
        </w:rPr>
        <w:lastRenderedPageBreak/>
        <w:t xml:space="preserve">The 30-day FRN published as part of this request for clearance has a few figures that do not align with the figures used in this Supporting Statement.  Please </w:t>
      </w:r>
      <w:r>
        <w:rPr>
          <w:i/>
        </w:rPr>
        <w:t>N</w:t>
      </w:r>
      <w:r w:rsidRPr="003138B9">
        <w:rPr>
          <w:i/>
        </w:rPr>
        <w:t>ote</w:t>
      </w:r>
      <w:r>
        <w:rPr>
          <w:i/>
        </w:rPr>
        <w:t>: T</w:t>
      </w:r>
      <w:bookmarkStart w:name="_GoBack" w:id="0"/>
      <w:bookmarkEnd w:id="0"/>
      <w:r w:rsidRPr="003138B9">
        <w:rPr>
          <w:i/>
        </w:rPr>
        <w:t>he figures found in this Supporting Statement are final and accurate</w:t>
      </w:r>
      <w:r w:rsidRPr="003138B9">
        <w:t xml:space="preserve">.  </w:t>
      </w:r>
    </w:p>
    <w:p w:rsidRPr="00782771" w:rsidR="00A24FC2" w:rsidP="00A24FC2" w:rsidRDefault="00A24FC2" w14:paraId="615DB364" w14:textId="77777777">
      <w:pPr>
        <w:pStyle w:val="Default"/>
      </w:pPr>
    </w:p>
    <w:p w:rsidRPr="00782771" w:rsidR="00A24FC2" w:rsidP="0004452D" w:rsidRDefault="00E84F28" w14:paraId="62B7DC91" w14:textId="77777777">
      <w:pPr>
        <w:pStyle w:val="Default"/>
        <w:rPr>
          <w:b/>
          <w:bCs/>
        </w:rPr>
      </w:pPr>
      <w:r w:rsidRPr="00782771">
        <w:rPr>
          <w:b/>
          <w:bCs/>
        </w:rPr>
        <w:t xml:space="preserve">2. </w:t>
      </w:r>
      <w:r w:rsidRPr="00782771" w:rsidR="00A24FC2">
        <w:rPr>
          <w:b/>
          <w:bCs/>
        </w:rPr>
        <w:t>Indicate how, by whom, and for what purpose the information is to be used. Except for a new collection, indicate the actual use the agency has made of the information received from the current collection.</w:t>
      </w:r>
    </w:p>
    <w:p w:rsidRPr="00782771" w:rsidR="004A5425" w:rsidP="005B4D2C" w:rsidRDefault="004A5425" w14:paraId="42958D54" w14:textId="77777777">
      <w:pPr>
        <w:pStyle w:val="Default"/>
        <w:rPr>
          <w:b/>
          <w:bCs/>
          <w:sz w:val="20"/>
          <w:szCs w:val="20"/>
        </w:rPr>
      </w:pPr>
    </w:p>
    <w:p w:rsidRPr="00782771" w:rsidR="007A03C8" w:rsidP="00720AAD" w:rsidRDefault="007A03C8" w14:paraId="7E5BA382" w14:textId="77777777">
      <w:pPr>
        <w:pStyle w:val="Default"/>
      </w:pPr>
      <w:r w:rsidRPr="00782771">
        <w:t xml:space="preserve">Subpart P of 29 CFR </w:t>
      </w:r>
      <w:r w:rsidRPr="00782771" w:rsidR="008A2AC1">
        <w:t xml:space="preserve">part </w:t>
      </w:r>
      <w:r w:rsidRPr="00782771">
        <w:t xml:space="preserve">1926 is comprised of </w:t>
      </w:r>
      <w:r w:rsidRPr="00782771" w:rsidR="00A77273">
        <w:t>§</w:t>
      </w:r>
      <w:r w:rsidRPr="00782771">
        <w:t>1926.650-</w:t>
      </w:r>
      <w:r w:rsidRPr="00782771" w:rsidR="008A2AC1">
        <w:t>.</w:t>
      </w:r>
      <w:r w:rsidRPr="00782771" w:rsidR="009B3776">
        <w:t xml:space="preserve">652 and appendices A-F. Section </w:t>
      </w:r>
      <w:r w:rsidRPr="00782771" w:rsidR="002D25A3">
        <w:t>1926</w:t>
      </w:r>
      <w:r w:rsidRPr="00782771" w:rsidR="009B3776">
        <w:t xml:space="preserve">.650 </w:t>
      </w:r>
      <w:r w:rsidRPr="00782771" w:rsidR="005B7DF6">
        <w:t>provides the</w:t>
      </w:r>
      <w:r w:rsidRPr="00782771" w:rsidR="009B3776">
        <w:t xml:space="preserve"> scope, application and definitions applicable to the subpart. Section 1926.651 </w:t>
      </w:r>
      <w:r w:rsidRPr="00782771" w:rsidR="005B7DF6">
        <w:t>sets</w:t>
      </w:r>
      <w:r w:rsidRPr="00782771" w:rsidR="009B3776">
        <w:t xml:space="preserve"> specific excavation requirements</w:t>
      </w:r>
      <w:r w:rsidRPr="00782771" w:rsidR="00A24839">
        <w:t xml:space="preserve"> and </w:t>
      </w:r>
      <w:r w:rsidRPr="00782771" w:rsidR="000E1EDC">
        <w:t>§</w:t>
      </w:r>
      <w:r w:rsidRPr="00782771" w:rsidR="00A77273">
        <w:t>1926</w:t>
      </w:r>
      <w:r w:rsidRPr="00782771" w:rsidR="00A24839">
        <w:t>.</w:t>
      </w:r>
      <w:r w:rsidRPr="00782771" w:rsidR="009B3776">
        <w:t>652</w:t>
      </w:r>
      <w:r w:rsidRPr="00782771" w:rsidR="00402553">
        <w:t xml:space="preserve"> provides requirements </w:t>
      </w:r>
      <w:r w:rsidRPr="00782771" w:rsidR="001D0351">
        <w:t xml:space="preserve">and options </w:t>
      </w:r>
      <w:r w:rsidRPr="00782771" w:rsidR="00402553">
        <w:t xml:space="preserve">for </w:t>
      </w:r>
      <w:r w:rsidRPr="00782771" w:rsidR="001D0351">
        <w:t xml:space="preserve">using </w:t>
      </w:r>
      <w:r w:rsidRPr="00782771" w:rsidR="00DA6593">
        <w:t xml:space="preserve">various </w:t>
      </w:r>
      <w:r w:rsidRPr="00782771" w:rsidR="00402553">
        <w:t xml:space="preserve">protective systems. The appendices </w:t>
      </w:r>
      <w:r w:rsidRPr="00782771" w:rsidR="00553B4E">
        <w:t>include</w:t>
      </w:r>
      <w:r w:rsidRPr="00782771" w:rsidR="005B7DF6">
        <w:t>:  Soil</w:t>
      </w:r>
      <w:r w:rsidRPr="00782771" w:rsidR="00553B4E">
        <w:t xml:space="preserve"> </w:t>
      </w:r>
      <w:r w:rsidRPr="00782771" w:rsidR="005B7DF6">
        <w:t>C</w:t>
      </w:r>
      <w:r w:rsidRPr="00782771" w:rsidR="00553B4E">
        <w:t>lassification</w:t>
      </w:r>
      <w:r w:rsidRPr="00782771" w:rsidR="00003257">
        <w:t>-</w:t>
      </w:r>
      <w:r w:rsidRPr="00782771" w:rsidR="00553B4E">
        <w:t>(A)</w:t>
      </w:r>
      <w:r w:rsidRPr="00782771" w:rsidR="005B7DF6">
        <w:t>;</w:t>
      </w:r>
      <w:r w:rsidRPr="00782771" w:rsidR="00553B4E">
        <w:t xml:space="preserve"> </w:t>
      </w:r>
      <w:r w:rsidRPr="00782771" w:rsidR="005B7DF6">
        <w:t>S</w:t>
      </w:r>
      <w:r w:rsidRPr="00782771" w:rsidR="00553B4E">
        <w:t xml:space="preserve">loping and </w:t>
      </w:r>
      <w:r w:rsidRPr="00782771" w:rsidR="005B7DF6">
        <w:t>B</w:t>
      </w:r>
      <w:r w:rsidRPr="00782771" w:rsidR="00553B4E">
        <w:t>enching</w:t>
      </w:r>
      <w:r w:rsidRPr="00782771" w:rsidR="005B7DF6">
        <w:t>-</w:t>
      </w:r>
      <w:r w:rsidRPr="00782771" w:rsidR="00553B4E">
        <w:t>(B)</w:t>
      </w:r>
      <w:r w:rsidRPr="00782771" w:rsidR="005B7DF6">
        <w:t>;</w:t>
      </w:r>
      <w:r w:rsidRPr="00782771" w:rsidR="00553B4E">
        <w:t xml:space="preserve"> </w:t>
      </w:r>
      <w:r w:rsidRPr="00782771" w:rsidR="00CB759A">
        <w:t>T</w:t>
      </w:r>
      <w:r w:rsidRPr="00782771" w:rsidR="004D5A59">
        <w:t xml:space="preserve">imber </w:t>
      </w:r>
      <w:r w:rsidRPr="00782771" w:rsidR="00CB759A">
        <w:t>S</w:t>
      </w:r>
      <w:r w:rsidRPr="00782771" w:rsidR="004D5A59">
        <w:t xml:space="preserve">horing </w:t>
      </w:r>
      <w:r w:rsidRPr="00782771" w:rsidR="00885C5B">
        <w:t>for</w:t>
      </w:r>
      <w:r w:rsidRPr="00782771" w:rsidR="00CB759A">
        <w:t xml:space="preserve"> Trenches-</w:t>
      </w:r>
      <w:r w:rsidRPr="00782771" w:rsidR="004D5A59">
        <w:t>(C)</w:t>
      </w:r>
      <w:r w:rsidRPr="00782771" w:rsidR="00CB759A">
        <w:t>;</w:t>
      </w:r>
      <w:r w:rsidRPr="00782771" w:rsidR="004D5A59">
        <w:t xml:space="preserve"> </w:t>
      </w:r>
      <w:r w:rsidRPr="00782771" w:rsidR="00CB759A">
        <w:t>A</w:t>
      </w:r>
      <w:r w:rsidRPr="00782771" w:rsidR="004D5A59">
        <w:t xml:space="preserve">luminum </w:t>
      </w:r>
      <w:r w:rsidRPr="00782771" w:rsidR="00CB759A">
        <w:t>Hydraulic S</w:t>
      </w:r>
      <w:r w:rsidRPr="00782771" w:rsidR="004D5A59">
        <w:t xml:space="preserve">horing </w:t>
      </w:r>
      <w:r w:rsidRPr="00782771" w:rsidR="00885C5B">
        <w:t>for</w:t>
      </w:r>
      <w:r w:rsidRPr="00782771" w:rsidR="004D5A59">
        <w:t xml:space="preserve"> </w:t>
      </w:r>
      <w:r w:rsidRPr="00782771" w:rsidR="00CB759A">
        <w:t>T</w:t>
      </w:r>
      <w:r w:rsidRPr="00782771" w:rsidR="004D5A59">
        <w:t>renches</w:t>
      </w:r>
      <w:r w:rsidRPr="00782771" w:rsidR="00CB759A">
        <w:t>-</w:t>
      </w:r>
      <w:r w:rsidRPr="00782771" w:rsidR="004D5A59">
        <w:t>(D)</w:t>
      </w:r>
      <w:r w:rsidRPr="00782771" w:rsidR="00CB759A">
        <w:t>;</w:t>
      </w:r>
      <w:r w:rsidRPr="00782771" w:rsidR="004D5A59">
        <w:t xml:space="preserve"> </w:t>
      </w:r>
      <w:r w:rsidRPr="00782771" w:rsidR="00CB759A">
        <w:t>A</w:t>
      </w:r>
      <w:r w:rsidRPr="00782771" w:rsidR="000D40D2">
        <w:t xml:space="preserve">lternatives to </w:t>
      </w:r>
      <w:r w:rsidRPr="00782771" w:rsidR="00885C5B">
        <w:t>T</w:t>
      </w:r>
      <w:r w:rsidRPr="00782771" w:rsidR="000D40D2">
        <w:t xml:space="preserve">imber </w:t>
      </w:r>
      <w:r w:rsidRPr="00782771" w:rsidR="00885C5B">
        <w:t>S</w:t>
      </w:r>
      <w:r w:rsidRPr="00782771" w:rsidR="000D40D2">
        <w:t>horing</w:t>
      </w:r>
      <w:r w:rsidRPr="00782771" w:rsidR="00885C5B">
        <w:t>-</w:t>
      </w:r>
      <w:r w:rsidRPr="00782771" w:rsidR="000D40D2">
        <w:t>(E)</w:t>
      </w:r>
      <w:r w:rsidRPr="00782771" w:rsidR="00885C5B">
        <w:t>;</w:t>
      </w:r>
      <w:r w:rsidRPr="00782771" w:rsidR="000D40D2">
        <w:t xml:space="preserve"> and </w:t>
      </w:r>
      <w:r w:rsidRPr="00782771" w:rsidR="00885C5B">
        <w:t>S</w:t>
      </w:r>
      <w:r w:rsidRPr="00782771" w:rsidR="000D40D2">
        <w:t>election of</w:t>
      </w:r>
      <w:r w:rsidRPr="00782771" w:rsidR="00885C5B">
        <w:t xml:space="preserve"> Protective</w:t>
      </w:r>
      <w:r w:rsidRPr="00782771" w:rsidR="000D40D2">
        <w:t xml:space="preserve"> </w:t>
      </w:r>
      <w:r w:rsidRPr="00782771" w:rsidR="00885C5B">
        <w:t>S</w:t>
      </w:r>
      <w:r w:rsidRPr="00782771" w:rsidR="000D40D2">
        <w:t xml:space="preserve">ystems </w:t>
      </w:r>
      <w:r w:rsidRPr="00782771" w:rsidR="00885C5B">
        <w:t>[</w:t>
      </w:r>
      <w:r w:rsidRPr="00782771" w:rsidR="001E2836">
        <w:t xml:space="preserve">a </w:t>
      </w:r>
      <w:r w:rsidRPr="00782771" w:rsidR="000119E9">
        <w:t>decision tree]</w:t>
      </w:r>
      <w:r w:rsidRPr="00782771" w:rsidR="00003257">
        <w:t>-</w:t>
      </w:r>
      <w:r w:rsidRPr="00782771" w:rsidR="000D40D2">
        <w:t xml:space="preserve">(F). Depending on the protective system option </w:t>
      </w:r>
      <w:r w:rsidRPr="00782771" w:rsidR="00A24839">
        <w:t>chosen</w:t>
      </w:r>
      <w:r w:rsidRPr="00782771" w:rsidR="00B07AC7">
        <w:t xml:space="preserve"> by a contractor</w:t>
      </w:r>
      <w:r w:rsidRPr="00782771" w:rsidR="008A2AC1">
        <w:t>,</w:t>
      </w:r>
      <w:r w:rsidRPr="00782771" w:rsidR="00B07AC7">
        <w:t xml:space="preserve"> some appended language becomes mandatory. Nevertheless</w:t>
      </w:r>
      <w:r w:rsidRPr="00782771" w:rsidR="008A2AC1">
        <w:t>,</w:t>
      </w:r>
      <w:r w:rsidRPr="00782771" w:rsidR="00B07AC7">
        <w:t xml:space="preserve"> </w:t>
      </w:r>
      <w:r w:rsidRPr="00782771" w:rsidR="00C50F42">
        <w:t>the</w:t>
      </w:r>
      <w:r w:rsidRPr="00782771" w:rsidR="00B07AC7">
        <w:t xml:space="preserve"> temporarily mandatory language does not increase paperwork burden hours or </w:t>
      </w:r>
      <w:r w:rsidRPr="00782771" w:rsidR="00085670">
        <w:t xml:space="preserve">costs </w:t>
      </w:r>
      <w:r w:rsidRPr="00782771" w:rsidR="00003257">
        <w:t xml:space="preserve">because </w:t>
      </w:r>
      <w:r w:rsidRPr="00782771" w:rsidR="008A227D">
        <w:t>the</w:t>
      </w:r>
      <w:r w:rsidRPr="00782771" w:rsidR="000119E9">
        <w:t xml:space="preserve"> standard language and appendices</w:t>
      </w:r>
      <w:r w:rsidRPr="00782771" w:rsidR="002E62F4">
        <w:t xml:space="preserve"> </w:t>
      </w:r>
      <w:r w:rsidRPr="00782771" w:rsidR="00003257">
        <w:t>provide</w:t>
      </w:r>
      <w:r w:rsidRPr="00782771" w:rsidR="002E62F4">
        <w:t>s</w:t>
      </w:r>
      <w:r w:rsidRPr="00782771" w:rsidR="00003257">
        <w:t xml:space="preserve"> </w:t>
      </w:r>
      <w:r w:rsidRPr="00782771" w:rsidR="00C50F42">
        <w:t>specifications needed</w:t>
      </w:r>
      <w:r w:rsidRPr="00782771" w:rsidR="00003257">
        <w:t xml:space="preserve"> to comply with the </w:t>
      </w:r>
      <w:r w:rsidRPr="00782771" w:rsidR="002E62F4">
        <w:t xml:space="preserve">chosen </w:t>
      </w:r>
      <w:r w:rsidRPr="00782771" w:rsidR="00496E75">
        <w:t>option.</w:t>
      </w:r>
    </w:p>
    <w:p w:rsidRPr="00782771" w:rsidR="001D0351" w:rsidP="00720AAD" w:rsidRDefault="001D0351" w14:paraId="1C9CA3D2" w14:textId="77777777">
      <w:pPr>
        <w:pStyle w:val="Default"/>
      </w:pPr>
    </w:p>
    <w:p w:rsidRPr="00782771" w:rsidR="001D0351" w:rsidP="00720AAD" w:rsidRDefault="001D0351" w14:paraId="404570DA" w14:textId="77777777">
      <w:pPr>
        <w:pStyle w:val="Default"/>
      </w:pPr>
      <w:r w:rsidRPr="00782771">
        <w:t>Section 1926.651(b</w:t>
      </w:r>
      <w:proofErr w:type="gramStart"/>
      <w:r w:rsidRPr="00782771">
        <w:t>)(</w:t>
      </w:r>
      <w:proofErr w:type="gramEnd"/>
      <w:r w:rsidRPr="00782771">
        <w:t>2)</w:t>
      </w:r>
      <w:r w:rsidRPr="00782771" w:rsidR="00320B78">
        <w:rPr>
          <w:rStyle w:val="FootnoteReference"/>
        </w:rPr>
        <w:footnoteReference w:id="2"/>
      </w:r>
      <w:r w:rsidRPr="00782771" w:rsidR="006A0F64">
        <w:rPr>
          <w:rStyle w:val="FootnoteReference"/>
        </w:rPr>
        <w:t xml:space="preserve"> </w:t>
      </w:r>
      <w:r w:rsidRPr="00782771">
        <w:t xml:space="preserve">requires what is </w:t>
      </w:r>
      <w:r w:rsidRPr="00782771" w:rsidR="008873AA">
        <w:t xml:space="preserve">and has been </w:t>
      </w:r>
      <w:r w:rsidRPr="00782771" w:rsidR="00DA6593">
        <w:t xml:space="preserve">a </w:t>
      </w:r>
      <w:r w:rsidRPr="00782771" w:rsidR="008873AA">
        <w:t xml:space="preserve">usual and customary </w:t>
      </w:r>
      <w:r w:rsidRPr="00782771">
        <w:t>practice</w:t>
      </w:r>
      <w:r w:rsidRPr="00782771" w:rsidR="008873AA">
        <w:t xml:space="preserve"> </w:t>
      </w:r>
      <w:r w:rsidRPr="00782771" w:rsidR="008C2FF5">
        <w:t xml:space="preserve">or required by local codes for </w:t>
      </w:r>
      <w:r w:rsidRPr="00782771" w:rsidR="008873AA">
        <w:t xml:space="preserve">decades. </w:t>
      </w:r>
      <w:r w:rsidRPr="00782771" w:rsidR="008C2FF5">
        <w:t xml:space="preserve">For many </w:t>
      </w:r>
      <w:r w:rsidRPr="00782771" w:rsidR="001E2836">
        <w:t>decades</w:t>
      </w:r>
      <w:r w:rsidRPr="00782771" w:rsidR="00B268BD">
        <w:t>,</w:t>
      </w:r>
      <w:r w:rsidRPr="00782771" w:rsidR="008C2FF5">
        <w:t xml:space="preserve"> before any excavation begins</w:t>
      </w:r>
      <w:r w:rsidRPr="00782771" w:rsidR="00B268BD">
        <w:t>,</w:t>
      </w:r>
      <w:r w:rsidRPr="00782771" w:rsidR="001E2836">
        <w:t xml:space="preserve"> contractors have </w:t>
      </w:r>
      <w:r w:rsidRPr="00782771">
        <w:t>contact</w:t>
      </w:r>
      <w:r w:rsidRPr="00782771" w:rsidR="001E2836">
        <w:t>ed</w:t>
      </w:r>
      <w:r w:rsidRPr="00782771">
        <w:t xml:space="preserve"> local “One-Call Center</w:t>
      </w:r>
      <w:r w:rsidRPr="00782771" w:rsidR="002E62F4">
        <w:t>s,</w:t>
      </w:r>
      <w:r w:rsidRPr="00782771">
        <w:t>” utilit</w:t>
      </w:r>
      <w:r w:rsidRPr="00782771" w:rsidR="002604D7">
        <w:t>ies</w:t>
      </w:r>
      <w:r w:rsidRPr="00782771" w:rsidR="002E62F4">
        <w:t>, or owners</w:t>
      </w:r>
      <w:r w:rsidRPr="00782771" w:rsidR="00963052">
        <w:t xml:space="preserve"> to</w:t>
      </w:r>
      <w:r w:rsidRPr="00782771">
        <w:t xml:space="preserve"> request </w:t>
      </w:r>
      <w:r w:rsidRPr="00782771" w:rsidR="002604D7">
        <w:t xml:space="preserve">that underground utility </w:t>
      </w:r>
      <w:r w:rsidRPr="00782771" w:rsidR="008873AA">
        <w:t xml:space="preserve">installation </w:t>
      </w:r>
      <w:r w:rsidRPr="00782771" w:rsidR="001E2836">
        <w:t>l</w:t>
      </w:r>
      <w:r w:rsidRPr="00782771" w:rsidR="002604D7">
        <w:t xml:space="preserve">ocations </w:t>
      </w:r>
      <w:r w:rsidRPr="00782771" w:rsidR="001E2836">
        <w:t xml:space="preserve">be </w:t>
      </w:r>
      <w:r w:rsidRPr="00782771" w:rsidR="002604D7">
        <w:t xml:space="preserve">marked </w:t>
      </w:r>
      <w:r w:rsidRPr="00782771" w:rsidR="008873AA">
        <w:t>on</w:t>
      </w:r>
      <w:r w:rsidRPr="00782771" w:rsidR="002604D7">
        <w:t xml:space="preserve"> </w:t>
      </w:r>
      <w:r w:rsidRPr="00782771" w:rsidR="008C2FF5">
        <w:t xml:space="preserve">the surface of their </w:t>
      </w:r>
      <w:r w:rsidRPr="00782771" w:rsidR="002604D7">
        <w:t>worksite(s)</w:t>
      </w:r>
      <w:r w:rsidRPr="00782771" w:rsidR="008C2FF5">
        <w:t>.</w:t>
      </w:r>
    </w:p>
    <w:p w:rsidRPr="00782771" w:rsidR="00963052" w:rsidP="00720AAD" w:rsidRDefault="00963052" w14:paraId="43073290" w14:textId="77777777">
      <w:pPr>
        <w:pStyle w:val="Default"/>
      </w:pPr>
    </w:p>
    <w:p w:rsidRPr="00782771" w:rsidR="00AE2690" w:rsidP="00720AAD" w:rsidRDefault="00960F88" w14:paraId="062B9037" w14:textId="77777777">
      <w:pPr>
        <w:pStyle w:val="Default"/>
      </w:pPr>
      <w:r w:rsidRPr="00782771">
        <w:t>Section 1926.652(a</w:t>
      </w:r>
      <w:proofErr w:type="gramStart"/>
      <w:r w:rsidRPr="00782771">
        <w:t>)</w:t>
      </w:r>
      <w:r w:rsidRPr="00782771" w:rsidR="000E503E">
        <w:t>(</w:t>
      </w:r>
      <w:proofErr w:type="gramEnd"/>
      <w:r w:rsidRPr="00782771" w:rsidR="000E503E">
        <w:t>1)</w:t>
      </w:r>
      <w:r w:rsidRPr="00782771">
        <w:t xml:space="preserve"> generates no paperwork burden but requires that “[e]</w:t>
      </w:r>
      <w:r w:rsidRPr="00782771" w:rsidR="00866EF6">
        <w:t>ach</w:t>
      </w:r>
      <w:r w:rsidRPr="00782771">
        <w:t xml:space="preserve"> </w:t>
      </w:r>
      <w:r w:rsidRPr="00782771" w:rsidR="00466906">
        <w:t>worker</w:t>
      </w:r>
      <w:r w:rsidRPr="00782771">
        <w:t xml:space="preserve"> in an excavation shall be protected from cave-ins … in accordance with paragraph (b) or (c) of this section</w:t>
      </w:r>
      <w:r w:rsidRPr="00782771" w:rsidR="00AE6CDF">
        <w:t xml:space="preserve">…” </w:t>
      </w:r>
      <w:r w:rsidRPr="00782771" w:rsidR="007A03C8">
        <w:t xml:space="preserve">Sections </w:t>
      </w:r>
      <w:r w:rsidRPr="00782771" w:rsidR="00AD3F74">
        <w:t xml:space="preserve">1926.652 </w:t>
      </w:r>
      <w:r w:rsidRPr="00782771" w:rsidR="00A24FC2">
        <w:t>(</w:t>
      </w:r>
      <w:r w:rsidRPr="00782771" w:rsidR="00AD3F74">
        <w:t>b</w:t>
      </w:r>
      <w:r w:rsidRPr="00782771" w:rsidR="00A24FC2">
        <w:t>)</w:t>
      </w:r>
      <w:r w:rsidRPr="00782771" w:rsidR="00EF7135">
        <w:t xml:space="preserve"> and</w:t>
      </w:r>
      <w:r w:rsidRPr="00782771" w:rsidR="00A24FC2">
        <w:t xml:space="preserve"> (</w:t>
      </w:r>
      <w:r w:rsidRPr="00782771" w:rsidR="00AD3F74">
        <w:t>c</w:t>
      </w:r>
      <w:r w:rsidRPr="00782771" w:rsidR="00A24FC2">
        <w:t xml:space="preserve">) of the </w:t>
      </w:r>
      <w:r w:rsidRPr="00782771" w:rsidR="00740C5C">
        <w:t>S</w:t>
      </w:r>
      <w:r w:rsidRPr="00782771" w:rsidR="00F13E02">
        <w:t>tandard</w:t>
      </w:r>
      <w:r w:rsidRPr="00782771" w:rsidR="008733F9">
        <w:t xml:space="preserve"> provide options for</w:t>
      </w:r>
      <w:r w:rsidRPr="00782771" w:rsidR="00F13E02">
        <w:t xml:space="preserve"> </w:t>
      </w:r>
      <w:r w:rsidRPr="00782771" w:rsidR="00A24FC2">
        <w:t>employers</w:t>
      </w:r>
      <w:r w:rsidRPr="00782771" w:rsidR="001800D5">
        <w:t xml:space="preserve"> which</w:t>
      </w:r>
      <w:r w:rsidRPr="00782771" w:rsidR="00A24FC2">
        <w:t xml:space="preserve"> </w:t>
      </w:r>
      <w:r w:rsidRPr="00782771" w:rsidR="001800D5">
        <w:t>assists them</w:t>
      </w:r>
      <w:r w:rsidRPr="00782771" w:rsidR="00EF7135">
        <w:t xml:space="preserve"> </w:t>
      </w:r>
      <w:r w:rsidRPr="00782771" w:rsidR="00D13FB7">
        <w:t xml:space="preserve">to </w:t>
      </w:r>
      <w:r w:rsidRPr="00782771" w:rsidR="00AD011C">
        <w:t>choose amongst required</w:t>
      </w:r>
      <w:r w:rsidRPr="00782771" w:rsidR="008733F9">
        <w:t xml:space="preserve"> </w:t>
      </w:r>
      <w:r w:rsidRPr="00782771" w:rsidR="00A24FC2">
        <w:t>protective systems</w:t>
      </w:r>
      <w:r w:rsidRPr="00782771" w:rsidR="008733F9">
        <w:t>. Depending on jobsite conditions</w:t>
      </w:r>
      <w:r w:rsidRPr="00782771" w:rsidR="00740C5C">
        <w:t>,</w:t>
      </w:r>
      <w:r w:rsidRPr="00782771" w:rsidR="008733F9">
        <w:t xml:space="preserve"> employers must</w:t>
      </w:r>
      <w:r w:rsidRPr="00782771" w:rsidR="00A24FC2">
        <w:t xml:space="preserve"> </w:t>
      </w:r>
      <w:r w:rsidRPr="00782771" w:rsidR="00866EF6">
        <w:t xml:space="preserve">choose how to and must </w:t>
      </w:r>
      <w:r w:rsidRPr="00782771" w:rsidR="003A1CA8">
        <w:t xml:space="preserve">protect </w:t>
      </w:r>
      <w:r w:rsidRPr="00782771" w:rsidR="008733F9">
        <w:t xml:space="preserve">their </w:t>
      </w:r>
      <w:r w:rsidRPr="00782771" w:rsidR="00740C5C">
        <w:t>workers</w:t>
      </w:r>
      <w:r w:rsidRPr="00782771" w:rsidR="003A1CA8">
        <w:t xml:space="preserve"> from </w:t>
      </w:r>
      <w:r w:rsidRPr="00782771" w:rsidR="00A24FC2">
        <w:t xml:space="preserve">cave-ins during </w:t>
      </w:r>
      <w:r w:rsidRPr="00782771" w:rsidR="00866EF6">
        <w:t xml:space="preserve">the </w:t>
      </w:r>
      <w:r w:rsidRPr="00782771" w:rsidR="00A24FC2">
        <w:t>excavation work</w:t>
      </w:r>
      <w:r w:rsidRPr="00782771" w:rsidR="00085670">
        <w:t>.</w:t>
      </w:r>
      <w:r w:rsidRPr="00782771" w:rsidR="00A24FC2">
        <w:t xml:space="preserve"> </w:t>
      </w:r>
      <w:r w:rsidRPr="00782771" w:rsidR="00866EF6">
        <w:t>Protective</w:t>
      </w:r>
      <w:r w:rsidRPr="00782771" w:rsidR="00A24FC2">
        <w:t xml:space="preserve"> systems include sloping the side</w:t>
      </w:r>
      <w:r w:rsidRPr="00782771" w:rsidR="003149A0">
        <w:t>s</w:t>
      </w:r>
      <w:r w:rsidRPr="00782771" w:rsidR="00A24FC2">
        <w:t xml:space="preserve"> of </w:t>
      </w:r>
      <w:r w:rsidRPr="00782771" w:rsidR="003149A0">
        <w:t>an</w:t>
      </w:r>
      <w:r w:rsidRPr="00782771" w:rsidR="00AD011C">
        <w:t xml:space="preserve"> excavation</w:t>
      </w:r>
      <w:r w:rsidRPr="00782771" w:rsidR="00A24FC2">
        <w:t xml:space="preserve">, benching the soil away from the </w:t>
      </w:r>
      <w:r w:rsidRPr="00782771" w:rsidR="00AD011C">
        <w:t xml:space="preserve">bottom of </w:t>
      </w:r>
      <w:r w:rsidRPr="00782771" w:rsidR="003149A0">
        <w:t>an</w:t>
      </w:r>
      <w:r w:rsidRPr="00782771" w:rsidR="00AD011C">
        <w:t xml:space="preserve"> </w:t>
      </w:r>
      <w:r w:rsidRPr="00782771" w:rsidR="00A24FC2">
        <w:t>excavation, or using a support system</w:t>
      </w:r>
      <w:r w:rsidRPr="00782771" w:rsidR="00261A10">
        <w:t xml:space="preserve"> (like shoring)</w:t>
      </w:r>
      <w:r w:rsidRPr="00782771" w:rsidR="003A1CA8">
        <w:t>,</w:t>
      </w:r>
      <w:r w:rsidRPr="00782771" w:rsidR="00A24FC2">
        <w:t xml:space="preserve"> </w:t>
      </w:r>
      <w:r w:rsidRPr="00782771" w:rsidR="001800D5">
        <w:t xml:space="preserve">a </w:t>
      </w:r>
      <w:r w:rsidRPr="00782771" w:rsidR="00A24FC2">
        <w:t>shield</w:t>
      </w:r>
      <w:r w:rsidRPr="00782771" w:rsidR="003A1CA8">
        <w:t xml:space="preserve"> </w:t>
      </w:r>
      <w:r w:rsidRPr="00782771" w:rsidR="00F13E02">
        <w:t>s</w:t>
      </w:r>
      <w:r w:rsidRPr="00782771" w:rsidR="003A1CA8">
        <w:t>ystem</w:t>
      </w:r>
      <w:r w:rsidRPr="00782771" w:rsidR="00A24FC2">
        <w:t xml:space="preserve"> (</w:t>
      </w:r>
      <w:r w:rsidRPr="00782771" w:rsidR="001800D5">
        <w:t>like</w:t>
      </w:r>
      <w:r w:rsidRPr="00782771" w:rsidR="00A24FC2">
        <w:t xml:space="preserve"> a trench box)</w:t>
      </w:r>
      <w:r w:rsidRPr="00782771" w:rsidR="001800D5">
        <w:t>,</w:t>
      </w:r>
      <w:r w:rsidRPr="00782771" w:rsidR="00BF73DF">
        <w:t xml:space="preserve"> or other protective systems</w:t>
      </w:r>
      <w:r w:rsidRPr="00782771" w:rsidR="00A24FC2">
        <w:t>.</w:t>
      </w:r>
      <w:r w:rsidRPr="00782771" w:rsidR="001D0351">
        <w:t xml:space="preserve"> </w:t>
      </w:r>
      <w:r w:rsidRPr="00782771" w:rsidR="00141A64">
        <w:t xml:space="preserve">Section 1926.652(d) requires </w:t>
      </w:r>
      <w:r w:rsidRPr="00782771" w:rsidR="00261A10">
        <w:t xml:space="preserve">that a </w:t>
      </w:r>
      <w:r w:rsidRPr="00782771" w:rsidR="00141A64">
        <w:t>registered professional engineer</w:t>
      </w:r>
      <w:r w:rsidRPr="00782771" w:rsidR="00740C5C">
        <w:t>,</w:t>
      </w:r>
      <w:r w:rsidRPr="00782771" w:rsidR="00141A64">
        <w:t xml:space="preserve"> </w:t>
      </w:r>
      <w:r w:rsidRPr="00782771" w:rsidR="00A55424">
        <w:t>under certain circumstance</w:t>
      </w:r>
      <w:r w:rsidRPr="00782771" w:rsidR="00740C5C">
        <w:t>s,</w:t>
      </w:r>
      <w:r w:rsidRPr="00782771" w:rsidR="00A55424">
        <w:t xml:space="preserve"> must </w:t>
      </w:r>
      <w:r w:rsidRPr="00782771" w:rsidR="00141A64">
        <w:t>approv</w:t>
      </w:r>
      <w:r w:rsidRPr="00782771" w:rsidR="00261A10">
        <w:t>e</w:t>
      </w:r>
      <w:r w:rsidRPr="00782771" w:rsidR="00141A64">
        <w:t xml:space="preserve"> damaged and repaired </w:t>
      </w:r>
      <w:r w:rsidRPr="00782771" w:rsidR="00261A10">
        <w:t xml:space="preserve">protective system </w:t>
      </w:r>
      <w:r w:rsidRPr="00782771" w:rsidR="00EF7135">
        <w:t xml:space="preserve">components </w:t>
      </w:r>
      <w:r w:rsidRPr="00782771" w:rsidR="00A55424">
        <w:t xml:space="preserve">for </w:t>
      </w:r>
      <w:r w:rsidRPr="00782771" w:rsidR="00B9030C">
        <w:t xml:space="preserve">return to </w:t>
      </w:r>
      <w:r w:rsidRPr="00782771" w:rsidR="00161255">
        <w:t>service</w:t>
      </w:r>
      <w:r w:rsidRPr="00782771" w:rsidR="007941BD">
        <w:t>.</w:t>
      </w:r>
    </w:p>
    <w:p w:rsidRPr="00782771" w:rsidR="00AE2690" w:rsidP="00720AAD" w:rsidRDefault="00AE2690" w14:paraId="50482F8C" w14:textId="77777777">
      <w:pPr>
        <w:pStyle w:val="Default"/>
      </w:pPr>
    </w:p>
    <w:p w:rsidRPr="00782771" w:rsidR="00D13FB7" w:rsidP="00720AAD" w:rsidRDefault="00B9030C" w14:paraId="7C54F615" w14:textId="6B88338B">
      <w:pPr>
        <w:pStyle w:val="Default"/>
      </w:pPr>
      <w:r w:rsidRPr="00782771">
        <w:t>More specifically</w:t>
      </w:r>
      <w:r w:rsidRPr="00782771" w:rsidR="00740C5C">
        <w:t>,</w:t>
      </w:r>
      <w:r w:rsidRPr="00782771">
        <w:t xml:space="preserve"> </w:t>
      </w:r>
      <w:r w:rsidRPr="00782771" w:rsidR="000E1EDC">
        <w:t>§</w:t>
      </w:r>
      <w:r w:rsidRPr="00782771" w:rsidR="00720AAD">
        <w:t>1926.652</w:t>
      </w:r>
      <w:r w:rsidRPr="00782771" w:rsidR="006D54E2">
        <w:t>(b)</w:t>
      </w:r>
      <w:r w:rsidRPr="00782771" w:rsidR="00AD3F74">
        <w:t xml:space="preserve"> specifies allowable </w:t>
      </w:r>
      <w:r w:rsidRPr="00782771" w:rsidR="005948BC">
        <w:t>criteria</w:t>
      </w:r>
      <w:r w:rsidRPr="00782771" w:rsidR="00AD3F74">
        <w:t xml:space="preserve"> for </w:t>
      </w:r>
      <w:r w:rsidRPr="00782771" w:rsidR="006D54E2">
        <w:t xml:space="preserve">sloping and benching </w:t>
      </w:r>
      <w:r w:rsidRPr="00782771" w:rsidR="008B70D6">
        <w:t xml:space="preserve">protective </w:t>
      </w:r>
      <w:r w:rsidRPr="00782771" w:rsidR="006D54E2">
        <w:t xml:space="preserve">systems in </w:t>
      </w:r>
      <w:r w:rsidRPr="00782771" w:rsidR="00AD3F74">
        <w:t>excavations</w:t>
      </w:r>
      <w:r w:rsidRPr="00782771" w:rsidR="00445C64">
        <w:t xml:space="preserve">. </w:t>
      </w:r>
      <w:r w:rsidRPr="00782771" w:rsidR="008B70D6">
        <w:t xml:space="preserve">The section </w:t>
      </w:r>
      <w:r w:rsidRPr="00782771" w:rsidR="00445C64">
        <w:t xml:space="preserve">provides </w:t>
      </w:r>
      <w:r w:rsidRPr="00782771" w:rsidR="00415E9D">
        <w:t xml:space="preserve">contractors with </w:t>
      </w:r>
      <w:r w:rsidRPr="00782771" w:rsidR="00481495">
        <w:t xml:space="preserve">four </w:t>
      </w:r>
      <w:r w:rsidRPr="00782771" w:rsidR="00415E9D">
        <w:t xml:space="preserve">sloping or benching </w:t>
      </w:r>
      <w:r w:rsidRPr="00782771" w:rsidR="00445C64">
        <w:t xml:space="preserve">options </w:t>
      </w:r>
      <w:r w:rsidRPr="00782771" w:rsidR="00412D8C">
        <w:t xml:space="preserve">for </w:t>
      </w:r>
      <w:r w:rsidRPr="00782771" w:rsidR="00415E9D">
        <w:t xml:space="preserve">protecting </w:t>
      </w:r>
      <w:r w:rsidRPr="00782771" w:rsidR="00740C5C">
        <w:t>workers</w:t>
      </w:r>
      <w:r w:rsidRPr="00782771" w:rsidR="00412D8C">
        <w:t xml:space="preserve">. </w:t>
      </w:r>
      <w:r w:rsidRPr="00782771" w:rsidR="00442CD6">
        <w:t>Sections 1926.652(b</w:t>
      </w:r>
      <w:proofErr w:type="gramStart"/>
      <w:r w:rsidRPr="00782771" w:rsidR="00442CD6">
        <w:t>)(</w:t>
      </w:r>
      <w:proofErr w:type="gramEnd"/>
      <w:r w:rsidRPr="00782771" w:rsidR="00442CD6">
        <w:t xml:space="preserve">1) and (2), Options 1 and 2, rely on soil classification in Appendix A and sloping/benching in Appendix B to protect </w:t>
      </w:r>
      <w:r w:rsidRPr="00782771" w:rsidR="00740C5C">
        <w:t>workers</w:t>
      </w:r>
      <w:r w:rsidRPr="00782771" w:rsidR="00442CD6">
        <w:t xml:space="preserve"> in excavations that are 20 feet or less deep. Options 1 and 2 generate</w:t>
      </w:r>
      <w:r w:rsidRPr="002478AC" w:rsidR="00442CD6">
        <w:rPr>
          <w:color w:val="auto"/>
        </w:rPr>
        <w:t xml:space="preserve"> </w:t>
      </w:r>
      <w:r w:rsidRPr="002478AC" w:rsidR="00442CD6">
        <w:rPr>
          <w:color w:val="auto"/>
          <w:u w:val="single"/>
        </w:rPr>
        <w:t>no burden hour</w:t>
      </w:r>
      <w:r w:rsidRPr="002478AC" w:rsidR="00D13FB7">
        <w:rPr>
          <w:color w:val="auto"/>
          <w:u w:val="single"/>
        </w:rPr>
        <w:t>s</w:t>
      </w:r>
      <w:r w:rsidRPr="002478AC" w:rsidR="00442CD6">
        <w:rPr>
          <w:color w:val="auto"/>
        </w:rPr>
        <w:t xml:space="preserve"> </w:t>
      </w:r>
      <w:r w:rsidRPr="002478AC" w:rsidR="00D13FB7">
        <w:rPr>
          <w:color w:val="auto"/>
          <w:u w:val="single"/>
        </w:rPr>
        <w:t xml:space="preserve">and cost </w:t>
      </w:r>
      <w:r w:rsidRPr="002478AC" w:rsidR="00D13FB7">
        <w:rPr>
          <w:color w:val="auto"/>
        </w:rPr>
        <w:lastRenderedPageBreak/>
        <w:t>since</w:t>
      </w:r>
      <w:r w:rsidRPr="002478AC" w:rsidR="00442CD6">
        <w:rPr>
          <w:color w:val="auto"/>
        </w:rPr>
        <w:t xml:space="preserve"> the necessary </w:t>
      </w:r>
      <w:r w:rsidRPr="002478AC" w:rsidR="00AE6CDF">
        <w:rPr>
          <w:color w:val="auto"/>
        </w:rPr>
        <w:t>compliance information</w:t>
      </w:r>
      <w:r w:rsidRPr="002478AC" w:rsidR="00442CD6">
        <w:rPr>
          <w:color w:val="auto"/>
        </w:rPr>
        <w:t xml:space="preserve"> </w:t>
      </w:r>
      <w:r w:rsidRPr="002478AC" w:rsidR="00AE6CDF">
        <w:rPr>
          <w:color w:val="auto"/>
        </w:rPr>
        <w:t>is</w:t>
      </w:r>
      <w:r w:rsidRPr="002478AC" w:rsidR="00442CD6">
        <w:rPr>
          <w:color w:val="auto"/>
        </w:rPr>
        <w:t xml:space="preserve"> included in the </w:t>
      </w:r>
      <w:r w:rsidRPr="002478AC" w:rsidR="00740C5C">
        <w:rPr>
          <w:color w:val="auto"/>
        </w:rPr>
        <w:t>S</w:t>
      </w:r>
      <w:r w:rsidRPr="002478AC" w:rsidR="00442CD6">
        <w:rPr>
          <w:color w:val="auto"/>
        </w:rPr>
        <w:t xml:space="preserve">tandard and appendices. </w:t>
      </w:r>
      <w:r w:rsidRPr="002478AC" w:rsidR="00564447">
        <w:rPr>
          <w:color w:val="auto"/>
        </w:rPr>
        <w:t>Also,</w:t>
      </w:r>
      <w:r w:rsidRPr="002478AC" w:rsidR="003149A0">
        <w:rPr>
          <w:color w:val="auto"/>
        </w:rPr>
        <w:t xml:space="preserve"> i</w:t>
      </w:r>
      <w:r w:rsidRPr="002478AC" w:rsidR="00C47291">
        <w:rPr>
          <w:color w:val="auto"/>
        </w:rPr>
        <w:t>t is worth noting that t</w:t>
      </w:r>
      <w:r w:rsidRPr="002478AC" w:rsidR="00442CD6">
        <w:rPr>
          <w:color w:val="auto"/>
        </w:rPr>
        <w:t xml:space="preserve">here is </w:t>
      </w:r>
      <w:r w:rsidRPr="002478AC" w:rsidR="00442CD6">
        <w:rPr>
          <w:color w:val="auto"/>
          <w:u w:val="single"/>
        </w:rPr>
        <w:t>no express requirement that options 1 and 2 be writ</w:t>
      </w:r>
      <w:r w:rsidRPr="002478AC" w:rsidR="008829CD">
        <w:rPr>
          <w:color w:val="auto"/>
          <w:u w:val="single"/>
        </w:rPr>
        <w:t>te</w:t>
      </w:r>
      <w:r w:rsidRPr="002478AC" w:rsidR="00442CD6">
        <w:rPr>
          <w:color w:val="auto"/>
          <w:u w:val="single"/>
        </w:rPr>
        <w:t>n</w:t>
      </w:r>
      <w:r w:rsidRPr="002478AC" w:rsidR="00C47291">
        <w:rPr>
          <w:color w:val="auto"/>
        </w:rPr>
        <w:t>,</w:t>
      </w:r>
      <w:r w:rsidRPr="002478AC" w:rsidR="008829CD">
        <w:rPr>
          <w:color w:val="auto"/>
        </w:rPr>
        <w:t xml:space="preserve"> be maintained</w:t>
      </w:r>
      <w:r w:rsidRPr="002478AC" w:rsidR="00C47291">
        <w:rPr>
          <w:color w:val="auto"/>
        </w:rPr>
        <w:t xml:space="preserve"> or be made available to the Secretary</w:t>
      </w:r>
      <w:r w:rsidRPr="002478AC" w:rsidR="00442CD6">
        <w:rPr>
          <w:color w:val="auto"/>
        </w:rPr>
        <w:t xml:space="preserve">. </w:t>
      </w:r>
      <w:r w:rsidRPr="002478AC" w:rsidR="009C4ACC">
        <w:rPr>
          <w:color w:val="auto"/>
        </w:rPr>
        <w:t>Section 1926.65</w:t>
      </w:r>
      <w:r w:rsidRPr="00782771" w:rsidR="009C4ACC">
        <w:t>2 (b) (3), Option 3, allows benching/sloping systems “…using other tabulated data….” and §1926.652(b</w:t>
      </w:r>
      <w:proofErr w:type="gramStart"/>
      <w:r w:rsidRPr="00782771" w:rsidR="009C4ACC">
        <w:t>)(</w:t>
      </w:r>
      <w:proofErr w:type="gramEnd"/>
      <w:r w:rsidRPr="00782771" w:rsidR="009C4ACC">
        <w:t xml:space="preserve">4), Option 4, allows systems based on written designs with registered professional engineer approval. </w:t>
      </w:r>
      <w:r w:rsidRPr="00782771" w:rsidR="00C62545">
        <w:t xml:space="preserve">These </w:t>
      </w:r>
      <w:r w:rsidRPr="00782771" w:rsidR="00C44990">
        <w:t xml:space="preserve">last </w:t>
      </w:r>
      <w:r w:rsidRPr="00782771" w:rsidR="00C62545">
        <w:t xml:space="preserve">two options </w:t>
      </w:r>
      <w:r w:rsidRPr="00782771" w:rsidR="002A5F62">
        <w:t xml:space="preserve">require </w:t>
      </w:r>
      <w:r w:rsidRPr="00782771" w:rsidR="00BC5315">
        <w:t xml:space="preserve">a </w:t>
      </w:r>
      <w:r w:rsidRPr="00782771" w:rsidR="002A5F62">
        <w:t>written form,</w:t>
      </w:r>
      <w:r w:rsidRPr="00782771" w:rsidR="00D13FB7">
        <w:t xml:space="preserve"> </w:t>
      </w:r>
      <w:r w:rsidRPr="00782771" w:rsidR="00BC5315">
        <w:t xml:space="preserve">document </w:t>
      </w:r>
      <w:r w:rsidRPr="00782771" w:rsidR="002A5F62">
        <w:t>maintenance</w:t>
      </w:r>
      <w:r w:rsidRPr="00782771" w:rsidR="00C62545">
        <w:t xml:space="preserve">, and </w:t>
      </w:r>
      <w:r w:rsidRPr="00782771" w:rsidR="00BC5315">
        <w:t xml:space="preserve">document </w:t>
      </w:r>
      <w:r w:rsidRPr="00782771" w:rsidR="00C62545">
        <w:t>retrieval</w:t>
      </w:r>
      <w:r w:rsidRPr="00782771" w:rsidR="002A5F62">
        <w:t xml:space="preserve"> </w:t>
      </w:r>
      <w:r w:rsidRPr="00782771" w:rsidR="00BC5315">
        <w:t>for the Secretary</w:t>
      </w:r>
      <w:r w:rsidRPr="00782771" w:rsidR="00E12973">
        <w:t>. (§</w:t>
      </w:r>
      <w:r w:rsidRPr="00782771" w:rsidR="009E2C95">
        <w:t>§</w:t>
      </w:r>
      <w:r w:rsidRPr="00782771" w:rsidR="00E12973">
        <w:t>1926.652(b</w:t>
      </w:r>
      <w:proofErr w:type="gramStart"/>
      <w:r w:rsidRPr="00782771" w:rsidR="00E12973">
        <w:t>)(</w:t>
      </w:r>
      <w:proofErr w:type="gramEnd"/>
      <w:r w:rsidRPr="00782771" w:rsidR="00E12973">
        <w:t>3)</w:t>
      </w:r>
      <w:r w:rsidRPr="00782771" w:rsidR="008829CD">
        <w:t>(ii)</w:t>
      </w:r>
      <w:r w:rsidRPr="00782771" w:rsidR="009F5809">
        <w:t xml:space="preserve"> and (iii)</w:t>
      </w:r>
      <w:r w:rsidRPr="00782771" w:rsidR="00E12973">
        <w:t xml:space="preserve"> </w:t>
      </w:r>
      <w:r w:rsidRPr="00782771" w:rsidR="009F5809">
        <w:t>as well</w:t>
      </w:r>
      <w:r w:rsidRPr="00782771" w:rsidR="00BC5315">
        <w:t xml:space="preserve"> a</w:t>
      </w:r>
      <w:r w:rsidRPr="00782771" w:rsidR="009F5809">
        <w:t>s</w:t>
      </w:r>
      <w:r w:rsidRPr="00782771" w:rsidR="00E12973">
        <w:t xml:space="preserve"> (b)(4)</w:t>
      </w:r>
      <w:r w:rsidRPr="00782771" w:rsidR="009F5809">
        <w:t xml:space="preserve">(ii) and </w:t>
      </w:r>
      <w:r w:rsidRPr="00782771" w:rsidR="00E12973">
        <w:t>(iii)).</w:t>
      </w:r>
      <w:r w:rsidRPr="00782771" w:rsidR="00C62545">
        <w:t xml:space="preserve"> </w:t>
      </w:r>
    </w:p>
    <w:p w:rsidRPr="00782771" w:rsidR="00065656" w:rsidP="00720AAD" w:rsidRDefault="00065656" w14:paraId="627176DE" w14:textId="77777777">
      <w:pPr>
        <w:pStyle w:val="Default"/>
      </w:pPr>
    </w:p>
    <w:p w:rsidRPr="00782771" w:rsidR="00FC08D4" w:rsidP="00720AAD" w:rsidRDefault="00B06383" w14:paraId="35EA0A93" w14:textId="77777777">
      <w:pPr>
        <w:pStyle w:val="Default"/>
      </w:pPr>
      <w:r w:rsidRPr="00782771">
        <w:t>Section 1926.652(</w:t>
      </w:r>
      <w:r w:rsidRPr="00782771" w:rsidR="00065656">
        <w:t>c</w:t>
      </w:r>
      <w:r w:rsidRPr="00782771">
        <w:t>)</w:t>
      </w:r>
      <w:r w:rsidRPr="00782771" w:rsidR="00065656">
        <w:t xml:space="preserve"> specifies allowable </w:t>
      </w:r>
      <w:r w:rsidRPr="00782771" w:rsidR="005948BC">
        <w:t>criteria</w:t>
      </w:r>
      <w:r w:rsidRPr="00782771" w:rsidR="00065656">
        <w:t xml:space="preserve"> </w:t>
      </w:r>
      <w:r w:rsidRPr="00782771" w:rsidR="005948BC">
        <w:t>f</w:t>
      </w:r>
      <w:r w:rsidRPr="00782771" w:rsidR="00065656">
        <w:t xml:space="preserve">or </w:t>
      </w:r>
      <w:r w:rsidRPr="00782771" w:rsidR="005948BC">
        <w:t xml:space="preserve">excavation </w:t>
      </w:r>
      <w:r w:rsidRPr="00782771" w:rsidR="00C40A9D">
        <w:t>“</w:t>
      </w:r>
      <w:r w:rsidRPr="00782771" w:rsidR="007E0909">
        <w:t>support systems, shield systems and other protective systems</w:t>
      </w:r>
      <w:r w:rsidRPr="00782771" w:rsidR="00C40A9D">
        <w:t>”</w:t>
      </w:r>
      <w:r w:rsidRPr="00782771" w:rsidR="007E0909">
        <w:t xml:space="preserve">. </w:t>
      </w:r>
      <w:r w:rsidRPr="00782771" w:rsidR="006C4241">
        <w:t xml:space="preserve">This section </w:t>
      </w:r>
      <w:r w:rsidRPr="00782771" w:rsidR="00EC07D3">
        <w:t xml:space="preserve">also </w:t>
      </w:r>
      <w:r w:rsidRPr="00782771" w:rsidR="006C4241">
        <w:t xml:space="preserve">provides </w:t>
      </w:r>
      <w:r w:rsidRPr="00782771" w:rsidR="001017DA">
        <w:t xml:space="preserve">four </w:t>
      </w:r>
      <w:r w:rsidRPr="00782771" w:rsidR="006C4241">
        <w:t xml:space="preserve">options and references </w:t>
      </w:r>
      <w:r w:rsidRPr="00782771" w:rsidR="00EC07D3">
        <w:t xml:space="preserve">the </w:t>
      </w:r>
      <w:r w:rsidRPr="00782771" w:rsidR="006C4241">
        <w:t xml:space="preserve">appendices for information </w:t>
      </w:r>
      <w:r w:rsidRPr="00782771" w:rsidR="000B6ADC">
        <w:t xml:space="preserve">that </w:t>
      </w:r>
      <w:r w:rsidRPr="00782771" w:rsidR="006C4241">
        <w:t>assist</w:t>
      </w:r>
      <w:r w:rsidRPr="00782771" w:rsidR="000B6ADC">
        <w:t>s</w:t>
      </w:r>
      <w:r w:rsidRPr="00782771" w:rsidR="006C4241">
        <w:t xml:space="preserve"> excavation contractors </w:t>
      </w:r>
      <w:r w:rsidRPr="00782771" w:rsidR="000B6ADC">
        <w:t xml:space="preserve">to </w:t>
      </w:r>
      <w:r w:rsidRPr="00782771" w:rsidR="006C4241">
        <w:t>select suitabl</w:t>
      </w:r>
      <w:r w:rsidRPr="00782771" w:rsidR="001017DA">
        <w:t>e</w:t>
      </w:r>
      <w:r w:rsidRPr="00782771" w:rsidR="006C4241">
        <w:t xml:space="preserve"> </w:t>
      </w:r>
      <w:r w:rsidRPr="00782771" w:rsidR="00EC07D3">
        <w:t>systems for their projects.</w:t>
      </w:r>
      <w:r w:rsidRPr="00782771" w:rsidR="009B0EB2">
        <w:t xml:space="preserve"> </w:t>
      </w:r>
      <w:r w:rsidRPr="00782771" w:rsidR="00341162">
        <w:t>Option 1, §1926.652(c</w:t>
      </w:r>
      <w:proofErr w:type="gramStart"/>
      <w:r w:rsidRPr="00782771" w:rsidR="00341162">
        <w:t>)(</w:t>
      </w:r>
      <w:proofErr w:type="gramEnd"/>
      <w:r w:rsidRPr="00782771" w:rsidR="00341162">
        <w:t>1)</w:t>
      </w:r>
      <w:r w:rsidRPr="00782771" w:rsidR="00BE0D3F">
        <w:t>,</w:t>
      </w:r>
      <w:r w:rsidRPr="00782771" w:rsidR="00341162">
        <w:t xml:space="preserve"> requires”[d]</w:t>
      </w:r>
      <w:proofErr w:type="spellStart"/>
      <w:r w:rsidRPr="00782771" w:rsidR="00341162">
        <w:t>esign</w:t>
      </w:r>
      <w:proofErr w:type="spellEnd"/>
      <w:r w:rsidRPr="00782771" w:rsidR="00341162">
        <w:t xml:space="preserve"> for timber shoring in trenches [to] be determined [according to appendices A, C, and D]</w:t>
      </w:r>
      <w:r w:rsidRPr="00782771" w:rsidR="00BE0D3F">
        <w:t>.  Option 2</w:t>
      </w:r>
      <w:r w:rsidRPr="00782771" w:rsidR="00D36ABB">
        <w:t xml:space="preserve"> in</w:t>
      </w:r>
      <w:r w:rsidRPr="00782771" w:rsidR="00BE0D3F">
        <w:t xml:space="preserve"> §</w:t>
      </w:r>
      <w:r w:rsidRPr="00782771" w:rsidR="00F34215">
        <w:t>1926.652(c</w:t>
      </w:r>
      <w:proofErr w:type="gramStart"/>
      <w:r w:rsidRPr="00782771" w:rsidR="00F34215">
        <w:t>)(</w:t>
      </w:r>
      <w:proofErr w:type="gramEnd"/>
      <w:r w:rsidRPr="00782771" w:rsidR="00687971">
        <w:t>2</w:t>
      </w:r>
      <w:r w:rsidRPr="00782771" w:rsidR="00F34215">
        <w:t>)</w:t>
      </w:r>
      <w:r w:rsidRPr="00782771" w:rsidR="00D36ABB">
        <w:t>(iii)</w:t>
      </w:r>
      <w:r w:rsidRPr="00782771" w:rsidR="00F34215">
        <w:t xml:space="preserve"> </w:t>
      </w:r>
      <w:r w:rsidRPr="00782771" w:rsidR="00F208BC">
        <w:t xml:space="preserve">requires </w:t>
      </w:r>
      <w:r w:rsidRPr="00782771" w:rsidR="00A77273">
        <w:t xml:space="preserve">that </w:t>
      </w:r>
      <w:r w:rsidRPr="00782771" w:rsidR="00F208BC">
        <w:t>“[m]</w:t>
      </w:r>
      <w:proofErr w:type="spellStart"/>
      <w:r w:rsidRPr="00782771" w:rsidR="00F208BC">
        <w:t>anufacturer’s</w:t>
      </w:r>
      <w:proofErr w:type="spellEnd"/>
      <w:r w:rsidRPr="00782771" w:rsidR="00F208BC">
        <w:t xml:space="preserve"> specifications, recommendations, and limitations, and </w:t>
      </w:r>
      <w:r w:rsidRPr="00782771" w:rsidR="00D36ABB">
        <w:t xml:space="preserve">manufacturer’s </w:t>
      </w:r>
      <w:r w:rsidRPr="00782771" w:rsidR="00F208BC">
        <w:t xml:space="preserve">approval </w:t>
      </w:r>
      <w:r w:rsidRPr="00782771" w:rsidR="00C40A9D">
        <w:t xml:space="preserve">to deviate from [them] </w:t>
      </w:r>
      <w:r w:rsidRPr="00782771" w:rsidR="00D36ABB">
        <w:t xml:space="preserve">shall </w:t>
      </w:r>
      <w:r w:rsidRPr="00782771" w:rsidR="00C40A9D">
        <w:t xml:space="preserve">be in written form.” </w:t>
      </w:r>
      <w:r w:rsidRPr="00782771" w:rsidR="00D36ABB">
        <w:t xml:space="preserve">Option 3, </w:t>
      </w:r>
      <w:r w:rsidRPr="00782771" w:rsidR="006A1630">
        <w:t>§</w:t>
      </w:r>
      <w:r w:rsidRPr="00782771" w:rsidR="009B0EB2">
        <w:t>1926.652(c</w:t>
      </w:r>
      <w:proofErr w:type="gramStart"/>
      <w:r w:rsidRPr="00782771" w:rsidR="009B0EB2">
        <w:t>)(</w:t>
      </w:r>
      <w:proofErr w:type="gramEnd"/>
      <w:r w:rsidRPr="00782771" w:rsidR="009B0EB2">
        <w:t>3), allows</w:t>
      </w:r>
      <w:r w:rsidRPr="00782771" w:rsidR="00371443">
        <w:t xml:space="preserve"> the use of support, shield, or other protective systems based on “[…] other tabulated data.” </w:t>
      </w:r>
      <w:r w:rsidRPr="00782771" w:rsidR="006A1630">
        <w:t>Option 4,</w:t>
      </w:r>
    </w:p>
    <w:p w:rsidRPr="00782771" w:rsidR="00CB1DCA" w:rsidP="00720AAD" w:rsidRDefault="006A1630" w14:paraId="6EA480C4" w14:textId="7A87BA67">
      <w:pPr>
        <w:pStyle w:val="Default"/>
      </w:pPr>
      <w:r w:rsidRPr="00782771">
        <w:t>§</w:t>
      </w:r>
      <w:r w:rsidRPr="00782771" w:rsidR="00371443">
        <w:t>1926.652(c</w:t>
      </w:r>
      <w:proofErr w:type="gramStart"/>
      <w:r w:rsidRPr="00782771" w:rsidR="00371443">
        <w:t>)(</w:t>
      </w:r>
      <w:proofErr w:type="gramEnd"/>
      <w:r w:rsidRPr="00782771" w:rsidR="00371443">
        <w:t>4), Option 4, allows the use of such systems based</w:t>
      </w:r>
      <w:r w:rsidRPr="00782771" w:rsidR="00D90BD0">
        <w:t xml:space="preserve"> on written designs with registered professional engineer approval.</w:t>
      </w:r>
      <w:r w:rsidRPr="00782771" w:rsidR="009B0EB2">
        <w:t xml:space="preserve"> </w:t>
      </w:r>
      <w:r w:rsidRPr="00782771" w:rsidR="00322A56">
        <w:t>Options 2, 3, and 4 c</w:t>
      </w:r>
      <w:r w:rsidRPr="00782771">
        <w:t>reate</w:t>
      </w:r>
      <w:r w:rsidRPr="00782771" w:rsidR="00E12973">
        <w:t xml:space="preserve"> burden </w:t>
      </w:r>
      <w:r w:rsidRPr="00782771" w:rsidR="00D13FB7">
        <w:t xml:space="preserve">hours and </w:t>
      </w:r>
      <w:r w:rsidRPr="00782771" w:rsidR="00E12973">
        <w:t>cost</w:t>
      </w:r>
      <w:r w:rsidRPr="00782771">
        <w:t>s</w:t>
      </w:r>
      <w:r w:rsidRPr="00782771" w:rsidR="00E12973">
        <w:t xml:space="preserve"> for </w:t>
      </w:r>
      <w:r w:rsidRPr="00782771" w:rsidR="00661100">
        <w:t>being written, maintained</w:t>
      </w:r>
      <w:r w:rsidRPr="00782771" w:rsidR="00E12973">
        <w:t xml:space="preserve">, and </w:t>
      </w:r>
      <w:r w:rsidRPr="00782771" w:rsidR="00661100">
        <w:t>retrieved.</w:t>
      </w:r>
      <w:r w:rsidRPr="00782771" w:rsidR="00E12973">
        <w:t xml:space="preserve"> </w:t>
      </w:r>
      <w:r w:rsidRPr="00782771">
        <w:t>“</w:t>
      </w:r>
      <w:r w:rsidRPr="00782771" w:rsidR="00CB1DCA">
        <w:t xml:space="preserve">At </w:t>
      </w:r>
      <w:r w:rsidRPr="00782771" w:rsidR="00E12973">
        <w:t>least one copy of each is to be stored on site during excavation</w:t>
      </w:r>
      <w:r w:rsidRPr="00782771" w:rsidR="00F34215">
        <w:t xml:space="preserve"> and off site after for retrieval pursuant to the Secretary’s request</w:t>
      </w:r>
      <w:r w:rsidRPr="00782771">
        <w:t>”</w:t>
      </w:r>
      <w:r w:rsidRPr="00782771" w:rsidR="00E12973">
        <w:t xml:space="preserve"> (§</w:t>
      </w:r>
      <w:r w:rsidRPr="00782771" w:rsidR="009E2C95">
        <w:t>§</w:t>
      </w:r>
      <w:r w:rsidRPr="00782771" w:rsidR="00E12973">
        <w:t>1926.652</w:t>
      </w:r>
      <w:r w:rsidRPr="00782771" w:rsidR="008A6CEF">
        <w:t>(c</w:t>
      </w:r>
      <w:proofErr w:type="gramStart"/>
      <w:r w:rsidRPr="00782771" w:rsidR="008A6CEF">
        <w:t>)(</w:t>
      </w:r>
      <w:proofErr w:type="gramEnd"/>
      <w:r w:rsidRPr="00782771" w:rsidR="008A6CEF">
        <w:t>2)(iii),</w:t>
      </w:r>
      <w:r w:rsidRPr="00782771" w:rsidR="009E2C95">
        <w:t xml:space="preserve"> </w:t>
      </w:r>
      <w:r w:rsidRPr="00782771" w:rsidR="00E12973">
        <w:t>(c)(3)</w:t>
      </w:r>
      <w:r w:rsidRPr="00782771" w:rsidR="008A6CEF">
        <w:t>(iii),</w:t>
      </w:r>
      <w:r w:rsidRPr="00782771" w:rsidR="00E12973">
        <w:t xml:space="preserve"> and (c)(4)(iii)).</w:t>
      </w:r>
      <w:r w:rsidRPr="00782771" w:rsidR="001134F1">
        <w:t xml:space="preserve"> </w:t>
      </w:r>
    </w:p>
    <w:p w:rsidRPr="00782771" w:rsidR="001D6596" w:rsidP="00720AAD" w:rsidRDefault="001D6596" w14:paraId="37ECD777" w14:textId="77777777">
      <w:pPr>
        <w:pStyle w:val="Default"/>
      </w:pPr>
    </w:p>
    <w:p w:rsidRPr="00782771" w:rsidR="007941BD" w:rsidP="007941BD" w:rsidRDefault="007941BD" w14:paraId="1412B83D" w14:textId="77777777">
      <w:pPr>
        <w:pStyle w:val="Default"/>
      </w:pPr>
      <w:r w:rsidRPr="00782771">
        <w:t>Section 1926.652(d</w:t>
      </w:r>
      <w:proofErr w:type="gramStart"/>
      <w:r w:rsidRPr="00782771">
        <w:t>)</w:t>
      </w:r>
      <w:r w:rsidRPr="00782771" w:rsidR="00CB02A0">
        <w:t>(</w:t>
      </w:r>
      <w:proofErr w:type="gramEnd"/>
      <w:r w:rsidRPr="00782771" w:rsidR="00CB02A0">
        <w:t>3)</w:t>
      </w:r>
      <w:r w:rsidRPr="00782771">
        <w:t xml:space="preserve"> requires that in certain circumstances damaged material or equipment used for protective systems must be “…removed from service</w:t>
      </w:r>
      <w:r w:rsidRPr="00782771" w:rsidR="00CB02A0">
        <w:t>,</w:t>
      </w:r>
      <w:r w:rsidRPr="00782771">
        <w:t xml:space="preserve"> and [must] be evaluated and approved by a registered professional engineer before being returned to service.”</w:t>
      </w:r>
      <w:r w:rsidRPr="00782771" w:rsidR="000C05CF">
        <w:t xml:space="preserve"> There is no </w:t>
      </w:r>
      <w:r w:rsidRPr="00782771" w:rsidR="00CB02A0">
        <w:t xml:space="preserve">express </w:t>
      </w:r>
      <w:r w:rsidRPr="00782771" w:rsidR="000C05CF">
        <w:t xml:space="preserve">requirement that the approval be </w:t>
      </w:r>
      <w:r w:rsidRPr="00782771" w:rsidR="00CB02A0">
        <w:t>written, maintained, or retrieved for the Secretary</w:t>
      </w:r>
      <w:r w:rsidRPr="00782771" w:rsidR="000C05CF">
        <w:t>, but usually and customarily</w:t>
      </w:r>
      <w:r w:rsidRPr="00782771" w:rsidR="00BD3115">
        <w:t>,</w:t>
      </w:r>
      <w:r w:rsidRPr="00782771" w:rsidR="000C05CF">
        <w:t xml:space="preserve"> the engineer will certify approval in writing. To be conservative</w:t>
      </w:r>
      <w:r w:rsidRPr="00782771" w:rsidR="00BD3115">
        <w:t>,</w:t>
      </w:r>
      <w:r w:rsidRPr="00782771" w:rsidR="000C05CF">
        <w:t xml:space="preserve"> the Agency will take a </w:t>
      </w:r>
      <w:r w:rsidRPr="00782771" w:rsidR="007263BC">
        <w:t xml:space="preserve">small </w:t>
      </w:r>
      <w:r w:rsidRPr="00782771" w:rsidR="000C05CF">
        <w:t>burden hour</w:t>
      </w:r>
      <w:r w:rsidRPr="00782771" w:rsidR="00B02A7C">
        <w:t xml:space="preserve"> </w:t>
      </w:r>
      <w:r w:rsidRPr="00782771" w:rsidR="000C05CF">
        <w:t xml:space="preserve">charge for </w:t>
      </w:r>
      <w:r w:rsidRPr="00782771" w:rsidR="009B0EB2">
        <w:t>requiring</w:t>
      </w:r>
      <w:r w:rsidRPr="00782771" w:rsidR="000C05CF">
        <w:t xml:space="preserve"> the approval.</w:t>
      </w:r>
    </w:p>
    <w:p w:rsidRPr="00782771" w:rsidR="006865B3" w:rsidP="00534F8D" w:rsidRDefault="006865B3" w14:paraId="2D32C4FE" w14:textId="77777777">
      <w:pPr>
        <w:rPr>
          <w:bCs/>
        </w:rPr>
      </w:pPr>
    </w:p>
    <w:p w:rsidRPr="00782771" w:rsidR="009E2C95" w:rsidP="006865B3" w:rsidRDefault="006865B3" w14:paraId="0FBC0D08" w14:textId="77777777">
      <w:pPr>
        <w:rPr>
          <w:bCs/>
        </w:rPr>
      </w:pPr>
      <w:r w:rsidRPr="00782771">
        <w:rPr>
          <w:bCs/>
        </w:rPr>
        <w:t>While each excavation project is unique, most employers</w:t>
      </w:r>
      <w:r w:rsidRPr="00782771" w:rsidR="00B02A7C">
        <w:rPr>
          <w:bCs/>
        </w:rPr>
        <w:t>/contractors</w:t>
      </w:r>
      <w:r w:rsidRPr="00782771">
        <w:rPr>
          <w:bCs/>
        </w:rPr>
        <w:t xml:space="preserve"> can use either Option 1 or 2 </w:t>
      </w:r>
      <w:r w:rsidRPr="00782771" w:rsidR="00C23C4D">
        <w:rPr>
          <w:bCs/>
        </w:rPr>
        <w:t xml:space="preserve">from </w:t>
      </w:r>
      <w:r w:rsidRPr="00782771" w:rsidR="006D6518">
        <w:rPr>
          <w:bCs/>
        </w:rPr>
        <w:t>§</w:t>
      </w:r>
      <w:r w:rsidRPr="00782771" w:rsidR="009E2C95">
        <w:t>§</w:t>
      </w:r>
      <w:r w:rsidRPr="00782771" w:rsidR="00C23C4D">
        <w:rPr>
          <w:bCs/>
        </w:rPr>
        <w:t xml:space="preserve">1926.652(b) </w:t>
      </w:r>
      <w:r w:rsidRPr="00782771" w:rsidR="006625A6">
        <w:rPr>
          <w:bCs/>
        </w:rPr>
        <w:t xml:space="preserve">or (c) </w:t>
      </w:r>
      <w:r w:rsidRPr="00782771">
        <w:rPr>
          <w:bCs/>
        </w:rPr>
        <w:t>to design and use protective systems</w:t>
      </w:r>
      <w:r w:rsidRPr="00782771" w:rsidR="00C23C4D">
        <w:rPr>
          <w:bCs/>
        </w:rPr>
        <w:t xml:space="preserve"> without deviatin</w:t>
      </w:r>
      <w:r w:rsidRPr="00782771" w:rsidR="00817461">
        <w:rPr>
          <w:bCs/>
        </w:rPr>
        <w:t>g</w:t>
      </w:r>
      <w:r w:rsidRPr="00782771" w:rsidR="006625A6">
        <w:rPr>
          <w:bCs/>
        </w:rPr>
        <w:t xml:space="preserve"> from manufacturers’ specifications</w:t>
      </w:r>
      <w:r w:rsidRPr="00782771" w:rsidR="00593439">
        <w:rPr>
          <w:bCs/>
        </w:rPr>
        <w:t>, recommendations, and limitations</w:t>
      </w:r>
      <w:r w:rsidRPr="00782771">
        <w:rPr>
          <w:bCs/>
        </w:rPr>
        <w:t xml:space="preserve">.  </w:t>
      </w:r>
      <w:r w:rsidRPr="00782771" w:rsidR="002C425C">
        <w:rPr>
          <w:bCs/>
        </w:rPr>
        <w:t>Option 2</w:t>
      </w:r>
      <w:r w:rsidRPr="00782771" w:rsidR="00BD3115">
        <w:rPr>
          <w:bCs/>
        </w:rPr>
        <w:t>,</w:t>
      </w:r>
      <w:r w:rsidRPr="00782771" w:rsidR="002C425C">
        <w:rPr>
          <w:bCs/>
        </w:rPr>
        <w:t xml:space="preserve"> paragraph (iii) of</w:t>
      </w:r>
    </w:p>
    <w:p w:rsidRPr="00782771" w:rsidR="006865B3" w:rsidP="006865B3" w:rsidRDefault="000E1EDC" w14:paraId="3C4CADB2" w14:textId="77777777">
      <w:pPr>
        <w:rPr>
          <w:bCs/>
        </w:rPr>
      </w:pPr>
      <w:r w:rsidRPr="00782771">
        <w:rPr>
          <w:bCs/>
        </w:rPr>
        <w:t xml:space="preserve"> §</w:t>
      </w:r>
      <w:r w:rsidRPr="00782771" w:rsidR="002C425C">
        <w:rPr>
          <w:bCs/>
        </w:rPr>
        <w:t>1926.652(c)(2)</w:t>
      </w:r>
      <w:r w:rsidRPr="00782771" w:rsidR="00BD3115">
        <w:rPr>
          <w:bCs/>
        </w:rPr>
        <w:t>,</w:t>
      </w:r>
      <w:r w:rsidRPr="00782771" w:rsidR="00464C85">
        <w:rPr>
          <w:bCs/>
        </w:rPr>
        <w:t xml:space="preserve"> as well as</w:t>
      </w:r>
      <w:r w:rsidRPr="00782771" w:rsidR="002C425C">
        <w:rPr>
          <w:bCs/>
        </w:rPr>
        <w:t xml:space="preserve"> </w:t>
      </w:r>
      <w:r w:rsidRPr="00782771" w:rsidR="006865B3">
        <w:rPr>
          <w:bCs/>
        </w:rPr>
        <w:t xml:space="preserve">Options 3 and 4 </w:t>
      </w:r>
      <w:r w:rsidRPr="00782771" w:rsidR="006625A6">
        <w:rPr>
          <w:bCs/>
        </w:rPr>
        <w:t>of both</w:t>
      </w:r>
      <w:r w:rsidRPr="00782771" w:rsidR="001C4D35">
        <w:rPr>
          <w:bCs/>
        </w:rPr>
        <w:t>,</w:t>
      </w:r>
      <w:r w:rsidRPr="00782771" w:rsidR="006625A6">
        <w:rPr>
          <w:bCs/>
        </w:rPr>
        <w:t xml:space="preserve"> sections </w:t>
      </w:r>
      <w:r w:rsidRPr="00782771" w:rsidR="001C4D35">
        <w:rPr>
          <w:bCs/>
        </w:rPr>
        <w:t xml:space="preserve">1926.652(b) and (c), </w:t>
      </w:r>
      <w:r w:rsidRPr="00782771" w:rsidR="00BD3115">
        <w:rPr>
          <w:bCs/>
        </w:rPr>
        <w:t>a</w:t>
      </w:r>
      <w:r w:rsidRPr="00782771" w:rsidR="00A00E08">
        <w:rPr>
          <w:bCs/>
        </w:rPr>
        <w:t>ffect</w:t>
      </w:r>
      <w:r w:rsidRPr="00782771" w:rsidR="006865B3">
        <w:rPr>
          <w:bCs/>
        </w:rPr>
        <w:t xml:space="preserve"> the small percentage of </w:t>
      </w:r>
      <w:r w:rsidRPr="00782771" w:rsidR="00B02A7C">
        <w:rPr>
          <w:bCs/>
        </w:rPr>
        <w:t xml:space="preserve">construction </w:t>
      </w:r>
      <w:r w:rsidRPr="00782771" w:rsidR="006865B3">
        <w:rPr>
          <w:bCs/>
        </w:rPr>
        <w:t xml:space="preserve">sites that may have unique situations </w:t>
      </w:r>
      <w:r w:rsidRPr="00782771" w:rsidR="00464C85">
        <w:rPr>
          <w:bCs/>
        </w:rPr>
        <w:t xml:space="preserve">requiring </w:t>
      </w:r>
      <w:r w:rsidRPr="00782771" w:rsidR="001C4D35">
        <w:rPr>
          <w:bCs/>
        </w:rPr>
        <w:t xml:space="preserve">protective system use that generates </w:t>
      </w:r>
      <w:r w:rsidRPr="00782771" w:rsidR="00464C85">
        <w:rPr>
          <w:bCs/>
        </w:rPr>
        <w:t xml:space="preserve">paperwork burdens. The circumstances include the </w:t>
      </w:r>
      <w:r w:rsidRPr="00782771" w:rsidR="00A00E08">
        <w:rPr>
          <w:bCs/>
        </w:rPr>
        <w:t xml:space="preserve">project </w:t>
      </w:r>
      <w:r w:rsidRPr="00782771" w:rsidR="006865B3">
        <w:rPr>
          <w:bCs/>
        </w:rPr>
        <w:t xml:space="preserve">size, </w:t>
      </w:r>
      <w:r w:rsidRPr="00782771" w:rsidR="00B02A7C">
        <w:rPr>
          <w:bCs/>
        </w:rPr>
        <w:t xml:space="preserve">its </w:t>
      </w:r>
      <w:r w:rsidRPr="00782771" w:rsidR="006865B3">
        <w:rPr>
          <w:bCs/>
        </w:rPr>
        <w:t>configuration,</w:t>
      </w:r>
      <w:r w:rsidRPr="00782771" w:rsidR="00F97085">
        <w:rPr>
          <w:bCs/>
        </w:rPr>
        <w:t xml:space="preserve"> </w:t>
      </w:r>
      <w:r w:rsidRPr="00782771" w:rsidR="006625A6">
        <w:rPr>
          <w:bCs/>
        </w:rPr>
        <w:t>its</w:t>
      </w:r>
      <w:r w:rsidRPr="00782771" w:rsidR="006865B3">
        <w:rPr>
          <w:bCs/>
        </w:rPr>
        <w:t xml:space="preserve"> location and </w:t>
      </w:r>
      <w:r w:rsidRPr="00782771" w:rsidR="00A00E08">
        <w:rPr>
          <w:bCs/>
        </w:rPr>
        <w:t xml:space="preserve">its </w:t>
      </w:r>
      <w:r w:rsidRPr="00782771" w:rsidR="00757F09">
        <w:rPr>
          <w:bCs/>
        </w:rPr>
        <w:t xml:space="preserve">environment (weather, vibration, </w:t>
      </w:r>
      <w:r w:rsidRPr="00782771" w:rsidR="009D6EAB">
        <w:rPr>
          <w:bCs/>
        </w:rPr>
        <w:t xml:space="preserve">water, </w:t>
      </w:r>
      <w:r w:rsidRPr="00782771" w:rsidR="007263BC">
        <w:rPr>
          <w:bCs/>
        </w:rPr>
        <w:t xml:space="preserve">previous </w:t>
      </w:r>
      <w:r w:rsidRPr="00782771" w:rsidR="00875138">
        <w:rPr>
          <w:bCs/>
        </w:rPr>
        <w:t>use</w:t>
      </w:r>
      <w:r w:rsidRPr="00782771" w:rsidR="009D6EAB">
        <w:rPr>
          <w:bCs/>
        </w:rPr>
        <w:t>, etc.</w:t>
      </w:r>
      <w:r w:rsidRPr="00782771" w:rsidR="00BD3115">
        <w:rPr>
          <w:bCs/>
        </w:rPr>
        <w:t>,</w:t>
      </w:r>
      <w:r w:rsidRPr="00782771" w:rsidR="002643A8">
        <w:rPr>
          <w:bCs/>
        </w:rPr>
        <w:t xml:space="preserve"> for example</w:t>
      </w:r>
      <w:r w:rsidRPr="00782771" w:rsidR="009D6EAB">
        <w:rPr>
          <w:bCs/>
        </w:rPr>
        <w:t>)</w:t>
      </w:r>
      <w:r w:rsidRPr="00782771" w:rsidR="006865B3">
        <w:rPr>
          <w:bCs/>
        </w:rPr>
        <w:t>.</w:t>
      </w:r>
    </w:p>
    <w:p w:rsidRPr="00782771" w:rsidR="006865B3" w:rsidP="006865B3" w:rsidRDefault="006865B3" w14:paraId="64B04B92" w14:textId="77777777">
      <w:pPr>
        <w:rPr>
          <w:bCs/>
        </w:rPr>
      </w:pPr>
    </w:p>
    <w:p w:rsidRPr="00782771" w:rsidR="006865B3" w:rsidP="0004452D" w:rsidRDefault="00E84F28" w14:paraId="5A500BEF" w14:textId="77777777">
      <w:pPr>
        <w:pStyle w:val="Default"/>
        <w:rPr>
          <w:b/>
          <w:bCs/>
        </w:rPr>
      </w:pPr>
      <w:r w:rsidRPr="00782771">
        <w:rPr>
          <w:b/>
          <w:bCs/>
        </w:rPr>
        <w:t xml:space="preserve">3. </w:t>
      </w:r>
      <w:r w:rsidRPr="00782771" w:rsidR="006865B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 </w:t>
      </w:r>
    </w:p>
    <w:p w:rsidRPr="00782771" w:rsidR="006865B3" w:rsidP="006865B3" w:rsidRDefault="006865B3" w14:paraId="4BE6BF3E" w14:textId="77777777">
      <w:pPr>
        <w:pStyle w:val="Default"/>
        <w:rPr>
          <w:sz w:val="20"/>
          <w:szCs w:val="20"/>
        </w:rPr>
      </w:pPr>
    </w:p>
    <w:p w:rsidRPr="00782771" w:rsidR="006865B3" w:rsidP="006865B3" w:rsidRDefault="006865B3" w14:paraId="6E438B2E" w14:textId="77777777">
      <w:pPr>
        <w:pStyle w:val="Default"/>
      </w:pPr>
      <w:r w:rsidRPr="00782771">
        <w:lastRenderedPageBreak/>
        <w:t xml:space="preserve">Employers may use improved information technology to establish and maintain the required records. The Agency wrote the paperwork requirements of the Standard in performance-oriented language, i.e., in terms of </w:t>
      </w:r>
      <w:r w:rsidRPr="00782771">
        <w:rPr>
          <w:u w:val="single"/>
        </w:rPr>
        <w:t>what</w:t>
      </w:r>
      <w:r w:rsidRPr="00782771">
        <w:t xml:space="preserve"> data to collect, not </w:t>
      </w:r>
      <w:r w:rsidRPr="00782771">
        <w:rPr>
          <w:u w:val="single"/>
        </w:rPr>
        <w:t>how</w:t>
      </w:r>
      <w:r w:rsidRPr="00782771">
        <w:t xml:space="preserve"> to record the data. </w:t>
      </w:r>
    </w:p>
    <w:p w:rsidRPr="00782771" w:rsidR="006865B3" w:rsidP="006865B3" w:rsidRDefault="006865B3" w14:paraId="303F65DD" w14:textId="77777777">
      <w:pPr>
        <w:pStyle w:val="Default"/>
        <w:rPr>
          <w:b/>
          <w:bCs/>
          <w:sz w:val="20"/>
          <w:szCs w:val="20"/>
        </w:rPr>
      </w:pPr>
    </w:p>
    <w:p w:rsidRPr="00782771" w:rsidR="00764D12" w:rsidP="0004452D" w:rsidRDefault="00830506" w14:paraId="0B339665" w14:textId="77777777">
      <w:pPr>
        <w:pStyle w:val="Default"/>
      </w:pPr>
      <w:r w:rsidRPr="00782771">
        <w:rPr>
          <w:b/>
          <w:bCs/>
        </w:rPr>
        <w:t xml:space="preserve">4. </w:t>
      </w:r>
      <w:r w:rsidRPr="00782771" w:rsidR="006865B3">
        <w:rPr>
          <w:b/>
          <w:bCs/>
        </w:rPr>
        <w:t>Describe efforts to identify duplication. Show specifically why any similar information already available cannot be used or modified for use of the purpose described in item A.2</w:t>
      </w:r>
      <w:r w:rsidRPr="00782771" w:rsidR="00C54A50">
        <w:rPr>
          <w:b/>
          <w:bCs/>
        </w:rPr>
        <w:t>.</w:t>
      </w:r>
      <w:r w:rsidRPr="00782771" w:rsidR="006865B3">
        <w:rPr>
          <w:b/>
          <w:bCs/>
        </w:rPr>
        <w:t xml:space="preserve"> </w:t>
      </w:r>
      <w:r w:rsidRPr="00782771" w:rsidR="003930B1">
        <w:rPr>
          <w:b/>
          <w:bCs/>
        </w:rPr>
        <w:t xml:space="preserve"> </w:t>
      </w:r>
      <w:proofErr w:type="gramStart"/>
      <w:r w:rsidRPr="00782771" w:rsidR="006865B3">
        <w:rPr>
          <w:b/>
          <w:bCs/>
        </w:rPr>
        <w:t>above</w:t>
      </w:r>
      <w:proofErr w:type="gramEnd"/>
      <w:r w:rsidRPr="00782771" w:rsidR="006865B3">
        <w:rPr>
          <w:b/>
          <w:bCs/>
        </w:rPr>
        <w:t>.</w:t>
      </w:r>
    </w:p>
    <w:p w:rsidRPr="00782771" w:rsidR="00764D12" w:rsidP="00764D12" w:rsidRDefault="00764D12" w14:paraId="551D62A1" w14:textId="77777777">
      <w:pPr>
        <w:pStyle w:val="Default"/>
      </w:pPr>
    </w:p>
    <w:p w:rsidRPr="00782771" w:rsidR="006865B3" w:rsidP="006865B3" w:rsidRDefault="006865B3" w14:paraId="635D8E55" w14:textId="77777777">
      <w:pPr>
        <w:pStyle w:val="Default"/>
      </w:pPr>
      <w:r w:rsidRPr="00782771">
        <w:t xml:space="preserve">The information collection requirements in the Standard are specific to each employer involved, and no other source or agency duplicates these requirements or can make the required information available to OSHA (i.e., the required information is available only from employers). </w:t>
      </w:r>
    </w:p>
    <w:p w:rsidRPr="00782771" w:rsidR="004B44F4" w:rsidP="006865B3" w:rsidRDefault="004B44F4" w14:paraId="172A3689" w14:textId="77777777">
      <w:pPr>
        <w:pStyle w:val="Default"/>
        <w:rPr>
          <w:b/>
          <w:bCs/>
          <w:sz w:val="20"/>
          <w:szCs w:val="20"/>
        </w:rPr>
      </w:pPr>
    </w:p>
    <w:p w:rsidRPr="00782771" w:rsidR="006865B3" w:rsidP="006865B3" w:rsidRDefault="006865B3" w14:paraId="497AEF93" w14:textId="77777777">
      <w:pPr>
        <w:pStyle w:val="Default"/>
      </w:pPr>
      <w:r w:rsidRPr="00782771">
        <w:rPr>
          <w:b/>
          <w:bCs/>
        </w:rPr>
        <w:t>5. If the collection of information impacts small businesses or other small entities, describe any methods used to reduce the burden</w:t>
      </w:r>
      <w:r w:rsidRPr="00782771">
        <w:t xml:space="preserve">. </w:t>
      </w:r>
    </w:p>
    <w:p w:rsidRPr="00782771" w:rsidR="006865B3" w:rsidP="006865B3" w:rsidRDefault="006865B3" w14:paraId="0C45B106" w14:textId="77777777">
      <w:pPr>
        <w:pStyle w:val="Default"/>
        <w:rPr>
          <w:sz w:val="23"/>
          <w:szCs w:val="23"/>
        </w:rPr>
      </w:pPr>
    </w:p>
    <w:p w:rsidRPr="00782771" w:rsidR="006865B3" w:rsidP="006865B3" w:rsidRDefault="006865B3" w14:paraId="68A4E5C1" w14:textId="77777777">
      <w:pPr>
        <w:pStyle w:val="Default"/>
      </w:pPr>
      <w:r w:rsidRPr="00782771">
        <w:t xml:space="preserve">The information collection requirements specified by </w:t>
      </w:r>
      <w:r w:rsidRPr="00782771" w:rsidR="00712326">
        <w:t>the Standard</w:t>
      </w:r>
      <w:r w:rsidRPr="00782771">
        <w:t xml:space="preserve"> do not have a significant impact on a substantial number of small entities</w:t>
      </w:r>
      <w:r w:rsidRPr="00782771" w:rsidR="00B80BE1">
        <w:t>.</w:t>
      </w:r>
    </w:p>
    <w:p w:rsidRPr="00782771" w:rsidR="006865B3" w:rsidP="006865B3" w:rsidRDefault="006865B3" w14:paraId="190F0E42" w14:textId="77777777">
      <w:pPr>
        <w:pStyle w:val="Default"/>
        <w:rPr>
          <w:b/>
          <w:bCs/>
          <w:sz w:val="20"/>
          <w:szCs w:val="20"/>
        </w:rPr>
      </w:pPr>
    </w:p>
    <w:p w:rsidRPr="00782771" w:rsidR="006865B3" w:rsidP="006865B3" w:rsidRDefault="006865B3" w14:paraId="71A2B817" w14:textId="77777777">
      <w:pPr>
        <w:pStyle w:val="Default"/>
      </w:pPr>
      <w:r w:rsidRPr="00782771">
        <w:rPr>
          <w:b/>
          <w:bCs/>
        </w:rPr>
        <w:t xml:space="preserve">6. Describe the consequence to federal program or policy activities if the collection is not </w:t>
      </w:r>
      <w:r w:rsidRPr="00782771" w:rsidR="00ED20CF">
        <w:rPr>
          <w:b/>
          <w:bCs/>
        </w:rPr>
        <w:t>conducted or</w:t>
      </w:r>
      <w:r w:rsidRPr="00782771">
        <w:rPr>
          <w:b/>
          <w:bCs/>
        </w:rPr>
        <w:t xml:space="preserve"> is conducted less frequently, as </w:t>
      </w:r>
      <w:r w:rsidRPr="00782771" w:rsidR="00ED20CF">
        <w:rPr>
          <w:b/>
          <w:bCs/>
        </w:rPr>
        <w:t>well as</w:t>
      </w:r>
      <w:r w:rsidRPr="00782771">
        <w:rPr>
          <w:b/>
          <w:bCs/>
        </w:rPr>
        <w:t xml:space="preserve"> any technical or legal obstacles to reducing burden. </w:t>
      </w:r>
    </w:p>
    <w:p w:rsidRPr="00782771" w:rsidR="006865B3" w:rsidP="006865B3" w:rsidRDefault="006865B3" w14:paraId="0A7D3A74" w14:textId="77777777">
      <w:pPr>
        <w:pStyle w:val="Default"/>
        <w:rPr>
          <w:sz w:val="23"/>
          <w:szCs w:val="23"/>
        </w:rPr>
      </w:pPr>
    </w:p>
    <w:p w:rsidRPr="00782771" w:rsidR="006865B3" w:rsidP="006865B3" w:rsidRDefault="006865B3" w14:paraId="01381D6E" w14:textId="77777777">
      <w:pPr>
        <w:pStyle w:val="Default"/>
      </w:pPr>
      <w:r w:rsidRPr="00782771">
        <w:t xml:space="preserve">Employers need to comply with each paperwork requirement specified by the Standard only once for each protective system constructed at a jobsite. Any reduction in frequency would eliminate the requirements entirely; thereby, jeopardizing the safety of workers who rely on properly constructed protective systems to prevent cave-ins during excavation work.  The requirement also allows employers and OSHA compliance officers to assess if the selection and design of a protection system are appropriate to the excavation work. </w:t>
      </w:r>
    </w:p>
    <w:p w:rsidRPr="00782771" w:rsidR="006865B3" w:rsidP="006865B3" w:rsidRDefault="006865B3" w14:paraId="60CDBBA8" w14:textId="77777777">
      <w:pPr>
        <w:pStyle w:val="Default"/>
        <w:rPr>
          <w:b/>
          <w:bCs/>
        </w:rPr>
      </w:pPr>
    </w:p>
    <w:p w:rsidRPr="00782771" w:rsidR="006865B3" w:rsidP="006865B3" w:rsidRDefault="006865B3" w14:paraId="4FA50CCD" w14:textId="77777777">
      <w:pPr>
        <w:pStyle w:val="Default"/>
        <w:rPr>
          <w:b/>
          <w:bCs/>
        </w:rPr>
      </w:pPr>
      <w:r w:rsidRPr="00782771">
        <w:rPr>
          <w:b/>
          <w:bCs/>
        </w:rPr>
        <w:t xml:space="preserve">7. Explain any special circumstances that would cause an information collection to be conducted in a manner: </w:t>
      </w:r>
    </w:p>
    <w:p w:rsidRPr="00782771" w:rsidR="006865B3" w:rsidP="006865B3" w:rsidRDefault="006865B3" w14:paraId="09E8E194" w14:textId="77777777">
      <w:pPr>
        <w:pStyle w:val="Default"/>
      </w:pPr>
    </w:p>
    <w:p w:rsidRPr="00782771" w:rsidR="006865B3" w:rsidP="006865B3" w:rsidRDefault="006865B3" w14:paraId="46229AB8" w14:textId="632E3EB3">
      <w:pPr>
        <w:pStyle w:val="Default"/>
        <w:numPr>
          <w:ilvl w:val="0"/>
          <w:numId w:val="7"/>
        </w:numPr>
        <w:tabs>
          <w:tab w:val="clear" w:pos="720"/>
          <w:tab w:val="num" w:pos="360"/>
        </w:tabs>
        <w:spacing w:line="480" w:lineRule="auto"/>
        <w:ind w:hanging="540"/>
      </w:pPr>
      <w:r w:rsidRPr="00782771">
        <w:rPr>
          <w:b/>
          <w:bCs/>
        </w:rPr>
        <w:t>requiring respondents to report information to the agency more often than</w:t>
      </w:r>
      <w:r w:rsidRPr="00782771" w:rsidR="003C34C5">
        <w:rPr>
          <w:b/>
          <w:bCs/>
        </w:rPr>
        <w:t xml:space="preserve"> </w:t>
      </w:r>
      <w:r w:rsidRPr="00782771">
        <w:rPr>
          <w:b/>
          <w:bCs/>
        </w:rPr>
        <w:t xml:space="preserve">quarterly; </w:t>
      </w:r>
    </w:p>
    <w:p w:rsidRPr="00782771" w:rsidR="006865B3" w:rsidP="006865B3" w:rsidRDefault="006865B3" w14:paraId="38966846" w14:textId="77777777">
      <w:pPr>
        <w:pStyle w:val="Default"/>
        <w:numPr>
          <w:ilvl w:val="0"/>
          <w:numId w:val="7"/>
        </w:numPr>
        <w:tabs>
          <w:tab w:val="clear" w:pos="720"/>
          <w:tab w:val="left" w:pos="180"/>
          <w:tab w:val="num" w:pos="360"/>
        </w:tabs>
        <w:ind w:left="360" w:hanging="180"/>
        <w:rPr>
          <w:b/>
          <w:bCs/>
        </w:rPr>
      </w:pPr>
      <w:r w:rsidRPr="00782771">
        <w:rPr>
          <w:b/>
          <w:bCs/>
        </w:rPr>
        <w:t xml:space="preserve">requiring respondents to prepare a written response to a collection of information in fewer than 30 days after receipt of it; </w:t>
      </w:r>
    </w:p>
    <w:p w:rsidRPr="00782771" w:rsidR="006865B3" w:rsidP="006865B3" w:rsidRDefault="006865B3" w14:paraId="7D2B20B0" w14:textId="77777777">
      <w:pPr>
        <w:pStyle w:val="Default"/>
        <w:ind w:left="180"/>
      </w:pPr>
    </w:p>
    <w:p w:rsidRPr="00782771" w:rsidR="00436E1D" w:rsidP="00477CAB" w:rsidRDefault="006865B3" w14:paraId="7A920947" w14:textId="77777777">
      <w:pPr>
        <w:pStyle w:val="Default"/>
        <w:numPr>
          <w:ilvl w:val="0"/>
          <w:numId w:val="6"/>
        </w:numPr>
        <w:tabs>
          <w:tab w:val="clear" w:pos="720"/>
          <w:tab w:val="left" w:pos="360"/>
        </w:tabs>
        <w:ind w:left="180" w:firstLine="0"/>
      </w:pPr>
      <w:r w:rsidRPr="00782771">
        <w:rPr>
          <w:b/>
          <w:bCs/>
        </w:rPr>
        <w:t xml:space="preserve">requiring respondents to submit more than an original and two copies of any document; </w:t>
      </w:r>
    </w:p>
    <w:p w:rsidRPr="00782771" w:rsidR="00436E1D" w:rsidP="003C34C5" w:rsidRDefault="00436E1D" w14:paraId="4F7AE70C" w14:textId="77777777">
      <w:pPr>
        <w:pStyle w:val="Default"/>
        <w:ind w:left="360"/>
        <w:rPr>
          <w:b/>
          <w:bCs/>
        </w:rPr>
      </w:pPr>
    </w:p>
    <w:p w:rsidRPr="00782771" w:rsidR="006865B3" w:rsidP="006865B3" w:rsidRDefault="006865B3" w14:paraId="38FE93BF" w14:textId="77777777">
      <w:pPr>
        <w:pStyle w:val="Default"/>
        <w:numPr>
          <w:ilvl w:val="0"/>
          <w:numId w:val="6"/>
        </w:numPr>
        <w:tabs>
          <w:tab w:val="clear" w:pos="720"/>
        </w:tabs>
        <w:ind w:left="360" w:hanging="180"/>
        <w:rPr>
          <w:b/>
          <w:bCs/>
        </w:rPr>
      </w:pPr>
      <w:r w:rsidRPr="00782771">
        <w:rPr>
          <w:b/>
          <w:bCs/>
        </w:rPr>
        <w:t xml:space="preserve">requiring respondents to retain records, other than health, medical, government contract, grant-in-aid, or tax records for more than three years; </w:t>
      </w:r>
    </w:p>
    <w:p w:rsidRPr="00782771" w:rsidR="006865B3" w:rsidP="006865B3" w:rsidRDefault="006865B3" w14:paraId="1976DECE" w14:textId="77777777">
      <w:pPr>
        <w:pStyle w:val="Default"/>
      </w:pPr>
    </w:p>
    <w:p w:rsidRPr="00782771" w:rsidR="006865B3" w:rsidP="006865B3" w:rsidRDefault="006865B3" w14:paraId="004E4534" w14:textId="77777777">
      <w:pPr>
        <w:pStyle w:val="Default"/>
        <w:numPr>
          <w:ilvl w:val="0"/>
          <w:numId w:val="5"/>
        </w:numPr>
        <w:tabs>
          <w:tab w:val="clear" w:pos="720"/>
          <w:tab w:val="left" w:pos="360"/>
        </w:tabs>
        <w:ind w:left="360" w:hanging="180"/>
        <w:rPr>
          <w:b/>
          <w:bCs/>
        </w:rPr>
      </w:pPr>
      <w:r w:rsidRPr="00782771">
        <w:rPr>
          <w:b/>
          <w:bCs/>
        </w:rPr>
        <w:t>in connection with a statistical survey that is not designed to produce valid and reliable results that can be generalized to the universe of study;</w:t>
      </w:r>
    </w:p>
    <w:p w:rsidRPr="00782771" w:rsidR="006865B3" w:rsidP="006865B3" w:rsidRDefault="006865B3" w14:paraId="55C1907D" w14:textId="77777777">
      <w:pPr>
        <w:pStyle w:val="Default"/>
      </w:pPr>
      <w:r w:rsidRPr="00782771">
        <w:rPr>
          <w:b/>
          <w:bCs/>
        </w:rPr>
        <w:t xml:space="preserve"> </w:t>
      </w:r>
    </w:p>
    <w:p w:rsidRPr="00782771" w:rsidR="006865B3" w:rsidP="006865B3" w:rsidRDefault="006865B3" w14:paraId="7DD0F8E1" w14:textId="77777777">
      <w:pPr>
        <w:pStyle w:val="Default"/>
        <w:numPr>
          <w:ilvl w:val="0"/>
          <w:numId w:val="4"/>
        </w:numPr>
        <w:tabs>
          <w:tab w:val="clear" w:pos="720"/>
          <w:tab w:val="num" w:pos="360"/>
        </w:tabs>
        <w:ind w:left="360" w:hanging="180"/>
        <w:rPr>
          <w:b/>
          <w:bCs/>
        </w:rPr>
      </w:pPr>
      <w:r w:rsidRPr="00782771">
        <w:rPr>
          <w:b/>
          <w:bCs/>
        </w:rPr>
        <w:lastRenderedPageBreak/>
        <w:t xml:space="preserve">requiring the use of a statistical data classification that has not been reviewed and approved </w:t>
      </w:r>
      <w:r w:rsidRPr="00782771" w:rsidR="009C4ACC">
        <w:rPr>
          <w:b/>
          <w:bCs/>
        </w:rPr>
        <w:t>by OMB</w:t>
      </w:r>
      <w:r w:rsidRPr="00782771">
        <w:rPr>
          <w:b/>
          <w:bCs/>
        </w:rPr>
        <w:t xml:space="preserve">; </w:t>
      </w:r>
    </w:p>
    <w:p w:rsidRPr="00782771" w:rsidR="006865B3" w:rsidP="006865B3" w:rsidRDefault="006865B3" w14:paraId="54E8C66C" w14:textId="77777777">
      <w:pPr>
        <w:pStyle w:val="Default"/>
      </w:pPr>
    </w:p>
    <w:p w:rsidRPr="00782771" w:rsidR="006865B3" w:rsidP="006865B3" w:rsidRDefault="006865B3" w14:paraId="011112A7" w14:textId="77777777">
      <w:pPr>
        <w:pStyle w:val="Default"/>
        <w:numPr>
          <w:ilvl w:val="0"/>
          <w:numId w:val="3"/>
        </w:numPr>
        <w:tabs>
          <w:tab w:val="clear" w:pos="720"/>
          <w:tab w:val="num" w:pos="180"/>
        </w:tabs>
        <w:ind w:left="360" w:hanging="180"/>
        <w:rPr>
          <w:b/>
          <w:bCs/>
        </w:rPr>
      </w:pPr>
      <w:r w:rsidRPr="00782771">
        <w:rPr>
          <w:b/>
          <w:bCs/>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782771" w:rsidR="006865B3" w:rsidP="006865B3" w:rsidRDefault="006865B3" w14:paraId="070535FC" w14:textId="77777777">
      <w:pPr>
        <w:pStyle w:val="Default"/>
      </w:pPr>
    </w:p>
    <w:p w:rsidRPr="00782771" w:rsidR="006865B3" w:rsidP="006865B3" w:rsidRDefault="006865B3" w14:paraId="6DF4C98E" w14:textId="77777777">
      <w:pPr>
        <w:pStyle w:val="Default"/>
        <w:numPr>
          <w:ilvl w:val="0"/>
          <w:numId w:val="2"/>
        </w:numPr>
        <w:tabs>
          <w:tab w:val="num" w:pos="360"/>
        </w:tabs>
        <w:ind w:left="360" w:hanging="180"/>
      </w:pPr>
      <w:r w:rsidRPr="00782771">
        <w:rPr>
          <w:b/>
          <w:bCs/>
        </w:rPr>
        <w:t xml:space="preserve">requiring respondents to submit proprietary trade secret, or other confidential information unless the agency can demonstrate that it has instituted procedures to protect the information's confidentiality to the extent permitted by law. </w:t>
      </w:r>
    </w:p>
    <w:p w:rsidRPr="00782771" w:rsidR="006865B3" w:rsidP="006865B3" w:rsidRDefault="006865B3" w14:paraId="62E53D17" w14:textId="77777777">
      <w:pPr>
        <w:pStyle w:val="Default"/>
        <w:rPr>
          <w:color w:val="auto"/>
        </w:rPr>
      </w:pPr>
    </w:p>
    <w:p w:rsidRPr="00782771" w:rsidR="006865B3" w:rsidP="006865B3" w:rsidRDefault="006865B3" w14:paraId="0F657E30" w14:textId="77777777">
      <w:pPr>
        <w:pStyle w:val="Default"/>
        <w:rPr>
          <w:color w:val="auto"/>
        </w:rPr>
      </w:pPr>
      <w:r w:rsidRPr="00782771">
        <w:rPr>
          <w:color w:val="auto"/>
        </w:rPr>
        <w:t xml:space="preserve">No special circumstances exist that require employers to collect information in the manner or using the procedures specified by this item. </w:t>
      </w:r>
    </w:p>
    <w:p w:rsidRPr="00782771" w:rsidR="006865B3" w:rsidP="006865B3" w:rsidRDefault="006865B3" w14:paraId="43A6C151" w14:textId="77777777">
      <w:pPr>
        <w:pStyle w:val="Default"/>
        <w:rPr>
          <w:color w:val="auto"/>
          <w:sz w:val="23"/>
          <w:szCs w:val="23"/>
        </w:rPr>
      </w:pPr>
    </w:p>
    <w:p w:rsidRPr="00782771" w:rsidR="006865B3" w:rsidP="006865B3" w:rsidRDefault="006865B3" w14:paraId="6F531E02" w14:textId="77777777">
      <w:pPr>
        <w:pStyle w:val="Default"/>
        <w:rPr>
          <w:b/>
          <w:bCs/>
          <w:color w:val="auto"/>
        </w:rPr>
      </w:pPr>
      <w:r w:rsidRPr="00782771">
        <w:rPr>
          <w:b/>
          <w:bCs/>
          <w:color w:val="auto"/>
        </w:rPr>
        <w:t xml:space="preserve">8. If applicable, provide a copy and identify the data and page number of publication in the Federal Register of the agency’s notice, required by 5 CFR 1320.8(d), soliciting comments on the information collection prior to submission to OMB. Summarize public comments receive in response to that notice and describe actions taken by the Agency in response to these comments received on cost and hour burden. </w:t>
      </w:r>
    </w:p>
    <w:p w:rsidRPr="00782771" w:rsidR="006865B3" w:rsidP="006865B3" w:rsidRDefault="006865B3" w14:paraId="62B32DE8" w14:textId="77777777">
      <w:pPr>
        <w:pStyle w:val="Default"/>
        <w:rPr>
          <w:b/>
          <w:bCs/>
          <w:color w:val="auto"/>
          <w:sz w:val="20"/>
          <w:szCs w:val="20"/>
        </w:rPr>
      </w:pPr>
    </w:p>
    <w:p w:rsidRPr="00782771" w:rsidR="006865B3" w:rsidP="006865B3" w:rsidRDefault="006865B3" w14:paraId="0EF50ECD" w14:textId="77777777">
      <w:pPr>
        <w:pStyle w:val="Default"/>
        <w:rPr>
          <w:b/>
          <w:bCs/>
          <w:color w:val="auto"/>
        </w:rPr>
      </w:pPr>
      <w:r w:rsidRPr="00782771">
        <w:rPr>
          <w:b/>
          <w:bCs/>
          <w:color w:val="auto"/>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specific situation.  These circumstances should be explained.</w:t>
      </w:r>
      <w:r w:rsidRPr="00782771" w:rsidDel="007530F4">
        <w:rPr>
          <w:b/>
          <w:bCs/>
          <w:color w:val="auto"/>
        </w:rPr>
        <w:t xml:space="preserve"> </w:t>
      </w:r>
    </w:p>
    <w:p w:rsidRPr="00782771" w:rsidR="006865B3" w:rsidP="006865B3" w:rsidRDefault="006865B3" w14:paraId="6A458910" w14:textId="77777777">
      <w:pPr>
        <w:pStyle w:val="Default"/>
        <w:rPr>
          <w:color w:val="auto"/>
        </w:rPr>
      </w:pPr>
    </w:p>
    <w:p w:rsidRPr="00782771" w:rsidR="006865B3" w:rsidP="006865B3" w:rsidRDefault="006865B3" w14:paraId="08A82C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sidRPr="00782771">
        <w:rPr>
          <w:rFonts w:cs="Shruti"/>
          <w:b/>
          <w:bCs/>
        </w:rPr>
        <w:t>Consultation with representatives of those from whom information is to be obtained or those who must compile records should occur at least once every 3 years, even if the collection-of-information activity is the same as in prior periods.  There may be circumstances that may preclude consultation in a specific situation.  These circumstances should be explained.</w:t>
      </w:r>
    </w:p>
    <w:p w:rsidRPr="00782771" w:rsidR="006865B3" w:rsidP="006865B3" w:rsidRDefault="006865B3" w14:paraId="36C64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rsidRPr="00782771" w:rsidR="00DC4ED6" w:rsidP="009441A6" w:rsidRDefault="001D0455" w14:paraId="6FA9609B" w14:textId="1C2E6966">
      <w:pPr>
        <w:pStyle w:val="NoSpacing"/>
        <w:rPr>
          <w:rFonts w:ascii="Times New Roman" w:hAnsi="Times New Roman"/>
          <w:sz w:val="24"/>
          <w:szCs w:val="24"/>
        </w:rPr>
      </w:pPr>
      <w:r w:rsidRPr="00782771">
        <w:rPr>
          <w:rFonts w:ascii="Times New Roman" w:hAnsi="Times New Roman"/>
          <w:sz w:val="24"/>
          <w:szCs w:val="24"/>
        </w:rPr>
        <w:t xml:space="preserve">As required by the Paperwork Reduction Act of 1995 </w:t>
      </w:r>
      <w:r w:rsidRPr="00782771" w:rsidR="002017E2">
        <w:rPr>
          <w:rFonts w:ascii="Times New Roman" w:hAnsi="Times New Roman"/>
          <w:sz w:val="24"/>
          <w:szCs w:val="24"/>
        </w:rPr>
        <w:t xml:space="preserve">(PRA) </w:t>
      </w:r>
      <w:r w:rsidRPr="00782771">
        <w:rPr>
          <w:rFonts w:ascii="Times New Roman" w:hAnsi="Times New Roman"/>
          <w:sz w:val="24"/>
          <w:szCs w:val="24"/>
        </w:rPr>
        <w:t>(44 U.S.C. 506(c</w:t>
      </w:r>
      <w:proofErr w:type="gramStart"/>
      <w:r w:rsidRPr="00782771">
        <w:rPr>
          <w:rFonts w:ascii="Times New Roman" w:hAnsi="Times New Roman"/>
          <w:sz w:val="24"/>
          <w:szCs w:val="24"/>
        </w:rPr>
        <w:t>)(</w:t>
      </w:r>
      <w:proofErr w:type="gramEnd"/>
      <w:r w:rsidRPr="00782771">
        <w:rPr>
          <w:rFonts w:ascii="Times New Roman" w:hAnsi="Times New Roman"/>
          <w:sz w:val="24"/>
          <w:szCs w:val="24"/>
        </w:rPr>
        <w:t>2)(A))</w:t>
      </w:r>
      <w:r w:rsidRPr="00782771" w:rsidR="009C4ACC">
        <w:rPr>
          <w:rFonts w:ascii="Times New Roman" w:hAnsi="Times New Roman"/>
          <w:sz w:val="24"/>
          <w:szCs w:val="24"/>
        </w:rPr>
        <w:t>, OSHA</w:t>
      </w:r>
      <w:r w:rsidRPr="00782771" w:rsidR="00E42A8A">
        <w:rPr>
          <w:rFonts w:ascii="Times New Roman" w:hAnsi="Times New Roman"/>
          <w:sz w:val="24"/>
          <w:szCs w:val="24"/>
        </w:rPr>
        <w:t xml:space="preserve"> </w:t>
      </w:r>
      <w:r w:rsidRPr="00782771">
        <w:rPr>
          <w:rFonts w:ascii="Times New Roman" w:hAnsi="Times New Roman"/>
          <w:sz w:val="24"/>
          <w:szCs w:val="24"/>
        </w:rPr>
        <w:t>publish</w:t>
      </w:r>
      <w:r w:rsidRPr="00782771" w:rsidR="000B7987">
        <w:rPr>
          <w:rFonts w:ascii="Times New Roman" w:hAnsi="Times New Roman"/>
          <w:sz w:val="24"/>
          <w:szCs w:val="24"/>
        </w:rPr>
        <w:t>ed</w:t>
      </w:r>
      <w:r w:rsidRPr="00782771">
        <w:rPr>
          <w:rFonts w:ascii="Times New Roman" w:hAnsi="Times New Roman"/>
          <w:sz w:val="24"/>
          <w:szCs w:val="24"/>
        </w:rPr>
        <w:t xml:space="preserve"> a notice in the </w:t>
      </w:r>
      <w:r w:rsidRPr="00782771">
        <w:rPr>
          <w:rFonts w:ascii="Times New Roman" w:hAnsi="Times New Roman"/>
          <w:i/>
          <w:iCs/>
          <w:sz w:val="24"/>
          <w:szCs w:val="24"/>
        </w:rPr>
        <w:t>Federal Registe</w:t>
      </w:r>
      <w:r w:rsidRPr="00782771" w:rsidR="00E42A8A">
        <w:rPr>
          <w:rFonts w:ascii="Times New Roman" w:hAnsi="Times New Roman"/>
          <w:i/>
          <w:iCs/>
          <w:sz w:val="24"/>
          <w:szCs w:val="24"/>
        </w:rPr>
        <w:t>r</w:t>
      </w:r>
      <w:r w:rsidRPr="00782771">
        <w:rPr>
          <w:rFonts w:ascii="Times New Roman" w:hAnsi="Times New Roman"/>
          <w:sz w:val="24"/>
          <w:szCs w:val="24"/>
        </w:rPr>
        <w:t xml:space="preserve"> </w:t>
      </w:r>
      <w:r w:rsidRPr="00782771" w:rsidR="61687CD1">
        <w:rPr>
          <w:rFonts w:ascii="Times New Roman" w:hAnsi="Times New Roman"/>
          <w:sz w:val="24"/>
          <w:szCs w:val="24"/>
        </w:rPr>
        <w:t xml:space="preserve">on </w:t>
      </w:r>
      <w:r w:rsidRPr="00782771" w:rsidR="00016F15">
        <w:rPr>
          <w:rFonts w:ascii="Times New Roman" w:hAnsi="Times New Roman"/>
          <w:sz w:val="24"/>
          <w:szCs w:val="24"/>
        </w:rPr>
        <w:t xml:space="preserve">October 21, 2020 (85 FR 67013) </w:t>
      </w:r>
      <w:r w:rsidRPr="00782771">
        <w:rPr>
          <w:rFonts w:ascii="Times New Roman" w:hAnsi="Times New Roman"/>
          <w:sz w:val="24"/>
          <w:szCs w:val="24"/>
        </w:rPr>
        <w:t>soliciting comments</w:t>
      </w:r>
      <w:r w:rsidRPr="00782771" w:rsidR="00E42A8A">
        <w:rPr>
          <w:rFonts w:ascii="Times New Roman" w:hAnsi="Times New Roman"/>
          <w:sz w:val="24"/>
          <w:szCs w:val="24"/>
        </w:rPr>
        <w:t xml:space="preserve"> </w:t>
      </w:r>
      <w:r w:rsidRPr="00782771">
        <w:rPr>
          <w:rFonts w:ascii="Times New Roman" w:hAnsi="Times New Roman"/>
          <w:sz w:val="24"/>
          <w:szCs w:val="24"/>
        </w:rPr>
        <w:t xml:space="preserve">on its proposal to extend the Office of Management </w:t>
      </w:r>
      <w:r w:rsidRPr="00782771" w:rsidR="00C32365">
        <w:rPr>
          <w:rFonts w:ascii="Times New Roman" w:hAnsi="Times New Roman"/>
          <w:sz w:val="24"/>
          <w:szCs w:val="24"/>
        </w:rPr>
        <w:t xml:space="preserve">and </w:t>
      </w:r>
      <w:r w:rsidRPr="00782771">
        <w:rPr>
          <w:rFonts w:ascii="Times New Roman" w:hAnsi="Times New Roman"/>
          <w:sz w:val="24"/>
          <w:szCs w:val="24"/>
        </w:rPr>
        <w:t xml:space="preserve">Budget’s approval of the information collection requirements specified in the </w:t>
      </w:r>
      <w:r w:rsidRPr="00782771" w:rsidR="005C3358">
        <w:rPr>
          <w:rFonts w:ascii="Times New Roman" w:hAnsi="Times New Roman"/>
          <w:sz w:val="24"/>
          <w:szCs w:val="24"/>
        </w:rPr>
        <w:t>S</w:t>
      </w:r>
      <w:r w:rsidRPr="00782771">
        <w:rPr>
          <w:rFonts w:ascii="Times New Roman" w:hAnsi="Times New Roman"/>
          <w:sz w:val="24"/>
          <w:szCs w:val="24"/>
        </w:rPr>
        <w:t>tandard on Excavations (Design of Cave-</w:t>
      </w:r>
      <w:r w:rsidRPr="00782771" w:rsidR="005C3358">
        <w:rPr>
          <w:rFonts w:ascii="Times New Roman" w:hAnsi="Times New Roman"/>
          <w:sz w:val="24"/>
          <w:szCs w:val="24"/>
        </w:rPr>
        <w:t>i</w:t>
      </w:r>
      <w:r w:rsidRPr="00782771">
        <w:rPr>
          <w:rFonts w:ascii="Times New Roman" w:hAnsi="Times New Roman"/>
          <w:sz w:val="24"/>
          <w:szCs w:val="24"/>
        </w:rPr>
        <w:t xml:space="preserve">n Protection Systems) (29 CFR </w:t>
      </w:r>
      <w:r w:rsidRPr="00782771" w:rsidR="007B0849">
        <w:rPr>
          <w:rFonts w:ascii="Times New Roman" w:hAnsi="Times New Roman"/>
          <w:sz w:val="24"/>
          <w:szCs w:val="24"/>
        </w:rPr>
        <w:t>p</w:t>
      </w:r>
      <w:r w:rsidRPr="00782771">
        <w:rPr>
          <w:rFonts w:ascii="Times New Roman" w:hAnsi="Times New Roman"/>
          <w:sz w:val="24"/>
          <w:szCs w:val="24"/>
        </w:rPr>
        <w:t xml:space="preserve">art 1926, </w:t>
      </w:r>
      <w:r w:rsidRPr="00782771" w:rsidR="007B0849">
        <w:rPr>
          <w:rFonts w:ascii="Times New Roman" w:hAnsi="Times New Roman"/>
          <w:sz w:val="24"/>
          <w:szCs w:val="24"/>
        </w:rPr>
        <w:t>s</w:t>
      </w:r>
      <w:r w:rsidRPr="00782771">
        <w:rPr>
          <w:rFonts w:ascii="Times New Roman" w:hAnsi="Times New Roman"/>
          <w:sz w:val="24"/>
          <w:szCs w:val="24"/>
        </w:rPr>
        <w:t>ubpart P)</w:t>
      </w:r>
      <w:r w:rsidRPr="00782771" w:rsidR="001B313C">
        <w:rPr>
          <w:rFonts w:ascii="Times New Roman" w:hAnsi="Times New Roman"/>
          <w:sz w:val="24"/>
          <w:szCs w:val="24"/>
        </w:rPr>
        <w:t>, (Docket N</w:t>
      </w:r>
      <w:r w:rsidRPr="00782771" w:rsidR="005272E8">
        <w:rPr>
          <w:rFonts w:ascii="Times New Roman" w:hAnsi="Times New Roman"/>
          <w:sz w:val="24"/>
          <w:szCs w:val="24"/>
        </w:rPr>
        <w:t>o.</w:t>
      </w:r>
      <w:r w:rsidRPr="00782771" w:rsidR="00B76E1F">
        <w:rPr>
          <w:rFonts w:ascii="Times New Roman" w:hAnsi="Times New Roman"/>
          <w:sz w:val="24"/>
          <w:szCs w:val="24"/>
        </w:rPr>
        <w:t xml:space="preserve"> OSHA-2011-0057</w:t>
      </w:r>
      <w:r w:rsidRPr="00782771" w:rsidR="001B313C">
        <w:rPr>
          <w:rFonts w:ascii="Times New Roman" w:hAnsi="Times New Roman"/>
          <w:sz w:val="24"/>
          <w:szCs w:val="24"/>
        </w:rPr>
        <w:t>)</w:t>
      </w:r>
      <w:r w:rsidRPr="00782771">
        <w:rPr>
          <w:rFonts w:ascii="Times New Roman" w:hAnsi="Times New Roman"/>
          <w:sz w:val="24"/>
          <w:szCs w:val="24"/>
        </w:rPr>
        <w:t>.</w:t>
      </w:r>
      <w:r w:rsidRPr="00782771" w:rsidR="00C8647C">
        <w:rPr>
          <w:rFonts w:ascii="Times New Roman" w:hAnsi="Times New Roman"/>
          <w:sz w:val="24"/>
          <w:szCs w:val="24"/>
        </w:rPr>
        <w:t xml:space="preserve"> </w:t>
      </w:r>
      <w:r w:rsidRPr="00782771">
        <w:rPr>
          <w:rFonts w:ascii="Times New Roman" w:hAnsi="Times New Roman"/>
          <w:sz w:val="24"/>
          <w:szCs w:val="24"/>
        </w:rPr>
        <w:t xml:space="preserve"> This notice </w:t>
      </w:r>
      <w:r w:rsidRPr="00782771" w:rsidR="00016F15">
        <w:rPr>
          <w:rFonts w:ascii="Times New Roman" w:hAnsi="Times New Roman"/>
          <w:sz w:val="24"/>
          <w:szCs w:val="24"/>
        </w:rPr>
        <w:t>was</w:t>
      </w:r>
      <w:r w:rsidRPr="00782771" w:rsidR="001B313C">
        <w:rPr>
          <w:rFonts w:ascii="Times New Roman" w:hAnsi="Times New Roman"/>
          <w:sz w:val="24"/>
          <w:szCs w:val="24"/>
        </w:rPr>
        <w:t xml:space="preserve"> part of a preclearance co</w:t>
      </w:r>
      <w:r w:rsidRPr="00782771" w:rsidR="00016F15">
        <w:rPr>
          <w:rFonts w:ascii="Times New Roman" w:hAnsi="Times New Roman"/>
          <w:sz w:val="24"/>
          <w:szCs w:val="24"/>
        </w:rPr>
        <w:t>nsultation program that provided</w:t>
      </w:r>
      <w:r w:rsidRPr="00782771" w:rsidR="001B313C">
        <w:rPr>
          <w:rFonts w:ascii="Times New Roman" w:hAnsi="Times New Roman"/>
          <w:sz w:val="24"/>
          <w:szCs w:val="24"/>
        </w:rPr>
        <w:t xml:space="preserve"> interested parties the opportunity to comment on OSHA’s request for an extension by the Office of Management and Budget of a previous approval of the information collection requirement found in the above Standard.  The Agency </w:t>
      </w:r>
      <w:r w:rsidRPr="00782771" w:rsidR="00016F15">
        <w:rPr>
          <w:rFonts w:ascii="Times New Roman" w:hAnsi="Times New Roman"/>
          <w:sz w:val="24"/>
          <w:szCs w:val="24"/>
        </w:rPr>
        <w:t>did not receive any comments in response to this notice.</w:t>
      </w:r>
      <w:r w:rsidRPr="00782771" w:rsidR="001B313C">
        <w:rPr>
          <w:rFonts w:ascii="Times New Roman" w:hAnsi="Times New Roman"/>
          <w:sz w:val="24"/>
          <w:szCs w:val="24"/>
        </w:rPr>
        <w:t xml:space="preserve"> </w:t>
      </w:r>
    </w:p>
    <w:p w:rsidRPr="00782771" w:rsidR="00681C53" w:rsidP="00681C53" w:rsidRDefault="00681C53" w14:paraId="4FEC1723" w14:textId="77777777"/>
    <w:p w:rsidRPr="00782771" w:rsidR="006865B3" w:rsidP="00B411C5" w:rsidRDefault="0089705A" w14:paraId="2F408B3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82771">
        <w:rPr>
          <w:rFonts w:ascii="Calibri" w:hAnsi="Calibri"/>
          <w:color w:val="000000"/>
        </w:rPr>
        <w:lastRenderedPageBreak/>
        <w:t> </w:t>
      </w:r>
      <w:r w:rsidRPr="00782771" w:rsidR="006865B3">
        <w:rPr>
          <w:b/>
          <w:bCs/>
        </w:rPr>
        <w:t xml:space="preserve">9. Explain any decision to provide any payment of gift to respondents, other than remuneration of contractors or grantees. </w:t>
      </w:r>
    </w:p>
    <w:p w:rsidRPr="00782771" w:rsidR="006865B3" w:rsidP="006865B3" w:rsidRDefault="006865B3" w14:paraId="5A2A3764" w14:textId="77777777">
      <w:pPr>
        <w:pStyle w:val="Default"/>
        <w:rPr>
          <w:color w:val="auto"/>
          <w:sz w:val="23"/>
          <w:szCs w:val="23"/>
        </w:rPr>
      </w:pPr>
    </w:p>
    <w:p w:rsidRPr="00782771" w:rsidR="006865B3" w:rsidP="006865B3" w:rsidRDefault="006865B3" w14:paraId="209BD2D1" w14:textId="77777777">
      <w:pPr>
        <w:pStyle w:val="Default"/>
        <w:rPr>
          <w:color w:val="auto"/>
        </w:rPr>
      </w:pPr>
      <w:r w:rsidRPr="00782771">
        <w:rPr>
          <w:color w:val="auto"/>
        </w:rPr>
        <w:t xml:space="preserve">The Agency will </w:t>
      </w:r>
      <w:r w:rsidRPr="00782771">
        <w:rPr>
          <w:i/>
          <w:iCs/>
          <w:color w:val="auto"/>
        </w:rPr>
        <w:t>not</w:t>
      </w:r>
      <w:r w:rsidRPr="00782771">
        <w:rPr>
          <w:color w:val="auto"/>
        </w:rPr>
        <w:t xml:space="preserve"> provide payments or gifts to the respondents. </w:t>
      </w:r>
    </w:p>
    <w:p w:rsidRPr="00782771" w:rsidR="006865B3" w:rsidP="006865B3" w:rsidRDefault="006865B3" w14:paraId="14F36D73" w14:textId="77777777">
      <w:pPr>
        <w:pStyle w:val="Default"/>
        <w:rPr>
          <w:b/>
          <w:bCs/>
          <w:color w:val="auto"/>
          <w:sz w:val="20"/>
          <w:szCs w:val="20"/>
        </w:rPr>
      </w:pPr>
    </w:p>
    <w:p w:rsidRPr="00782771" w:rsidR="006865B3" w:rsidP="006865B3" w:rsidRDefault="006865B3" w14:paraId="59BAA03B" w14:textId="77777777">
      <w:pPr>
        <w:pStyle w:val="Default"/>
        <w:rPr>
          <w:color w:val="auto"/>
        </w:rPr>
      </w:pPr>
      <w:r w:rsidRPr="00782771">
        <w:rPr>
          <w:b/>
          <w:bCs/>
          <w:color w:val="auto"/>
        </w:rPr>
        <w:t xml:space="preserve">10. Describe any assurance of confidentiality provided to respondents and the basis for the assurance in statute, regulation, or agency policy. </w:t>
      </w:r>
    </w:p>
    <w:p w:rsidRPr="00782771" w:rsidR="006865B3" w:rsidP="006865B3" w:rsidRDefault="006865B3" w14:paraId="67A1CDE6" w14:textId="77777777">
      <w:pPr>
        <w:pStyle w:val="Default"/>
        <w:rPr>
          <w:color w:val="auto"/>
          <w:sz w:val="23"/>
          <w:szCs w:val="23"/>
        </w:rPr>
      </w:pPr>
    </w:p>
    <w:p w:rsidRPr="00782771" w:rsidR="006865B3" w:rsidP="006865B3" w:rsidRDefault="006865B3" w14:paraId="4564E1EC" w14:textId="77777777">
      <w:pPr>
        <w:pStyle w:val="Default"/>
        <w:rPr>
          <w:color w:val="auto"/>
        </w:rPr>
      </w:pPr>
      <w:r w:rsidRPr="00782771">
        <w:rPr>
          <w:color w:val="auto"/>
        </w:rPr>
        <w:t xml:space="preserve">The paperwork requirements specified by the Standard do not involve confidential information. </w:t>
      </w:r>
    </w:p>
    <w:p w:rsidRPr="00782771" w:rsidR="006865B3" w:rsidP="006865B3" w:rsidRDefault="006865B3" w14:paraId="4A3BEDC1" w14:textId="77777777">
      <w:pPr>
        <w:pStyle w:val="Default"/>
        <w:rPr>
          <w:b/>
          <w:bCs/>
          <w:color w:val="auto"/>
          <w:sz w:val="20"/>
          <w:szCs w:val="20"/>
        </w:rPr>
      </w:pPr>
    </w:p>
    <w:p w:rsidRPr="00782771" w:rsidR="006865B3" w:rsidP="006865B3" w:rsidRDefault="006865B3" w14:paraId="781CE8D7" w14:textId="77777777">
      <w:pPr>
        <w:pStyle w:val="Default"/>
        <w:rPr>
          <w:color w:val="auto"/>
        </w:rPr>
      </w:pPr>
      <w:r w:rsidRPr="00782771">
        <w:rPr>
          <w:b/>
          <w:bCs/>
          <w:color w:val="auto"/>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proofErr w:type="gramStart"/>
      <w:r w:rsidRPr="00782771" w:rsidR="009C4ACC">
        <w:rPr>
          <w:b/>
          <w:bCs/>
          <w:color w:val="auto"/>
        </w:rPr>
        <w:t>persons</w:t>
      </w:r>
      <w:proofErr w:type="gramEnd"/>
      <w:r w:rsidRPr="00782771">
        <w:rPr>
          <w:b/>
          <w:bCs/>
          <w:color w:val="auto"/>
        </w:rPr>
        <w:t xml:space="preserve"> form whom the information is requested, and any steps to be taken to obtain their consent. </w:t>
      </w:r>
    </w:p>
    <w:p w:rsidRPr="00782771" w:rsidR="006865B3" w:rsidP="006865B3" w:rsidRDefault="006865B3" w14:paraId="081D773F" w14:textId="77777777">
      <w:pPr>
        <w:pStyle w:val="Default"/>
        <w:rPr>
          <w:color w:val="auto"/>
          <w:sz w:val="23"/>
          <w:szCs w:val="23"/>
        </w:rPr>
      </w:pPr>
    </w:p>
    <w:p w:rsidRPr="00782771" w:rsidR="006865B3" w:rsidP="006865B3" w:rsidRDefault="006865B3" w14:paraId="6D74582B" w14:textId="77777777">
      <w:pPr>
        <w:pStyle w:val="Default"/>
        <w:rPr>
          <w:color w:val="auto"/>
        </w:rPr>
      </w:pPr>
      <w:r w:rsidRPr="00782771">
        <w:rPr>
          <w:color w:val="auto"/>
        </w:rPr>
        <w:t xml:space="preserve">The paperwork requirements specified by the Standard do not involve sensitive information. </w:t>
      </w:r>
    </w:p>
    <w:p w:rsidRPr="00782771" w:rsidR="006865B3" w:rsidP="006865B3" w:rsidRDefault="006865B3" w14:paraId="236750E0" w14:textId="77777777">
      <w:pPr>
        <w:pStyle w:val="Default"/>
        <w:rPr>
          <w:b/>
          <w:bCs/>
          <w:color w:val="auto"/>
          <w:sz w:val="20"/>
          <w:szCs w:val="20"/>
        </w:rPr>
      </w:pPr>
    </w:p>
    <w:p w:rsidRPr="00782771" w:rsidR="00707DD9" w:rsidP="00707DD9" w:rsidRDefault="00707DD9" w14:paraId="4D9660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82771">
        <w:rPr>
          <w:b/>
          <w:bCs/>
        </w:rPr>
        <w:t>12.  Provide estimates of the hour burden of the collection of information.  The statement should:</w:t>
      </w:r>
    </w:p>
    <w:p w:rsidRPr="00782771" w:rsidR="00707DD9" w:rsidP="00707DD9" w:rsidRDefault="00707DD9" w14:paraId="1D026C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782771" w:rsidR="00707DD9" w:rsidRDefault="00707DD9" w14:paraId="0110A4FC" w14:textId="1C3CCCE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82771">
        <w:rPr>
          <w:b/>
          <w:bCs/>
        </w:rPr>
        <w:t xml:space="preserve">       </w:t>
      </w:r>
      <w:r w:rsidRPr="00782771" w:rsidR="00ED20CF">
        <w:rPr>
          <w:b/>
          <w:bCs/>
        </w:rPr>
        <w:t>·   Show</w:t>
      </w:r>
      <w:r w:rsidRPr="00782771">
        <w:rPr>
          <w:b/>
          <w:bCs/>
        </w:rPr>
        <w:t xml:space="preserve"> the number of respondents, frequency of response, annual hour burden, and</w:t>
      </w:r>
      <w:r w:rsidRPr="00782771" w:rsidR="00885907">
        <w:rPr>
          <w:b/>
          <w:bCs/>
        </w:rPr>
        <w:t xml:space="preserve"> </w:t>
      </w:r>
      <w:r w:rsidRPr="00782771">
        <w:rPr>
          <w:b/>
          <w:bCs/>
        </w:rPr>
        <w:t>an explanation of</w:t>
      </w:r>
      <w:r w:rsidRPr="00782771" w:rsidR="005C3358">
        <w:rPr>
          <w:b/>
          <w:bCs/>
        </w:rPr>
        <w:t xml:space="preserve"> </w:t>
      </w:r>
      <w:r w:rsidRPr="00782771">
        <w:rPr>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burdens, and explain the reasons for the variance.  General estimates should not include burden hours for customary and usual business practices.</w:t>
      </w:r>
    </w:p>
    <w:p w:rsidRPr="00782771" w:rsidR="004B44F4" w:rsidRDefault="004B44F4" w14:paraId="769613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782771" w:rsidR="00707DD9" w:rsidRDefault="00707DD9" w14:paraId="767688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82771">
        <w:rPr>
          <w:b/>
          <w:bCs/>
        </w:rPr>
        <w:t xml:space="preserve">       ·  </w:t>
      </w:r>
      <w:r w:rsidRPr="00782771" w:rsidR="00ED20CF">
        <w:rPr>
          <w:b/>
          <w:bCs/>
        </w:rPr>
        <w:t xml:space="preserve"> </w:t>
      </w:r>
      <w:r w:rsidRPr="00782771">
        <w:rPr>
          <w:b/>
          <w:bCs/>
        </w:rPr>
        <w:t>If this request for approval covers more than one form, provide separate hour burdens estimates for each form and aggregate the hour burden.</w:t>
      </w:r>
    </w:p>
    <w:p w:rsidRPr="00782771" w:rsidR="00707DD9" w:rsidRDefault="00707DD9" w14:paraId="3C556B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782771" w:rsidR="00707DD9" w:rsidRDefault="00707DD9" w14:paraId="341715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82771">
        <w:rPr>
          <w:b/>
          <w:bCs/>
        </w:rPr>
        <w:t xml:space="preserve">       </w:t>
      </w:r>
      <w:r w:rsidRPr="00782771" w:rsidR="00ED20CF">
        <w:rPr>
          <w:b/>
          <w:bCs/>
        </w:rPr>
        <w:t>·   Provide</w:t>
      </w:r>
      <w:r w:rsidRPr="00782771">
        <w:rPr>
          <w:b/>
          <w:bCs/>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w:t>
      </w:r>
      <w:r w:rsidRPr="00782771" w:rsidR="005C3358">
        <w:rPr>
          <w:b/>
          <w:bCs/>
        </w:rPr>
        <w:t xml:space="preserve"> </w:t>
      </w:r>
      <w:r w:rsidRPr="00782771">
        <w:rPr>
          <w:b/>
          <w:bCs/>
        </w:rPr>
        <w:t>cost should be included in Item 14.</w:t>
      </w:r>
    </w:p>
    <w:p w:rsidRPr="00782771" w:rsidR="00775902" w:rsidRDefault="00775902" w14:paraId="74A6C637" w14:textId="77777777">
      <w:pPr>
        <w:rPr>
          <w:bCs/>
        </w:rPr>
      </w:pPr>
    </w:p>
    <w:p w:rsidRPr="00782771" w:rsidR="006B1173" w:rsidP="001134F1" w:rsidRDefault="005C3358" w14:paraId="3D0F134F" w14:textId="77777777">
      <w:pPr>
        <w:rPr>
          <w:bCs/>
        </w:rPr>
      </w:pPr>
      <w:r w:rsidRPr="00782771">
        <w:rPr>
          <w:b/>
          <w:bCs/>
        </w:rPr>
        <w:t xml:space="preserve">Respondent Burden Hour and Cost Burden Determinations </w:t>
      </w:r>
    </w:p>
    <w:p w:rsidRPr="00782771" w:rsidR="006B1173" w:rsidP="001134F1" w:rsidRDefault="006B1173" w14:paraId="066483C3" w14:textId="77777777">
      <w:pPr>
        <w:rPr>
          <w:bCs/>
        </w:rPr>
      </w:pPr>
    </w:p>
    <w:p w:rsidRPr="00782771" w:rsidR="00775902" w:rsidP="001134F1" w:rsidRDefault="00775902" w14:paraId="591F7CF2" w14:textId="77777777">
      <w:pPr>
        <w:rPr>
          <w:bCs/>
        </w:rPr>
      </w:pPr>
      <w:r w:rsidRPr="00782771">
        <w:rPr>
          <w:bCs/>
        </w:rPr>
        <w:t>In the previous supporting statement issued in October 2014, the Agency began its burden hour analysis with the following estimates of the total number of construction sites in 2013 from the “Dodge Construction Potent</w:t>
      </w:r>
      <w:r w:rsidRPr="00782771" w:rsidR="00A37CA5">
        <w:rPr>
          <w:bCs/>
        </w:rPr>
        <w:t>i</w:t>
      </w:r>
      <w:r w:rsidRPr="00782771">
        <w:rPr>
          <w:bCs/>
        </w:rPr>
        <w:t>als Bulletin”:</w:t>
      </w:r>
    </w:p>
    <w:p w:rsidRPr="00782771" w:rsidR="00775902" w:rsidP="001134F1" w:rsidRDefault="00775902" w14:paraId="28093718" w14:textId="77777777">
      <w:pPr>
        <w:rPr>
          <w:bCs/>
        </w:rPr>
      </w:pPr>
    </w:p>
    <w:p w:rsidRPr="00782771" w:rsidR="00775902" w:rsidP="00B76E1F" w:rsidRDefault="00775902" w14:paraId="04934BC5" w14:textId="640F7842">
      <w:pPr>
        <w:rPr>
          <w:bCs/>
        </w:rPr>
      </w:pPr>
      <w:r w:rsidRPr="00782771">
        <w:rPr>
          <w:bCs/>
        </w:rPr>
        <w:t>--64</w:t>
      </w:r>
      <w:r w:rsidRPr="00782771" w:rsidR="00564447">
        <w:rPr>
          <w:bCs/>
        </w:rPr>
        <w:t>7</w:t>
      </w:r>
      <w:r w:rsidRPr="00782771">
        <w:rPr>
          <w:bCs/>
        </w:rPr>
        <w:t>,9</w:t>
      </w:r>
      <w:r w:rsidRPr="00782771" w:rsidR="00564447">
        <w:rPr>
          <w:bCs/>
        </w:rPr>
        <w:t>46</w:t>
      </w:r>
      <w:r w:rsidRPr="00782771">
        <w:rPr>
          <w:bCs/>
        </w:rPr>
        <w:t xml:space="preserve"> Residential Construction Sites</w:t>
      </w:r>
    </w:p>
    <w:p w:rsidRPr="00782771" w:rsidR="00775902" w:rsidP="00B76E1F" w:rsidRDefault="00775902" w14:paraId="21CE72F3" w14:textId="57895CB5">
      <w:pPr>
        <w:rPr>
          <w:bCs/>
        </w:rPr>
      </w:pPr>
      <w:r w:rsidRPr="00782771">
        <w:rPr>
          <w:bCs/>
        </w:rPr>
        <w:t>--</w:t>
      </w:r>
      <w:r w:rsidRPr="00782771" w:rsidR="00564447">
        <w:rPr>
          <w:bCs/>
          <w:u w:val="single"/>
        </w:rPr>
        <w:t>120</w:t>
      </w:r>
      <w:r w:rsidRPr="00782771">
        <w:rPr>
          <w:bCs/>
          <w:u w:val="single"/>
        </w:rPr>
        <w:t>,</w:t>
      </w:r>
      <w:r w:rsidRPr="00782771" w:rsidR="00564447">
        <w:rPr>
          <w:bCs/>
          <w:u w:val="single"/>
        </w:rPr>
        <w:t>332</w:t>
      </w:r>
      <w:r w:rsidRPr="00782771">
        <w:rPr>
          <w:bCs/>
          <w:u w:val="single"/>
        </w:rPr>
        <w:t xml:space="preserve"> Non-Residential Sites</w:t>
      </w:r>
    </w:p>
    <w:p w:rsidRPr="00782771" w:rsidR="00775902" w:rsidP="00B76E1F" w:rsidRDefault="00775902" w14:paraId="081C9877" w14:textId="2FD744B8">
      <w:pPr>
        <w:rPr>
          <w:b/>
          <w:bCs/>
        </w:rPr>
      </w:pPr>
      <w:r w:rsidRPr="00782771">
        <w:rPr>
          <w:b/>
          <w:bCs/>
        </w:rPr>
        <w:lastRenderedPageBreak/>
        <w:t>--76</w:t>
      </w:r>
      <w:r w:rsidRPr="00782771" w:rsidR="00564447">
        <w:rPr>
          <w:b/>
          <w:bCs/>
        </w:rPr>
        <w:t>8</w:t>
      </w:r>
      <w:r w:rsidRPr="00782771">
        <w:rPr>
          <w:b/>
          <w:bCs/>
        </w:rPr>
        <w:t>,</w:t>
      </w:r>
      <w:r w:rsidRPr="00782771" w:rsidR="00564447">
        <w:rPr>
          <w:b/>
          <w:bCs/>
        </w:rPr>
        <w:t>278</w:t>
      </w:r>
      <w:r w:rsidRPr="00782771">
        <w:rPr>
          <w:b/>
          <w:bCs/>
        </w:rPr>
        <w:t xml:space="preserve"> TOTAL CONSTRUCTION SITES</w:t>
      </w:r>
    </w:p>
    <w:p w:rsidRPr="00782771" w:rsidR="00A37CA5" w:rsidP="001134F1" w:rsidRDefault="00A37CA5" w14:paraId="4C11CBF2" w14:textId="77777777">
      <w:pPr>
        <w:rPr>
          <w:bCs/>
        </w:rPr>
      </w:pPr>
    </w:p>
    <w:p w:rsidRPr="00782771" w:rsidR="00A37CA5" w:rsidP="001134F1" w:rsidRDefault="00A37CA5" w14:paraId="61C9DE06" w14:textId="77777777">
      <w:pPr>
        <w:rPr>
          <w:bCs/>
        </w:rPr>
      </w:pPr>
      <w:r w:rsidRPr="00782771">
        <w:rPr>
          <w:bCs/>
        </w:rPr>
        <w:t>The Agency then described a methodology for taking this 2013 estimate of total construction sites and computing an estimate for total burden hours based on (1) data from construction trenching fatality investigations and (2) assumptions about burden hour requests based on the mix of residential versus non-residential construction sites.</w:t>
      </w:r>
    </w:p>
    <w:p w:rsidRPr="00782771" w:rsidR="00A37CA5" w:rsidP="001134F1" w:rsidRDefault="00A37CA5" w14:paraId="18578797" w14:textId="77777777">
      <w:pPr>
        <w:rPr>
          <w:bCs/>
        </w:rPr>
      </w:pPr>
    </w:p>
    <w:p w:rsidRPr="00782771" w:rsidR="00570376" w:rsidP="001134F1" w:rsidRDefault="00A37CA5" w14:paraId="70F9658C" w14:textId="5D1E16FB">
      <w:pPr>
        <w:rPr>
          <w:bCs/>
        </w:rPr>
      </w:pPr>
      <w:r w:rsidRPr="00782771">
        <w:rPr>
          <w:bCs/>
        </w:rPr>
        <w:t>For this revised burden statement, the Agency is using this same methodology updated with construction site estimates for 2014</w:t>
      </w:r>
      <w:r w:rsidRPr="00782771" w:rsidR="001D55C9">
        <w:rPr>
          <w:bCs/>
        </w:rPr>
        <w:t xml:space="preserve"> through 201</w:t>
      </w:r>
      <w:r w:rsidRPr="00782771" w:rsidR="002C786D">
        <w:rPr>
          <w:bCs/>
        </w:rPr>
        <w:t>9</w:t>
      </w:r>
      <w:r w:rsidRPr="00782771">
        <w:rPr>
          <w:bCs/>
        </w:rPr>
        <w:t xml:space="preserve">.  The Agency is also assuming that the relative mix of construction types (residential versus non-residential) </w:t>
      </w:r>
      <w:r w:rsidRPr="00782771" w:rsidR="00570376">
        <w:rPr>
          <w:bCs/>
        </w:rPr>
        <w:t xml:space="preserve">has not changed appreciably in the last </w:t>
      </w:r>
      <w:r w:rsidRPr="00782771" w:rsidR="002C786D">
        <w:rPr>
          <w:bCs/>
        </w:rPr>
        <w:t>6</w:t>
      </w:r>
      <w:r w:rsidRPr="00782771" w:rsidR="00570376">
        <w:rPr>
          <w:bCs/>
        </w:rPr>
        <w:t xml:space="preserve"> years.  The updated construction site estimate </w:t>
      </w:r>
      <w:r w:rsidRPr="00782771" w:rsidR="002C786D">
        <w:rPr>
          <w:bCs/>
        </w:rPr>
        <w:t>is</w:t>
      </w:r>
      <w:r w:rsidRPr="00782771" w:rsidR="00570376">
        <w:rPr>
          <w:bCs/>
        </w:rPr>
        <w:t xml:space="preserve"> </w:t>
      </w:r>
      <w:r w:rsidRPr="00782771" w:rsidR="00AD089B">
        <w:rPr>
          <w:bCs/>
        </w:rPr>
        <w:t>summarized</w:t>
      </w:r>
      <w:r w:rsidRPr="00782771" w:rsidR="002C786D">
        <w:rPr>
          <w:bCs/>
        </w:rPr>
        <w:t xml:space="preserve"> in the following table</w:t>
      </w:r>
      <w:r w:rsidRPr="00782771" w:rsidR="00570376">
        <w:rPr>
          <w:bCs/>
        </w:rPr>
        <w:t>:</w:t>
      </w:r>
    </w:p>
    <w:p w:rsidRPr="00782771" w:rsidR="00B76E1F" w:rsidP="001134F1" w:rsidRDefault="00B76E1F" w14:paraId="3B06F9EC" w14:textId="77777777">
      <w:pPr>
        <w:rPr>
          <w:bCs/>
        </w:rPr>
      </w:pPr>
    </w:p>
    <w:tbl>
      <w:tblPr>
        <w:tblW w:w="5000" w:type="pct"/>
        <w:jc w:val="center"/>
        <w:tblLook w:val="04A0" w:firstRow="1" w:lastRow="0" w:firstColumn="1" w:lastColumn="0" w:noHBand="0" w:noVBand="1"/>
      </w:tblPr>
      <w:tblGrid>
        <w:gridCol w:w="1660"/>
        <w:gridCol w:w="2940"/>
        <w:gridCol w:w="2837"/>
        <w:gridCol w:w="1913"/>
      </w:tblGrid>
      <w:tr w:rsidRPr="00782771" w:rsidR="00564447" w:rsidTr="003C34C5" w14:paraId="7CCF7758" w14:textId="77777777">
        <w:trPr>
          <w:trHeight w:val="368"/>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noWrap/>
          </w:tcPr>
          <w:p w:rsidRPr="00782771" w:rsidR="00564447" w:rsidP="003C34C5" w:rsidRDefault="00564447" w14:paraId="6E137DD6" w14:textId="4FD2AFB1">
            <w:pPr>
              <w:jc w:val="center"/>
              <w:rPr>
                <w:b/>
                <w:color w:val="000000"/>
                <w:sz w:val="22"/>
                <w:szCs w:val="22"/>
              </w:rPr>
            </w:pPr>
            <w:r w:rsidRPr="00782771">
              <w:rPr>
                <w:b/>
                <w:color w:val="000000"/>
                <w:sz w:val="22"/>
                <w:szCs w:val="22"/>
              </w:rPr>
              <w:t>Updated Construction Estimates 2014-2019</w:t>
            </w:r>
          </w:p>
        </w:tc>
      </w:tr>
      <w:tr w:rsidRPr="00782771" w:rsidR="00564447" w:rsidTr="003C34C5" w14:paraId="4CA8E656" w14:textId="77777777">
        <w:trPr>
          <w:trHeight w:val="260"/>
          <w:jc w:val="center"/>
        </w:trPr>
        <w:tc>
          <w:tcPr>
            <w:tcW w:w="888" w:type="pct"/>
            <w:tcBorders>
              <w:top w:val="single" w:color="auto" w:sz="4" w:space="0"/>
              <w:left w:val="single" w:color="auto" w:sz="4" w:space="0"/>
              <w:bottom w:val="single" w:color="auto" w:sz="4" w:space="0"/>
              <w:right w:val="single" w:color="auto" w:sz="4" w:space="0"/>
            </w:tcBorders>
            <w:shd w:val="clear" w:color="auto" w:fill="auto"/>
            <w:noWrap/>
            <w:hideMark/>
          </w:tcPr>
          <w:p w:rsidRPr="00782771" w:rsidR="00564447" w:rsidP="003C34C5" w:rsidRDefault="00564447" w14:paraId="18B4A550" w14:textId="55A5096E">
            <w:pPr>
              <w:jc w:val="center"/>
              <w:rPr>
                <w:b/>
                <w:color w:val="000000"/>
                <w:sz w:val="22"/>
                <w:szCs w:val="22"/>
              </w:rPr>
            </w:pPr>
            <w:r w:rsidRPr="00782771">
              <w:rPr>
                <w:b/>
                <w:color w:val="000000"/>
                <w:sz w:val="22"/>
                <w:szCs w:val="22"/>
              </w:rPr>
              <w:t>Year</w:t>
            </w:r>
          </w:p>
        </w:tc>
        <w:tc>
          <w:tcPr>
            <w:tcW w:w="1572" w:type="pct"/>
            <w:tcBorders>
              <w:top w:val="single" w:color="auto" w:sz="4" w:space="0"/>
              <w:left w:val="nil"/>
              <w:bottom w:val="single" w:color="auto" w:sz="4" w:space="0"/>
              <w:right w:val="single" w:color="auto" w:sz="4" w:space="0"/>
            </w:tcBorders>
            <w:shd w:val="clear" w:color="auto" w:fill="auto"/>
            <w:hideMark/>
          </w:tcPr>
          <w:p w:rsidRPr="00782771" w:rsidR="00564447" w:rsidP="00E617B8" w:rsidRDefault="00564447" w14:paraId="6536A2A9" w14:textId="565A4B9C">
            <w:pPr>
              <w:jc w:val="center"/>
              <w:rPr>
                <w:b/>
                <w:color w:val="000000"/>
                <w:sz w:val="22"/>
                <w:szCs w:val="22"/>
              </w:rPr>
            </w:pPr>
            <w:r w:rsidRPr="00782771">
              <w:rPr>
                <w:b/>
                <w:color w:val="000000"/>
                <w:sz w:val="22"/>
                <w:szCs w:val="22"/>
              </w:rPr>
              <w:t>Residential Units</w:t>
            </w:r>
          </w:p>
        </w:tc>
        <w:tc>
          <w:tcPr>
            <w:tcW w:w="1517" w:type="pct"/>
            <w:tcBorders>
              <w:top w:val="single" w:color="auto" w:sz="4" w:space="0"/>
              <w:left w:val="nil"/>
              <w:bottom w:val="single" w:color="auto" w:sz="4" w:space="0"/>
              <w:right w:val="single" w:color="auto" w:sz="4" w:space="0"/>
            </w:tcBorders>
            <w:shd w:val="clear" w:color="auto" w:fill="auto"/>
            <w:hideMark/>
          </w:tcPr>
          <w:p w:rsidRPr="00782771" w:rsidR="00564447" w:rsidP="00E617B8" w:rsidRDefault="00564447" w14:paraId="7C0B1ADD" w14:textId="0E8298EE">
            <w:pPr>
              <w:jc w:val="center"/>
              <w:rPr>
                <w:b/>
                <w:color w:val="000000"/>
                <w:sz w:val="22"/>
                <w:szCs w:val="22"/>
              </w:rPr>
            </w:pPr>
            <w:r w:rsidRPr="00782771">
              <w:rPr>
                <w:b/>
                <w:color w:val="000000"/>
                <w:sz w:val="22"/>
                <w:szCs w:val="22"/>
              </w:rPr>
              <w:t>Non-Residential Units</w:t>
            </w:r>
          </w:p>
        </w:tc>
        <w:tc>
          <w:tcPr>
            <w:tcW w:w="1024" w:type="pct"/>
            <w:tcBorders>
              <w:top w:val="single" w:color="auto" w:sz="4" w:space="0"/>
              <w:left w:val="nil"/>
              <w:bottom w:val="single" w:color="auto" w:sz="4" w:space="0"/>
              <w:right w:val="single" w:color="auto" w:sz="4" w:space="0"/>
            </w:tcBorders>
            <w:shd w:val="clear" w:color="auto" w:fill="auto"/>
            <w:noWrap/>
            <w:hideMark/>
          </w:tcPr>
          <w:p w:rsidRPr="00782771" w:rsidR="00564447" w:rsidP="003C34C5" w:rsidRDefault="00564447" w14:paraId="51127896" w14:textId="77777777">
            <w:pPr>
              <w:jc w:val="center"/>
              <w:rPr>
                <w:b/>
                <w:color w:val="000000"/>
                <w:sz w:val="22"/>
                <w:szCs w:val="22"/>
              </w:rPr>
            </w:pPr>
            <w:r w:rsidRPr="00782771">
              <w:rPr>
                <w:b/>
                <w:color w:val="000000"/>
                <w:sz w:val="22"/>
                <w:szCs w:val="22"/>
              </w:rPr>
              <w:t>Total</w:t>
            </w:r>
          </w:p>
        </w:tc>
      </w:tr>
      <w:tr w:rsidRPr="00782771" w:rsidR="00564447" w:rsidTr="003C34C5" w14:paraId="7A1E432D" w14:textId="77777777">
        <w:trPr>
          <w:trHeight w:val="300"/>
          <w:jc w:val="center"/>
        </w:trPr>
        <w:tc>
          <w:tcPr>
            <w:tcW w:w="888" w:type="pct"/>
            <w:tcBorders>
              <w:top w:val="nil"/>
              <w:left w:val="single" w:color="auto" w:sz="4" w:space="0"/>
              <w:bottom w:val="single" w:color="auto" w:sz="4" w:space="0"/>
              <w:right w:val="single" w:color="auto" w:sz="4" w:space="0"/>
            </w:tcBorders>
            <w:shd w:val="clear" w:color="auto" w:fill="auto"/>
            <w:noWrap/>
            <w:vAlign w:val="bottom"/>
            <w:hideMark/>
          </w:tcPr>
          <w:p w:rsidRPr="00782771" w:rsidR="00564447" w:rsidP="003C34C5" w:rsidRDefault="00564447" w14:paraId="069954E7" w14:textId="77777777">
            <w:pPr>
              <w:jc w:val="center"/>
              <w:rPr>
                <w:color w:val="000000"/>
                <w:sz w:val="22"/>
                <w:szCs w:val="22"/>
              </w:rPr>
            </w:pPr>
            <w:r w:rsidRPr="00782771">
              <w:rPr>
                <w:color w:val="000000"/>
                <w:sz w:val="22"/>
                <w:szCs w:val="22"/>
              </w:rPr>
              <w:t>2014</w:t>
            </w:r>
          </w:p>
        </w:tc>
        <w:tc>
          <w:tcPr>
            <w:tcW w:w="1572" w:type="pct"/>
            <w:tcBorders>
              <w:top w:val="nil"/>
              <w:left w:val="nil"/>
              <w:bottom w:val="single" w:color="auto" w:sz="4" w:space="0"/>
              <w:right w:val="single" w:color="auto" w:sz="4" w:space="0"/>
            </w:tcBorders>
            <w:shd w:val="clear" w:color="auto" w:fill="auto"/>
            <w:noWrap/>
            <w:vAlign w:val="bottom"/>
            <w:hideMark/>
          </w:tcPr>
          <w:p w:rsidRPr="00782771" w:rsidR="00564447" w:rsidP="003C34C5" w:rsidRDefault="00564447" w14:paraId="435AC55C" w14:textId="77777777">
            <w:pPr>
              <w:jc w:val="center"/>
              <w:rPr>
                <w:color w:val="000000"/>
                <w:sz w:val="22"/>
                <w:szCs w:val="22"/>
              </w:rPr>
            </w:pPr>
            <w:r w:rsidRPr="00782771">
              <w:rPr>
                <w:color w:val="000000"/>
                <w:sz w:val="22"/>
                <w:szCs w:val="22"/>
              </w:rPr>
              <w:t>647,172</w:t>
            </w:r>
          </w:p>
        </w:tc>
        <w:tc>
          <w:tcPr>
            <w:tcW w:w="1517" w:type="pct"/>
            <w:tcBorders>
              <w:top w:val="nil"/>
              <w:left w:val="nil"/>
              <w:bottom w:val="single" w:color="auto" w:sz="4" w:space="0"/>
              <w:right w:val="single" w:color="auto" w:sz="4" w:space="0"/>
            </w:tcBorders>
            <w:shd w:val="clear" w:color="auto" w:fill="auto"/>
            <w:noWrap/>
            <w:vAlign w:val="bottom"/>
            <w:hideMark/>
          </w:tcPr>
          <w:p w:rsidRPr="00782771" w:rsidR="00564447" w:rsidP="003C34C5" w:rsidRDefault="00564447" w14:paraId="0C52310B" w14:textId="77777777">
            <w:pPr>
              <w:jc w:val="center"/>
              <w:rPr>
                <w:color w:val="000000"/>
                <w:sz w:val="22"/>
                <w:szCs w:val="22"/>
              </w:rPr>
            </w:pPr>
            <w:r w:rsidRPr="00782771">
              <w:rPr>
                <w:color w:val="000000"/>
                <w:sz w:val="22"/>
                <w:szCs w:val="22"/>
              </w:rPr>
              <w:t>130,583</w:t>
            </w:r>
          </w:p>
        </w:tc>
        <w:tc>
          <w:tcPr>
            <w:tcW w:w="1024" w:type="pct"/>
            <w:tcBorders>
              <w:top w:val="nil"/>
              <w:left w:val="nil"/>
              <w:bottom w:val="single" w:color="auto" w:sz="4" w:space="0"/>
              <w:right w:val="single" w:color="auto" w:sz="4" w:space="0"/>
            </w:tcBorders>
            <w:shd w:val="clear" w:color="auto" w:fill="auto"/>
            <w:noWrap/>
            <w:vAlign w:val="bottom"/>
            <w:hideMark/>
          </w:tcPr>
          <w:p w:rsidRPr="00782771" w:rsidR="00564447" w:rsidP="003C34C5" w:rsidRDefault="00564447" w14:paraId="48302593" w14:textId="77777777">
            <w:pPr>
              <w:jc w:val="center"/>
              <w:rPr>
                <w:color w:val="000000"/>
                <w:sz w:val="22"/>
                <w:szCs w:val="22"/>
              </w:rPr>
            </w:pPr>
            <w:r w:rsidRPr="00782771">
              <w:rPr>
                <w:color w:val="000000"/>
                <w:sz w:val="22"/>
                <w:szCs w:val="22"/>
              </w:rPr>
              <w:t>777,755</w:t>
            </w:r>
          </w:p>
        </w:tc>
      </w:tr>
      <w:tr w:rsidRPr="00782771" w:rsidR="00564447" w:rsidTr="003C34C5" w14:paraId="6D3FD24D" w14:textId="77777777">
        <w:trPr>
          <w:trHeight w:val="300"/>
          <w:jc w:val="center"/>
        </w:trPr>
        <w:tc>
          <w:tcPr>
            <w:tcW w:w="888" w:type="pct"/>
            <w:tcBorders>
              <w:top w:val="nil"/>
              <w:left w:val="single" w:color="auto" w:sz="4" w:space="0"/>
              <w:bottom w:val="single" w:color="auto" w:sz="4" w:space="0"/>
              <w:right w:val="single" w:color="auto" w:sz="4" w:space="0"/>
            </w:tcBorders>
            <w:shd w:val="clear" w:color="auto" w:fill="auto"/>
            <w:noWrap/>
            <w:vAlign w:val="bottom"/>
            <w:hideMark/>
          </w:tcPr>
          <w:p w:rsidRPr="00782771" w:rsidR="00564447" w:rsidP="003C34C5" w:rsidRDefault="00564447" w14:paraId="76042030" w14:textId="77777777">
            <w:pPr>
              <w:jc w:val="center"/>
              <w:rPr>
                <w:color w:val="000000"/>
                <w:sz w:val="22"/>
                <w:szCs w:val="22"/>
              </w:rPr>
            </w:pPr>
            <w:r w:rsidRPr="00782771">
              <w:rPr>
                <w:color w:val="000000"/>
                <w:sz w:val="22"/>
                <w:szCs w:val="22"/>
              </w:rPr>
              <w:t>2015</w:t>
            </w:r>
          </w:p>
        </w:tc>
        <w:tc>
          <w:tcPr>
            <w:tcW w:w="1572" w:type="pct"/>
            <w:tcBorders>
              <w:top w:val="nil"/>
              <w:left w:val="nil"/>
              <w:bottom w:val="single" w:color="auto" w:sz="4" w:space="0"/>
              <w:right w:val="single" w:color="auto" w:sz="4" w:space="0"/>
            </w:tcBorders>
            <w:shd w:val="clear" w:color="auto" w:fill="auto"/>
            <w:noWrap/>
            <w:vAlign w:val="bottom"/>
            <w:hideMark/>
          </w:tcPr>
          <w:p w:rsidRPr="00782771" w:rsidR="00564447" w:rsidP="003C34C5" w:rsidRDefault="00564447" w14:paraId="1753C19C" w14:textId="77777777">
            <w:pPr>
              <w:jc w:val="center"/>
              <w:rPr>
                <w:color w:val="000000"/>
                <w:sz w:val="22"/>
                <w:szCs w:val="22"/>
              </w:rPr>
            </w:pPr>
            <w:r w:rsidRPr="00782771">
              <w:rPr>
                <w:color w:val="000000"/>
                <w:sz w:val="22"/>
                <w:szCs w:val="22"/>
              </w:rPr>
              <w:t>714,924</w:t>
            </w:r>
          </w:p>
        </w:tc>
        <w:tc>
          <w:tcPr>
            <w:tcW w:w="1517" w:type="pct"/>
            <w:tcBorders>
              <w:top w:val="nil"/>
              <w:left w:val="nil"/>
              <w:bottom w:val="single" w:color="auto" w:sz="4" w:space="0"/>
              <w:right w:val="single" w:color="auto" w:sz="4" w:space="0"/>
            </w:tcBorders>
            <w:shd w:val="clear" w:color="auto" w:fill="auto"/>
            <w:noWrap/>
            <w:vAlign w:val="bottom"/>
            <w:hideMark/>
          </w:tcPr>
          <w:p w:rsidRPr="00782771" w:rsidR="00564447" w:rsidP="003C34C5" w:rsidRDefault="00564447" w14:paraId="03372E01" w14:textId="77777777">
            <w:pPr>
              <w:jc w:val="center"/>
              <w:rPr>
                <w:color w:val="000000"/>
                <w:sz w:val="22"/>
                <w:szCs w:val="22"/>
              </w:rPr>
            </w:pPr>
            <w:r w:rsidRPr="00782771">
              <w:rPr>
                <w:color w:val="000000"/>
                <w:sz w:val="22"/>
                <w:szCs w:val="22"/>
              </w:rPr>
              <w:t>134,303</w:t>
            </w:r>
          </w:p>
        </w:tc>
        <w:tc>
          <w:tcPr>
            <w:tcW w:w="1024" w:type="pct"/>
            <w:tcBorders>
              <w:top w:val="nil"/>
              <w:left w:val="nil"/>
              <w:bottom w:val="single" w:color="auto" w:sz="4" w:space="0"/>
              <w:right w:val="single" w:color="auto" w:sz="4" w:space="0"/>
            </w:tcBorders>
            <w:shd w:val="clear" w:color="auto" w:fill="auto"/>
            <w:noWrap/>
            <w:vAlign w:val="bottom"/>
            <w:hideMark/>
          </w:tcPr>
          <w:p w:rsidRPr="00782771" w:rsidR="00564447" w:rsidP="003C34C5" w:rsidRDefault="00564447" w14:paraId="76EC95E8" w14:textId="77777777">
            <w:pPr>
              <w:jc w:val="center"/>
              <w:rPr>
                <w:color w:val="000000"/>
                <w:sz w:val="22"/>
                <w:szCs w:val="22"/>
              </w:rPr>
            </w:pPr>
            <w:r w:rsidRPr="00782771">
              <w:rPr>
                <w:color w:val="000000"/>
                <w:sz w:val="22"/>
                <w:szCs w:val="22"/>
              </w:rPr>
              <w:t>849,227</w:t>
            </w:r>
          </w:p>
        </w:tc>
      </w:tr>
      <w:tr w:rsidRPr="00782771" w:rsidR="00564447" w:rsidTr="003C34C5" w14:paraId="743E273C" w14:textId="77777777">
        <w:trPr>
          <w:trHeight w:val="300"/>
          <w:jc w:val="center"/>
        </w:trPr>
        <w:tc>
          <w:tcPr>
            <w:tcW w:w="888" w:type="pct"/>
            <w:tcBorders>
              <w:top w:val="nil"/>
              <w:left w:val="single" w:color="auto" w:sz="4" w:space="0"/>
              <w:bottom w:val="single" w:color="auto" w:sz="4" w:space="0"/>
              <w:right w:val="single" w:color="auto" w:sz="4" w:space="0"/>
            </w:tcBorders>
            <w:shd w:val="clear" w:color="auto" w:fill="auto"/>
            <w:noWrap/>
            <w:vAlign w:val="bottom"/>
            <w:hideMark/>
          </w:tcPr>
          <w:p w:rsidRPr="00782771" w:rsidR="00564447" w:rsidP="003C34C5" w:rsidRDefault="00564447" w14:paraId="4473CFD4" w14:textId="77777777">
            <w:pPr>
              <w:jc w:val="center"/>
              <w:rPr>
                <w:color w:val="000000"/>
                <w:sz w:val="22"/>
                <w:szCs w:val="22"/>
              </w:rPr>
            </w:pPr>
            <w:r w:rsidRPr="00782771">
              <w:rPr>
                <w:color w:val="000000"/>
                <w:sz w:val="22"/>
                <w:szCs w:val="22"/>
              </w:rPr>
              <w:t>2016</w:t>
            </w:r>
          </w:p>
        </w:tc>
        <w:tc>
          <w:tcPr>
            <w:tcW w:w="1572" w:type="pct"/>
            <w:tcBorders>
              <w:top w:val="nil"/>
              <w:left w:val="nil"/>
              <w:bottom w:val="single" w:color="auto" w:sz="4" w:space="0"/>
              <w:right w:val="single" w:color="auto" w:sz="4" w:space="0"/>
            </w:tcBorders>
            <w:shd w:val="clear" w:color="auto" w:fill="auto"/>
            <w:noWrap/>
            <w:vAlign w:val="bottom"/>
            <w:hideMark/>
          </w:tcPr>
          <w:p w:rsidRPr="00782771" w:rsidR="00564447" w:rsidP="003C34C5" w:rsidRDefault="00564447" w14:paraId="29F8DB99" w14:textId="77777777">
            <w:pPr>
              <w:jc w:val="center"/>
              <w:rPr>
                <w:color w:val="000000"/>
                <w:sz w:val="22"/>
                <w:szCs w:val="22"/>
              </w:rPr>
            </w:pPr>
            <w:r w:rsidRPr="00782771">
              <w:rPr>
                <w:color w:val="000000"/>
                <w:sz w:val="22"/>
                <w:szCs w:val="22"/>
              </w:rPr>
              <w:t>768,710</w:t>
            </w:r>
          </w:p>
        </w:tc>
        <w:tc>
          <w:tcPr>
            <w:tcW w:w="1517" w:type="pct"/>
            <w:tcBorders>
              <w:top w:val="nil"/>
              <w:left w:val="nil"/>
              <w:bottom w:val="single" w:color="auto" w:sz="4" w:space="0"/>
              <w:right w:val="single" w:color="auto" w:sz="4" w:space="0"/>
            </w:tcBorders>
            <w:shd w:val="clear" w:color="auto" w:fill="auto"/>
            <w:noWrap/>
            <w:vAlign w:val="bottom"/>
            <w:hideMark/>
          </w:tcPr>
          <w:p w:rsidRPr="00782771" w:rsidR="00564447" w:rsidP="003C34C5" w:rsidRDefault="00564447" w14:paraId="4B0D3F6B" w14:textId="77777777">
            <w:pPr>
              <w:jc w:val="center"/>
              <w:rPr>
                <w:color w:val="000000"/>
                <w:sz w:val="22"/>
                <w:szCs w:val="22"/>
              </w:rPr>
            </w:pPr>
            <w:r w:rsidRPr="00782771">
              <w:rPr>
                <w:color w:val="000000"/>
                <w:sz w:val="22"/>
                <w:szCs w:val="22"/>
              </w:rPr>
              <w:t>144,447</w:t>
            </w:r>
          </w:p>
        </w:tc>
        <w:tc>
          <w:tcPr>
            <w:tcW w:w="1024" w:type="pct"/>
            <w:tcBorders>
              <w:top w:val="nil"/>
              <w:left w:val="nil"/>
              <w:bottom w:val="single" w:color="auto" w:sz="4" w:space="0"/>
              <w:right w:val="single" w:color="auto" w:sz="4" w:space="0"/>
            </w:tcBorders>
            <w:shd w:val="clear" w:color="auto" w:fill="auto"/>
            <w:noWrap/>
            <w:vAlign w:val="bottom"/>
            <w:hideMark/>
          </w:tcPr>
          <w:p w:rsidRPr="00782771" w:rsidR="00564447" w:rsidP="003C34C5" w:rsidRDefault="00564447" w14:paraId="5646C69C" w14:textId="77777777">
            <w:pPr>
              <w:jc w:val="center"/>
              <w:rPr>
                <w:color w:val="000000"/>
                <w:sz w:val="22"/>
                <w:szCs w:val="22"/>
              </w:rPr>
            </w:pPr>
            <w:r w:rsidRPr="00782771">
              <w:rPr>
                <w:color w:val="000000"/>
                <w:sz w:val="22"/>
                <w:szCs w:val="22"/>
              </w:rPr>
              <w:t>913,157</w:t>
            </w:r>
          </w:p>
        </w:tc>
      </w:tr>
      <w:tr w:rsidRPr="00782771" w:rsidR="00564447" w:rsidTr="003C34C5" w14:paraId="21338927" w14:textId="77777777">
        <w:trPr>
          <w:trHeight w:val="300"/>
          <w:jc w:val="center"/>
        </w:trPr>
        <w:tc>
          <w:tcPr>
            <w:tcW w:w="888" w:type="pct"/>
            <w:tcBorders>
              <w:top w:val="nil"/>
              <w:left w:val="single" w:color="auto" w:sz="4" w:space="0"/>
              <w:bottom w:val="single" w:color="auto" w:sz="4" w:space="0"/>
              <w:right w:val="single" w:color="auto" w:sz="4" w:space="0"/>
            </w:tcBorders>
            <w:shd w:val="clear" w:color="auto" w:fill="auto"/>
            <w:noWrap/>
            <w:vAlign w:val="bottom"/>
            <w:hideMark/>
          </w:tcPr>
          <w:p w:rsidRPr="00782771" w:rsidR="00564447" w:rsidP="003C34C5" w:rsidRDefault="00564447" w14:paraId="0F741D77" w14:textId="77777777">
            <w:pPr>
              <w:jc w:val="center"/>
              <w:rPr>
                <w:color w:val="000000"/>
                <w:sz w:val="22"/>
                <w:szCs w:val="22"/>
              </w:rPr>
            </w:pPr>
            <w:r w:rsidRPr="00782771">
              <w:rPr>
                <w:color w:val="000000"/>
                <w:sz w:val="22"/>
                <w:szCs w:val="22"/>
              </w:rPr>
              <w:t>2017</w:t>
            </w:r>
          </w:p>
        </w:tc>
        <w:tc>
          <w:tcPr>
            <w:tcW w:w="1572" w:type="pct"/>
            <w:tcBorders>
              <w:top w:val="nil"/>
              <w:left w:val="nil"/>
              <w:bottom w:val="single" w:color="auto" w:sz="4" w:space="0"/>
              <w:right w:val="single" w:color="auto" w:sz="4" w:space="0"/>
            </w:tcBorders>
            <w:shd w:val="clear" w:color="auto" w:fill="auto"/>
            <w:noWrap/>
            <w:vAlign w:val="bottom"/>
            <w:hideMark/>
          </w:tcPr>
          <w:p w:rsidRPr="00782771" w:rsidR="00564447" w:rsidP="003C34C5" w:rsidRDefault="00564447" w14:paraId="749B0AA9" w14:textId="77777777">
            <w:pPr>
              <w:jc w:val="center"/>
              <w:rPr>
                <w:color w:val="000000"/>
                <w:sz w:val="22"/>
                <w:szCs w:val="22"/>
              </w:rPr>
            </w:pPr>
            <w:r w:rsidRPr="00782771">
              <w:rPr>
                <w:color w:val="000000"/>
                <w:sz w:val="22"/>
                <w:szCs w:val="22"/>
              </w:rPr>
              <w:t>834,554</w:t>
            </w:r>
          </w:p>
        </w:tc>
        <w:tc>
          <w:tcPr>
            <w:tcW w:w="1517" w:type="pct"/>
            <w:tcBorders>
              <w:top w:val="nil"/>
              <w:left w:val="nil"/>
              <w:bottom w:val="single" w:color="auto" w:sz="4" w:space="0"/>
              <w:right w:val="single" w:color="auto" w:sz="4" w:space="0"/>
            </w:tcBorders>
            <w:shd w:val="clear" w:color="auto" w:fill="auto"/>
            <w:noWrap/>
            <w:vAlign w:val="bottom"/>
            <w:hideMark/>
          </w:tcPr>
          <w:p w:rsidRPr="00782771" w:rsidR="00564447" w:rsidP="003C34C5" w:rsidRDefault="00564447" w14:paraId="7AF4EA94" w14:textId="77777777">
            <w:pPr>
              <w:jc w:val="center"/>
              <w:rPr>
                <w:color w:val="000000"/>
                <w:sz w:val="22"/>
                <w:szCs w:val="22"/>
              </w:rPr>
            </w:pPr>
            <w:r w:rsidRPr="00782771">
              <w:rPr>
                <w:color w:val="000000"/>
                <w:sz w:val="22"/>
                <w:szCs w:val="22"/>
              </w:rPr>
              <w:t>139,301</w:t>
            </w:r>
          </w:p>
        </w:tc>
        <w:tc>
          <w:tcPr>
            <w:tcW w:w="1024" w:type="pct"/>
            <w:tcBorders>
              <w:top w:val="nil"/>
              <w:left w:val="nil"/>
              <w:bottom w:val="single" w:color="auto" w:sz="4" w:space="0"/>
              <w:right w:val="single" w:color="auto" w:sz="4" w:space="0"/>
            </w:tcBorders>
            <w:shd w:val="clear" w:color="auto" w:fill="auto"/>
            <w:noWrap/>
            <w:vAlign w:val="bottom"/>
            <w:hideMark/>
          </w:tcPr>
          <w:p w:rsidRPr="00782771" w:rsidR="00564447" w:rsidP="003C34C5" w:rsidRDefault="00564447" w14:paraId="20D83344" w14:textId="77777777">
            <w:pPr>
              <w:jc w:val="center"/>
              <w:rPr>
                <w:color w:val="000000"/>
                <w:sz w:val="22"/>
                <w:szCs w:val="22"/>
              </w:rPr>
            </w:pPr>
            <w:r w:rsidRPr="00782771">
              <w:rPr>
                <w:color w:val="000000"/>
                <w:sz w:val="22"/>
                <w:szCs w:val="22"/>
              </w:rPr>
              <w:t>973,855</w:t>
            </w:r>
          </w:p>
        </w:tc>
      </w:tr>
      <w:tr w:rsidRPr="00782771" w:rsidR="00564447" w:rsidTr="003C34C5" w14:paraId="03B8812C" w14:textId="77777777">
        <w:trPr>
          <w:trHeight w:val="300"/>
          <w:jc w:val="center"/>
        </w:trPr>
        <w:tc>
          <w:tcPr>
            <w:tcW w:w="888" w:type="pct"/>
            <w:tcBorders>
              <w:top w:val="nil"/>
              <w:left w:val="single" w:color="auto" w:sz="4" w:space="0"/>
              <w:bottom w:val="single" w:color="auto" w:sz="4" w:space="0"/>
              <w:right w:val="single" w:color="auto" w:sz="4" w:space="0"/>
            </w:tcBorders>
            <w:shd w:val="clear" w:color="auto" w:fill="auto"/>
            <w:noWrap/>
            <w:vAlign w:val="bottom"/>
            <w:hideMark/>
          </w:tcPr>
          <w:p w:rsidRPr="00782771" w:rsidR="00564447" w:rsidP="003C34C5" w:rsidRDefault="00564447" w14:paraId="512161A7" w14:textId="77777777">
            <w:pPr>
              <w:jc w:val="center"/>
              <w:rPr>
                <w:color w:val="000000"/>
                <w:sz w:val="22"/>
                <w:szCs w:val="22"/>
              </w:rPr>
            </w:pPr>
            <w:r w:rsidRPr="00782771">
              <w:rPr>
                <w:color w:val="000000"/>
                <w:sz w:val="22"/>
                <w:szCs w:val="22"/>
              </w:rPr>
              <w:t>2018</w:t>
            </w:r>
          </w:p>
        </w:tc>
        <w:tc>
          <w:tcPr>
            <w:tcW w:w="1572" w:type="pct"/>
            <w:tcBorders>
              <w:top w:val="nil"/>
              <w:left w:val="nil"/>
              <w:bottom w:val="single" w:color="auto" w:sz="4" w:space="0"/>
              <w:right w:val="single" w:color="auto" w:sz="4" w:space="0"/>
            </w:tcBorders>
            <w:shd w:val="clear" w:color="auto" w:fill="auto"/>
            <w:noWrap/>
            <w:vAlign w:val="bottom"/>
            <w:hideMark/>
          </w:tcPr>
          <w:p w:rsidRPr="00782771" w:rsidR="00564447" w:rsidP="003C34C5" w:rsidRDefault="00564447" w14:paraId="08AC1E43" w14:textId="77777777">
            <w:pPr>
              <w:jc w:val="center"/>
              <w:rPr>
                <w:color w:val="000000"/>
                <w:sz w:val="22"/>
                <w:szCs w:val="22"/>
              </w:rPr>
            </w:pPr>
            <w:r w:rsidRPr="00782771">
              <w:rPr>
                <w:color w:val="000000"/>
                <w:sz w:val="22"/>
                <w:szCs w:val="22"/>
              </w:rPr>
              <w:t>867,349</w:t>
            </w:r>
          </w:p>
        </w:tc>
        <w:tc>
          <w:tcPr>
            <w:tcW w:w="1517" w:type="pct"/>
            <w:tcBorders>
              <w:top w:val="nil"/>
              <w:left w:val="nil"/>
              <w:bottom w:val="single" w:color="auto" w:sz="4" w:space="0"/>
              <w:right w:val="single" w:color="auto" w:sz="4" w:space="0"/>
            </w:tcBorders>
            <w:shd w:val="clear" w:color="auto" w:fill="auto"/>
            <w:noWrap/>
            <w:vAlign w:val="bottom"/>
            <w:hideMark/>
          </w:tcPr>
          <w:p w:rsidRPr="00782771" w:rsidR="00564447" w:rsidP="003C34C5" w:rsidRDefault="00564447" w14:paraId="4E11949B" w14:textId="77777777">
            <w:pPr>
              <w:jc w:val="center"/>
              <w:rPr>
                <w:color w:val="000000"/>
                <w:sz w:val="22"/>
                <w:szCs w:val="22"/>
              </w:rPr>
            </w:pPr>
            <w:r w:rsidRPr="00782771">
              <w:rPr>
                <w:color w:val="000000"/>
                <w:sz w:val="22"/>
                <w:szCs w:val="22"/>
              </w:rPr>
              <w:t>136,315</w:t>
            </w:r>
          </w:p>
        </w:tc>
        <w:tc>
          <w:tcPr>
            <w:tcW w:w="1024" w:type="pct"/>
            <w:tcBorders>
              <w:top w:val="nil"/>
              <w:left w:val="nil"/>
              <w:bottom w:val="single" w:color="auto" w:sz="4" w:space="0"/>
              <w:right w:val="single" w:color="auto" w:sz="4" w:space="0"/>
            </w:tcBorders>
            <w:shd w:val="clear" w:color="auto" w:fill="auto"/>
            <w:noWrap/>
            <w:vAlign w:val="bottom"/>
            <w:hideMark/>
          </w:tcPr>
          <w:p w:rsidRPr="00782771" w:rsidR="00564447" w:rsidP="003C34C5" w:rsidRDefault="00564447" w14:paraId="137ED4DB" w14:textId="77777777">
            <w:pPr>
              <w:jc w:val="center"/>
              <w:rPr>
                <w:color w:val="000000"/>
                <w:sz w:val="22"/>
                <w:szCs w:val="22"/>
              </w:rPr>
            </w:pPr>
            <w:r w:rsidRPr="00782771">
              <w:rPr>
                <w:color w:val="000000"/>
                <w:sz w:val="22"/>
                <w:szCs w:val="22"/>
              </w:rPr>
              <w:t>1,003,664</w:t>
            </w:r>
          </w:p>
        </w:tc>
      </w:tr>
      <w:tr w:rsidRPr="00782771" w:rsidR="00564447" w:rsidTr="003C34C5" w14:paraId="0F01FD2A" w14:textId="77777777">
        <w:trPr>
          <w:trHeight w:val="300"/>
          <w:jc w:val="center"/>
        </w:trPr>
        <w:tc>
          <w:tcPr>
            <w:tcW w:w="888" w:type="pct"/>
            <w:tcBorders>
              <w:top w:val="nil"/>
              <w:left w:val="single" w:color="auto" w:sz="4" w:space="0"/>
              <w:bottom w:val="single" w:color="auto" w:sz="4" w:space="0"/>
              <w:right w:val="single" w:color="auto" w:sz="4" w:space="0"/>
            </w:tcBorders>
            <w:shd w:val="clear" w:color="auto" w:fill="auto"/>
            <w:noWrap/>
            <w:vAlign w:val="bottom"/>
            <w:hideMark/>
          </w:tcPr>
          <w:p w:rsidRPr="00782771" w:rsidR="00564447" w:rsidP="003C34C5" w:rsidRDefault="00564447" w14:paraId="58401D85" w14:textId="77777777">
            <w:pPr>
              <w:jc w:val="center"/>
              <w:rPr>
                <w:color w:val="000000"/>
                <w:sz w:val="22"/>
                <w:szCs w:val="22"/>
              </w:rPr>
            </w:pPr>
            <w:r w:rsidRPr="00782771">
              <w:rPr>
                <w:color w:val="000000"/>
                <w:sz w:val="22"/>
                <w:szCs w:val="22"/>
              </w:rPr>
              <w:t>2019</w:t>
            </w:r>
          </w:p>
        </w:tc>
        <w:tc>
          <w:tcPr>
            <w:tcW w:w="1572" w:type="pct"/>
            <w:tcBorders>
              <w:top w:val="nil"/>
              <w:left w:val="nil"/>
              <w:bottom w:val="single" w:color="auto" w:sz="4" w:space="0"/>
              <w:right w:val="single" w:color="auto" w:sz="4" w:space="0"/>
            </w:tcBorders>
            <w:shd w:val="clear" w:color="auto" w:fill="auto"/>
            <w:noWrap/>
            <w:vAlign w:val="bottom"/>
            <w:hideMark/>
          </w:tcPr>
          <w:p w:rsidRPr="00782771" w:rsidR="00564447" w:rsidP="003C34C5" w:rsidRDefault="00564447" w14:paraId="2EB95B6C" w14:textId="78E64503">
            <w:pPr>
              <w:jc w:val="center"/>
              <w:rPr>
                <w:color w:val="000000"/>
                <w:sz w:val="22"/>
                <w:szCs w:val="22"/>
              </w:rPr>
            </w:pPr>
            <w:r w:rsidRPr="00782771">
              <w:rPr>
                <w:color w:val="000000"/>
                <w:sz w:val="22"/>
                <w:szCs w:val="22"/>
              </w:rPr>
              <w:t>865,925</w:t>
            </w:r>
          </w:p>
        </w:tc>
        <w:tc>
          <w:tcPr>
            <w:tcW w:w="1517" w:type="pct"/>
            <w:tcBorders>
              <w:top w:val="nil"/>
              <w:left w:val="nil"/>
              <w:bottom w:val="single" w:color="auto" w:sz="4" w:space="0"/>
              <w:right w:val="single" w:color="auto" w:sz="4" w:space="0"/>
            </w:tcBorders>
            <w:shd w:val="clear" w:color="auto" w:fill="auto"/>
            <w:noWrap/>
            <w:vAlign w:val="bottom"/>
            <w:hideMark/>
          </w:tcPr>
          <w:p w:rsidRPr="00782771" w:rsidR="00564447" w:rsidP="003C34C5" w:rsidRDefault="00564447" w14:paraId="17F50B7D" w14:textId="0FAF329C">
            <w:pPr>
              <w:jc w:val="center"/>
              <w:rPr>
                <w:color w:val="000000"/>
                <w:sz w:val="22"/>
                <w:szCs w:val="22"/>
              </w:rPr>
            </w:pPr>
            <w:r w:rsidRPr="00782771">
              <w:rPr>
                <w:color w:val="000000"/>
                <w:sz w:val="22"/>
                <w:szCs w:val="22"/>
              </w:rPr>
              <w:t>144,263</w:t>
            </w:r>
            <w:r w:rsidRPr="00782771" w:rsidR="00152FA2">
              <w:rPr>
                <w:color w:val="000000"/>
                <w:sz w:val="22"/>
                <w:szCs w:val="22"/>
              </w:rPr>
              <w:t xml:space="preserve"> </w:t>
            </w:r>
          </w:p>
        </w:tc>
        <w:tc>
          <w:tcPr>
            <w:tcW w:w="1024" w:type="pct"/>
            <w:tcBorders>
              <w:top w:val="nil"/>
              <w:left w:val="nil"/>
              <w:bottom w:val="single" w:color="auto" w:sz="4" w:space="0"/>
              <w:right w:val="single" w:color="auto" w:sz="4" w:space="0"/>
            </w:tcBorders>
            <w:shd w:val="clear" w:color="auto" w:fill="auto"/>
            <w:noWrap/>
            <w:vAlign w:val="bottom"/>
            <w:hideMark/>
          </w:tcPr>
          <w:p w:rsidRPr="00782771" w:rsidR="00564447" w:rsidP="003C34C5" w:rsidRDefault="00564447" w14:paraId="2EC6784D" w14:textId="77777777">
            <w:pPr>
              <w:jc w:val="center"/>
              <w:rPr>
                <w:color w:val="000000"/>
                <w:sz w:val="22"/>
                <w:szCs w:val="22"/>
              </w:rPr>
            </w:pPr>
            <w:r w:rsidRPr="00782771">
              <w:rPr>
                <w:color w:val="000000"/>
                <w:sz w:val="22"/>
                <w:szCs w:val="22"/>
              </w:rPr>
              <w:t>1,010,188</w:t>
            </w:r>
          </w:p>
        </w:tc>
      </w:tr>
    </w:tbl>
    <w:p w:rsidRPr="00782771" w:rsidR="00570376" w:rsidP="001134F1" w:rsidRDefault="00564447" w14:paraId="2AB9A6D1" w14:textId="79D4D0EE">
      <w:pPr>
        <w:rPr>
          <w:bCs/>
        </w:rPr>
      </w:pPr>
      <w:r w:rsidRPr="00782771">
        <w:rPr>
          <w:bCs/>
          <w:sz w:val="20"/>
          <w:szCs w:val="20"/>
        </w:rPr>
        <w:t>Source:  Dodge Constructions Potentials Bulletin, update received September 14, 2020</w:t>
      </w:r>
    </w:p>
    <w:p w:rsidRPr="00782771" w:rsidR="002C786D" w:rsidP="001134F1" w:rsidRDefault="002C786D" w14:paraId="5DD54CE2" w14:textId="24CC6A57">
      <w:pPr>
        <w:rPr>
          <w:bCs/>
          <w:sz w:val="20"/>
          <w:szCs w:val="20"/>
        </w:rPr>
      </w:pPr>
      <w:r w:rsidRPr="00782771">
        <w:rPr>
          <w:bCs/>
          <w:sz w:val="20"/>
          <w:szCs w:val="20"/>
        </w:rPr>
        <w:t xml:space="preserve">Note:  This is just an estimate provided by Dodge. </w:t>
      </w:r>
    </w:p>
    <w:p w:rsidRPr="00782771" w:rsidR="00E617B8" w:rsidP="00E617B8" w:rsidRDefault="00E617B8" w14:paraId="28C05548" w14:textId="0DEBD776">
      <w:pPr>
        <w:rPr>
          <w:bCs/>
        </w:rPr>
      </w:pPr>
      <w:r w:rsidRPr="00782771">
        <w:rPr>
          <w:bCs/>
        </w:rPr>
        <w:t>The following estimates are based on Agency staff experience and its analysis of Agency trench excavation fatality investigation data, as well as data available from McGraw Hill Dodge, and from the Bureau of Labor Statistics. OSHA’s data are most recently from 20</w:t>
      </w:r>
      <w:r w:rsidRPr="00782771" w:rsidR="003B05C6">
        <w:rPr>
          <w:bCs/>
        </w:rPr>
        <w:t>14</w:t>
      </w:r>
      <w:r w:rsidRPr="00782771">
        <w:rPr>
          <w:bCs/>
        </w:rPr>
        <w:t>-201</w:t>
      </w:r>
      <w:r w:rsidRPr="00782771" w:rsidR="003B05C6">
        <w:rPr>
          <w:bCs/>
        </w:rPr>
        <w:t>9</w:t>
      </w:r>
      <w:r w:rsidRPr="00782771">
        <w:rPr>
          <w:bCs/>
        </w:rPr>
        <w:t xml:space="preserve"> trench/excavation fatality case analyses. The analyses indicate that of the 180 investigations 113 cases or 63% were the result of soil collapses (113 cases of 180</w:t>
      </w:r>
      <w:r w:rsidRPr="00782771" w:rsidR="003B05C6">
        <w:rPr>
          <w:bCs/>
        </w:rPr>
        <w:t xml:space="preserve"> equals </w:t>
      </w:r>
      <w:r w:rsidRPr="00782771">
        <w:rPr>
          <w:bCs/>
        </w:rPr>
        <w:t xml:space="preserve">62.7%). The data further revealed that, of the 113 involving soil collapse, only 23 or 20.35% documented use of protective systems (23 ÷ 113 = 20.35%). Ninety (90) cases documented no use of protective systems. Of the remainder, some records indicated that protective systems were inapplicable or simply not discussed.  Also, OSHA staff found, according to the September 2020 “Dodge Construction Potentials Bulletin” published by McGraw Hill, that there were 865,925 residential projects/sites contracted in 2019 (“513,000 One-Family, 134,000 Two-Family, and 218,925 Apartment Buildings” totaling 865,925 sites). Additionally, the Bulletin showed 144,263 non-residential construction projects were contracted in 2019. </w:t>
      </w:r>
    </w:p>
    <w:p w:rsidRPr="00782771" w:rsidR="00E617B8" w:rsidP="00E617B8" w:rsidRDefault="00E617B8" w14:paraId="75947CD3" w14:textId="77777777">
      <w:pPr>
        <w:rPr>
          <w:bCs/>
        </w:rPr>
      </w:pPr>
    </w:p>
    <w:p w:rsidRPr="00782771" w:rsidR="00E617B8" w:rsidP="00E617B8" w:rsidRDefault="00E617B8" w14:paraId="5C85AA67" w14:textId="77777777">
      <w:pPr>
        <w:rPr>
          <w:bCs/>
        </w:rPr>
      </w:pPr>
      <w:r w:rsidRPr="00782771">
        <w:rPr>
          <w:bCs/>
        </w:rPr>
        <w:t>The Agency assumes three propositions:  First, most residential construction excavations are performed within the criteria set in §1926.652(b)(1) and (2) or in §1926.652(c)(1) and (2) without deviation from manufacturer specifications and; therefore, have no burden hour charge; Second, all the non-residential and apartment building construction captured by the Dodge data do require excavation work covered by 29 CFR part 1926, subpart P; and thirdly, by using the most recent Dodge data and the Agency’s excavation fatality case data analysis, OSHA has a more accurate understanding of excavation burden hours than using the relatively crude distinction between “residential” and “commercial” construction as done in the past.</w:t>
      </w:r>
    </w:p>
    <w:p w:rsidRPr="00782771" w:rsidR="00E617B8" w:rsidP="00E617B8" w:rsidRDefault="00E617B8" w14:paraId="0EE72616" w14:textId="77777777">
      <w:pPr>
        <w:rPr>
          <w:bCs/>
        </w:rPr>
      </w:pPr>
    </w:p>
    <w:p w:rsidRPr="00782771" w:rsidR="00E617B8" w:rsidP="00E617B8" w:rsidRDefault="00E617B8" w14:paraId="54ACC659" w14:textId="77777777">
      <w:pPr>
        <w:rPr>
          <w:bCs/>
        </w:rPr>
      </w:pPr>
      <w:r w:rsidRPr="00782771">
        <w:rPr>
          <w:bCs/>
        </w:rPr>
        <w:lastRenderedPageBreak/>
        <w:t>For residential sites on average, the Agency estimates that all one and two family homes or 647,000 projects/sites would not require excavations deeper than 20 feet (513,000 One-Family plus 134,000 Two-Family = 647,000 sites). These sites would be excavated using §1926.652(b) Options 1 and 2 or §1926.652(c) Options 1 and 2 without deviating from manufacturers’ specifications, recommendations and limitations. Since these options rely on information available in the Standard and its appendices there is no associated burden. However, in the case of the 218,925 apartment buildings which are more like non-residential construction, the Agency accrues some burden.</w:t>
      </w:r>
    </w:p>
    <w:p w:rsidRPr="00782771" w:rsidR="00E617B8" w:rsidP="00E617B8" w:rsidRDefault="00E617B8" w14:paraId="0342328E" w14:textId="77777777">
      <w:pPr>
        <w:rPr>
          <w:bCs/>
        </w:rPr>
      </w:pPr>
    </w:p>
    <w:p w:rsidRPr="00782771" w:rsidR="00E617B8" w:rsidP="00E617B8" w:rsidRDefault="00E617B8" w14:paraId="1D9A2C7B" w14:textId="346AD60C">
      <w:pPr>
        <w:rPr>
          <w:bCs/>
        </w:rPr>
      </w:pPr>
      <w:r w:rsidRPr="00782771">
        <w:rPr>
          <w:bCs/>
        </w:rPr>
        <w:t>Applying Agency percentages to Dodge data of apartment and non-residential construction sites produces an estimated 228,808 soil collapse sites [63% of (218,925 apartment sites plus 144,263 non-residential sites) produces 228,808-sites.]. Agency staff further estimates that 10% of the 228,808 sites would require use of §1926.652(b) Option 3 or 4 as well as §1926.652(c) Option 2 paragraph (iii), Option 3, or Option 4. Therefore 22,880.8 sites would require paperwork burden hour calculations (10% of 228,808 produces 22,880.8 site). The Agency further estimates that 25% of these 22,880.8 sites or 5,720.2 sites would require outside contracted professional engineering services while the majority 75% or 17,160.6 sites would be approved in-house.</w:t>
      </w:r>
    </w:p>
    <w:p w:rsidRPr="00782771" w:rsidR="00D11F8B" w:rsidP="00E617B8" w:rsidRDefault="00D11F8B" w14:paraId="6711F7F1" w14:textId="2FA6B025">
      <w:pPr>
        <w:rPr>
          <w:bCs/>
        </w:rPr>
      </w:pPr>
    </w:p>
    <w:p w:rsidRPr="00782771" w:rsidR="00E57011" w:rsidP="001134F1" w:rsidRDefault="00E57011" w14:paraId="08402DD6" w14:textId="77777777">
      <w:pPr>
        <w:rPr>
          <w:bCs/>
        </w:rPr>
      </w:pPr>
    </w:p>
    <w:p w:rsidRPr="00782771" w:rsidR="00E74B4B" w:rsidP="001134F1" w:rsidRDefault="00E74B4B" w14:paraId="13FFA13D" w14:textId="7B67D5AC">
      <w:pPr>
        <w:rPr>
          <w:b/>
          <w:bCs/>
        </w:rPr>
      </w:pPr>
      <w:r w:rsidRPr="00782771">
        <w:rPr>
          <w:b/>
          <w:bCs/>
        </w:rPr>
        <w:t>Wage Rate Determination</w:t>
      </w:r>
      <w:r w:rsidRPr="00782771" w:rsidR="003B05C6">
        <w:rPr>
          <w:b/>
          <w:bCs/>
        </w:rPr>
        <w:t>s</w:t>
      </w:r>
    </w:p>
    <w:p w:rsidRPr="00782771" w:rsidR="00E74B4B" w:rsidP="001134F1" w:rsidRDefault="00E74B4B" w14:paraId="6BDD3B4E" w14:textId="77777777">
      <w:pPr>
        <w:rPr>
          <w:bCs/>
        </w:rPr>
      </w:pPr>
    </w:p>
    <w:p w:rsidRPr="00782771" w:rsidR="008451CD" w:rsidP="008451CD" w:rsidRDefault="008451CD" w14:paraId="6655309D" w14:textId="3B264F5A">
      <w:pPr>
        <w:tabs>
          <w:tab w:val="left" w:pos="-1440"/>
        </w:tabs>
        <w:rPr>
          <w:szCs w:val="22"/>
        </w:rPr>
      </w:pPr>
      <w:r w:rsidRPr="00782771">
        <w:rPr>
          <w:szCs w:val="22"/>
        </w:rP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sidRPr="00782771">
        <w:rPr>
          <w:i/>
          <w:szCs w:val="22"/>
        </w:rPr>
        <w:t>Occupational Employment Statistics (OES)</w:t>
      </w:r>
      <w:r w:rsidRPr="00782771">
        <w:rPr>
          <w:szCs w:val="22"/>
        </w:rPr>
        <w:t xml:space="preserve">, </w:t>
      </w:r>
      <w:r w:rsidRPr="00782771">
        <w:rPr>
          <w:i/>
          <w:szCs w:val="22"/>
        </w:rPr>
        <w:t>May 201</w:t>
      </w:r>
      <w:r w:rsidRPr="00782771" w:rsidR="002C07EC">
        <w:rPr>
          <w:i/>
          <w:szCs w:val="22"/>
        </w:rPr>
        <w:t>9</w:t>
      </w:r>
      <w:r w:rsidRPr="00782771">
        <w:rPr>
          <w:szCs w:val="22"/>
        </w:rPr>
        <w:t xml:space="preserve"> [date accessed:</w:t>
      </w:r>
      <w:r w:rsidRPr="00782771" w:rsidR="008421B4">
        <w:rPr>
          <w:szCs w:val="22"/>
        </w:rPr>
        <w:t xml:space="preserve"> February 23</w:t>
      </w:r>
      <w:r w:rsidRPr="00782771" w:rsidR="002C07EC">
        <w:rPr>
          <w:szCs w:val="22"/>
        </w:rPr>
        <w:t>, 202</w:t>
      </w:r>
      <w:r w:rsidRPr="00782771" w:rsidR="008421B4">
        <w:rPr>
          <w:szCs w:val="22"/>
        </w:rPr>
        <w:t>1</w:t>
      </w:r>
      <w:r w:rsidRPr="00782771">
        <w:rPr>
          <w:szCs w:val="22"/>
        </w:rPr>
        <w:t>].</w:t>
      </w:r>
      <w:r w:rsidRPr="00782771" w:rsidR="0019260B">
        <w:rPr>
          <w:rStyle w:val="FootnoteReference"/>
          <w:szCs w:val="22"/>
        </w:rPr>
        <w:footnoteReference w:id="3"/>
      </w:r>
      <w:r w:rsidRPr="00782771">
        <w:rPr>
          <w:szCs w:val="22"/>
        </w:rPr>
        <w:t xml:space="preserve"> </w:t>
      </w:r>
    </w:p>
    <w:p w:rsidRPr="00782771" w:rsidR="0019260B" w:rsidP="008451CD" w:rsidRDefault="0019260B" w14:paraId="6F72DF71" w14:textId="77777777">
      <w:pPr>
        <w:tabs>
          <w:tab w:val="left" w:pos="-1440"/>
        </w:tabs>
        <w:rPr>
          <w:szCs w:val="22"/>
        </w:rPr>
      </w:pPr>
    </w:p>
    <w:p w:rsidRPr="00782771" w:rsidR="00B76E1F" w:rsidP="008451CD" w:rsidRDefault="002C07EC" w14:paraId="5E9413F0" w14:textId="397A2C46">
      <w:pPr>
        <w:tabs>
          <w:tab w:val="left" w:pos="-1440"/>
        </w:tabs>
        <w:rPr>
          <w:szCs w:val="22"/>
        </w:rPr>
      </w:pPr>
      <w:r w:rsidRPr="00782771">
        <w:rPr>
          <w:szCs w:val="22"/>
        </w:rPr>
        <w:t xml:space="preserve">To derive </w:t>
      </w:r>
      <w:r w:rsidRPr="00782771" w:rsidR="00C32365">
        <w:rPr>
          <w:szCs w:val="22"/>
        </w:rPr>
        <w:t xml:space="preserve">at </w:t>
      </w:r>
      <w:r w:rsidRPr="00782771">
        <w:rPr>
          <w:szCs w:val="22"/>
        </w:rPr>
        <w:t xml:space="preserve">the loaded hourly wage rate, the Agency used data from the Bureau of Labor Statistics’ (BLS) </w:t>
      </w:r>
      <w:r w:rsidRPr="00782771">
        <w:rPr>
          <w:i/>
          <w:szCs w:val="22"/>
        </w:rPr>
        <w:t xml:space="preserve">Occupational Employment Statistics (OES), </w:t>
      </w:r>
      <w:r w:rsidRPr="00782771">
        <w:rPr>
          <w:szCs w:val="22"/>
        </w:rPr>
        <w:t xml:space="preserve">as described in the paragraph above.  Then, the Agency applied to the wage rate a fringe benefit markup </w:t>
      </w:r>
      <w:r w:rsidRPr="00782771" w:rsidR="00B7648C">
        <w:rPr>
          <w:szCs w:val="22"/>
        </w:rPr>
        <w:t>b</w:t>
      </w:r>
      <w:r w:rsidRPr="00782771">
        <w:rPr>
          <w:szCs w:val="22"/>
        </w:rPr>
        <w:t xml:space="preserve">ased on the following BLS </w:t>
      </w:r>
      <w:r w:rsidRPr="00782771" w:rsidR="004D7B82">
        <w:rPr>
          <w:szCs w:val="22"/>
        </w:rPr>
        <w:t xml:space="preserve">release: </w:t>
      </w:r>
      <w:r w:rsidRPr="00782771" w:rsidR="004D7B82">
        <w:rPr>
          <w:i/>
          <w:szCs w:val="22"/>
        </w:rPr>
        <w:t xml:space="preserve">Employer Costs for Compensation </w:t>
      </w:r>
      <w:r w:rsidRPr="00782771" w:rsidR="004D7B82">
        <w:rPr>
          <w:szCs w:val="22"/>
        </w:rPr>
        <w:t xml:space="preserve">news release text; released 10:00 AM (EDT), </w:t>
      </w:r>
      <w:r w:rsidRPr="00782771" w:rsidR="0051296C">
        <w:rPr>
          <w:szCs w:val="22"/>
        </w:rPr>
        <w:t>December 17</w:t>
      </w:r>
      <w:r w:rsidRPr="00782771" w:rsidR="004D7B82">
        <w:rPr>
          <w:szCs w:val="22"/>
        </w:rPr>
        <w:t>, 2020 (</w:t>
      </w:r>
      <w:hyperlink w:history="1" r:id="rId11">
        <w:r w:rsidRPr="00782771" w:rsidR="00E33B3D">
          <w:rPr>
            <w:rStyle w:val="Hyperlink"/>
            <w:szCs w:val="22"/>
          </w:rPr>
          <w:t>https://www.bls.gov/news.release/archives/ecec_12172020.pdf</w:t>
        </w:r>
      </w:hyperlink>
      <w:r w:rsidRPr="00782771" w:rsidR="00E33B3D">
        <w:t xml:space="preserve">). </w:t>
      </w:r>
      <w:r w:rsidRPr="00782771" w:rsidR="004D7B82">
        <w:rPr>
          <w:szCs w:val="22"/>
        </w:rPr>
        <w:t xml:space="preserve"> BLS reported that for </w:t>
      </w:r>
      <w:r w:rsidRPr="00782771" w:rsidR="00A11143">
        <w:rPr>
          <w:szCs w:val="22"/>
        </w:rPr>
        <w:t>private</w:t>
      </w:r>
      <w:r w:rsidRPr="00782771" w:rsidR="004D7B82">
        <w:rPr>
          <w:szCs w:val="22"/>
        </w:rPr>
        <w:t xml:space="preserve"> workers, fringe benefits accounted for </w:t>
      </w:r>
      <w:r w:rsidRPr="00782771" w:rsidR="0051296C">
        <w:rPr>
          <w:szCs w:val="22"/>
        </w:rPr>
        <w:t>29.8</w:t>
      </w:r>
      <w:r w:rsidRPr="00782771" w:rsidR="004D7B82">
        <w:rPr>
          <w:szCs w:val="22"/>
        </w:rPr>
        <w:t xml:space="preserve"> percent of total compensation and wages accounted for the remaining </w:t>
      </w:r>
      <w:r w:rsidRPr="00782771" w:rsidR="0051296C">
        <w:rPr>
          <w:szCs w:val="22"/>
        </w:rPr>
        <w:t>70.2</w:t>
      </w:r>
      <w:r w:rsidRPr="00782771" w:rsidR="004D7B82">
        <w:rPr>
          <w:szCs w:val="22"/>
        </w:rPr>
        <w:t xml:space="preserve"> percent.  To calculate the loaded hourly wage for each occupation, the Agency divided the mean hourly wage rate by 1 minus the fringe benefits as shown in Table 1.   </w:t>
      </w:r>
    </w:p>
    <w:p w:rsidRPr="00782771" w:rsidR="00B76E1F" w:rsidP="008451CD" w:rsidRDefault="00B76E1F" w14:paraId="5C240C4C" w14:textId="77777777">
      <w:pPr>
        <w:tabs>
          <w:tab w:val="left" w:pos="-1440"/>
        </w:tabs>
        <w:rPr>
          <w:szCs w:val="22"/>
        </w:rPr>
      </w:pPr>
    </w:p>
    <w:p w:rsidRPr="00782771" w:rsidR="00B76E1F" w:rsidP="008451CD" w:rsidRDefault="00B76E1F" w14:paraId="70719E86" w14:textId="77777777">
      <w:pPr>
        <w:tabs>
          <w:tab w:val="left" w:pos="-1440"/>
        </w:tabs>
        <w:rPr>
          <w:szCs w:val="22"/>
        </w:rPr>
      </w:pPr>
    </w:p>
    <w:tbl>
      <w:tblP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88"/>
        <w:gridCol w:w="2094"/>
        <w:gridCol w:w="1775"/>
        <w:gridCol w:w="1828"/>
        <w:gridCol w:w="1863"/>
      </w:tblGrid>
      <w:tr w:rsidRPr="00782771" w:rsidR="008451CD" w:rsidTr="00782771" w14:paraId="6227D396" w14:textId="77777777">
        <w:trPr>
          <w:tblHeader/>
          <w:jc w:val="center"/>
        </w:trPr>
        <w:tc>
          <w:tcPr>
            <w:tcW w:w="9648" w:type="dxa"/>
            <w:gridSpan w:val="5"/>
            <w:shd w:val="clear" w:color="auto" w:fill="DBE5F1"/>
          </w:tcPr>
          <w:p w:rsidRPr="00782771" w:rsidR="008451CD" w:rsidRDefault="004D7B82" w14:paraId="51D7E2E2" w14:textId="3E320C1A">
            <w:pPr>
              <w:tabs>
                <w:tab w:val="left" w:pos="-1440"/>
              </w:tabs>
              <w:jc w:val="center"/>
              <w:rPr>
                <w:b/>
                <w:szCs w:val="22"/>
              </w:rPr>
            </w:pPr>
            <w:r w:rsidRPr="00782771">
              <w:rPr>
                <w:b/>
                <w:szCs w:val="22"/>
              </w:rPr>
              <w:lastRenderedPageBreak/>
              <w:t xml:space="preserve">Table 1: </w:t>
            </w:r>
            <w:r w:rsidRPr="00782771" w:rsidR="008451CD">
              <w:rPr>
                <w:b/>
                <w:szCs w:val="22"/>
              </w:rPr>
              <w:t>WAGE HOUR ESTIMATES</w:t>
            </w:r>
          </w:p>
        </w:tc>
      </w:tr>
      <w:tr w:rsidRPr="00782771" w:rsidR="00D23846" w:rsidTr="00782771" w14:paraId="002812BB" w14:textId="77777777">
        <w:trPr>
          <w:tblHeader/>
          <w:jc w:val="center"/>
        </w:trPr>
        <w:tc>
          <w:tcPr>
            <w:tcW w:w="2088" w:type="dxa"/>
            <w:shd w:val="clear" w:color="auto" w:fill="auto"/>
          </w:tcPr>
          <w:p w:rsidRPr="00782771" w:rsidR="004D7B82" w:rsidP="003B3E9B" w:rsidRDefault="008451CD" w14:paraId="2CED1961" w14:textId="77777777">
            <w:pPr>
              <w:tabs>
                <w:tab w:val="left" w:pos="-1440"/>
              </w:tabs>
              <w:jc w:val="center"/>
              <w:rPr>
                <w:b/>
                <w:szCs w:val="22"/>
              </w:rPr>
            </w:pPr>
            <w:r w:rsidRPr="00782771">
              <w:rPr>
                <w:b/>
                <w:szCs w:val="22"/>
              </w:rPr>
              <w:t>Occupational</w:t>
            </w:r>
          </w:p>
          <w:p w:rsidRPr="00782771" w:rsidR="008451CD" w:rsidP="003B3E9B" w:rsidRDefault="008451CD" w14:paraId="1EF369B2" w14:textId="77777777">
            <w:pPr>
              <w:tabs>
                <w:tab w:val="left" w:pos="-1440"/>
              </w:tabs>
              <w:jc w:val="center"/>
              <w:rPr>
                <w:b/>
                <w:szCs w:val="22"/>
              </w:rPr>
            </w:pPr>
            <w:r w:rsidRPr="00782771">
              <w:rPr>
                <w:b/>
                <w:szCs w:val="22"/>
              </w:rPr>
              <w:t>Title</w:t>
            </w:r>
          </w:p>
        </w:tc>
        <w:tc>
          <w:tcPr>
            <w:tcW w:w="2094" w:type="dxa"/>
            <w:shd w:val="clear" w:color="auto" w:fill="auto"/>
          </w:tcPr>
          <w:p w:rsidRPr="00782771" w:rsidR="008451CD" w:rsidP="003B3E9B" w:rsidRDefault="008451CD" w14:paraId="7B2A81C4" w14:textId="77777777">
            <w:pPr>
              <w:tabs>
                <w:tab w:val="left" w:pos="-1440"/>
              </w:tabs>
              <w:jc w:val="center"/>
              <w:rPr>
                <w:b/>
                <w:szCs w:val="22"/>
              </w:rPr>
            </w:pPr>
            <w:r w:rsidRPr="00782771">
              <w:rPr>
                <w:b/>
                <w:szCs w:val="22"/>
              </w:rPr>
              <w:t>Standard Occupation</w:t>
            </w:r>
            <w:r w:rsidRPr="00782771" w:rsidR="004D7B82">
              <w:rPr>
                <w:b/>
                <w:szCs w:val="22"/>
              </w:rPr>
              <w:t>al</w:t>
            </w:r>
            <w:r w:rsidRPr="00782771">
              <w:rPr>
                <w:b/>
                <w:szCs w:val="22"/>
              </w:rPr>
              <w:t xml:space="preserve"> Code</w:t>
            </w:r>
          </w:p>
        </w:tc>
        <w:tc>
          <w:tcPr>
            <w:tcW w:w="1775" w:type="dxa"/>
            <w:shd w:val="clear" w:color="auto" w:fill="auto"/>
          </w:tcPr>
          <w:p w:rsidRPr="00782771" w:rsidR="008451CD" w:rsidP="003B3E9B" w:rsidRDefault="008451CD" w14:paraId="28C12D92" w14:textId="77777777">
            <w:pPr>
              <w:tabs>
                <w:tab w:val="left" w:pos="-1440"/>
              </w:tabs>
              <w:jc w:val="center"/>
              <w:rPr>
                <w:b/>
                <w:szCs w:val="22"/>
              </w:rPr>
            </w:pPr>
            <w:r w:rsidRPr="00782771">
              <w:rPr>
                <w:b/>
                <w:szCs w:val="22"/>
              </w:rPr>
              <w:t>Mean Hour Wage Rate</w:t>
            </w:r>
          </w:p>
          <w:p w:rsidRPr="00782771" w:rsidR="004D7B82" w:rsidP="003B3E9B" w:rsidRDefault="004D7B82" w14:paraId="15FE0D23" w14:textId="77777777">
            <w:pPr>
              <w:tabs>
                <w:tab w:val="left" w:pos="-1440"/>
              </w:tabs>
              <w:jc w:val="center"/>
              <w:rPr>
                <w:b/>
                <w:szCs w:val="22"/>
              </w:rPr>
            </w:pPr>
            <w:r w:rsidRPr="00782771">
              <w:rPr>
                <w:b/>
                <w:szCs w:val="22"/>
              </w:rPr>
              <w:t>(A)</w:t>
            </w:r>
          </w:p>
        </w:tc>
        <w:tc>
          <w:tcPr>
            <w:tcW w:w="1828" w:type="dxa"/>
            <w:shd w:val="clear" w:color="auto" w:fill="auto"/>
          </w:tcPr>
          <w:p w:rsidRPr="00782771" w:rsidR="004D7B82" w:rsidP="003B3E9B" w:rsidRDefault="004D7B82" w14:paraId="4E4ABC0D" w14:textId="77777777">
            <w:pPr>
              <w:tabs>
                <w:tab w:val="left" w:pos="-1440"/>
              </w:tabs>
              <w:jc w:val="center"/>
              <w:rPr>
                <w:b/>
                <w:szCs w:val="22"/>
              </w:rPr>
            </w:pPr>
            <w:r w:rsidRPr="00782771">
              <w:rPr>
                <w:b/>
                <w:szCs w:val="22"/>
              </w:rPr>
              <w:t>Fringe Benefits</w:t>
            </w:r>
          </w:p>
          <w:p w:rsidRPr="00782771" w:rsidR="008451CD" w:rsidP="003B3E9B" w:rsidRDefault="004D7B82" w14:paraId="241D0B60" w14:textId="2107057B">
            <w:pPr>
              <w:tabs>
                <w:tab w:val="left" w:pos="-1440"/>
              </w:tabs>
              <w:jc w:val="center"/>
              <w:rPr>
                <w:b/>
                <w:szCs w:val="22"/>
              </w:rPr>
            </w:pPr>
            <w:r w:rsidRPr="00782771">
              <w:rPr>
                <w:b/>
                <w:szCs w:val="22"/>
              </w:rPr>
              <w:t>(B)</w:t>
            </w:r>
          </w:p>
        </w:tc>
        <w:tc>
          <w:tcPr>
            <w:tcW w:w="1863" w:type="dxa"/>
            <w:shd w:val="clear" w:color="auto" w:fill="auto"/>
          </w:tcPr>
          <w:p w:rsidRPr="00782771" w:rsidR="008451CD" w:rsidP="005D710B" w:rsidRDefault="008451CD" w14:paraId="094A34C0" w14:textId="256A16D4">
            <w:pPr>
              <w:tabs>
                <w:tab w:val="left" w:pos="-1440"/>
              </w:tabs>
              <w:rPr>
                <w:b/>
                <w:szCs w:val="22"/>
              </w:rPr>
            </w:pPr>
            <w:r w:rsidRPr="00782771">
              <w:rPr>
                <w:b/>
                <w:szCs w:val="22"/>
              </w:rPr>
              <w:t xml:space="preserve">Loaded </w:t>
            </w:r>
            <w:r w:rsidRPr="00782771" w:rsidR="004D7B82">
              <w:rPr>
                <w:b/>
                <w:szCs w:val="22"/>
              </w:rPr>
              <w:t>H</w:t>
            </w:r>
            <w:r w:rsidRPr="00782771">
              <w:rPr>
                <w:b/>
                <w:szCs w:val="22"/>
              </w:rPr>
              <w:t>ourly Wage Rate</w:t>
            </w:r>
          </w:p>
          <w:p w:rsidRPr="00782771" w:rsidR="004D7B82" w:rsidP="005D710B" w:rsidRDefault="004D7B82" w14:paraId="7ED6592D" w14:textId="77777777">
            <w:pPr>
              <w:tabs>
                <w:tab w:val="left" w:pos="-1440"/>
              </w:tabs>
              <w:rPr>
                <w:b/>
                <w:szCs w:val="22"/>
              </w:rPr>
            </w:pPr>
            <w:r w:rsidRPr="00782771">
              <w:rPr>
                <w:b/>
                <w:szCs w:val="22"/>
              </w:rPr>
              <w:t>(C) = (A)/(1-B)</w:t>
            </w:r>
          </w:p>
        </w:tc>
      </w:tr>
      <w:tr w:rsidRPr="00782771" w:rsidR="00D23846" w:rsidTr="003B3E9B" w14:paraId="7338663F" w14:textId="77777777">
        <w:trPr>
          <w:trHeight w:val="926"/>
          <w:jc w:val="center"/>
        </w:trPr>
        <w:tc>
          <w:tcPr>
            <w:tcW w:w="2088" w:type="dxa"/>
            <w:shd w:val="clear" w:color="auto" w:fill="auto"/>
            <w:vAlign w:val="bottom"/>
          </w:tcPr>
          <w:p w:rsidRPr="00782771" w:rsidR="008451CD" w:rsidRDefault="00D23846" w14:paraId="1C633B52" w14:textId="0A4CFF52">
            <w:pPr>
              <w:tabs>
                <w:tab w:val="left" w:pos="-1440"/>
              </w:tabs>
              <w:rPr>
                <w:szCs w:val="22"/>
              </w:rPr>
            </w:pPr>
            <w:r w:rsidRPr="00782771">
              <w:rPr>
                <w:szCs w:val="22"/>
              </w:rPr>
              <w:t>Civil Engineer</w:t>
            </w:r>
            <w:r w:rsidRPr="00782771" w:rsidR="004D7B82">
              <w:rPr>
                <w:szCs w:val="22"/>
              </w:rPr>
              <w:t>s</w:t>
            </w:r>
            <w:r w:rsidRPr="00782771" w:rsidR="00911904">
              <w:rPr>
                <w:szCs w:val="22"/>
              </w:rPr>
              <w:t xml:space="preserve"> (Professional</w:t>
            </w:r>
            <w:r w:rsidRPr="00782771" w:rsidR="00D64623">
              <w:rPr>
                <w:szCs w:val="22"/>
              </w:rPr>
              <w:t xml:space="preserve"> Engineer</w:t>
            </w:r>
            <w:r w:rsidRPr="00782771" w:rsidR="00911904">
              <w:rPr>
                <w:szCs w:val="22"/>
              </w:rPr>
              <w:t>)</w:t>
            </w:r>
          </w:p>
        </w:tc>
        <w:tc>
          <w:tcPr>
            <w:tcW w:w="2094" w:type="dxa"/>
            <w:shd w:val="clear" w:color="auto" w:fill="auto"/>
            <w:vAlign w:val="bottom"/>
          </w:tcPr>
          <w:p w:rsidRPr="00782771" w:rsidR="008451CD" w:rsidP="003B3E9B" w:rsidRDefault="00D23846" w14:paraId="25E772C9" w14:textId="77777777">
            <w:pPr>
              <w:tabs>
                <w:tab w:val="left" w:pos="-1440"/>
              </w:tabs>
              <w:jc w:val="center"/>
              <w:rPr>
                <w:szCs w:val="22"/>
              </w:rPr>
            </w:pPr>
            <w:r w:rsidRPr="00782771">
              <w:rPr>
                <w:szCs w:val="22"/>
              </w:rPr>
              <w:t>17-2051</w:t>
            </w:r>
          </w:p>
        </w:tc>
        <w:tc>
          <w:tcPr>
            <w:tcW w:w="1775" w:type="dxa"/>
            <w:shd w:val="clear" w:color="auto" w:fill="auto"/>
            <w:vAlign w:val="bottom"/>
          </w:tcPr>
          <w:p w:rsidRPr="00782771" w:rsidR="008451CD" w:rsidP="003B3E9B" w:rsidRDefault="008451CD" w14:paraId="3B2B6183" w14:textId="46EBB10C">
            <w:pPr>
              <w:tabs>
                <w:tab w:val="left" w:pos="-1440"/>
              </w:tabs>
              <w:jc w:val="center"/>
              <w:rPr>
                <w:szCs w:val="22"/>
              </w:rPr>
            </w:pPr>
            <w:r w:rsidRPr="00782771">
              <w:rPr>
                <w:szCs w:val="22"/>
              </w:rPr>
              <w:t>$</w:t>
            </w:r>
            <w:r w:rsidRPr="00782771" w:rsidR="00911904">
              <w:rPr>
                <w:szCs w:val="22"/>
              </w:rPr>
              <w:t>45.36</w:t>
            </w:r>
          </w:p>
        </w:tc>
        <w:tc>
          <w:tcPr>
            <w:tcW w:w="1828" w:type="dxa"/>
            <w:shd w:val="clear" w:color="auto" w:fill="auto"/>
            <w:vAlign w:val="bottom"/>
          </w:tcPr>
          <w:p w:rsidRPr="00782771" w:rsidR="008451CD" w:rsidP="003B3E9B" w:rsidRDefault="008451CD" w14:paraId="0A48A5ED" w14:textId="1F013E37">
            <w:pPr>
              <w:tabs>
                <w:tab w:val="left" w:pos="-1440"/>
              </w:tabs>
              <w:jc w:val="center"/>
              <w:rPr>
                <w:szCs w:val="22"/>
              </w:rPr>
            </w:pPr>
            <w:r w:rsidRPr="00782771">
              <w:rPr>
                <w:szCs w:val="22"/>
              </w:rPr>
              <w:t>.</w:t>
            </w:r>
            <w:r w:rsidRPr="00782771" w:rsidR="00D1134A">
              <w:rPr>
                <w:szCs w:val="22"/>
              </w:rPr>
              <w:t>298</w:t>
            </w:r>
          </w:p>
        </w:tc>
        <w:tc>
          <w:tcPr>
            <w:tcW w:w="1863" w:type="dxa"/>
            <w:shd w:val="clear" w:color="auto" w:fill="auto"/>
            <w:vAlign w:val="bottom"/>
          </w:tcPr>
          <w:p w:rsidRPr="00782771" w:rsidR="008451CD" w:rsidP="003B3E9B" w:rsidRDefault="008451CD" w14:paraId="20122594" w14:textId="0DBC9415">
            <w:pPr>
              <w:tabs>
                <w:tab w:val="left" w:pos="-1440"/>
              </w:tabs>
              <w:jc w:val="center"/>
              <w:rPr>
                <w:szCs w:val="22"/>
              </w:rPr>
            </w:pPr>
            <w:r w:rsidRPr="00782771">
              <w:rPr>
                <w:szCs w:val="22"/>
              </w:rPr>
              <w:t>$</w:t>
            </w:r>
            <w:r w:rsidRPr="00782771" w:rsidR="00911904">
              <w:rPr>
                <w:szCs w:val="22"/>
              </w:rPr>
              <w:t>6</w:t>
            </w:r>
            <w:r w:rsidRPr="00782771" w:rsidR="008421B4">
              <w:rPr>
                <w:szCs w:val="22"/>
              </w:rPr>
              <w:t>4.62</w:t>
            </w:r>
          </w:p>
        </w:tc>
      </w:tr>
      <w:tr w:rsidRPr="00782771" w:rsidR="00853667" w:rsidTr="003B3E9B" w14:paraId="4DAFABDE" w14:textId="77777777">
        <w:trPr>
          <w:jc w:val="center"/>
        </w:trPr>
        <w:tc>
          <w:tcPr>
            <w:tcW w:w="2088" w:type="dxa"/>
            <w:shd w:val="clear" w:color="auto" w:fill="auto"/>
            <w:vAlign w:val="bottom"/>
          </w:tcPr>
          <w:p w:rsidRPr="00782771" w:rsidR="00911904" w:rsidRDefault="00911904" w14:paraId="55B763AA" w14:textId="77777777">
            <w:pPr>
              <w:tabs>
                <w:tab w:val="left" w:pos="-1440"/>
              </w:tabs>
              <w:rPr>
                <w:bCs/>
              </w:rPr>
            </w:pPr>
            <w:r w:rsidRPr="00782771">
              <w:rPr>
                <w:bCs/>
              </w:rPr>
              <w:t xml:space="preserve">Construction Laborers </w:t>
            </w:r>
          </w:p>
          <w:p w:rsidRPr="00782771" w:rsidR="00853667" w:rsidRDefault="00911904" w14:paraId="7777566F" w14:textId="2B69F4DF">
            <w:pPr>
              <w:tabs>
                <w:tab w:val="left" w:pos="-1440"/>
              </w:tabs>
              <w:rPr>
                <w:bCs/>
              </w:rPr>
            </w:pPr>
            <w:r w:rsidRPr="00782771">
              <w:rPr>
                <w:bCs/>
              </w:rPr>
              <w:t>(Worker)</w:t>
            </w:r>
          </w:p>
        </w:tc>
        <w:tc>
          <w:tcPr>
            <w:tcW w:w="2094" w:type="dxa"/>
            <w:shd w:val="clear" w:color="auto" w:fill="auto"/>
            <w:vAlign w:val="bottom"/>
          </w:tcPr>
          <w:p w:rsidRPr="00782771" w:rsidR="00853667" w:rsidP="003B3E9B" w:rsidRDefault="00853667" w14:paraId="383BCCD2" w14:textId="77777777">
            <w:pPr>
              <w:tabs>
                <w:tab w:val="left" w:pos="-1440"/>
              </w:tabs>
              <w:jc w:val="center"/>
              <w:rPr>
                <w:szCs w:val="22"/>
              </w:rPr>
            </w:pPr>
            <w:r w:rsidRPr="00782771">
              <w:rPr>
                <w:szCs w:val="22"/>
              </w:rPr>
              <w:t>47-2061</w:t>
            </w:r>
          </w:p>
        </w:tc>
        <w:tc>
          <w:tcPr>
            <w:tcW w:w="1775" w:type="dxa"/>
            <w:shd w:val="clear" w:color="auto" w:fill="auto"/>
            <w:vAlign w:val="bottom"/>
          </w:tcPr>
          <w:p w:rsidRPr="00782771" w:rsidR="00853667" w:rsidP="003B3E9B" w:rsidRDefault="00853667" w14:paraId="692D6EBA" w14:textId="1AE3CF14">
            <w:pPr>
              <w:tabs>
                <w:tab w:val="left" w:pos="-1440"/>
              </w:tabs>
              <w:jc w:val="center"/>
              <w:rPr>
                <w:szCs w:val="22"/>
              </w:rPr>
            </w:pPr>
            <w:r w:rsidRPr="00782771">
              <w:rPr>
                <w:szCs w:val="22"/>
              </w:rPr>
              <w:t>$</w:t>
            </w:r>
            <w:r w:rsidRPr="00782771" w:rsidR="00676515">
              <w:rPr>
                <w:szCs w:val="22"/>
              </w:rPr>
              <w:t>20.06</w:t>
            </w:r>
          </w:p>
        </w:tc>
        <w:tc>
          <w:tcPr>
            <w:tcW w:w="1828" w:type="dxa"/>
            <w:shd w:val="clear" w:color="auto" w:fill="auto"/>
            <w:vAlign w:val="bottom"/>
          </w:tcPr>
          <w:p w:rsidRPr="00782771" w:rsidR="00853667" w:rsidP="003B3E9B" w:rsidRDefault="005864EC" w14:paraId="0EFDB8A1" w14:textId="1689A3C7">
            <w:pPr>
              <w:tabs>
                <w:tab w:val="left" w:pos="-1440"/>
              </w:tabs>
              <w:jc w:val="center"/>
              <w:rPr>
                <w:szCs w:val="22"/>
              </w:rPr>
            </w:pPr>
            <w:r w:rsidRPr="00782771">
              <w:rPr>
                <w:szCs w:val="22"/>
              </w:rPr>
              <w:t>.</w:t>
            </w:r>
            <w:r w:rsidRPr="00782771" w:rsidR="00D1134A">
              <w:rPr>
                <w:szCs w:val="22"/>
              </w:rPr>
              <w:t>298</w:t>
            </w:r>
          </w:p>
        </w:tc>
        <w:tc>
          <w:tcPr>
            <w:tcW w:w="1863" w:type="dxa"/>
            <w:shd w:val="clear" w:color="auto" w:fill="auto"/>
            <w:vAlign w:val="bottom"/>
          </w:tcPr>
          <w:p w:rsidRPr="00782771" w:rsidR="00853667" w:rsidP="003B3E9B" w:rsidRDefault="005864EC" w14:paraId="36A0B0E9" w14:textId="395CBAF9">
            <w:pPr>
              <w:tabs>
                <w:tab w:val="left" w:pos="-1440"/>
              </w:tabs>
              <w:jc w:val="center"/>
              <w:rPr>
                <w:szCs w:val="22"/>
              </w:rPr>
            </w:pPr>
            <w:r w:rsidRPr="00782771">
              <w:rPr>
                <w:szCs w:val="22"/>
              </w:rPr>
              <w:t>$</w:t>
            </w:r>
            <w:r w:rsidRPr="00782771" w:rsidR="00676515">
              <w:rPr>
                <w:szCs w:val="22"/>
              </w:rPr>
              <w:t>2</w:t>
            </w:r>
            <w:r w:rsidRPr="00782771" w:rsidR="008421B4">
              <w:rPr>
                <w:szCs w:val="22"/>
              </w:rPr>
              <w:t>8.58</w:t>
            </w:r>
          </w:p>
        </w:tc>
      </w:tr>
    </w:tbl>
    <w:p w:rsidRPr="00782771" w:rsidR="00D754E4" w:rsidP="00134D2E" w:rsidRDefault="00D754E4" w14:paraId="67613997" w14:textId="77777777"/>
    <w:p w:rsidRPr="00782771" w:rsidR="001A02A5" w:rsidP="00D754E4" w:rsidRDefault="001A02A5" w14:paraId="17EB3CCF" w14:textId="77777777">
      <w:pPr>
        <w:rPr>
          <w:b/>
          <w:bCs/>
        </w:rPr>
      </w:pPr>
      <w:r w:rsidRPr="00782771">
        <w:rPr>
          <w:b/>
          <w:bCs/>
        </w:rPr>
        <w:t>Non-Residential Burden and Wage Hour Costs</w:t>
      </w:r>
    </w:p>
    <w:p w:rsidRPr="00782771" w:rsidR="001A02A5" w:rsidP="001A02A5" w:rsidRDefault="001A02A5" w14:paraId="36889A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782771" w:rsidR="005D3880" w:rsidP="001A02A5" w:rsidRDefault="001A02A5" w14:paraId="4660DB0D" w14:textId="357DA658">
      <w:pPr>
        <w:rPr>
          <w:bCs/>
        </w:rPr>
      </w:pPr>
      <w:r w:rsidRPr="00782771">
        <w:rPr>
          <w:bCs/>
        </w:rPr>
        <w:t xml:space="preserve">Based on staff familiarity with construction and conversations with knowledgeable industry representatives, OSHA estimated above that </w:t>
      </w:r>
      <w:r w:rsidRPr="00782771" w:rsidR="00071332">
        <w:rPr>
          <w:bCs/>
        </w:rPr>
        <w:t>22,880.8</w:t>
      </w:r>
      <w:r w:rsidRPr="00782771">
        <w:rPr>
          <w:bCs/>
        </w:rPr>
        <w:t xml:space="preserve"> sites would be required to create, store and retrieve paperwork under §§1926.652(b)(3) and (b)(4) as well as under §§1926.652(c)(2)(iii), (c)(3), and (c)(4).  </w:t>
      </w:r>
    </w:p>
    <w:p w:rsidRPr="00782771" w:rsidR="005D3880" w:rsidP="001A02A5" w:rsidRDefault="005D3880" w14:paraId="0A859BAF" w14:textId="77777777">
      <w:pPr>
        <w:rPr>
          <w:bCs/>
        </w:rPr>
      </w:pPr>
    </w:p>
    <w:p w:rsidRPr="00782771" w:rsidR="001A02A5" w:rsidP="001A02A5" w:rsidRDefault="001A02A5" w14:paraId="31A3CC80" w14:textId="1C271DB5">
      <w:pPr>
        <w:rPr>
          <w:bCs/>
        </w:rPr>
      </w:pPr>
      <w:r w:rsidRPr="00782771">
        <w:rPr>
          <w:bCs/>
        </w:rPr>
        <w:t xml:space="preserve">The Agency estimates that for </w:t>
      </w:r>
      <w:r w:rsidRPr="00782771" w:rsidR="00071332">
        <w:rPr>
          <w:bCs/>
        </w:rPr>
        <w:t>17,160.6</w:t>
      </w:r>
      <w:r w:rsidRPr="00782771">
        <w:rPr>
          <w:bCs/>
        </w:rPr>
        <w:t xml:space="preserve"> of the </w:t>
      </w:r>
      <w:r w:rsidRPr="00782771" w:rsidR="00071332">
        <w:rPr>
          <w:bCs/>
        </w:rPr>
        <w:t>22,880</w:t>
      </w:r>
      <w:r w:rsidRPr="00782771">
        <w:rPr>
          <w:bCs/>
        </w:rPr>
        <w:t xml:space="preserve"> sites, an in-house registered professional engineer, earning $</w:t>
      </w:r>
      <w:r w:rsidRPr="00782771" w:rsidR="00676515">
        <w:rPr>
          <w:bCs/>
        </w:rPr>
        <w:t>6</w:t>
      </w:r>
      <w:r w:rsidRPr="00782771" w:rsidR="008421B4">
        <w:rPr>
          <w:bCs/>
        </w:rPr>
        <w:t>4.62</w:t>
      </w:r>
      <w:r w:rsidRPr="00782771">
        <w:rPr>
          <w:bCs/>
        </w:rPr>
        <w:t xml:space="preserve"> per hour, on average takes 2 hours to create, modify (deviate from manufacturers’ specifications), or to approve the required protective system designs or materials.</w:t>
      </w:r>
    </w:p>
    <w:p w:rsidRPr="00782771" w:rsidR="007101AC" w:rsidP="00FB65CB" w:rsidRDefault="007101AC" w14:paraId="6B370E54" w14:textId="77777777">
      <w:pPr>
        <w:rPr>
          <w:bCs/>
        </w:rPr>
      </w:pPr>
    </w:p>
    <w:p w:rsidRPr="00782771" w:rsidR="00792B0F" w:rsidP="00FB65CB" w:rsidRDefault="00994890" w14:paraId="04EEC487" w14:textId="7E402D88">
      <w:pPr>
        <w:rPr>
          <w:b/>
          <w:bCs/>
          <w:sz w:val="20"/>
          <w:szCs w:val="20"/>
        </w:rPr>
      </w:pPr>
      <w:r w:rsidRPr="00782771">
        <w:rPr>
          <w:b/>
          <w:bCs/>
          <w:sz w:val="20"/>
          <w:szCs w:val="20"/>
        </w:rPr>
        <w:t xml:space="preserve"> </w:t>
      </w:r>
    </w:p>
    <w:p w:rsidRPr="00782771" w:rsidR="00994890" w:rsidP="005B52CE" w:rsidRDefault="005E6C14" w14:paraId="56F62EBB" w14:textId="72484F61">
      <w:pPr>
        <w:ind w:left="720"/>
        <w:rPr>
          <w:b/>
          <w:bCs/>
        </w:rPr>
      </w:pPr>
      <w:r w:rsidRPr="00782771">
        <w:rPr>
          <w:b/>
          <w:bCs/>
        </w:rPr>
        <w:t>Burden hours</w:t>
      </w:r>
      <w:r w:rsidRPr="00782771">
        <w:rPr>
          <w:bCs/>
        </w:rPr>
        <w:t>:</w:t>
      </w:r>
      <w:r w:rsidRPr="00782771" w:rsidR="00030A8E">
        <w:rPr>
          <w:bCs/>
        </w:rPr>
        <w:t xml:space="preserve"> </w:t>
      </w:r>
      <w:r w:rsidR="005B52CE">
        <w:rPr>
          <w:bCs/>
        </w:rPr>
        <w:tab/>
      </w:r>
      <w:r w:rsidRPr="00782771" w:rsidR="00071332">
        <w:rPr>
          <w:bCs/>
        </w:rPr>
        <w:t>17,</w:t>
      </w:r>
      <w:r w:rsidRPr="00782771" w:rsidR="00C76027">
        <w:rPr>
          <w:bCs/>
        </w:rPr>
        <w:t>160.6</w:t>
      </w:r>
      <w:r w:rsidRPr="00782771" w:rsidR="00030A8E">
        <w:rPr>
          <w:bCs/>
        </w:rPr>
        <w:t xml:space="preserve"> </w:t>
      </w:r>
      <w:r w:rsidRPr="00782771" w:rsidR="0089591E">
        <w:rPr>
          <w:bCs/>
        </w:rPr>
        <w:t>projects/sites</w:t>
      </w:r>
      <w:r w:rsidRPr="00782771" w:rsidR="001134F1">
        <w:rPr>
          <w:bCs/>
        </w:rPr>
        <w:t xml:space="preserve"> x 2 hours per design</w:t>
      </w:r>
      <w:r w:rsidRPr="00782771" w:rsidR="00994890">
        <w:rPr>
          <w:bCs/>
        </w:rPr>
        <w:t xml:space="preserve"> = </w:t>
      </w:r>
      <w:r w:rsidRPr="00782771" w:rsidR="00C76027">
        <w:rPr>
          <w:bCs/>
        </w:rPr>
        <w:t>34,321.2</w:t>
      </w:r>
      <w:r w:rsidRPr="00782771" w:rsidR="002C353C">
        <w:rPr>
          <w:bCs/>
        </w:rPr>
        <w:t xml:space="preserve"> </w:t>
      </w:r>
      <w:r w:rsidRPr="00782771" w:rsidR="00994890">
        <w:rPr>
          <w:bCs/>
        </w:rPr>
        <w:t>hours</w:t>
      </w:r>
    </w:p>
    <w:p w:rsidRPr="00782771" w:rsidR="0089591E" w:rsidP="005B52CE" w:rsidRDefault="0089591E" w14:paraId="3D6BA4E9" w14:textId="60908EF8">
      <w:pPr>
        <w:ind w:left="720" w:firstLine="720"/>
        <w:rPr>
          <w:b/>
          <w:bCs/>
        </w:rPr>
      </w:pPr>
      <w:r w:rsidRPr="00782771">
        <w:rPr>
          <w:b/>
          <w:bCs/>
        </w:rPr>
        <w:t>Cost</w:t>
      </w:r>
      <w:r w:rsidRPr="00782771">
        <w:rPr>
          <w:bCs/>
        </w:rPr>
        <w:t>:</w:t>
      </w:r>
      <w:r w:rsidR="005B52CE">
        <w:rPr>
          <w:bCs/>
        </w:rPr>
        <w:tab/>
      </w:r>
      <w:r w:rsidR="005B52CE">
        <w:rPr>
          <w:bCs/>
        </w:rPr>
        <w:tab/>
      </w:r>
      <w:r w:rsidRPr="00782771" w:rsidR="00C76027">
        <w:rPr>
          <w:bCs/>
        </w:rPr>
        <w:t>34,321.2</w:t>
      </w:r>
      <w:r w:rsidRPr="00782771" w:rsidR="00030A8E">
        <w:rPr>
          <w:bCs/>
        </w:rPr>
        <w:t xml:space="preserve"> </w:t>
      </w:r>
      <w:r w:rsidRPr="00782771" w:rsidR="0012761C">
        <w:rPr>
          <w:bCs/>
        </w:rPr>
        <w:t xml:space="preserve">hours x </w:t>
      </w:r>
      <w:r w:rsidRPr="00782771" w:rsidR="00030A8E">
        <w:rPr>
          <w:bCs/>
        </w:rPr>
        <w:t>$</w:t>
      </w:r>
      <w:r w:rsidRPr="00782771" w:rsidR="008421B4">
        <w:rPr>
          <w:bCs/>
        </w:rPr>
        <w:t>64.62</w:t>
      </w:r>
      <w:r w:rsidRPr="00782771" w:rsidR="0012761C">
        <w:rPr>
          <w:bCs/>
        </w:rPr>
        <w:t xml:space="preserve"> = </w:t>
      </w:r>
      <w:r w:rsidRPr="00782771" w:rsidR="00B40106">
        <w:rPr>
          <w:bCs/>
        </w:rPr>
        <w:t>$</w:t>
      </w:r>
      <w:r w:rsidRPr="00782771" w:rsidR="00C76027">
        <w:rPr>
          <w:bCs/>
        </w:rPr>
        <w:t>2,217,835.94</w:t>
      </w:r>
    </w:p>
    <w:p w:rsidRPr="00782771" w:rsidR="005E6C14" w:rsidP="00707DD9" w:rsidRDefault="005E6C14" w14:paraId="65A244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Pr="00782771" w:rsidR="00C71AF3" w:rsidP="00FB65CB" w:rsidRDefault="00B36AA2" w14:paraId="1D29E140" w14:textId="2BE4E54B">
      <w:pPr>
        <w:rPr>
          <w:b/>
          <w:bCs/>
        </w:rPr>
      </w:pPr>
      <w:r w:rsidRPr="00782771">
        <w:rPr>
          <w:bCs/>
        </w:rPr>
        <w:t>Also</w:t>
      </w:r>
      <w:r w:rsidRPr="00782771" w:rsidR="00676515">
        <w:rPr>
          <w:bCs/>
        </w:rPr>
        <w:t>,</w:t>
      </w:r>
      <w:r w:rsidRPr="00782771">
        <w:rPr>
          <w:bCs/>
        </w:rPr>
        <w:t xml:space="preserve"> the Agency estimates that </w:t>
      </w:r>
      <w:r w:rsidRPr="00782771" w:rsidR="00792E9F">
        <w:rPr>
          <w:bCs/>
        </w:rPr>
        <w:t>on average</w:t>
      </w:r>
      <w:r w:rsidRPr="00782771" w:rsidR="00EC19CA">
        <w:rPr>
          <w:bCs/>
        </w:rPr>
        <w:t>,</w:t>
      </w:r>
      <w:r w:rsidRPr="00782771" w:rsidR="00792E9F">
        <w:rPr>
          <w:bCs/>
        </w:rPr>
        <w:t xml:space="preserve"> </w:t>
      </w:r>
      <w:r w:rsidRPr="00782771">
        <w:rPr>
          <w:bCs/>
        </w:rPr>
        <w:t>it would take a non</w:t>
      </w:r>
      <w:r w:rsidRPr="00782771" w:rsidR="0055654F">
        <w:rPr>
          <w:bCs/>
        </w:rPr>
        <w:t>-</w:t>
      </w:r>
      <w:r w:rsidRPr="00782771">
        <w:rPr>
          <w:bCs/>
        </w:rPr>
        <w:t>supervisory construction</w:t>
      </w:r>
      <w:r w:rsidRPr="00782771" w:rsidR="00BC498A">
        <w:rPr>
          <w:bCs/>
        </w:rPr>
        <w:t xml:space="preserve"> worker/</w:t>
      </w:r>
      <w:r w:rsidRPr="00782771" w:rsidR="006B57DE">
        <w:rPr>
          <w:bCs/>
        </w:rPr>
        <w:t>laborer</w:t>
      </w:r>
      <w:r w:rsidRPr="00782771">
        <w:rPr>
          <w:bCs/>
        </w:rPr>
        <w:t xml:space="preserve"> </w:t>
      </w:r>
      <w:r w:rsidRPr="00782771" w:rsidR="00246989">
        <w:rPr>
          <w:bCs/>
        </w:rPr>
        <w:t xml:space="preserve">earning </w:t>
      </w:r>
      <w:r w:rsidRPr="00782771" w:rsidR="00994890">
        <w:rPr>
          <w:bCs/>
        </w:rPr>
        <w:t>$</w:t>
      </w:r>
      <w:r w:rsidRPr="00782771" w:rsidR="008B739D">
        <w:rPr>
          <w:bCs/>
        </w:rPr>
        <w:t>2</w:t>
      </w:r>
      <w:r w:rsidRPr="00782771" w:rsidR="008421B4">
        <w:rPr>
          <w:bCs/>
        </w:rPr>
        <w:t>8.58</w:t>
      </w:r>
      <w:r w:rsidRPr="00782771" w:rsidR="004E3BA5">
        <w:rPr>
          <w:bCs/>
        </w:rPr>
        <w:t xml:space="preserve"> </w:t>
      </w:r>
      <w:r w:rsidRPr="00782771" w:rsidR="0055654F">
        <w:rPr>
          <w:bCs/>
        </w:rPr>
        <w:t>per hour</w:t>
      </w:r>
      <w:r w:rsidRPr="00782771" w:rsidR="00994890">
        <w:rPr>
          <w:bCs/>
        </w:rPr>
        <w:t>,</w:t>
      </w:r>
      <w:r w:rsidRPr="00782771" w:rsidR="00246989">
        <w:rPr>
          <w:bCs/>
        </w:rPr>
        <w:t xml:space="preserve"> </w:t>
      </w:r>
      <w:r w:rsidRPr="00782771" w:rsidR="00DA061F">
        <w:rPr>
          <w:bCs/>
        </w:rPr>
        <w:t xml:space="preserve">15 minutes </w:t>
      </w:r>
      <w:r w:rsidRPr="00782771" w:rsidR="00E470D9">
        <w:rPr>
          <w:bCs/>
        </w:rPr>
        <w:t>(15/60 hour) o</w:t>
      </w:r>
      <w:r w:rsidRPr="00782771" w:rsidR="00DA061F">
        <w:rPr>
          <w:bCs/>
        </w:rPr>
        <w:t>n average</w:t>
      </w:r>
      <w:r w:rsidRPr="00782771" w:rsidR="00246989">
        <w:rPr>
          <w:bCs/>
        </w:rPr>
        <w:t xml:space="preserve"> </w:t>
      </w:r>
      <w:r w:rsidRPr="00782771">
        <w:rPr>
          <w:bCs/>
        </w:rPr>
        <w:t xml:space="preserve">to </w:t>
      </w:r>
      <w:r w:rsidRPr="00782771" w:rsidR="00BC5E19">
        <w:rPr>
          <w:bCs/>
        </w:rPr>
        <w:t>maintain</w:t>
      </w:r>
      <w:r w:rsidRPr="00782771" w:rsidR="00DA061F">
        <w:rPr>
          <w:bCs/>
        </w:rPr>
        <w:t>,</w:t>
      </w:r>
      <w:r w:rsidRPr="00782771">
        <w:rPr>
          <w:bCs/>
        </w:rPr>
        <w:t xml:space="preserve"> retrieve</w:t>
      </w:r>
      <w:r w:rsidRPr="00782771" w:rsidR="0089591E">
        <w:rPr>
          <w:bCs/>
        </w:rPr>
        <w:t xml:space="preserve"> or</w:t>
      </w:r>
      <w:r w:rsidRPr="00782771" w:rsidR="00DA061F">
        <w:rPr>
          <w:bCs/>
        </w:rPr>
        <w:t xml:space="preserve"> remotely retriev</w:t>
      </w:r>
      <w:r w:rsidRPr="00782771" w:rsidR="0089591E">
        <w:rPr>
          <w:bCs/>
        </w:rPr>
        <w:t>e</w:t>
      </w:r>
      <w:r w:rsidRPr="00782771">
        <w:rPr>
          <w:bCs/>
        </w:rPr>
        <w:t xml:space="preserve"> the required written designs</w:t>
      </w:r>
      <w:r w:rsidRPr="00782771">
        <w:rPr>
          <w:b/>
          <w:bCs/>
        </w:rPr>
        <w:t xml:space="preserve">. </w:t>
      </w:r>
      <w:r w:rsidRPr="00782771" w:rsidR="00994890">
        <w:rPr>
          <w:b/>
          <w:bCs/>
        </w:rPr>
        <w:t xml:space="preserve">   </w:t>
      </w:r>
    </w:p>
    <w:p w:rsidRPr="00782771" w:rsidR="00627611" w:rsidP="00FB65CB" w:rsidRDefault="00627611" w14:paraId="4B4327C8" w14:textId="77777777">
      <w:pPr>
        <w:rPr>
          <w:b/>
          <w:bCs/>
        </w:rPr>
      </w:pPr>
    </w:p>
    <w:p w:rsidRPr="00782771" w:rsidR="002472A1" w:rsidP="00FB65CB" w:rsidRDefault="002472A1" w14:paraId="1A3938FC" w14:textId="77777777">
      <w:pPr>
        <w:rPr>
          <w:bCs/>
        </w:rPr>
      </w:pPr>
    </w:p>
    <w:p w:rsidRPr="00782771" w:rsidR="00994890" w:rsidP="00A25D33" w:rsidRDefault="004C0FFB" w14:paraId="204BC848" w14:textId="58DD594B">
      <w:pPr>
        <w:tabs>
          <w:tab w:val="left" w:pos="3150"/>
        </w:tabs>
        <w:ind w:left="720" w:firstLine="720"/>
        <w:rPr>
          <w:bCs/>
        </w:rPr>
      </w:pPr>
      <w:r w:rsidRPr="00782771">
        <w:rPr>
          <w:b/>
          <w:bCs/>
        </w:rPr>
        <w:t>Burden hours</w:t>
      </w:r>
      <w:r w:rsidRPr="00782771">
        <w:rPr>
          <w:bCs/>
        </w:rPr>
        <w:t>:</w:t>
      </w:r>
      <w:r w:rsidRPr="00782771" w:rsidR="00994890">
        <w:rPr>
          <w:bCs/>
        </w:rPr>
        <w:t xml:space="preserve"> </w:t>
      </w:r>
      <w:r w:rsidRPr="00782771" w:rsidR="00792B0F">
        <w:rPr>
          <w:bCs/>
        </w:rPr>
        <w:t xml:space="preserve"> </w:t>
      </w:r>
      <w:r w:rsidRPr="00782771" w:rsidR="00C76027">
        <w:rPr>
          <w:bCs/>
        </w:rPr>
        <w:t>22,880.8</w:t>
      </w:r>
      <w:r w:rsidRPr="00782771" w:rsidR="00692675">
        <w:rPr>
          <w:bCs/>
        </w:rPr>
        <w:t xml:space="preserve"> </w:t>
      </w:r>
      <w:r w:rsidRPr="00782771">
        <w:rPr>
          <w:bCs/>
        </w:rPr>
        <w:t xml:space="preserve">projects/sites </w:t>
      </w:r>
      <w:r w:rsidRPr="00782771" w:rsidR="005578A0">
        <w:rPr>
          <w:bCs/>
        </w:rPr>
        <w:t>x</w:t>
      </w:r>
      <w:r w:rsidRPr="00782771">
        <w:rPr>
          <w:bCs/>
        </w:rPr>
        <w:t xml:space="preserve"> </w:t>
      </w:r>
      <w:r w:rsidRPr="00782771" w:rsidR="005A737B">
        <w:rPr>
          <w:bCs/>
        </w:rPr>
        <w:t>15/60</w:t>
      </w:r>
      <w:r w:rsidRPr="00782771">
        <w:rPr>
          <w:bCs/>
        </w:rPr>
        <w:t xml:space="preserve"> hour =</w:t>
      </w:r>
      <w:r w:rsidRPr="00782771" w:rsidR="009E144E">
        <w:rPr>
          <w:bCs/>
        </w:rPr>
        <w:t xml:space="preserve"> </w:t>
      </w:r>
      <w:r w:rsidRPr="00782771" w:rsidR="00E617B8">
        <w:rPr>
          <w:bCs/>
        </w:rPr>
        <w:t>5,720.2</w:t>
      </w:r>
    </w:p>
    <w:p w:rsidRPr="00782771" w:rsidR="00104866" w:rsidP="00A25D33" w:rsidRDefault="00104866" w14:paraId="164F367E" w14:textId="37BA9AD9">
      <w:pPr>
        <w:tabs>
          <w:tab w:val="left" w:pos="3060"/>
        </w:tabs>
        <w:ind w:left="1440" w:firstLine="900"/>
        <w:rPr>
          <w:bCs/>
        </w:rPr>
      </w:pPr>
      <w:r w:rsidRPr="00782771">
        <w:rPr>
          <w:b/>
          <w:bCs/>
        </w:rPr>
        <w:t>Cost</w:t>
      </w:r>
      <w:r w:rsidRPr="00782771">
        <w:rPr>
          <w:bCs/>
        </w:rPr>
        <w:t>:</w:t>
      </w:r>
      <w:r w:rsidRPr="00782771" w:rsidR="00994890">
        <w:rPr>
          <w:bCs/>
        </w:rPr>
        <w:t xml:space="preserve"> </w:t>
      </w:r>
      <w:r w:rsidRPr="00782771" w:rsidR="00E470D9">
        <w:rPr>
          <w:bCs/>
        </w:rPr>
        <w:t xml:space="preserve">  </w:t>
      </w:r>
      <w:r w:rsidRPr="00782771" w:rsidR="00E617B8">
        <w:rPr>
          <w:bCs/>
        </w:rPr>
        <w:t>5,720.2</w:t>
      </w:r>
      <w:r w:rsidRPr="00782771" w:rsidR="00D148AE">
        <w:rPr>
          <w:bCs/>
        </w:rPr>
        <w:t xml:space="preserve"> </w:t>
      </w:r>
      <w:r w:rsidRPr="00782771">
        <w:rPr>
          <w:bCs/>
        </w:rPr>
        <w:t xml:space="preserve">hours </w:t>
      </w:r>
      <w:r w:rsidRPr="00782771" w:rsidR="00994890">
        <w:rPr>
          <w:bCs/>
        </w:rPr>
        <w:t>x</w:t>
      </w:r>
      <w:r w:rsidRPr="00782771">
        <w:rPr>
          <w:bCs/>
        </w:rPr>
        <w:t xml:space="preserve"> $</w:t>
      </w:r>
      <w:r w:rsidRPr="00782771" w:rsidR="00676515">
        <w:rPr>
          <w:bCs/>
        </w:rPr>
        <w:t>2</w:t>
      </w:r>
      <w:r w:rsidRPr="00782771" w:rsidR="008421B4">
        <w:rPr>
          <w:bCs/>
        </w:rPr>
        <w:t>8.58</w:t>
      </w:r>
      <w:r w:rsidRPr="00782771">
        <w:rPr>
          <w:bCs/>
        </w:rPr>
        <w:t xml:space="preserve"> = $</w:t>
      </w:r>
      <w:r w:rsidRPr="00782771" w:rsidR="00E617B8">
        <w:rPr>
          <w:bCs/>
        </w:rPr>
        <w:t>163,483.32</w:t>
      </w:r>
    </w:p>
    <w:p w:rsidRPr="00782771" w:rsidR="005E6C14" w:rsidP="00707DD9" w:rsidRDefault="005E6C14" w14:paraId="77EA4C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82771" w:rsidP="00994890" w:rsidRDefault="00782771" w14:paraId="01F2DDB3" w14:textId="77777777">
      <w:pPr>
        <w:pStyle w:val="Default"/>
        <w:rPr>
          <w:color w:val="auto"/>
        </w:rPr>
      </w:pPr>
    </w:p>
    <w:p w:rsidR="00782771" w:rsidP="00994890" w:rsidRDefault="00782771" w14:paraId="3245E224" w14:textId="77777777">
      <w:pPr>
        <w:pStyle w:val="Default"/>
        <w:rPr>
          <w:color w:val="auto"/>
        </w:rPr>
      </w:pPr>
    </w:p>
    <w:p w:rsidR="00782771" w:rsidP="00994890" w:rsidRDefault="00782771" w14:paraId="5860C72F" w14:textId="77777777">
      <w:pPr>
        <w:pStyle w:val="Default"/>
        <w:rPr>
          <w:color w:val="auto"/>
        </w:rPr>
      </w:pPr>
    </w:p>
    <w:p w:rsidR="00782771" w:rsidP="00994890" w:rsidRDefault="00782771" w14:paraId="657F49CC" w14:textId="77777777">
      <w:pPr>
        <w:pStyle w:val="Default"/>
        <w:rPr>
          <w:color w:val="auto"/>
        </w:rPr>
      </w:pPr>
    </w:p>
    <w:p w:rsidR="00782771" w:rsidP="00994890" w:rsidRDefault="00782771" w14:paraId="2FA14DF3" w14:textId="77777777">
      <w:pPr>
        <w:pStyle w:val="Default"/>
        <w:rPr>
          <w:color w:val="auto"/>
        </w:rPr>
      </w:pPr>
    </w:p>
    <w:p w:rsidR="00782771" w:rsidP="00994890" w:rsidRDefault="00782771" w14:paraId="790D33DF" w14:textId="77777777">
      <w:pPr>
        <w:pStyle w:val="Default"/>
        <w:rPr>
          <w:color w:val="auto"/>
        </w:rPr>
      </w:pPr>
    </w:p>
    <w:p w:rsidR="00782771" w:rsidP="00994890" w:rsidRDefault="00782771" w14:paraId="2A30FB30" w14:textId="77777777">
      <w:pPr>
        <w:pStyle w:val="Default"/>
        <w:rPr>
          <w:color w:val="auto"/>
        </w:rPr>
      </w:pPr>
    </w:p>
    <w:p w:rsidR="00782771" w:rsidP="00994890" w:rsidRDefault="00782771" w14:paraId="4E7A1393" w14:textId="77777777">
      <w:pPr>
        <w:pStyle w:val="Default"/>
        <w:rPr>
          <w:color w:val="auto"/>
        </w:rPr>
      </w:pPr>
    </w:p>
    <w:p w:rsidR="00782771" w:rsidP="00994890" w:rsidRDefault="00782771" w14:paraId="34D06E3F" w14:textId="77777777">
      <w:pPr>
        <w:pStyle w:val="Default"/>
        <w:rPr>
          <w:color w:val="auto"/>
        </w:rPr>
      </w:pPr>
    </w:p>
    <w:p w:rsidR="00782771" w:rsidP="00994890" w:rsidRDefault="00782771" w14:paraId="3CB0CA2C" w14:textId="77777777">
      <w:pPr>
        <w:pStyle w:val="Default"/>
        <w:rPr>
          <w:color w:val="auto"/>
        </w:rPr>
      </w:pPr>
    </w:p>
    <w:p w:rsidR="00782771" w:rsidP="00994890" w:rsidRDefault="00782771" w14:paraId="05BE5DD9" w14:textId="77777777">
      <w:pPr>
        <w:pStyle w:val="Default"/>
        <w:rPr>
          <w:color w:val="auto"/>
        </w:rPr>
      </w:pPr>
    </w:p>
    <w:p w:rsidR="00782771" w:rsidP="00994890" w:rsidRDefault="00782771" w14:paraId="3D539359" w14:textId="77777777">
      <w:pPr>
        <w:pStyle w:val="Default"/>
        <w:rPr>
          <w:color w:val="auto"/>
        </w:rPr>
      </w:pPr>
    </w:p>
    <w:p w:rsidR="00782771" w:rsidP="00994890" w:rsidRDefault="00782771" w14:paraId="72CD7118" w14:textId="77777777">
      <w:pPr>
        <w:pStyle w:val="Default"/>
        <w:rPr>
          <w:color w:val="auto"/>
        </w:rPr>
      </w:pPr>
    </w:p>
    <w:p w:rsidR="00782771" w:rsidP="00994890" w:rsidRDefault="00782771" w14:paraId="0289B7EE" w14:textId="77777777">
      <w:pPr>
        <w:pStyle w:val="Default"/>
        <w:rPr>
          <w:color w:val="auto"/>
        </w:rPr>
        <w:sectPr w:rsidR="00782771" w:rsidSect="00782771">
          <w:headerReference w:type="default" r:id="rId12"/>
          <w:footerReference w:type="even" r:id="rId13"/>
          <w:footerReference w:type="default" r:id="rId14"/>
          <w:headerReference w:type="first" r:id="rId15"/>
          <w:footerReference w:type="first" r:id="rId16"/>
          <w:pgSz w:w="12240" w:h="15840" w:code="1"/>
          <w:pgMar w:top="1440" w:right="1440" w:bottom="1440" w:left="1440" w:header="576" w:footer="576" w:gutter="0"/>
          <w:cols w:space="720"/>
          <w:docGrid w:linePitch="360"/>
        </w:sectPr>
      </w:pPr>
    </w:p>
    <w:p w:rsidRPr="00782771" w:rsidR="00994890" w:rsidP="00994890" w:rsidRDefault="00994890" w14:paraId="7282C477" w14:textId="0225E332">
      <w:pPr>
        <w:pStyle w:val="Default"/>
        <w:rPr>
          <w:color w:val="auto"/>
        </w:rPr>
      </w:pPr>
      <w:r w:rsidRPr="00782771">
        <w:rPr>
          <w:color w:val="auto"/>
        </w:rPr>
        <w:lastRenderedPageBreak/>
        <w:t xml:space="preserve">Therefore, the </w:t>
      </w:r>
      <w:r w:rsidRPr="00782771" w:rsidR="005B3B9D">
        <w:rPr>
          <w:color w:val="auto"/>
        </w:rPr>
        <w:t xml:space="preserve">total </w:t>
      </w:r>
      <w:r w:rsidRPr="00782771">
        <w:rPr>
          <w:color w:val="auto"/>
        </w:rPr>
        <w:t xml:space="preserve">annual burden hours and cost of this paperwork requirement </w:t>
      </w:r>
      <w:r w:rsidRPr="00782771" w:rsidR="005B3B9D">
        <w:rPr>
          <w:color w:val="auto"/>
        </w:rPr>
        <w:t>is found in Table 2.</w:t>
      </w:r>
      <w:r w:rsidRPr="00782771">
        <w:rPr>
          <w:color w:val="auto"/>
        </w:rPr>
        <w:t xml:space="preserve"> </w:t>
      </w:r>
    </w:p>
    <w:p w:rsidRPr="00782771" w:rsidR="00994890" w:rsidP="00994890" w:rsidRDefault="00994890" w14:paraId="1DB8058A" w14:textId="77777777">
      <w:pPr>
        <w:pStyle w:val="Default"/>
        <w:rPr>
          <w:color w:val="auto"/>
        </w:rPr>
      </w:pPr>
    </w:p>
    <w:p w:rsidRPr="00782771" w:rsidR="000B351D" w:rsidP="000B351D" w:rsidRDefault="000B351D" w14:paraId="123043DF" w14:textId="77777777">
      <w:pPr>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sz w:val="22"/>
          <w:szCs w:val="22"/>
        </w:rPr>
      </w:pPr>
    </w:p>
    <w:tbl>
      <w:tblPr>
        <w:tblStyle w:val="TableGrid"/>
        <w:tblW w:w="5000" w:type="pct"/>
        <w:jc w:val="center"/>
        <w:tblLayout w:type="fixed"/>
        <w:tblLook w:val="04A0" w:firstRow="1" w:lastRow="0" w:firstColumn="1" w:lastColumn="0" w:noHBand="0" w:noVBand="1"/>
      </w:tblPr>
      <w:tblGrid>
        <w:gridCol w:w="1705"/>
        <w:gridCol w:w="1531"/>
        <w:gridCol w:w="1531"/>
        <w:gridCol w:w="1440"/>
        <w:gridCol w:w="1349"/>
        <w:gridCol w:w="1261"/>
        <w:gridCol w:w="1349"/>
        <w:gridCol w:w="989"/>
        <w:gridCol w:w="1795"/>
      </w:tblGrid>
      <w:tr w:rsidRPr="00782771" w:rsidR="0079121A" w:rsidTr="00776CD8" w14:paraId="1F59CC08" w14:textId="77777777">
        <w:trPr>
          <w:trHeight w:val="368"/>
          <w:jc w:val="center"/>
        </w:trPr>
        <w:tc>
          <w:tcPr>
            <w:tcW w:w="5000" w:type="pct"/>
            <w:gridSpan w:val="9"/>
            <w:shd w:val="clear" w:color="auto" w:fill="FFE599" w:themeFill="accent4" w:themeFillTint="66"/>
            <w:vAlign w:val="center"/>
          </w:tcPr>
          <w:p w:rsidRPr="00782771" w:rsidR="0079121A" w:rsidP="00B864EB" w:rsidRDefault="0079121A" w14:paraId="4C3B708E" w14:textId="77777777">
            <w:pPr>
              <w:jc w:val="center"/>
              <w:rPr>
                <w:b/>
                <w:bCs/>
              </w:rPr>
            </w:pPr>
            <w:r w:rsidRPr="00782771">
              <w:rPr>
                <w:b/>
                <w:bCs/>
              </w:rPr>
              <w:t xml:space="preserve">Table 2: Estimated Annualized Respondent Hour and Cost Burden </w:t>
            </w:r>
          </w:p>
        </w:tc>
      </w:tr>
      <w:tr w:rsidRPr="00782771" w:rsidR="00E22D52" w:rsidTr="00776CD8" w14:paraId="1FA0E860" w14:textId="77777777">
        <w:trPr>
          <w:jc w:val="center"/>
        </w:trPr>
        <w:tc>
          <w:tcPr>
            <w:tcW w:w="658" w:type="pct"/>
            <w:shd w:val="clear" w:color="auto" w:fill="FFF2CC" w:themeFill="accent4" w:themeFillTint="33"/>
            <w:vAlign w:val="center"/>
          </w:tcPr>
          <w:p w:rsidRPr="00782771" w:rsidR="0079121A" w:rsidP="00B864EB" w:rsidRDefault="0079121A" w14:paraId="52F51D95" w14:textId="77777777">
            <w:pPr>
              <w:jc w:val="center"/>
              <w:rPr>
                <w:b/>
                <w:bCs/>
              </w:rPr>
            </w:pPr>
            <w:r w:rsidRPr="00782771">
              <w:rPr>
                <w:b/>
                <w:bCs/>
              </w:rPr>
              <w:t>Information Collection Requirements</w:t>
            </w:r>
          </w:p>
        </w:tc>
        <w:tc>
          <w:tcPr>
            <w:tcW w:w="591" w:type="pct"/>
            <w:shd w:val="clear" w:color="auto" w:fill="FFF2CC" w:themeFill="accent4" w:themeFillTint="33"/>
            <w:vAlign w:val="center"/>
          </w:tcPr>
          <w:p w:rsidRPr="00782771" w:rsidR="0079121A" w:rsidP="00B864EB" w:rsidRDefault="0079121A" w14:paraId="207CAC55" w14:textId="77777777">
            <w:pPr>
              <w:jc w:val="center"/>
              <w:rPr>
                <w:b/>
                <w:bCs/>
              </w:rPr>
            </w:pPr>
            <w:r w:rsidRPr="00782771">
              <w:rPr>
                <w:b/>
                <w:bCs/>
              </w:rPr>
              <w:t>Type of Respondent</w:t>
            </w:r>
          </w:p>
        </w:tc>
        <w:tc>
          <w:tcPr>
            <w:tcW w:w="591" w:type="pct"/>
            <w:shd w:val="clear" w:color="auto" w:fill="FFF2CC" w:themeFill="accent4" w:themeFillTint="33"/>
            <w:vAlign w:val="center"/>
          </w:tcPr>
          <w:p w:rsidRPr="00782771" w:rsidR="0079121A" w:rsidP="00B864EB" w:rsidRDefault="0079121A" w14:paraId="69EBEC21" w14:textId="77777777">
            <w:pPr>
              <w:jc w:val="center"/>
              <w:rPr>
                <w:b/>
                <w:bCs/>
              </w:rPr>
            </w:pPr>
            <w:r w:rsidRPr="00782771">
              <w:rPr>
                <w:b/>
                <w:bCs/>
              </w:rPr>
              <w:t>No. of Respondents</w:t>
            </w:r>
          </w:p>
        </w:tc>
        <w:tc>
          <w:tcPr>
            <w:tcW w:w="556" w:type="pct"/>
            <w:shd w:val="clear" w:color="auto" w:fill="FFF2CC" w:themeFill="accent4" w:themeFillTint="33"/>
            <w:vAlign w:val="center"/>
          </w:tcPr>
          <w:p w:rsidRPr="00782771" w:rsidR="0079121A" w:rsidP="00B864EB" w:rsidRDefault="0079121A" w14:paraId="1ACE911F" w14:textId="77777777">
            <w:pPr>
              <w:jc w:val="center"/>
              <w:rPr>
                <w:b/>
                <w:bCs/>
              </w:rPr>
            </w:pPr>
            <w:r w:rsidRPr="00782771">
              <w:rPr>
                <w:b/>
                <w:bCs/>
              </w:rPr>
              <w:t xml:space="preserve">No. of Responses per Respondent </w:t>
            </w:r>
          </w:p>
        </w:tc>
        <w:tc>
          <w:tcPr>
            <w:tcW w:w="521" w:type="pct"/>
            <w:shd w:val="clear" w:color="auto" w:fill="FFF2CC" w:themeFill="accent4" w:themeFillTint="33"/>
            <w:vAlign w:val="center"/>
          </w:tcPr>
          <w:p w:rsidRPr="00782771" w:rsidR="0079121A" w:rsidP="00B864EB" w:rsidRDefault="0079121A" w14:paraId="01A211A8" w14:textId="77777777">
            <w:pPr>
              <w:jc w:val="center"/>
              <w:rPr>
                <w:b/>
                <w:bCs/>
              </w:rPr>
            </w:pPr>
            <w:r w:rsidRPr="00782771">
              <w:rPr>
                <w:b/>
                <w:bCs/>
              </w:rPr>
              <w:t>Total No. of Responses</w:t>
            </w:r>
          </w:p>
        </w:tc>
        <w:tc>
          <w:tcPr>
            <w:tcW w:w="487" w:type="pct"/>
            <w:shd w:val="clear" w:color="auto" w:fill="FFF2CC" w:themeFill="accent4" w:themeFillTint="33"/>
            <w:vAlign w:val="center"/>
          </w:tcPr>
          <w:p w:rsidRPr="00782771" w:rsidR="0079121A" w:rsidP="00B864EB" w:rsidRDefault="0079121A" w14:paraId="418C00C5" w14:textId="77777777">
            <w:pPr>
              <w:jc w:val="center"/>
              <w:rPr>
                <w:b/>
                <w:bCs/>
              </w:rPr>
            </w:pPr>
            <w:r w:rsidRPr="00782771">
              <w:rPr>
                <w:b/>
                <w:bCs/>
              </w:rPr>
              <w:t>Avg. Burden per Response (In Hrs.)</w:t>
            </w:r>
          </w:p>
        </w:tc>
        <w:tc>
          <w:tcPr>
            <w:tcW w:w="521" w:type="pct"/>
            <w:shd w:val="clear" w:color="auto" w:fill="FFF2CC" w:themeFill="accent4" w:themeFillTint="33"/>
            <w:vAlign w:val="center"/>
          </w:tcPr>
          <w:p w:rsidRPr="00782771" w:rsidR="0079121A" w:rsidP="00B864EB" w:rsidRDefault="0079121A" w14:paraId="33065BE3" w14:textId="77777777">
            <w:pPr>
              <w:jc w:val="center"/>
              <w:rPr>
                <w:b/>
                <w:bCs/>
              </w:rPr>
            </w:pPr>
            <w:r w:rsidRPr="00782771">
              <w:rPr>
                <w:b/>
                <w:bCs/>
              </w:rPr>
              <w:t>Total Burden Hours</w:t>
            </w:r>
          </w:p>
        </w:tc>
        <w:tc>
          <w:tcPr>
            <w:tcW w:w="382" w:type="pct"/>
            <w:shd w:val="clear" w:color="auto" w:fill="FFF2CC" w:themeFill="accent4" w:themeFillTint="33"/>
            <w:vAlign w:val="center"/>
          </w:tcPr>
          <w:p w:rsidRPr="00782771" w:rsidR="0079121A" w:rsidP="00B864EB" w:rsidRDefault="0079121A" w14:paraId="15FFDC00" w14:textId="77777777">
            <w:pPr>
              <w:jc w:val="center"/>
              <w:rPr>
                <w:b/>
                <w:bCs/>
              </w:rPr>
            </w:pPr>
            <w:r w:rsidRPr="00782771">
              <w:rPr>
                <w:b/>
                <w:bCs/>
              </w:rPr>
              <w:t>Avg. Hourly Wage Rate</w:t>
            </w:r>
          </w:p>
        </w:tc>
        <w:tc>
          <w:tcPr>
            <w:tcW w:w="693" w:type="pct"/>
            <w:shd w:val="clear" w:color="auto" w:fill="FFF2CC" w:themeFill="accent4" w:themeFillTint="33"/>
            <w:vAlign w:val="center"/>
          </w:tcPr>
          <w:p w:rsidRPr="00782771" w:rsidR="0079121A" w:rsidP="00B864EB" w:rsidRDefault="0079121A" w14:paraId="13A798E3" w14:textId="77777777">
            <w:pPr>
              <w:jc w:val="center"/>
              <w:rPr>
                <w:b/>
                <w:bCs/>
              </w:rPr>
            </w:pPr>
            <w:r w:rsidRPr="00782771">
              <w:rPr>
                <w:b/>
                <w:bCs/>
              </w:rPr>
              <w:t xml:space="preserve">Total Burden Costs </w:t>
            </w:r>
          </w:p>
        </w:tc>
      </w:tr>
      <w:tr w:rsidRPr="00782771" w:rsidR="00E22D52" w:rsidTr="00776CD8" w14:paraId="7109DFE0" w14:textId="77777777">
        <w:trPr>
          <w:trHeight w:val="404"/>
          <w:jc w:val="center"/>
        </w:trPr>
        <w:tc>
          <w:tcPr>
            <w:tcW w:w="658" w:type="pct"/>
            <w:vMerge w:val="restart"/>
            <w:vAlign w:val="center"/>
          </w:tcPr>
          <w:p w:rsidRPr="00782771" w:rsidR="00E22D52" w:rsidP="0079121A" w:rsidRDefault="00E22D52" w14:paraId="7AFF6F48" w14:textId="2ABAF652">
            <w:pPr>
              <w:rPr>
                <w:bCs/>
                <w:sz w:val="22"/>
                <w:szCs w:val="22"/>
              </w:rPr>
            </w:pPr>
            <w:r w:rsidRPr="00782771">
              <w:rPr>
                <w:bCs/>
                <w:sz w:val="22"/>
                <w:szCs w:val="22"/>
              </w:rPr>
              <w:t>§§1926.652(b)(3) and (b)(4), §§1926.652(c)(2)(iii), (c)(3), and (c)(4)</w:t>
            </w:r>
          </w:p>
        </w:tc>
        <w:tc>
          <w:tcPr>
            <w:tcW w:w="591" w:type="pct"/>
            <w:vAlign w:val="bottom"/>
          </w:tcPr>
          <w:p w:rsidRPr="00782771" w:rsidR="00E22D52" w:rsidP="00B864EB" w:rsidRDefault="00E22D52" w14:paraId="345D1724" w14:textId="592A0C60">
            <w:pPr>
              <w:jc w:val="center"/>
              <w:rPr>
                <w:bCs/>
              </w:rPr>
            </w:pPr>
            <w:r w:rsidRPr="00782771">
              <w:rPr>
                <w:bCs/>
              </w:rPr>
              <w:t>Employer (Professional Engineer)</w:t>
            </w:r>
          </w:p>
        </w:tc>
        <w:tc>
          <w:tcPr>
            <w:tcW w:w="591" w:type="pct"/>
            <w:vAlign w:val="bottom"/>
          </w:tcPr>
          <w:p w:rsidRPr="00782771" w:rsidR="00E22D52" w:rsidP="00421067" w:rsidRDefault="00421067" w14:paraId="724D8ED3" w14:textId="6BB5A032">
            <w:pPr>
              <w:jc w:val="center"/>
              <w:rPr>
                <w:bCs/>
              </w:rPr>
            </w:pPr>
            <w:r w:rsidRPr="00782771">
              <w:rPr>
                <w:bCs/>
              </w:rPr>
              <w:t>17,160.6</w:t>
            </w:r>
          </w:p>
        </w:tc>
        <w:tc>
          <w:tcPr>
            <w:tcW w:w="556" w:type="pct"/>
            <w:vAlign w:val="bottom"/>
          </w:tcPr>
          <w:p w:rsidRPr="00782771" w:rsidR="00E22D52" w:rsidP="00421067" w:rsidRDefault="00E22D52" w14:paraId="246D312F" w14:textId="31CF8CD6">
            <w:pPr>
              <w:jc w:val="center"/>
              <w:rPr>
                <w:bCs/>
              </w:rPr>
            </w:pPr>
            <w:r w:rsidRPr="00782771">
              <w:rPr>
                <w:bCs/>
              </w:rPr>
              <w:t>1.</w:t>
            </w:r>
            <w:r w:rsidRPr="00782771" w:rsidR="00421067">
              <w:rPr>
                <w:bCs/>
              </w:rPr>
              <w:t>0</w:t>
            </w:r>
          </w:p>
        </w:tc>
        <w:tc>
          <w:tcPr>
            <w:tcW w:w="521" w:type="pct"/>
            <w:vAlign w:val="bottom"/>
          </w:tcPr>
          <w:p w:rsidRPr="00782771" w:rsidR="00E22D52" w:rsidP="00B864EB" w:rsidRDefault="005B3B9D" w14:paraId="0C04ADB9" w14:textId="025AAC29">
            <w:pPr>
              <w:jc w:val="center"/>
              <w:rPr>
                <w:bCs/>
              </w:rPr>
            </w:pPr>
            <w:r w:rsidRPr="00782771">
              <w:rPr>
                <w:bCs/>
              </w:rPr>
              <w:t>17,160.6</w:t>
            </w:r>
          </w:p>
        </w:tc>
        <w:tc>
          <w:tcPr>
            <w:tcW w:w="487" w:type="pct"/>
            <w:vAlign w:val="bottom"/>
          </w:tcPr>
          <w:p w:rsidRPr="00782771" w:rsidR="00E22D52" w:rsidP="00B864EB" w:rsidRDefault="00E22D52" w14:paraId="2A8936EC" w14:textId="061DB1C7">
            <w:pPr>
              <w:jc w:val="center"/>
              <w:rPr>
                <w:bCs/>
              </w:rPr>
            </w:pPr>
            <w:r w:rsidRPr="00782771">
              <w:rPr>
                <w:bCs/>
              </w:rPr>
              <w:t>2</w:t>
            </w:r>
          </w:p>
        </w:tc>
        <w:tc>
          <w:tcPr>
            <w:tcW w:w="521" w:type="pct"/>
            <w:vAlign w:val="bottom"/>
          </w:tcPr>
          <w:p w:rsidRPr="00782771" w:rsidR="00E22D52" w:rsidP="00B864EB" w:rsidRDefault="005B3B9D" w14:paraId="6D0CD5B9" w14:textId="6B8B6022">
            <w:pPr>
              <w:jc w:val="center"/>
              <w:rPr>
                <w:bCs/>
              </w:rPr>
            </w:pPr>
            <w:r w:rsidRPr="00782771">
              <w:rPr>
                <w:bCs/>
              </w:rPr>
              <w:t>34,321.2</w:t>
            </w:r>
          </w:p>
        </w:tc>
        <w:tc>
          <w:tcPr>
            <w:tcW w:w="382" w:type="pct"/>
            <w:vAlign w:val="bottom"/>
          </w:tcPr>
          <w:p w:rsidRPr="00782771" w:rsidR="00E22D52" w:rsidP="00B864EB" w:rsidRDefault="00E22D52" w14:paraId="206FF9D1" w14:textId="5CF3DDE1">
            <w:pPr>
              <w:jc w:val="center"/>
              <w:rPr>
                <w:bCs/>
              </w:rPr>
            </w:pPr>
            <w:r w:rsidRPr="00782771">
              <w:rPr>
                <w:bCs/>
              </w:rPr>
              <w:t>$6</w:t>
            </w:r>
            <w:r w:rsidRPr="00782771" w:rsidR="006B7219">
              <w:rPr>
                <w:bCs/>
              </w:rPr>
              <w:t>4.62</w:t>
            </w:r>
          </w:p>
        </w:tc>
        <w:tc>
          <w:tcPr>
            <w:tcW w:w="693" w:type="pct"/>
            <w:vAlign w:val="bottom"/>
          </w:tcPr>
          <w:p w:rsidRPr="00782771" w:rsidR="00E22D52" w:rsidP="00B864EB" w:rsidRDefault="00E22D52" w14:paraId="02CF9814" w14:textId="6E7B7A9F">
            <w:pPr>
              <w:jc w:val="center"/>
              <w:rPr>
                <w:bCs/>
              </w:rPr>
            </w:pPr>
            <w:r w:rsidRPr="00782771">
              <w:rPr>
                <w:bCs/>
              </w:rPr>
              <w:t>$</w:t>
            </w:r>
            <w:r w:rsidRPr="00782771" w:rsidR="005B3B9D">
              <w:rPr>
                <w:bCs/>
              </w:rPr>
              <w:t>2,217,835.94</w:t>
            </w:r>
          </w:p>
        </w:tc>
      </w:tr>
      <w:tr w:rsidRPr="00782771" w:rsidR="00E22D52" w:rsidTr="00776CD8" w14:paraId="59A916CF" w14:textId="77777777">
        <w:trPr>
          <w:trHeight w:val="575"/>
          <w:jc w:val="center"/>
        </w:trPr>
        <w:tc>
          <w:tcPr>
            <w:tcW w:w="658" w:type="pct"/>
            <w:vMerge/>
            <w:vAlign w:val="center"/>
          </w:tcPr>
          <w:p w:rsidRPr="00782771" w:rsidR="00E22D52" w:rsidP="00B864EB" w:rsidRDefault="00E22D52" w14:paraId="22DE7F74" w14:textId="23228246">
            <w:pPr>
              <w:rPr>
                <w:b/>
                <w:bCs/>
              </w:rPr>
            </w:pPr>
          </w:p>
        </w:tc>
        <w:tc>
          <w:tcPr>
            <w:tcW w:w="591" w:type="pct"/>
            <w:vAlign w:val="bottom"/>
          </w:tcPr>
          <w:p w:rsidRPr="00782771" w:rsidR="00E22D52" w:rsidP="00B864EB" w:rsidRDefault="00E22D52" w14:paraId="4CCC3EE9" w14:textId="1668162F">
            <w:pPr>
              <w:jc w:val="center"/>
              <w:rPr>
                <w:bCs/>
              </w:rPr>
            </w:pPr>
            <w:r w:rsidRPr="00782771">
              <w:rPr>
                <w:bCs/>
              </w:rPr>
              <w:t>Employer (Worker)</w:t>
            </w:r>
          </w:p>
        </w:tc>
        <w:tc>
          <w:tcPr>
            <w:tcW w:w="591" w:type="pct"/>
            <w:vAlign w:val="bottom"/>
          </w:tcPr>
          <w:p w:rsidRPr="00782771" w:rsidR="00E22D52" w:rsidP="00421067" w:rsidRDefault="00421067" w14:paraId="52964C35" w14:textId="121C0B84">
            <w:pPr>
              <w:jc w:val="center"/>
              <w:rPr>
                <w:bCs/>
              </w:rPr>
            </w:pPr>
            <w:r w:rsidRPr="00782771">
              <w:rPr>
                <w:bCs/>
              </w:rPr>
              <w:t>22,880.8</w:t>
            </w:r>
          </w:p>
        </w:tc>
        <w:tc>
          <w:tcPr>
            <w:tcW w:w="556" w:type="pct"/>
            <w:vAlign w:val="bottom"/>
          </w:tcPr>
          <w:p w:rsidRPr="00782771" w:rsidR="00E22D52" w:rsidP="00421067" w:rsidRDefault="00E22D52" w14:paraId="6AF665BE" w14:textId="58F29434">
            <w:pPr>
              <w:jc w:val="center"/>
              <w:rPr>
                <w:bCs/>
              </w:rPr>
            </w:pPr>
            <w:r w:rsidRPr="00782771">
              <w:rPr>
                <w:bCs/>
              </w:rPr>
              <w:t>1.</w:t>
            </w:r>
            <w:r w:rsidRPr="00782771" w:rsidR="00421067">
              <w:rPr>
                <w:bCs/>
              </w:rPr>
              <w:t>0</w:t>
            </w:r>
          </w:p>
        </w:tc>
        <w:tc>
          <w:tcPr>
            <w:tcW w:w="521" w:type="pct"/>
            <w:vAlign w:val="bottom"/>
          </w:tcPr>
          <w:p w:rsidRPr="00782771" w:rsidR="00E22D52" w:rsidP="00B864EB" w:rsidRDefault="005B3B9D" w14:paraId="09AA17B9" w14:textId="6D2C7324">
            <w:pPr>
              <w:jc w:val="center"/>
              <w:rPr>
                <w:bCs/>
              </w:rPr>
            </w:pPr>
            <w:r w:rsidRPr="00782771">
              <w:rPr>
                <w:bCs/>
              </w:rPr>
              <w:t>22,880.8</w:t>
            </w:r>
          </w:p>
        </w:tc>
        <w:tc>
          <w:tcPr>
            <w:tcW w:w="487" w:type="pct"/>
            <w:vAlign w:val="bottom"/>
          </w:tcPr>
          <w:p w:rsidRPr="00782771" w:rsidR="00E22D52" w:rsidP="00B864EB" w:rsidRDefault="00E22D52" w14:paraId="5D5CC4AF" w14:textId="593E8FCE">
            <w:pPr>
              <w:jc w:val="center"/>
              <w:rPr>
                <w:bCs/>
              </w:rPr>
            </w:pPr>
            <w:r w:rsidRPr="00782771">
              <w:rPr>
                <w:bCs/>
              </w:rPr>
              <w:t>15/60</w:t>
            </w:r>
          </w:p>
        </w:tc>
        <w:tc>
          <w:tcPr>
            <w:tcW w:w="521" w:type="pct"/>
            <w:vAlign w:val="bottom"/>
          </w:tcPr>
          <w:p w:rsidRPr="00782771" w:rsidR="00E22D52" w:rsidP="00B864EB" w:rsidRDefault="005B3B9D" w14:paraId="4AF25B6B" w14:textId="5D4A2DA1">
            <w:pPr>
              <w:jc w:val="center"/>
              <w:rPr>
                <w:bCs/>
              </w:rPr>
            </w:pPr>
            <w:r w:rsidRPr="00782771">
              <w:rPr>
                <w:bCs/>
              </w:rPr>
              <w:t>5,720.2</w:t>
            </w:r>
          </w:p>
        </w:tc>
        <w:tc>
          <w:tcPr>
            <w:tcW w:w="382" w:type="pct"/>
            <w:vAlign w:val="bottom"/>
          </w:tcPr>
          <w:p w:rsidRPr="00782771" w:rsidR="00E22D52" w:rsidP="00B864EB" w:rsidRDefault="00E22D52" w14:paraId="4EA9FCA6" w14:textId="01C55594">
            <w:pPr>
              <w:jc w:val="center"/>
              <w:rPr>
                <w:bCs/>
              </w:rPr>
            </w:pPr>
            <w:r w:rsidRPr="00782771">
              <w:rPr>
                <w:bCs/>
              </w:rPr>
              <w:t>$2</w:t>
            </w:r>
            <w:r w:rsidRPr="00782771" w:rsidR="006B7219">
              <w:rPr>
                <w:bCs/>
              </w:rPr>
              <w:t>8.58</w:t>
            </w:r>
          </w:p>
        </w:tc>
        <w:tc>
          <w:tcPr>
            <w:tcW w:w="693" w:type="pct"/>
            <w:vAlign w:val="bottom"/>
          </w:tcPr>
          <w:p w:rsidRPr="00782771" w:rsidR="00E22D52" w:rsidP="00B864EB" w:rsidRDefault="00E22D52" w14:paraId="6A4E51E8" w14:textId="2434668D">
            <w:pPr>
              <w:jc w:val="center"/>
              <w:rPr>
                <w:bCs/>
              </w:rPr>
            </w:pPr>
            <w:r w:rsidRPr="00782771">
              <w:rPr>
                <w:bCs/>
              </w:rPr>
              <w:t>$</w:t>
            </w:r>
            <w:r w:rsidRPr="00782771" w:rsidR="005B3B9D">
              <w:rPr>
                <w:bCs/>
              </w:rPr>
              <w:t>163,483.32</w:t>
            </w:r>
          </w:p>
        </w:tc>
      </w:tr>
      <w:tr w:rsidRPr="00782771" w:rsidR="00E22D52" w:rsidTr="00776CD8" w14:paraId="29186D24" w14:textId="77777777">
        <w:trPr>
          <w:jc w:val="center"/>
        </w:trPr>
        <w:tc>
          <w:tcPr>
            <w:tcW w:w="658" w:type="pct"/>
            <w:shd w:val="clear" w:color="auto" w:fill="FFE599" w:themeFill="accent4" w:themeFillTint="66"/>
            <w:vAlign w:val="center"/>
          </w:tcPr>
          <w:p w:rsidRPr="00782771" w:rsidR="0079121A" w:rsidP="00B864EB" w:rsidRDefault="0079121A" w14:paraId="1C9D5954" w14:textId="77777777">
            <w:pPr>
              <w:rPr>
                <w:b/>
                <w:bCs/>
              </w:rPr>
            </w:pPr>
            <w:r w:rsidRPr="00782771">
              <w:rPr>
                <w:b/>
                <w:bCs/>
              </w:rPr>
              <w:t>Unduplicated Totals</w:t>
            </w:r>
          </w:p>
        </w:tc>
        <w:tc>
          <w:tcPr>
            <w:tcW w:w="591" w:type="pct"/>
            <w:shd w:val="clear" w:color="auto" w:fill="FFE599" w:themeFill="accent4" w:themeFillTint="66"/>
            <w:vAlign w:val="bottom"/>
          </w:tcPr>
          <w:p w:rsidRPr="00782771" w:rsidR="0079121A" w:rsidP="00B864EB" w:rsidRDefault="0079121A" w14:paraId="5B78A6C8" w14:textId="77777777">
            <w:pPr>
              <w:jc w:val="center"/>
              <w:rPr>
                <w:b/>
                <w:bCs/>
              </w:rPr>
            </w:pPr>
            <w:r w:rsidRPr="00782771">
              <w:rPr>
                <w:b/>
                <w:bCs/>
              </w:rPr>
              <w:t>--</w:t>
            </w:r>
          </w:p>
        </w:tc>
        <w:tc>
          <w:tcPr>
            <w:tcW w:w="591" w:type="pct"/>
            <w:shd w:val="clear" w:color="auto" w:fill="FFE599" w:themeFill="accent4" w:themeFillTint="66"/>
            <w:vAlign w:val="bottom"/>
          </w:tcPr>
          <w:p w:rsidRPr="00782771" w:rsidR="0079121A" w:rsidP="00E16F8D" w:rsidRDefault="0079121A" w14:paraId="3EA33A7F" w14:textId="094EF952">
            <w:pPr>
              <w:jc w:val="center"/>
              <w:rPr>
                <w:b/>
                <w:bCs/>
              </w:rPr>
            </w:pPr>
          </w:p>
        </w:tc>
        <w:tc>
          <w:tcPr>
            <w:tcW w:w="556" w:type="pct"/>
            <w:shd w:val="clear" w:color="auto" w:fill="FFE599" w:themeFill="accent4" w:themeFillTint="66"/>
            <w:vAlign w:val="bottom"/>
          </w:tcPr>
          <w:p w:rsidRPr="00782771" w:rsidR="0079121A" w:rsidP="00B864EB" w:rsidRDefault="0079121A" w14:paraId="1707ECEF" w14:textId="77777777">
            <w:pPr>
              <w:jc w:val="center"/>
              <w:rPr>
                <w:b/>
                <w:bCs/>
              </w:rPr>
            </w:pPr>
            <w:r w:rsidRPr="00782771">
              <w:rPr>
                <w:b/>
                <w:bCs/>
              </w:rPr>
              <w:t>--</w:t>
            </w:r>
          </w:p>
        </w:tc>
        <w:tc>
          <w:tcPr>
            <w:tcW w:w="521" w:type="pct"/>
            <w:shd w:val="clear" w:color="auto" w:fill="FFE599" w:themeFill="accent4" w:themeFillTint="66"/>
            <w:vAlign w:val="bottom"/>
          </w:tcPr>
          <w:p w:rsidRPr="00782771" w:rsidR="0079121A" w:rsidP="00421067" w:rsidRDefault="00421067" w14:paraId="26195BA7" w14:textId="35BF7BAB">
            <w:pPr>
              <w:jc w:val="center"/>
              <w:rPr>
                <w:b/>
                <w:bCs/>
              </w:rPr>
            </w:pPr>
            <w:r w:rsidRPr="00782771">
              <w:rPr>
                <w:b/>
                <w:bCs/>
              </w:rPr>
              <w:t>40,041</w:t>
            </w:r>
          </w:p>
        </w:tc>
        <w:tc>
          <w:tcPr>
            <w:tcW w:w="487" w:type="pct"/>
            <w:shd w:val="clear" w:color="auto" w:fill="FFE599" w:themeFill="accent4" w:themeFillTint="66"/>
            <w:vAlign w:val="bottom"/>
          </w:tcPr>
          <w:p w:rsidRPr="00782771" w:rsidR="0079121A" w:rsidP="00B864EB" w:rsidRDefault="0079121A" w14:paraId="35DDCC71" w14:textId="77777777">
            <w:pPr>
              <w:jc w:val="center"/>
              <w:rPr>
                <w:b/>
                <w:bCs/>
              </w:rPr>
            </w:pPr>
            <w:r w:rsidRPr="00782771">
              <w:rPr>
                <w:b/>
                <w:bCs/>
              </w:rPr>
              <w:t>--</w:t>
            </w:r>
          </w:p>
        </w:tc>
        <w:tc>
          <w:tcPr>
            <w:tcW w:w="521" w:type="pct"/>
            <w:shd w:val="clear" w:color="auto" w:fill="FFE599" w:themeFill="accent4" w:themeFillTint="66"/>
            <w:vAlign w:val="bottom"/>
          </w:tcPr>
          <w:p w:rsidRPr="00782771" w:rsidR="0079121A" w:rsidP="00421067" w:rsidRDefault="00421067" w14:paraId="18F8DC6D" w14:textId="30237871">
            <w:pPr>
              <w:jc w:val="center"/>
              <w:rPr>
                <w:b/>
                <w:bCs/>
              </w:rPr>
            </w:pPr>
            <w:r w:rsidRPr="00782771">
              <w:rPr>
                <w:b/>
                <w:bCs/>
              </w:rPr>
              <w:t>40,041</w:t>
            </w:r>
          </w:p>
        </w:tc>
        <w:tc>
          <w:tcPr>
            <w:tcW w:w="382" w:type="pct"/>
            <w:shd w:val="clear" w:color="auto" w:fill="FFE599" w:themeFill="accent4" w:themeFillTint="66"/>
            <w:vAlign w:val="bottom"/>
          </w:tcPr>
          <w:p w:rsidRPr="00782771" w:rsidR="0079121A" w:rsidP="00B864EB" w:rsidRDefault="0079121A" w14:paraId="1E2CFF1E" w14:textId="77777777">
            <w:pPr>
              <w:jc w:val="center"/>
              <w:rPr>
                <w:b/>
                <w:bCs/>
              </w:rPr>
            </w:pPr>
            <w:r w:rsidRPr="00782771">
              <w:rPr>
                <w:b/>
                <w:bCs/>
              </w:rPr>
              <w:t>--</w:t>
            </w:r>
          </w:p>
        </w:tc>
        <w:tc>
          <w:tcPr>
            <w:tcW w:w="693" w:type="pct"/>
            <w:shd w:val="clear" w:color="auto" w:fill="FFE599" w:themeFill="accent4" w:themeFillTint="66"/>
            <w:vAlign w:val="bottom"/>
          </w:tcPr>
          <w:p w:rsidRPr="00782771" w:rsidR="0079121A" w:rsidP="00421067" w:rsidRDefault="00167A98" w14:paraId="3F43DA3F" w14:textId="44E3AD61">
            <w:pPr>
              <w:jc w:val="center"/>
              <w:rPr>
                <w:b/>
                <w:bCs/>
              </w:rPr>
            </w:pPr>
            <w:r w:rsidRPr="00782771">
              <w:rPr>
                <w:b/>
                <w:bCs/>
              </w:rPr>
              <w:t>$</w:t>
            </w:r>
            <w:r w:rsidRPr="00782771" w:rsidR="00421067">
              <w:rPr>
                <w:b/>
                <w:bCs/>
              </w:rPr>
              <w:t>2,381,319</w:t>
            </w:r>
          </w:p>
        </w:tc>
      </w:tr>
    </w:tbl>
    <w:p w:rsidRPr="00782771" w:rsidR="000B351D" w:rsidP="000B351D" w:rsidRDefault="000B351D" w14:paraId="60A883B9" w14:textId="77777777">
      <w:pPr>
        <w:rPr>
          <w:vanish/>
        </w:rPr>
      </w:pPr>
    </w:p>
    <w:p w:rsidRPr="00782771" w:rsidR="00676515" w:rsidP="00707DD9" w:rsidRDefault="00676515" w14:paraId="3BD23583" w14:textId="77777777">
      <w:pPr>
        <w:pStyle w:val="Default"/>
        <w:rPr>
          <w:b/>
          <w:bCs/>
          <w:color w:val="auto"/>
        </w:rPr>
      </w:pPr>
    </w:p>
    <w:p w:rsidRPr="00782771" w:rsidR="00D64623" w:rsidP="00707DD9" w:rsidRDefault="00D64623" w14:paraId="09066448" w14:textId="77777777">
      <w:pPr>
        <w:pStyle w:val="Default"/>
        <w:rPr>
          <w:b/>
          <w:bCs/>
          <w:color w:val="auto"/>
        </w:rPr>
      </w:pPr>
    </w:p>
    <w:p w:rsidR="00782771" w:rsidP="00707DD9" w:rsidRDefault="00782771" w14:paraId="2975DC00" w14:textId="77777777">
      <w:pPr>
        <w:pStyle w:val="Default"/>
        <w:rPr>
          <w:b/>
          <w:bCs/>
          <w:color w:val="auto"/>
        </w:rPr>
        <w:sectPr w:rsidR="00782771" w:rsidSect="00782771">
          <w:pgSz w:w="15840" w:h="12240" w:orient="landscape" w:code="1"/>
          <w:pgMar w:top="1440" w:right="1440" w:bottom="1440" w:left="1440" w:header="576" w:footer="576" w:gutter="0"/>
          <w:cols w:space="720"/>
          <w:docGrid w:linePitch="360"/>
        </w:sectPr>
      </w:pPr>
    </w:p>
    <w:p w:rsidRPr="00782771" w:rsidR="00707DD9" w:rsidP="00707DD9" w:rsidRDefault="00707DD9" w14:paraId="5541DE38" w14:textId="1B6FC218">
      <w:pPr>
        <w:pStyle w:val="Default"/>
        <w:rPr>
          <w:color w:val="auto"/>
        </w:rPr>
      </w:pPr>
      <w:r w:rsidRPr="00782771">
        <w:rPr>
          <w:b/>
          <w:bCs/>
          <w:color w:val="auto"/>
        </w:rPr>
        <w:lastRenderedPageBreak/>
        <w:t xml:space="preserve">13. Provide an estimate of the total annual cost burden to respondents or </w:t>
      </w:r>
      <w:proofErr w:type="spellStart"/>
      <w:r w:rsidRPr="00782771">
        <w:rPr>
          <w:b/>
          <w:bCs/>
          <w:color w:val="auto"/>
        </w:rPr>
        <w:t>recordkeepers</w:t>
      </w:r>
      <w:proofErr w:type="spellEnd"/>
      <w:r w:rsidRPr="00782771">
        <w:rPr>
          <w:b/>
          <w:bCs/>
          <w:color w:val="auto"/>
        </w:rPr>
        <w:t xml:space="preserve"> resulting from the collection of information.  (Do not include the cost of any hour burden shown in Items 12 and 14). </w:t>
      </w:r>
    </w:p>
    <w:p w:rsidRPr="00782771" w:rsidR="00707DD9" w:rsidP="00707DD9" w:rsidRDefault="00707DD9" w14:paraId="5AF6EFCC" w14:textId="77777777">
      <w:pPr>
        <w:pStyle w:val="Default"/>
        <w:tabs>
          <w:tab w:val="left" w:pos="360"/>
        </w:tabs>
        <w:rPr>
          <w:color w:val="auto"/>
        </w:rPr>
      </w:pPr>
    </w:p>
    <w:p w:rsidRPr="00782771" w:rsidR="00707DD9" w:rsidP="00ED20CF" w:rsidRDefault="0025289D" w14:paraId="4E5A3CB3" w14:textId="77777777">
      <w:pPr>
        <w:pStyle w:val="Default"/>
        <w:tabs>
          <w:tab w:val="left" w:pos="540"/>
        </w:tabs>
        <w:ind w:left="540" w:hanging="180"/>
        <w:rPr>
          <w:color w:val="auto"/>
        </w:rPr>
      </w:pPr>
      <w:r w:rsidRPr="00782771">
        <w:rPr>
          <w:b/>
          <w:bCs/>
          <w:color w:val="auto"/>
        </w:rPr>
        <w:t>●</w:t>
      </w:r>
      <w:r w:rsidRPr="00782771" w:rsidR="004B3AAF">
        <w:rPr>
          <w:b/>
          <w:bCs/>
          <w:color w:val="auto"/>
        </w:rPr>
        <w:t xml:space="preserve"> </w:t>
      </w:r>
      <w:proofErr w:type="gramStart"/>
      <w:r w:rsidRPr="00782771" w:rsidR="00707DD9">
        <w:rPr>
          <w:b/>
          <w:bCs/>
          <w:color w:val="auto"/>
        </w:rPr>
        <w:t>The</w:t>
      </w:r>
      <w:proofErr w:type="gramEnd"/>
      <w:r w:rsidRPr="00782771" w:rsidR="00707DD9">
        <w:rPr>
          <w:b/>
          <w:bCs/>
          <w:color w:val="auto"/>
        </w:rPr>
        <w:t xml:space="preserve"> cost estimate should be split into two components: (a) a total capital and start-up cost component (annualized over its expected useful life); and (b) a total operation and maintenance and purchase of service component. The estimates should</w:t>
      </w:r>
      <w:r w:rsidRPr="00782771" w:rsidR="00C66F27">
        <w:rPr>
          <w:b/>
          <w:bCs/>
          <w:color w:val="auto"/>
        </w:rPr>
        <w:t xml:space="preserve"> </w:t>
      </w:r>
      <w:r w:rsidRPr="00782771" w:rsidR="00707DD9">
        <w:rPr>
          <w:b/>
          <w:bCs/>
          <w:color w:val="auto"/>
        </w:rPr>
        <w:t>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w:t>
      </w:r>
      <w:r w:rsidRPr="00782771">
        <w:rPr>
          <w:b/>
          <w:bCs/>
          <w:color w:val="auto"/>
        </w:rPr>
        <w:t xml:space="preserve"> </w:t>
      </w:r>
      <w:r w:rsidRPr="00782771" w:rsidR="00707DD9">
        <w:rPr>
          <w:b/>
          <w:bCs/>
          <w:color w:val="auto"/>
        </w:rPr>
        <w:t xml:space="preserve">purchasing computers and software; monitoring, sampling, drilling and testing equipment; and record storage facilities. </w:t>
      </w:r>
    </w:p>
    <w:p w:rsidRPr="00782771" w:rsidR="00707DD9" w:rsidP="00707DD9" w:rsidRDefault="00707DD9" w14:paraId="76D785D3" w14:textId="77777777">
      <w:pPr>
        <w:pStyle w:val="Default"/>
        <w:rPr>
          <w:b/>
          <w:bCs/>
          <w:color w:val="auto"/>
        </w:rPr>
      </w:pPr>
    </w:p>
    <w:p w:rsidRPr="00782771" w:rsidR="00707DD9" w:rsidP="004B3AAF" w:rsidRDefault="0025289D" w14:paraId="4535F7F2" w14:textId="77777777">
      <w:pPr>
        <w:pStyle w:val="Default"/>
        <w:ind w:left="540" w:hanging="180"/>
        <w:rPr>
          <w:color w:val="auto"/>
        </w:rPr>
      </w:pPr>
      <w:r w:rsidRPr="00782771">
        <w:rPr>
          <w:b/>
          <w:bCs/>
          <w:color w:val="auto"/>
        </w:rPr>
        <w:t>●</w:t>
      </w:r>
      <w:r w:rsidRPr="00782771" w:rsidR="004B3AAF">
        <w:rPr>
          <w:b/>
          <w:bCs/>
          <w:color w:val="auto"/>
        </w:rPr>
        <w:t xml:space="preserve"> </w:t>
      </w:r>
      <w:proofErr w:type="gramStart"/>
      <w:r w:rsidRPr="00782771" w:rsidR="00707DD9">
        <w:rPr>
          <w:b/>
          <w:bCs/>
          <w:color w:val="auto"/>
        </w:rPr>
        <w:t>If</w:t>
      </w:r>
      <w:proofErr w:type="gramEnd"/>
      <w:r w:rsidRPr="00782771" w:rsidR="00707DD9">
        <w:rPr>
          <w:b/>
          <w:bCs/>
          <w:color w:val="auto"/>
        </w:rPr>
        <w:t xml:space="preserve"> cost estimates are expected to vary widely, agencies should present ranges of cost</w:t>
      </w:r>
      <w:r w:rsidRPr="00782771">
        <w:rPr>
          <w:b/>
          <w:bCs/>
          <w:color w:val="auto"/>
        </w:rPr>
        <w:t xml:space="preserve"> </w:t>
      </w:r>
      <w:r w:rsidRPr="00782771" w:rsidR="00707DD9">
        <w:rPr>
          <w:b/>
          <w:bCs/>
          <w:color w:val="auto"/>
        </w:rPr>
        <w:t>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782771" w:rsidR="00707DD9">
        <w:rPr>
          <w:color w:val="auto"/>
        </w:rPr>
        <w:t xml:space="preserve">. </w:t>
      </w:r>
    </w:p>
    <w:p w:rsidRPr="00782771" w:rsidR="004B3AAF" w:rsidP="004B3AAF" w:rsidRDefault="004B3AAF" w14:paraId="4275E857" w14:textId="77777777">
      <w:pPr>
        <w:pStyle w:val="Default"/>
        <w:ind w:left="360"/>
        <w:rPr>
          <w:b/>
          <w:bCs/>
          <w:color w:val="auto"/>
        </w:rPr>
      </w:pPr>
      <w:r w:rsidRPr="00782771">
        <w:rPr>
          <w:b/>
          <w:bCs/>
          <w:color w:val="auto"/>
        </w:rPr>
        <w:tab/>
      </w:r>
    </w:p>
    <w:p w:rsidRPr="00782771" w:rsidR="00707DD9" w:rsidP="005C3358" w:rsidRDefault="0025289D" w14:paraId="405F1AE3" w14:textId="77777777">
      <w:pPr>
        <w:pStyle w:val="Default"/>
        <w:tabs>
          <w:tab w:val="left" w:pos="360"/>
        </w:tabs>
        <w:ind w:left="360"/>
        <w:rPr>
          <w:b/>
          <w:bCs/>
          <w:color w:val="auto"/>
        </w:rPr>
      </w:pPr>
      <w:r w:rsidRPr="00782771">
        <w:rPr>
          <w:b/>
          <w:bCs/>
          <w:color w:val="auto"/>
        </w:rPr>
        <w:t>●</w:t>
      </w:r>
      <w:r w:rsidRPr="00782771" w:rsidR="004B3AAF">
        <w:rPr>
          <w:b/>
          <w:bCs/>
          <w:color w:val="auto"/>
        </w:rPr>
        <w:t xml:space="preserve"> </w:t>
      </w:r>
      <w:r w:rsidRPr="00782771" w:rsidR="00707DD9">
        <w:rPr>
          <w:b/>
          <w:bCs/>
          <w:color w:val="auto"/>
        </w:rPr>
        <w:t>Generally, estimates should not include purchases of equipment or services, or portions thereof, made:  (1) prior to October 1, 1995</w:t>
      </w:r>
      <w:r w:rsidRPr="00782771" w:rsidR="00ED20CF">
        <w:rPr>
          <w:b/>
          <w:bCs/>
          <w:color w:val="auto"/>
        </w:rPr>
        <w:t>, (</w:t>
      </w:r>
      <w:r w:rsidRPr="00782771" w:rsidR="00707DD9">
        <w:rPr>
          <w:b/>
          <w:bCs/>
          <w:color w:val="auto"/>
        </w:rPr>
        <w:t xml:space="preserve">2) to achieve regulatory </w:t>
      </w:r>
      <w:r w:rsidRPr="00782771" w:rsidR="00ED20CF">
        <w:rPr>
          <w:b/>
          <w:bCs/>
          <w:color w:val="auto"/>
        </w:rPr>
        <w:t>compliance with</w:t>
      </w:r>
      <w:r w:rsidRPr="00782771" w:rsidR="00707DD9">
        <w:rPr>
          <w:b/>
          <w:bCs/>
          <w:color w:val="auto"/>
        </w:rPr>
        <w:t xml:space="preserve"> requirements not associated with the information collection, (3) for reasons other than to provide information or keep records for the government, or (4) as part of customary and usual business or private practices. </w:t>
      </w:r>
    </w:p>
    <w:p w:rsidRPr="00782771" w:rsidR="001C25B9" w:rsidP="004B3AAF" w:rsidRDefault="001C25B9" w14:paraId="1B9742AB" w14:textId="77777777">
      <w:pPr>
        <w:pStyle w:val="Default"/>
        <w:tabs>
          <w:tab w:val="left" w:pos="360"/>
        </w:tabs>
        <w:ind w:left="540"/>
        <w:rPr>
          <w:color w:val="auto"/>
          <w:sz w:val="20"/>
          <w:szCs w:val="20"/>
        </w:rPr>
      </w:pPr>
    </w:p>
    <w:p w:rsidRPr="00782771" w:rsidR="00DB0ACB" w:rsidP="00DB0ACB" w:rsidRDefault="00DB0ACB" w14:paraId="400EE804" w14:textId="1856339E">
      <w:pPr>
        <w:pStyle w:val="Default"/>
        <w:rPr>
          <w:color w:val="auto"/>
        </w:rPr>
      </w:pPr>
      <w:r w:rsidRPr="00782771">
        <w:rPr>
          <w:color w:val="auto"/>
        </w:rPr>
        <w:t xml:space="preserve">OSHA believes that one </w:t>
      </w:r>
      <w:r w:rsidRPr="00782771" w:rsidR="001C25B9">
        <w:rPr>
          <w:color w:val="auto"/>
        </w:rPr>
        <w:t>quarter</w:t>
      </w:r>
      <w:r w:rsidRPr="00782771">
        <w:rPr>
          <w:color w:val="auto"/>
        </w:rPr>
        <w:t xml:space="preserve"> (i.e.,</w:t>
      </w:r>
      <w:r w:rsidRPr="00782771" w:rsidR="00DE468C">
        <w:rPr>
          <w:color w:val="auto"/>
        </w:rPr>
        <w:t xml:space="preserve"> </w:t>
      </w:r>
      <w:r w:rsidRPr="00782771" w:rsidR="00B864EB">
        <w:rPr>
          <w:color w:val="auto"/>
        </w:rPr>
        <w:t>5,720.2</w:t>
      </w:r>
      <w:r w:rsidRPr="00782771">
        <w:rPr>
          <w:color w:val="auto"/>
        </w:rPr>
        <w:t xml:space="preserve">) of the </w:t>
      </w:r>
      <w:r w:rsidRPr="00782771" w:rsidR="00B864EB">
        <w:rPr>
          <w:color w:val="auto"/>
        </w:rPr>
        <w:t>22,880.8</w:t>
      </w:r>
      <w:r w:rsidRPr="00782771" w:rsidR="00DE468C">
        <w:rPr>
          <w:bCs/>
          <w:color w:val="auto"/>
        </w:rPr>
        <w:t xml:space="preserve"> </w:t>
      </w:r>
      <w:r w:rsidRPr="00782771" w:rsidR="001C25B9">
        <w:rPr>
          <w:color w:val="auto"/>
        </w:rPr>
        <w:t>apartment and non-residential construction sites</w:t>
      </w:r>
      <w:r w:rsidRPr="00782771">
        <w:rPr>
          <w:color w:val="auto"/>
        </w:rPr>
        <w:t xml:space="preserve"> </w:t>
      </w:r>
      <w:r w:rsidRPr="00782771" w:rsidR="006D447C">
        <w:rPr>
          <w:color w:val="auto"/>
        </w:rPr>
        <w:t>would require the use of outside contracted engineering services for the required protective system design, approval, et</w:t>
      </w:r>
      <w:r w:rsidRPr="00782771" w:rsidR="0044554A">
        <w:rPr>
          <w:color w:val="auto"/>
        </w:rPr>
        <w:t xml:space="preserve">c.  The hourly wage rate cost to employers for these engineering services is </w:t>
      </w:r>
      <w:r w:rsidRPr="00782771" w:rsidR="00870810">
        <w:rPr>
          <w:color w:val="auto"/>
        </w:rPr>
        <w:t>$</w:t>
      </w:r>
      <w:r w:rsidRPr="00782771" w:rsidR="00676515">
        <w:rPr>
          <w:color w:val="auto"/>
        </w:rPr>
        <w:t>6</w:t>
      </w:r>
      <w:r w:rsidRPr="00782771" w:rsidR="00B864EB">
        <w:rPr>
          <w:color w:val="auto"/>
        </w:rPr>
        <w:t>4.62</w:t>
      </w:r>
      <w:r w:rsidRPr="00782771">
        <w:rPr>
          <w:color w:val="auto"/>
        </w:rPr>
        <w:t xml:space="preserve">.  In addition, the Agency estimates that the engineer will require 2 hours </w:t>
      </w:r>
      <w:r w:rsidRPr="00782771" w:rsidR="002D4229">
        <w:rPr>
          <w:color w:val="auto"/>
        </w:rPr>
        <w:t xml:space="preserve">on average </w:t>
      </w:r>
      <w:r w:rsidRPr="00782771" w:rsidR="001E6745">
        <w:rPr>
          <w:color w:val="auto"/>
        </w:rPr>
        <w:t>for this service</w:t>
      </w:r>
      <w:r w:rsidRPr="00782771">
        <w:rPr>
          <w:color w:val="auto"/>
        </w:rPr>
        <w:t xml:space="preserve">.  Therefore, the annual cost to employers for these engineering services at is: </w:t>
      </w:r>
    </w:p>
    <w:p w:rsidRPr="00782771" w:rsidR="00DB0ACB" w:rsidP="00DB0ACB" w:rsidRDefault="00DB0ACB" w14:paraId="16E7B839" w14:textId="77777777">
      <w:pPr>
        <w:pStyle w:val="Default"/>
        <w:ind w:left="720" w:firstLine="720"/>
        <w:rPr>
          <w:b/>
          <w:bCs/>
          <w:color w:val="auto"/>
          <w:sz w:val="23"/>
          <w:szCs w:val="23"/>
        </w:rPr>
      </w:pPr>
    </w:p>
    <w:p w:rsidRPr="00782771" w:rsidR="00DB0ACB" w:rsidP="000E1EDC" w:rsidRDefault="00DB0ACB" w14:paraId="52932338" w14:textId="31D44751">
      <w:pPr>
        <w:pStyle w:val="Default"/>
        <w:ind w:left="1440" w:firstLine="720"/>
        <w:rPr>
          <w:color w:val="auto"/>
          <w:sz w:val="23"/>
          <w:szCs w:val="23"/>
        </w:rPr>
      </w:pPr>
      <w:r w:rsidRPr="00782771">
        <w:rPr>
          <w:b/>
          <w:bCs/>
          <w:color w:val="auto"/>
          <w:sz w:val="23"/>
          <w:szCs w:val="23"/>
        </w:rPr>
        <w:t>Cost</w:t>
      </w:r>
      <w:r w:rsidRPr="00782771">
        <w:rPr>
          <w:color w:val="auto"/>
          <w:sz w:val="23"/>
          <w:szCs w:val="23"/>
        </w:rPr>
        <w:t xml:space="preserve">:  </w:t>
      </w:r>
      <w:r w:rsidRPr="00782771" w:rsidR="00B864EB">
        <w:rPr>
          <w:color w:val="auto"/>
          <w:sz w:val="23"/>
          <w:szCs w:val="23"/>
        </w:rPr>
        <w:t>5,720.2</w:t>
      </w:r>
      <w:r w:rsidRPr="00782771" w:rsidR="00272ADE">
        <w:rPr>
          <w:bCs/>
          <w:color w:val="auto"/>
        </w:rPr>
        <w:t xml:space="preserve"> </w:t>
      </w:r>
      <w:r w:rsidRPr="00782771">
        <w:rPr>
          <w:color w:val="auto"/>
          <w:sz w:val="23"/>
          <w:szCs w:val="23"/>
        </w:rPr>
        <w:t>construction starts x 2 hours to develop each design x</w:t>
      </w:r>
    </w:p>
    <w:p w:rsidRPr="00782771" w:rsidR="00DB0ACB" w:rsidP="00701999" w:rsidRDefault="000E1EDC" w14:paraId="71BB043E" w14:textId="1BA3F885">
      <w:pPr>
        <w:pStyle w:val="Default"/>
        <w:tabs>
          <w:tab w:val="left" w:pos="2790"/>
        </w:tabs>
        <w:ind w:left="720" w:firstLine="720"/>
        <w:rPr>
          <w:color w:val="auto"/>
          <w:sz w:val="23"/>
          <w:szCs w:val="23"/>
        </w:rPr>
      </w:pPr>
      <w:r w:rsidRPr="00782771">
        <w:rPr>
          <w:b/>
          <w:bCs/>
          <w:color w:val="auto"/>
          <w:sz w:val="23"/>
          <w:szCs w:val="23"/>
        </w:rPr>
        <w:tab/>
      </w:r>
      <w:r w:rsidRPr="00782771" w:rsidR="00DB0ACB">
        <w:rPr>
          <w:color w:val="auto"/>
          <w:sz w:val="23"/>
          <w:szCs w:val="23"/>
        </w:rPr>
        <w:t>$</w:t>
      </w:r>
      <w:r w:rsidRPr="00782771" w:rsidR="00676515">
        <w:rPr>
          <w:color w:val="auto"/>
          <w:sz w:val="23"/>
          <w:szCs w:val="23"/>
        </w:rPr>
        <w:t>6</w:t>
      </w:r>
      <w:r w:rsidRPr="00782771" w:rsidR="00B864EB">
        <w:rPr>
          <w:color w:val="auto"/>
          <w:sz w:val="23"/>
          <w:szCs w:val="23"/>
        </w:rPr>
        <w:t>4.62</w:t>
      </w:r>
      <w:r w:rsidRPr="00782771" w:rsidR="00676515">
        <w:rPr>
          <w:color w:val="auto"/>
          <w:sz w:val="23"/>
          <w:szCs w:val="23"/>
        </w:rPr>
        <w:t xml:space="preserve"> </w:t>
      </w:r>
      <w:r w:rsidRPr="00782771" w:rsidR="00DB0ACB">
        <w:rPr>
          <w:color w:val="auto"/>
          <w:sz w:val="23"/>
          <w:szCs w:val="23"/>
        </w:rPr>
        <w:t>= $</w:t>
      </w:r>
      <w:r w:rsidRPr="00782771" w:rsidR="00B864EB">
        <w:rPr>
          <w:color w:val="auto"/>
          <w:sz w:val="23"/>
          <w:szCs w:val="23"/>
        </w:rPr>
        <w:t>739,279</w:t>
      </w:r>
    </w:p>
    <w:p w:rsidRPr="00782771" w:rsidR="00701999" w:rsidP="00211649" w:rsidRDefault="00701999" w14:paraId="2E9EA3C1" w14:textId="77777777">
      <w:pPr>
        <w:pStyle w:val="Default"/>
        <w:rPr>
          <w:b/>
          <w:bCs/>
          <w:color w:val="auto"/>
          <w:sz w:val="20"/>
          <w:szCs w:val="20"/>
        </w:rPr>
      </w:pPr>
    </w:p>
    <w:p w:rsidRPr="00782771" w:rsidR="00211649" w:rsidP="00211649" w:rsidRDefault="00211649" w14:paraId="16FCE5E1" w14:textId="77777777">
      <w:pPr>
        <w:pStyle w:val="Default"/>
        <w:rPr>
          <w:color w:val="auto"/>
        </w:rPr>
      </w:pPr>
      <w:r w:rsidRPr="00782771">
        <w:rPr>
          <w:b/>
          <w:bCs/>
          <w:color w:val="auto"/>
        </w:rPr>
        <w:t xml:space="preserve">14. </w:t>
      </w:r>
      <w:r w:rsidRPr="00782771" w:rsidR="00DF13B7">
        <w:rPr>
          <w:b/>
          <w:bCs/>
          <w:color w:val="auto"/>
        </w:rPr>
        <w:t xml:space="preserve"> </w:t>
      </w:r>
      <w:r w:rsidRPr="00782771">
        <w:rPr>
          <w:b/>
          <w:bCs/>
          <w:color w:val="auto"/>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 12, 13, and 14, in a single table. </w:t>
      </w:r>
      <w:r w:rsidRPr="00782771">
        <w:rPr>
          <w:color w:val="auto"/>
        </w:rPr>
        <w:t xml:space="preserve"> </w:t>
      </w:r>
    </w:p>
    <w:p w:rsidRPr="00782771" w:rsidR="00211649" w:rsidP="00211649" w:rsidRDefault="00211649" w14:paraId="7F0B9624" w14:textId="77777777">
      <w:pPr>
        <w:pStyle w:val="Default"/>
        <w:rPr>
          <w:color w:val="auto"/>
          <w:sz w:val="23"/>
          <w:szCs w:val="23"/>
        </w:rPr>
      </w:pPr>
    </w:p>
    <w:p w:rsidRPr="00782771" w:rsidR="001C5E58" w:rsidP="00156F3E" w:rsidRDefault="009B03C3" w14:paraId="7A8BE6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782771">
        <w:t xml:space="preserve">There is no cost </w:t>
      </w:r>
      <w:r w:rsidRPr="00782771" w:rsidR="002D1EFE">
        <w:t xml:space="preserve">to </w:t>
      </w:r>
      <w:r w:rsidRPr="00782771">
        <w:t>the Federal Government</w:t>
      </w:r>
    </w:p>
    <w:p w:rsidRPr="00782771" w:rsidR="00D46767" w:rsidP="00382840" w:rsidRDefault="00D46767" w14:paraId="64084DFD" w14:textId="77777777">
      <w:pPr>
        <w:pStyle w:val="Default"/>
        <w:rPr>
          <w:b/>
          <w:bCs/>
          <w:color w:val="auto"/>
          <w:sz w:val="20"/>
          <w:szCs w:val="20"/>
        </w:rPr>
      </w:pPr>
    </w:p>
    <w:p w:rsidRPr="00782771" w:rsidR="00382840" w:rsidP="00382840" w:rsidRDefault="00382840" w14:paraId="2DA4C033" w14:textId="77777777">
      <w:pPr>
        <w:pStyle w:val="Default"/>
        <w:rPr>
          <w:color w:val="auto"/>
        </w:rPr>
      </w:pPr>
      <w:r w:rsidRPr="00782771">
        <w:rPr>
          <w:b/>
          <w:bCs/>
          <w:color w:val="auto"/>
        </w:rPr>
        <w:t xml:space="preserve">15. </w:t>
      </w:r>
      <w:r w:rsidRPr="00782771" w:rsidR="00BF0DA1">
        <w:rPr>
          <w:b/>
          <w:bCs/>
          <w:color w:val="auto"/>
        </w:rPr>
        <w:t xml:space="preserve"> </w:t>
      </w:r>
      <w:r w:rsidRPr="00782771">
        <w:rPr>
          <w:b/>
          <w:bCs/>
          <w:color w:val="auto"/>
        </w:rPr>
        <w:t xml:space="preserve">Explain the reasons for any program changes or </w:t>
      </w:r>
      <w:r w:rsidRPr="00782771">
        <w:rPr>
          <w:b/>
          <w:color w:val="auto"/>
        </w:rPr>
        <w:t>adjustments.</w:t>
      </w:r>
    </w:p>
    <w:p w:rsidRPr="00782771" w:rsidR="00382840" w:rsidP="00382840" w:rsidRDefault="00382840" w14:paraId="246E1D7A" w14:textId="77777777">
      <w:pPr>
        <w:pStyle w:val="Default"/>
        <w:rPr>
          <w:color w:val="auto"/>
          <w:sz w:val="23"/>
          <w:szCs w:val="23"/>
        </w:rPr>
      </w:pPr>
    </w:p>
    <w:p w:rsidRPr="00782771" w:rsidR="00C74DFB" w:rsidP="004B7B89" w:rsidRDefault="00C74DFB" w14:paraId="2F6D8698" w14:textId="68CC21C4">
      <w:pPr>
        <w:autoSpaceDE w:val="0"/>
        <w:autoSpaceDN w:val="0"/>
        <w:adjustRightInd w:val="0"/>
        <w:rPr>
          <w:bCs/>
          <w:strike/>
        </w:rPr>
      </w:pPr>
      <w:r w:rsidRPr="00782771">
        <w:t xml:space="preserve">An increase in the number of </w:t>
      </w:r>
      <w:r w:rsidRPr="00782771" w:rsidR="00DC6624">
        <w:t>construction projects/sites</w:t>
      </w:r>
      <w:r w:rsidRPr="00782771">
        <w:t xml:space="preserve"> </w:t>
      </w:r>
      <w:r w:rsidRPr="00782771" w:rsidR="00DC6624">
        <w:t xml:space="preserve">from </w:t>
      </w:r>
      <w:r w:rsidRPr="00782771" w:rsidR="0003261F">
        <w:t>768,278 in 2013</w:t>
      </w:r>
      <w:r w:rsidRPr="00782771" w:rsidR="00DC6624">
        <w:t xml:space="preserve"> to </w:t>
      </w:r>
      <w:r w:rsidRPr="00782771" w:rsidR="00B36E75">
        <w:t>1,0</w:t>
      </w:r>
      <w:r w:rsidRPr="00782771" w:rsidR="00564447">
        <w:t>10</w:t>
      </w:r>
      <w:r w:rsidRPr="00782771" w:rsidR="00B36E75">
        <w:t>,1</w:t>
      </w:r>
      <w:r w:rsidRPr="00782771" w:rsidR="00564447">
        <w:t>8</w:t>
      </w:r>
      <w:r w:rsidRPr="00782771" w:rsidR="00B36E75">
        <w:t xml:space="preserve">8 in 2019 </w:t>
      </w:r>
      <w:r w:rsidRPr="00782771">
        <w:t>has resulted in an adjustment increase in burden hours from</w:t>
      </w:r>
      <w:r w:rsidRPr="00782771" w:rsidR="00B36E75">
        <w:t xml:space="preserve"> </w:t>
      </w:r>
      <w:r w:rsidRPr="00782771" w:rsidR="00755B93">
        <w:t>17,262</w:t>
      </w:r>
      <w:r w:rsidRPr="00782771" w:rsidR="00B36E75">
        <w:t xml:space="preserve"> to </w:t>
      </w:r>
      <w:r w:rsidRPr="00782771" w:rsidR="00691D86">
        <w:t>40,041</w:t>
      </w:r>
      <w:r w:rsidRPr="00782771" w:rsidR="00B36E75">
        <w:t>,</w:t>
      </w:r>
      <w:r w:rsidRPr="00782771" w:rsidR="00C31625">
        <w:t xml:space="preserve"> </w:t>
      </w:r>
      <w:r w:rsidRPr="00782771">
        <w:t>a total increase of</w:t>
      </w:r>
      <w:r w:rsidRPr="00782771" w:rsidR="008726C3">
        <w:t xml:space="preserve"> </w:t>
      </w:r>
      <w:r w:rsidRPr="00782771" w:rsidR="00691D86">
        <w:t>22,779</w:t>
      </w:r>
      <w:r w:rsidRPr="00782771" w:rsidR="000D0A95">
        <w:t xml:space="preserve"> </w:t>
      </w:r>
      <w:r w:rsidRPr="00782771">
        <w:t xml:space="preserve">burden hours.  </w:t>
      </w:r>
      <w:r w:rsidRPr="00782771" w:rsidR="00691D86">
        <w:t xml:space="preserve">The there was an increase in the </w:t>
      </w:r>
      <w:r w:rsidRPr="00782771">
        <w:t>number of apartment and non-residential construction sites that would use outside contractor engineering services for the required protective system design</w:t>
      </w:r>
      <w:r w:rsidRPr="00782771" w:rsidR="000E0FAC">
        <w:t xml:space="preserve"> </w:t>
      </w:r>
      <w:r w:rsidRPr="00782771">
        <w:t>from</w:t>
      </w:r>
      <w:r w:rsidRPr="00782771" w:rsidR="00D67BC9">
        <w:t xml:space="preserve"> </w:t>
      </w:r>
      <w:r w:rsidRPr="00782771" w:rsidR="000E0FAC">
        <w:t>2,038</w:t>
      </w:r>
      <w:r w:rsidRPr="00782771" w:rsidR="00691D86">
        <w:t xml:space="preserve"> to 5,720.2</w:t>
      </w:r>
      <w:r w:rsidRPr="00782771">
        <w:t xml:space="preserve">.  </w:t>
      </w:r>
      <w:r w:rsidRPr="00782771" w:rsidR="00755B93">
        <w:t>T</w:t>
      </w:r>
      <w:r w:rsidRPr="00782771">
        <w:t xml:space="preserve">here was </w:t>
      </w:r>
      <w:r w:rsidRPr="00782771" w:rsidR="002D1EFE">
        <w:t xml:space="preserve">also </w:t>
      </w:r>
      <w:r w:rsidRPr="00782771" w:rsidR="000E0FAC">
        <w:t>a decrease</w:t>
      </w:r>
      <w:r w:rsidRPr="00782771">
        <w:t xml:space="preserve"> in </w:t>
      </w:r>
      <w:r w:rsidRPr="00782771" w:rsidR="00755B93">
        <w:t xml:space="preserve">overall cost </w:t>
      </w:r>
      <w:r w:rsidRPr="00782771">
        <w:t xml:space="preserve">from </w:t>
      </w:r>
      <w:r w:rsidRPr="00782771" w:rsidR="00993ADD">
        <w:t>$</w:t>
      </w:r>
      <w:r w:rsidRPr="00782771" w:rsidR="00755B93">
        <w:t>311,505</w:t>
      </w:r>
      <w:r w:rsidRPr="00782771" w:rsidR="000E0FAC">
        <w:t xml:space="preserve"> to $</w:t>
      </w:r>
      <w:r w:rsidRPr="00782771" w:rsidR="00691D86">
        <w:rPr>
          <w:sz w:val="23"/>
          <w:szCs w:val="23"/>
        </w:rPr>
        <w:t>739,279</w:t>
      </w:r>
      <w:r w:rsidRPr="00782771" w:rsidR="00755B93">
        <w:t xml:space="preserve">, a difference of </w:t>
      </w:r>
      <w:r w:rsidRPr="00782771" w:rsidR="004F4B78">
        <w:t>$</w:t>
      </w:r>
      <w:r w:rsidRPr="00782771" w:rsidR="00691D86">
        <w:t>427,774</w:t>
      </w:r>
      <w:r w:rsidRPr="00782771">
        <w:t>.</w:t>
      </w:r>
    </w:p>
    <w:p w:rsidRPr="00782771" w:rsidR="009A15E0" w:rsidP="00382840" w:rsidRDefault="009A15E0" w14:paraId="17D154AE" w14:textId="77777777">
      <w:pPr>
        <w:pStyle w:val="Default"/>
        <w:rPr>
          <w:b/>
          <w:bCs/>
          <w:color w:val="auto"/>
          <w:sz w:val="20"/>
          <w:szCs w:val="20"/>
        </w:rPr>
      </w:pPr>
    </w:p>
    <w:p w:rsidRPr="00782771" w:rsidR="00382840" w:rsidP="00382840" w:rsidRDefault="00382840" w14:paraId="54AA5A6C" w14:textId="77777777">
      <w:pPr>
        <w:pStyle w:val="Default"/>
        <w:rPr>
          <w:color w:val="auto"/>
        </w:rPr>
      </w:pPr>
      <w:r w:rsidRPr="00782771">
        <w:rPr>
          <w:b/>
          <w:bCs/>
          <w:color w:val="auto"/>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782771" w:rsidR="00382840" w:rsidP="00382840" w:rsidRDefault="00382840" w14:paraId="265BB874" w14:textId="77777777">
      <w:pPr>
        <w:pStyle w:val="Default"/>
        <w:rPr>
          <w:color w:val="auto"/>
          <w:sz w:val="23"/>
          <w:szCs w:val="23"/>
        </w:rPr>
      </w:pPr>
    </w:p>
    <w:p w:rsidRPr="00782771" w:rsidR="00382840" w:rsidP="00382840" w:rsidRDefault="00382840" w14:paraId="27BFFE1A" w14:textId="77777777">
      <w:pPr>
        <w:pStyle w:val="Default"/>
        <w:rPr>
          <w:color w:val="auto"/>
        </w:rPr>
      </w:pPr>
      <w:r w:rsidRPr="00782771">
        <w:rPr>
          <w:color w:val="auto"/>
        </w:rPr>
        <w:t xml:space="preserve">The Agency will not publish the information collected under this standard. </w:t>
      </w:r>
    </w:p>
    <w:p w:rsidRPr="00782771" w:rsidR="00802468" w:rsidP="00382840" w:rsidRDefault="00802468" w14:paraId="0B83FB9F" w14:textId="77777777">
      <w:pPr>
        <w:pStyle w:val="Default"/>
        <w:rPr>
          <w:b/>
          <w:bCs/>
          <w:color w:val="auto"/>
        </w:rPr>
      </w:pPr>
    </w:p>
    <w:p w:rsidRPr="00782771" w:rsidR="00382840" w:rsidP="00382840" w:rsidRDefault="00382840" w14:paraId="6158C3DF" w14:textId="77777777">
      <w:pPr>
        <w:pStyle w:val="Default"/>
        <w:rPr>
          <w:color w:val="auto"/>
        </w:rPr>
      </w:pPr>
      <w:r w:rsidRPr="00782771">
        <w:rPr>
          <w:b/>
          <w:bCs/>
          <w:color w:val="auto"/>
        </w:rPr>
        <w:t xml:space="preserve">17. If seeking approval to not display the expiration date for OMB approval of the information collection, explain the reasons that display would be inappropriate. </w:t>
      </w:r>
    </w:p>
    <w:p w:rsidRPr="00782771" w:rsidR="00382840" w:rsidP="00382840" w:rsidRDefault="00382840" w14:paraId="255F3C4C" w14:textId="77777777">
      <w:pPr>
        <w:pStyle w:val="Default"/>
        <w:rPr>
          <w:color w:val="auto"/>
          <w:sz w:val="23"/>
          <w:szCs w:val="23"/>
        </w:rPr>
      </w:pPr>
    </w:p>
    <w:p w:rsidRPr="00782771" w:rsidR="00E2485D" w:rsidP="00E2485D" w:rsidRDefault="00E2485D" w14:paraId="5198F3D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Shruti"/>
        </w:rPr>
      </w:pPr>
      <w:r w:rsidRPr="00782771">
        <w:rPr>
          <w:rFonts w:cs="Shruti"/>
        </w:rPr>
        <w:t xml:space="preserve">OSHA lists current valid control numbers in </w:t>
      </w:r>
      <w:r w:rsidRPr="00782771">
        <w:t>§§</w:t>
      </w:r>
      <w:r w:rsidRPr="00782771">
        <w:rPr>
          <w:rFonts w:cs="Shruti"/>
        </w:rPr>
        <w:t xml:space="preserve">1910.8, 1915.8, 1917.4, 1918.4, and 1926.5 and publishes the expiration date in the Federal </w:t>
      </w:r>
      <w:r w:rsidRPr="00782771" w:rsidR="009E2C95">
        <w:rPr>
          <w:rFonts w:cs="Shruti"/>
        </w:rPr>
        <w:t>R</w:t>
      </w:r>
      <w:r w:rsidRPr="00782771">
        <w:rPr>
          <w:rFonts w:cs="Shruti"/>
        </w:rPr>
        <w:t>egister notice announcing OMB approval of the Information collection requirement (see 5 CFR 1320.3(f</w:t>
      </w:r>
      <w:proofErr w:type="gramStart"/>
      <w:r w:rsidRPr="00782771">
        <w:rPr>
          <w:rFonts w:cs="Shruti"/>
        </w:rPr>
        <w:t>)(</w:t>
      </w:r>
      <w:proofErr w:type="gramEnd"/>
      <w:r w:rsidRPr="00782771">
        <w:rPr>
          <w:rFonts w:cs="Shruti"/>
        </w:rPr>
        <w:t>3).  OSHA believes that this is the most appropriate and accurate mechanism to inform interested parties of these expiration dates.</w:t>
      </w:r>
    </w:p>
    <w:p w:rsidRPr="00782771" w:rsidR="00E2485D" w:rsidP="00E2485D" w:rsidRDefault="00E2485D" w14:paraId="73D077B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Shruti"/>
        </w:rPr>
      </w:pPr>
    </w:p>
    <w:p w:rsidRPr="00782771" w:rsidR="00382840" w:rsidP="00382840" w:rsidRDefault="00382840" w14:paraId="1F8CBEA8" w14:textId="77777777">
      <w:pPr>
        <w:pStyle w:val="Default"/>
        <w:rPr>
          <w:color w:val="auto"/>
        </w:rPr>
      </w:pPr>
      <w:r w:rsidRPr="00782771">
        <w:rPr>
          <w:b/>
          <w:bCs/>
          <w:color w:val="auto"/>
        </w:rPr>
        <w:t xml:space="preserve">18. Explain each exception to the certification statement. </w:t>
      </w:r>
    </w:p>
    <w:p w:rsidRPr="00782771" w:rsidR="00382840" w:rsidP="00382840" w:rsidRDefault="00382840" w14:paraId="757B0886" w14:textId="77777777"/>
    <w:p w:rsidRPr="00782771" w:rsidR="00382840" w:rsidP="00382840" w:rsidRDefault="00382840" w14:paraId="0C02E030" w14:textId="77777777">
      <w:r w:rsidRPr="00782771">
        <w:t>The Agency is not seeking an exception to the certification statement.</w:t>
      </w:r>
    </w:p>
    <w:p w:rsidRPr="00782771" w:rsidR="00382840" w:rsidP="00382840" w:rsidRDefault="00382840" w14:paraId="655F4D4E" w14:textId="77777777"/>
    <w:p w:rsidRPr="00782771" w:rsidR="00382840" w:rsidP="00286702" w:rsidRDefault="00382840" w14:paraId="14258833" w14:textId="77777777">
      <w:pPr>
        <w:tabs>
          <w:tab w:val="left" w:pos="0"/>
          <w:tab w:val="left" w:pos="360"/>
        </w:tabs>
      </w:pPr>
      <w:r w:rsidRPr="00782771">
        <w:rPr>
          <w:b/>
        </w:rPr>
        <w:t>B. COLLECTIONS OF INFORMATION EMPLOYING STATISTICAL METHODS</w:t>
      </w:r>
      <w:r w:rsidRPr="00782771">
        <w:t>.</w:t>
      </w:r>
    </w:p>
    <w:p w:rsidRPr="00782771" w:rsidR="00382840" w:rsidP="00382840" w:rsidRDefault="00382840" w14:paraId="7EE6BE5A" w14:textId="77777777"/>
    <w:p w:rsidR="00AE41EF" w:rsidP="009E2C95" w:rsidRDefault="00382840" w14:paraId="75217AE1" w14:textId="77777777">
      <w:r w:rsidRPr="00782771">
        <w:t>There are no collections of information employing statistical methods.</w:t>
      </w:r>
    </w:p>
    <w:p w:rsidRPr="00430D03" w:rsidR="00F02EAD" w:rsidP="009E2C95" w:rsidRDefault="00F02EAD" w14:paraId="2073F111" w14:textId="7F6BCA9F">
      <w:pPr>
        <w:rPr>
          <w:vertAlign w:val="superscript"/>
        </w:rPr>
      </w:pPr>
    </w:p>
    <w:sectPr w:rsidRPr="00430D03" w:rsidR="00F02EAD" w:rsidSect="00782771">
      <w:pgSz w:w="12240" w:h="15840" w:code="1"/>
      <w:pgMar w:top="1440" w:right="1440" w:bottom="1440" w:left="1440" w:header="576" w:footer="57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353CC" w16cex:dateUtc="2020-08-28T13:58:00Z"/>
  <w16cex:commentExtensible w16cex:durableId="22EE5195" w16cex:dateUtc="2020-08-24T18:47:00Z"/>
  <w16cex:commentExtensible w16cex:durableId="22EE51CE" w16cex:dateUtc="2020-08-24T18:48:00Z"/>
  <w16cex:commentExtensible w16cex:durableId="2309C407" w16cex:dateUtc="2020-09-14T14:27:00Z"/>
  <w16cex:commentExtensible w16cex:durableId="2309B1BE" w16cex:dateUtc="2020-09-14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1E15BD" w16cid:durableId="22F353CC"/>
  <w16cid:commentId w16cid:paraId="07E8828A" w16cid:durableId="22EE5195"/>
  <w16cid:commentId w16cid:paraId="0B4279E1" w16cid:durableId="22EE51CE"/>
  <w16cid:commentId w16cid:paraId="232517A7" w16cid:durableId="2309AE18"/>
  <w16cid:commentId w16cid:paraId="53B38210" w16cid:durableId="2309C407"/>
  <w16cid:commentId w16cid:paraId="077BFFCA" w16cid:durableId="2309B1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D8834" w14:textId="77777777" w:rsidR="005B2EA9" w:rsidRDefault="005B2EA9">
      <w:r>
        <w:separator/>
      </w:r>
    </w:p>
  </w:endnote>
  <w:endnote w:type="continuationSeparator" w:id="0">
    <w:p w14:paraId="63A6AEFA" w14:textId="77777777" w:rsidR="005B2EA9" w:rsidRDefault="005B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21343" w14:textId="77777777" w:rsidR="00B864EB" w:rsidRDefault="00B864EB" w:rsidP="005F31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C9E494" w14:textId="77777777" w:rsidR="00B864EB" w:rsidRDefault="00B86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055691"/>
      <w:docPartObj>
        <w:docPartGallery w:val="Page Numbers (Bottom of Page)"/>
        <w:docPartUnique/>
      </w:docPartObj>
    </w:sdtPr>
    <w:sdtEndPr>
      <w:rPr>
        <w:noProof/>
      </w:rPr>
    </w:sdtEndPr>
    <w:sdtContent>
      <w:p w14:paraId="6E6FF696" w14:textId="2413803A" w:rsidR="00B864EB" w:rsidRDefault="00B864EB">
        <w:pPr>
          <w:pStyle w:val="Footer"/>
          <w:jc w:val="center"/>
        </w:pPr>
        <w:r>
          <w:fldChar w:fldCharType="begin"/>
        </w:r>
        <w:r>
          <w:instrText xml:space="preserve"> PAGE   \* MERGEFORMAT </w:instrText>
        </w:r>
        <w:r>
          <w:fldChar w:fldCharType="separate"/>
        </w:r>
        <w:r w:rsidR="003138B9">
          <w:rPr>
            <w:noProof/>
          </w:rPr>
          <w:t>13</w:t>
        </w:r>
        <w:r>
          <w:rPr>
            <w:noProof/>
          </w:rPr>
          <w:fldChar w:fldCharType="end"/>
        </w:r>
      </w:p>
    </w:sdtContent>
  </w:sdt>
  <w:p w14:paraId="37D5381C" w14:textId="77777777" w:rsidR="00B864EB" w:rsidRDefault="00B864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71FE" w14:textId="62E9857E" w:rsidR="00B864EB" w:rsidRDefault="00B864EB" w:rsidP="003C34C5">
    <w:pPr>
      <w:pStyle w:val="Footer"/>
      <w:tabs>
        <w:tab w:val="clear" w:pos="4320"/>
        <w:tab w:val="clear" w:pos="8640"/>
        <w:tab w:val="left" w:pos="572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83986" w14:textId="77777777" w:rsidR="005B2EA9" w:rsidRDefault="005B2EA9">
      <w:r>
        <w:separator/>
      </w:r>
    </w:p>
  </w:footnote>
  <w:footnote w:type="continuationSeparator" w:id="0">
    <w:p w14:paraId="4E99E97B" w14:textId="77777777" w:rsidR="005B2EA9" w:rsidRDefault="005B2EA9">
      <w:r>
        <w:continuationSeparator/>
      </w:r>
    </w:p>
  </w:footnote>
  <w:footnote w:id="1">
    <w:p w14:paraId="7E6292AD" w14:textId="5FA03BC6" w:rsidR="00B864EB" w:rsidRDefault="00B864EB" w:rsidP="003C34C5">
      <w:pPr>
        <w:pStyle w:val="FootnoteText"/>
      </w:pPr>
      <w:r>
        <w:tab/>
      </w:r>
      <w:r>
        <w:rPr>
          <w:rStyle w:val="FootnoteReference"/>
        </w:rPr>
        <w:footnoteRef/>
      </w:r>
      <w:r>
        <w:t xml:space="preserve">The purpose of this Supporting Statement analyzes and describes the burden hours and costs associated with provisions of this Standard that contain paperwork requirements; this Supporting Statement does not provide information or guidance on how to comply with, or how to enforce, the Standard. </w:t>
      </w:r>
    </w:p>
    <w:p w14:paraId="26A1E1C6" w14:textId="77777777" w:rsidR="00B864EB" w:rsidRDefault="00B864EB" w:rsidP="00A24FC2">
      <w:pPr>
        <w:pStyle w:val="FootnoteText"/>
        <w:ind w:firstLine="720"/>
      </w:pPr>
    </w:p>
  </w:footnote>
  <w:footnote w:id="2">
    <w:p w14:paraId="2B5F2433" w14:textId="7948FD19" w:rsidR="00B864EB" w:rsidRDefault="00B864EB" w:rsidP="003C34C5">
      <w:pPr>
        <w:pStyle w:val="FootnoteText"/>
      </w:pPr>
      <w:r>
        <w:tab/>
      </w:r>
      <w:r>
        <w:rPr>
          <w:rStyle w:val="FootnoteReference"/>
        </w:rPr>
        <w:footnoteRef/>
      </w:r>
      <w:r w:rsidRPr="00320B78">
        <w:t xml:space="preserve">Paragraph (b)(2) of §1926.651 (“Specific Excavation Requirements”) requires that </w:t>
      </w:r>
      <w:r>
        <w:t>“[u]</w:t>
      </w:r>
      <w:proofErr w:type="spellStart"/>
      <w:r>
        <w:t>tility</w:t>
      </w:r>
      <w:proofErr w:type="spellEnd"/>
      <w:r>
        <w:t xml:space="preserve"> companies or owners shall be contacted within established or customary local response times, advised of the proposed work, and asked to establish the location of the utility underground installations prior to the start of actual excavation…”  Across the country excavation contractors are required to follow these steps by local custom or One-Call System call before you dig programs. The Agency considers this</w:t>
      </w:r>
      <w:r w:rsidRPr="00320B78">
        <w:t xml:space="preserve"> a </w:t>
      </w:r>
      <w:r>
        <w:t xml:space="preserve">long standing </w:t>
      </w:r>
      <w:r w:rsidRPr="00320B78">
        <w:t xml:space="preserve">usual and customary business practice and, therefore, </w:t>
      </w:r>
      <w:r>
        <w:t xml:space="preserve">does not take burden for this provision under the </w:t>
      </w:r>
      <w:r w:rsidRPr="00320B78">
        <w:t>PRA</w:t>
      </w:r>
      <w:r>
        <w:t xml:space="preserve"> (see 5 CFR 1320.3(b</w:t>
      </w:r>
      <w:proofErr w:type="gramStart"/>
      <w:r>
        <w:t>)(</w:t>
      </w:r>
      <w:proofErr w:type="gramEnd"/>
      <w:r>
        <w:t>2))</w:t>
      </w:r>
      <w:r w:rsidRPr="00320B78">
        <w:t xml:space="preserve">. </w:t>
      </w:r>
      <w:r>
        <w:t xml:space="preserve"> </w:t>
      </w:r>
    </w:p>
  </w:footnote>
  <w:footnote w:id="3">
    <w:p w14:paraId="71A05826" w14:textId="77777777" w:rsidR="00B864EB" w:rsidRDefault="00B864EB" w:rsidP="003C34C5">
      <w:pPr>
        <w:pStyle w:val="FootnoteText"/>
      </w:pPr>
      <w:r>
        <w:tab/>
      </w:r>
      <w:r w:rsidRPr="00D2581B">
        <w:rPr>
          <w:rStyle w:val="FootnoteReference"/>
          <w:b/>
          <w:szCs w:val="22"/>
        </w:rPr>
        <w:footnoteRef/>
      </w:r>
      <w:r>
        <w:t xml:space="preserve">OES data is available at </w:t>
      </w:r>
      <w:hyperlink r:id="rId1" w:history="1">
        <w:r w:rsidRPr="0019260B">
          <w:rPr>
            <w:rStyle w:val="Hyperlink"/>
          </w:rPr>
          <w:t>https://www.bls.gov/oes/tables.htm</w:t>
        </w:r>
      </w:hyperlink>
      <w:r>
        <w:t>. To access a wage rate, select the year “Occupational Profiles,” and the Standard Occupational Classification (SOC) Code.</w:t>
      </w:r>
    </w:p>
    <w:p w14:paraId="7BFC8600" w14:textId="73F74F0B" w:rsidR="00B864EB" w:rsidRPr="003C5CE1" w:rsidRDefault="00B864EB" w:rsidP="003C34C5">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9BF7B" w14:textId="77777777" w:rsidR="00B864EB" w:rsidRDefault="00B864EB" w:rsidP="00016F15">
    <w:pPr>
      <w:pStyle w:val="Header"/>
      <w:rPr>
        <w:sz w:val="20"/>
        <w:szCs w:val="20"/>
      </w:rPr>
    </w:pPr>
    <w:r>
      <w:rPr>
        <w:sz w:val="20"/>
        <w:szCs w:val="20"/>
      </w:rPr>
      <w:t>Excavations (Design of Cave-In Protection Systems) (29 CFR part 1926, Subpart P)</w:t>
    </w:r>
  </w:p>
  <w:p w14:paraId="3213C633" w14:textId="77777777" w:rsidR="00B864EB" w:rsidRDefault="00B864EB" w:rsidP="00016F15">
    <w:pPr>
      <w:pStyle w:val="Header"/>
      <w:rPr>
        <w:sz w:val="20"/>
        <w:szCs w:val="20"/>
      </w:rPr>
    </w:pPr>
    <w:r>
      <w:rPr>
        <w:sz w:val="20"/>
        <w:szCs w:val="20"/>
      </w:rPr>
      <w:t>OMB Control No. 1218-0137</w:t>
    </w:r>
  </w:p>
  <w:p w14:paraId="3BA75763" w14:textId="2E2A8593" w:rsidR="00B864EB" w:rsidRPr="00436E1D" w:rsidRDefault="000F4411" w:rsidP="00016F15">
    <w:pPr>
      <w:pStyle w:val="Header"/>
      <w:rPr>
        <w:sz w:val="22"/>
        <w:szCs w:val="22"/>
      </w:rPr>
    </w:pPr>
    <w:r>
      <w:rPr>
        <w:sz w:val="20"/>
        <w:szCs w:val="20"/>
      </w:rPr>
      <w:t>April 30</w:t>
    </w:r>
    <w:r w:rsidR="00B864EB">
      <w:rPr>
        <w:sz w:val="20"/>
        <w:szCs w:val="20"/>
      </w:rPr>
      <w:t>, 2021</w:t>
    </w:r>
  </w:p>
  <w:p w14:paraId="7106D204" w14:textId="77777777" w:rsidR="00B864EB" w:rsidRDefault="00B86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9B61E" w14:textId="58AD0668" w:rsidR="00B864EB" w:rsidRDefault="00B864EB" w:rsidP="00D97EBB">
    <w:pPr>
      <w:pStyle w:val="Header"/>
      <w:rPr>
        <w:sz w:val="20"/>
        <w:szCs w:val="20"/>
      </w:rPr>
    </w:pPr>
    <w:r>
      <w:rPr>
        <w:sz w:val="20"/>
        <w:szCs w:val="20"/>
      </w:rPr>
      <w:t>Excavations (Design of Cave-In Protection Systems) (29 CFR part 1926, Subpart P)</w:t>
    </w:r>
  </w:p>
  <w:p w14:paraId="00DB98C1" w14:textId="59C29D68" w:rsidR="00B864EB" w:rsidRDefault="00B864EB" w:rsidP="00D97EBB">
    <w:pPr>
      <w:pStyle w:val="Header"/>
      <w:rPr>
        <w:sz w:val="20"/>
        <w:szCs w:val="20"/>
      </w:rPr>
    </w:pPr>
    <w:r>
      <w:rPr>
        <w:sz w:val="20"/>
        <w:szCs w:val="20"/>
      </w:rPr>
      <w:t>OMB Control No. 1218-0137</w:t>
    </w:r>
  </w:p>
  <w:p w14:paraId="1A1D8908" w14:textId="20140EE2" w:rsidR="00B864EB" w:rsidRPr="00436E1D" w:rsidRDefault="00B864EB" w:rsidP="00D97EBB">
    <w:pPr>
      <w:pStyle w:val="Header"/>
      <w:rPr>
        <w:sz w:val="22"/>
        <w:szCs w:val="22"/>
      </w:rPr>
    </w:pPr>
    <w:r>
      <w:rPr>
        <w:sz w:val="20"/>
        <w:szCs w:val="20"/>
      </w:rPr>
      <w:t>February 28,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1pt;height:12.1pt;visibility:visible" o:bullet="t">
        <v:imagedata r:id="rId1" o:title=""/>
      </v:shape>
    </w:pict>
  </w:numPicBullet>
  <w:abstractNum w:abstractNumId="0" w15:restartNumberingAfterBreak="0">
    <w:nsid w:val="08055CA7"/>
    <w:multiLevelType w:val="hybridMultilevel"/>
    <w:tmpl w:val="92BE26E2"/>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1080" w:hanging="180"/>
      </w:pPr>
    </w:lvl>
  </w:abstractNum>
  <w:abstractNum w:abstractNumId="1" w15:restartNumberingAfterBreak="0">
    <w:nsid w:val="0E7719BB"/>
    <w:multiLevelType w:val="hybridMultilevel"/>
    <w:tmpl w:val="84C4D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56364"/>
    <w:multiLevelType w:val="hybridMultilevel"/>
    <w:tmpl w:val="F37A3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E223B0"/>
    <w:multiLevelType w:val="hybridMultilevel"/>
    <w:tmpl w:val="A9BE5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FF15C6"/>
    <w:multiLevelType w:val="hybridMultilevel"/>
    <w:tmpl w:val="91226758"/>
    <w:lvl w:ilvl="0" w:tplc="056ECB24">
      <w:start w:val="1"/>
      <w:numFmt w:val="bullet"/>
      <w:lvlText w:val=""/>
      <w:lvlPicBulletId w:val="0"/>
      <w:lvlJc w:val="left"/>
      <w:pPr>
        <w:tabs>
          <w:tab w:val="num" w:pos="720"/>
        </w:tabs>
        <w:ind w:left="720" w:hanging="360"/>
      </w:pPr>
      <w:rPr>
        <w:rFonts w:ascii="Symbol" w:hAnsi="Symbol" w:hint="default"/>
      </w:rPr>
    </w:lvl>
    <w:lvl w:ilvl="1" w:tplc="CCEC0FA4" w:tentative="1">
      <w:start w:val="1"/>
      <w:numFmt w:val="bullet"/>
      <w:lvlText w:val=""/>
      <w:lvlJc w:val="left"/>
      <w:pPr>
        <w:tabs>
          <w:tab w:val="num" w:pos="1440"/>
        </w:tabs>
        <w:ind w:left="1440" w:hanging="360"/>
      </w:pPr>
      <w:rPr>
        <w:rFonts w:ascii="Symbol" w:hAnsi="Symbol" w:hint="default"/>
      </w:rPr>
    </w:lvl>
    <w:lvl w:ilvl="2" w:tplc="74A0A882" w:tentative="1">
      <w:start w:val="1"/>
      <w:numFmt w:val="bullet"/>
      <w:lvlText w:val=""/>
      <w:lvlJc w:val="left"/>
      <w:pPr>
        <w:tabs>
          <w:tab w:val="num" w:pos="2160"/>
        </w:tabs>
        <w:ind w:left="2160" w:hanging="360"/>
      </w:pPr>
      <w:rPr>
        <w:rFonts w:ascii="Symbol" w:hAnsi="Symbol" w:hint="default"/>
      </w:rPr>
    </w:lvl>
    <w:lvl w:ilvl="3" w:tplc="352C686A" w:tentative="1">
      <w:start w:val="1"/>
      <w:numFmt w:val="bullet"/>
      <w:lvlText w:val=""/>
      <w:lvlJc w:val="left"/>
      <w:pPr>
        <w:tabs>
          <w:tab w:val="num" w:pos="2880"/>
        </w:tabs>
        <w:ind w:left="2880" w:hanging="360"/>
      </w:pPr>
      <w:rPr>
        <w:rFonts w:ascii="Symbol" w:hAnsi="Symbol" w:hint="default"/>
      </w:rPr>
    </w:lvl>
    <w:lvl w:ilvl="4" w:tplc="109A4A34" w:tentative="1">
      <w:start w:val="1"/>
      <w:numFmt w:val="bullet"/>
      <w:lvlText w:val=""/>
      <w:lvlJc w:val="left"/>
      <w:pPr>
        <w:tabs>
          <w:tab w:val="num" w:pos="3600"/>
        </w:tabs>
        <w:ind w:left="3600" w:hanging="360"/>
      </w:pPr>
      <w:rPr>
        <w:rFonts w:ascii="Symbol" w:hAnsi="Symbol" w:hint="default"/>
      </w:rPr>
    </w:lvl>
    <w:lvl w:ilvl="5" w:tplc="2EF60286" w:tentative="1">
      <w:start w:val="1"/>
      <w:numFmt w:val="bullet"/>
      <w:lvlText w:val=""/>
      <w:lvlJc w:val="left"/>
      <w:pPr>
        <w:tabs>
          <w:tab w:val="num" w:pos="4320"/>
        </w:tabs>
        <w:ind w:left="4320" w:hanging="360"/>
      </w:pPr>
      <w:rPr>
        <w:rFonts w:ascii="Symbol" w:hAnsi="Symbol" w:hint="default"/>
      </w:rPr>
    </w:lvl>
    <w:lvl w:ilvl="6" w:tplc="3E62B848" w:tentative="1">
      <w:start w:val="1"/>
      <w:numFmt w:val="bullet"/>
      <w:lvlText w:val=""/>
      <w:lvlJc w:val="left"/>
      <w:pPr>
        <w:tabs>
          <w:tab w:val="num" w:pos="5040"/>
        </w:tabs>
        <w:ind w:left="5040" w:hanging="360"/>
      </w:pPr>
      <w:rPr>
        <w:rFonts w:ascii="Symbol" w:hAnsi="Symbol" w:hint="default"/>
      </w:rPr>
    </w:lvl>
    <w:lvl w:ilvl="7" w:tplc="1B84E51C" w:tentative="1">
      <w:start w:val="1"/>
      <w:numFmt w:val="bullet"/>
      <w:lvlText w:val=""/>
      <w:lvlJc w:val="left"/>
      <w:pPr>
        <w:tabs>
          <w:tab w:val="num" w:pos="5760"/>
        </w:tabs>
        <w:ind w:left="5760" w:hanging="360"/>
      </w:pPr>
      <w:rPr>
        <w:rFonts w:ascii="Symbol" w:hAnsi="Symbol" w:hint="default"/>
      </w:rPr>
    </w:lvl>
    <w:lvl w:ilvl="8" w:tplc="22A461A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8D227A5"/>
    <w:multiLevelType w:val="hybridMultilevel"/>
    <w:tmpl w:val="23FE1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4432FF"/>
    <w:multiLevelType w:val="hybridMultilevel"/>
    <w:tmpl w:val="AA1EBA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2840C2"/>
    <w:multiLevelType w:val="hybridMultilevel"/>
    <w:tmpl w:val="1B9EC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4440CF"/>
    <w:multiLevelType w:val="hybridMultilevel"/>
    <w:tmpl w:val="91DE9488"/>
    <w:lvl w:ilvl="0" w:tplc="0409000F">
      <w:start w:val="1"/>
      <w:numFmt w:val="decimal"/>
      <w:lvlText w:val="%1."/>
      <w:lvlJc w:val="left"/>
      <w:pPr>
        <w:tabs>
          <w:tab w:val="num" w:pos="5850"/>
        </w:tabs>
        <w:ind w:left="585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05489D"/>
    <w:multiLevelType w:val="hybridMultilevel"/>
    <w:tmpl w:val="F57678F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5"/>
  </w:num>
  <w:num w:numId="4">
    <w:abstractNumId w:val="1"/>
  </w:num>
  <w:num w:numId="5">
    <w:abstractNumId w:val="7"/>
  </w:num>
  <w:num w:numId="6">
    <w:abstractNumId w:val="2"/>
  </w:num>
  <w:num w:numId="7">
    <w:abstractNumId w:val="3"/>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M7Y0NDA2NDI3MDJV0lEKTi0uzszPAykwrgUAoXLtfCwAAAA="/>
  </w:docVars>
  <w:rsids>
    <w:rsidRoot w:val="00A24FC2"/>
    <w:rsid w:val="00000BA9"/>
    <w:rsid w:val="00001E4A"/>
    <w:rsid w:val="00002104"/>
    <w:rsid w:val="00003257"/>
    <w:rsid w:val="00005226"/>
    <w:rsid w:val="00006FE7"/>
    <w:rsid w:val="00007E21"/>
    <w:rsid w:val="00007F0B"/>
    <w:rsid w:val="00011500"/>
    <w:rsid w:val="000119E9"/>
    <w:rsid w:val="00013388"/>
    <w:rsid w:val="00016F15"/>
    <w:rsid w:val="0001739A"/>
    <w:rsid w:val="000205EB"/>
    <w:rsid w:val="00021E9C"/>
    <w:rsid w:val="00022432"/>
    <w:rsid w:val="0002370B"/>
    <w:rsid w:val="00024BF8"/>
    <w:rsid w:val="00026A9A"/>
    <w:rsid w:val="00026C4B"/>
    <w:rsid w:val="00026DA5"/>
    <w:rsid w:val="00027825"/>
    <w:rsid w:val="00030A8E"/>
    <w:rsid w:val="00030FB6"/>
    <w:rsid w:val="00031E66"/>
    <w:rsid w:val="000320FD"/>
    <w:rsid w:val="0003261F"/>
    <w:rsid w:val="000330CE"/>
    <w:rsid w:val="00033337"/>
    <w:rsid w:val="000336F2"/>
    <w:rsid w:val="00033A1E"/>
    <w:rsid w:val="00036949"/>
    <w:rsid w:val="00037250"/>
    <w:rsid w:val="00040A1F"/>
    <w:rsid w:val="00041E4F"/>
    <w:rsid w:val="0004452D"/>
    <w:rsid w:val="00044D3C"/>
    <w:rsid w:val="00045F08"/>
    <w:rsid w:val="00046428"/>
    <w:rsid w:val="000473D8"/>
    <w:rsid w:val="00047DB4"/>
    <w:rsid w:val="00050A82"/>
    <w:rsid w:val="000514E4"/>
    <w:rsid w:val="000515C8"/>
    <w:rsid w:val="000516E3"/>
    <w:rsid w:val="0005279F"/>
    <w:rsid w:val="00055252"/>
    <w:rsid w:val="000554D4"/>
    <w:rsid w:val="00055A50"/>
    <w:rsid w:val="00057B3E"/>
    <w:rsid w:val="00064161"/>
    <w:rsid w:val="0006443D"/>
    <w:rsid w:val="00064E40"/>
    <w:rsid w:val="00065656"/>
    <w:rsid w:val="00065BC9"/>
    <w:rsid w:val="00065C85"/>
    <w:rsid w:val="0006664A"/>
    <w:rsid w:val="0007114A"/>
    <w:rsid w:val="00071332"/>
    <w:rsid w:val="00071E98"/>
    <w:rsid w:val="00073935"/>
    <w:rsid w:val="00075B5C"/>
    <w:rsid w:val="00075DA2"/>
    <w:rsid w:val="00076EE6"/>
    <w:rsid w:val="000774A3"/>
    <w:rsid w:val="00077F1E"/>
    <w:rsid w:val="00081B87"/>
    <w:rsid w:val="000825D8"/>
    <w:rsid w:val="00082D7E"/>
    <w:rsid w:val="00084838"/>
    <w:rsid w:val="00085670"/>
    <w:rsid w:val="000860CF"/>
    <w:rsid w:val="00086F89"/>
    <w:rsid w:val="00090CFA"/>
    <w:rsid w:val="00091541"/>
    <w:rsid w:val="00092C3A"/>
    <w:rsid w:val="00093AC8"/>
    <w:rsid w:val="00093D32"/>
    <w:rsid w:val="000943F3"/>
    <w:rsid w:val="00094FEE"/>
    <w:rsid w:val="00095717"/>
    <w:rsid w:val="000967DF"/>
    <w:rsid w:val="00096FEB"/>
    <w:rsid w:val="0009756A"/>
    <w:rsid w:val="00097E72"/>
    <w:rsid w:val="000A11DA"/>
    <w:rsid w:val="000A2E95"/>
    <w:rsid w:val="000A44CA"/>
    <w:rsid w:val="000A7607"/>
    <w:rsid w:val="000B005F"/>
    <w:rsid w:val="000B0AE8"/>
    <w:rsid w:val="000B1B09"/>
    <w:rsid w:val="000B351D"/>
    <w:rsid w:val="000B527D"/>
    <w:rsid w:val="000B5C77"/>
    <w:rsid w:val="000B6ADC"/>
    <w:rsid w:val="000B6E44"/>
    <w:rsid w:val="000B7987"/>
    <w:rsid w:val="000C000F"/>
    <w:rsid w:val="000C032D"/>
    <w:rsid w:val="000C05CF"/>
    <w:rsid w:val="000C1326"/>
    <w:rsid w:val="000C1E61"/>
    <w:rsid w:val="000C365B"/>
    <w:rsid w:val="000C3B88"/>
    <w:rsid w:val="000C3F0D"/>
    <w:rsid w:val="000C7380"/>
    <w:rsid w:val="000C7EDC"/>
    <w:rsid w:val="000D0A95"/>
    <w:rsid w:val="000D155C"/>
    <w:rsid w:val="000D2AC6"/>
    <w:rsid w:val="000D40D2"/>
    <w:rsid w:val="000E014E"/>
    <w:rsid w:val="000E0FAC"/>
    <w:rsid w:val="000E1EDC"/>
    <w:rsid w:val="000E3498"/>
    <w:rsid w:val="000E41B3"/>
    <w:rsid w:val="000E503E"/>
    <w:rsid w:val="000E69B4"/>
    <w:rsid w:val="000F0618"/>
    <w:rsid w:val="000F0BE1"/>
    <w:rsid w:val="000F4411"/>
    <w:rsid w:val="000F6EBE"/>
    <w:rsid w:val="00100255"/>
    <w:rsid w:val="00100451"/>
    <w:rsid w:val="00100571"/>
    <w:rsid w:val="00100D9D"/>
    <w:rsid w:val="001017DA"/>
    <w:rsid w:val="001027D4"/>
    <w:rsid w:val="00102DBD"/>
    <w:rsid w:val="00102E74"/>
    <w:rsid w:val="001039C1"/>
    <w:rsid w:val="00103FDE"/>
    <w:rsid w:val="00104866"/>
    <w:rsid w:val="001051BB"/>
    <w:rsid w:val="00105DB4"/>
    <w:rsid w:val="00106B3D"/>
    <w:rsid w:val="00106E86"/>
    <w:rsid w:val="00107978"/>
    <w:rsid w:val="00110593"/>
    <w:rsid w:val="00111E4F"/>
    <w:rsid w:val="00112553"/>
    <w:rsid w:val="001134F1"/>
    <w:rsid w:val="00113FF1"/>
    <w:rsid w:val="00115463"/>
    <w:rsid w:val="0011637F"/>
    <w:rsid w:val="00116A73"/>
    <w:rsid w:val="0012046D"/>
    <w:rsid w:val="00121792"/>
    <w:rsid w:val="00123407"/>
    <w:rsid w:val="0012608D"/>
    <w:rsid w:val="00126437"/>
    <w:rsid w:val="00126724"/>
    <w:rsid w:val="0012761C"/>
    <w:rsid w:val="00130793"/>
    <w:rsid w:val="00130932"/>
    <w:rsid w:val="00131201"/>
    <w:rsid w:val="0013132C"/>
    <w:rsid w:val="0013236F"/>
    <w:rsid w:val="00133359"/>
    <w:rsid w:val="00133CAC"/>
    <w:rsid w:val="001341FD"/>
    <w:rsid w:val="00134D2E"/>
    <w:rsid w:val="00141A64"/>
    <w:rsid w:val="00142F3A"/>
    <w:rsid w:val="001465AC"/>
    <w:rsid w:val="00147E05"/>
    <w:rsid w:val="0015029A"/>
    <w:rsid w:val="00150E71"/>
    <w:rsid w:val="00151B4C"/>
    <w:rsid w:val="00152FA2"/>
    <w:rsid w:val="0015334B"/>
    <w:rsid w:val="00153EC6"/>
    <w:rsid w:val="00153ECE"/>
    <w:rsid w:val="00154ACA"/>
    <w:rsid w:val="001552DA"/>
    <w:rsid w:val="001555DC"/>
    <w:rsid w:val="00155753"/>
    <w:rsid w:val="00156F3E"/>
    <w:rsid w:val="00157D05"/>
    <w:rsid w:val="00160B81"/>
    <w:rsid w:val="00160FA7"/>
    <w:rsid w:val="00161255"/>
    <w:rsid w:val="00161B33"/>
    <w:rsid w:val="0016396C"/>
    <w:rsid w:val="001652F4"/>
    <w:rsid w:val="0016554D"/>
    <w:rsid w:val="00165801"/>
    <w:rsid w:val="0016639D"/>
    <w:rsid w:val="001675E0"/>
    <w:rsid w:val="00167A98"/>
    <w:rsid w:val="00170BF3"/>
    <w:rsid w:val="00170CD1"/>
    <w:rsid w:val="00170FC6"/>
    <w:rsid w:val="001733F5"/>
    <w:rsid w:val="001742EF"/>
    <w:rsid w:val="00175FB1"/>
    <w:rsid w:val="00176884"/>
    <w:rsid w:val="00176C88"/>
    <w:rsid w:val="001800D5"/>
    <w:rsid w:val="00181560"/>
    <w:rsid w:val="00183BB1"/>
    <w:rsid w:val="00183E40"/>
    <w:rsid w:val="001846AC"/>
    <w:rsid w:val="001846C6"/>
    <w:rsid w:val="001866E9"/>
    <w:rsid w:val="00186A16"/>
    <w:rsid w:val="00190EE5"/>
    <w:rsid w:val="00191357"/>
    <w:rsid w:val="0019260B"/>
    <w:rsid w:val="001926AA"/>
    <w:rsid w:val="00192D4A"/>
    <w:rsid w:val="001934BD"/>
    <w:rsid w:val="001941C3"/>
    <w:rsid w:val="00195369"/>
    <w:rsid w:val="001A01E2"/>
    <w:rsid w:val="001A02A5"/>
    <w:rsid w:val="001A0CC3"/>
    <w:rsid w:val="001A1025"/>
    <w:rsid w:val="001A11A0"/>
    <w:rsid w:val="001A3A06"/>
    <w:rsid w:val="001A50CD"/>
    <w:rsid w:val="001A5471"/>
    <w:rsid w:val="001A6590"/>
    <w:rsid w:val="001B0FD8"/>
    <w:rsid w:val="001B213A"/>
    <w:rsid w:val="001B2AA8"/>
    <w:rsid w:val="001B313C"/>
    <w:rsid w:val="001B3418"/>
    <w:rsid w:val="001B4C0B"/>
    <w:rsid w:val="001B4E6A"/>
    <w:rsid w:val="001B4E9B"/>
    <w:rsid w:val="001B4ECF"/>
    <w:rsid w:val="001B5738"/>
    <w:rsid w:val="001B6F9A"/>
    <w:rsid w:val="001B79F2"/>
    <w:rsid w:val="001C1612"/>
    <w:rsid w:val="001C1D7A"/>
    <w:rsid w:val="001C25B9"/>
    <w:rsid w:val="001C4212"/>
    <w:rsid w:val="001C42C0"/>
    <w:rsid w:val="001C4D35"/>
    <w:rsid w:val="001C5E58"/>
    <w:rsid w:val="001D0351"/>
    <w:rsid w:val="001D0455"/>
    <w:rsid w:val="001D136E"/>
    <w:rsid w:val="001D1C41"/>
    <w:rsid w:val="001D3CD3"/>
    <w:rsid w:val="001D4C79"/>
    <w:rsid w:val="001D4DBD"/>
    <w:rsid w:val="001D5408"/>
    <w:rsid w:val="001D55C9"/>
    <w:rsid w:val="001D621A"/>
    <w:rsid w:val="001D6351"/>
    <w:rsid w:val="001D6596"/>
    <w:rsid w:val="001D666C"/>
    <w:rsid w:val="001E0DE9"/>
    <w:rsid w:val="001E1B47"/>
    <w:rsid w:val="001E1B5A"/>
    <w:rsid w:val="001E2836"/>
    <w:rsid w:val="001E2AA6"/>
    <w:rsid w:val="001E2F69"/>
    <w:rsid w:val="001E5EE3"/>
    <w:rsid w:val="001E650A"/>
    <w:rsid w:val="001E6745"/>
    <w:rsid w:val="001E7AA2"/>
    <w:rsid w:val="001F02F5"/>
    <w:rsid w:val="001F0879"/>
    <w:rsid w:val="001F24CE"/>
    <w:rsid w:val="001F2AE5"/>
    <w:rsid w:val="001F6200"/>
    <w:rsid w:val="001F63DC"/>
    <w:rsid w:val="001F7785"/>
    <w:rsid w:val="002017E2"/>
    <w:rsid w:val="00202247"/>
    <w:rsid w:val="002027F3"/>
    <w:rsid w:val="002047EA"/>
    <w:rsid w:val="00204FC0"/>
    <w:rsid w:val="00207B68"/>
    <w:rsid w:val="00207BE3"/>
    <w:rsid w:val="00210D7E"/>
    <w:rsid w:val="00211649"/>
    <w:rsid w:val="00211C9C"/>
    <w:rsid w:val="00212328"/>
    <w:rsid w:val="0021243F"/>
    <w:rsid w:val="0021485D"/>
    <w:rsid w:val="00214BB9"/>
    <w:rsid w:val="00215AA9"/>
    <w:rsid w:val="00215DE5"/>
    <w:rsid w:val="002173F0"/>
    <w:rsid w:val="0022153F"/>
    <w:rsid w:val="00221AED"/>
    <w:rsid w:val="002225EF"/>
    <w:rsid w:val="002226E1"/>
    <w:rsid w:val="002261FD"/>
    <w:rsid w:val="00226CCF"/>
    <w:rsid w:val="002327CF"/>
    <w:rsid w:val="0023337F"/>
    <w:rsid w:val="00233E96"/>
    <w:rsid w:val="002343C6"/>
    <w:rsid w:val="002345FD"/>
    <w:rsid w:val="00236574"/>
    <w:rsid w:val="00236BD8"/>
    <w:rsid w:val="00237444"/>
    <w:rsid w:val="00237FC7"/>
    <w:rsid w:val="00242271"/>
    <w:rsid w:val="002426C7"/>
    <w:rsid w:val="00244A5B"/>
    <w:rsid w:val="002455AB"/>
    <w:rsid w:val="00246989"/>
    <w:rsid w:val="00246B5D"/>
    <w:rsid w:val="002472A1"/>
    <w:rsid w:val="002478AC"/>
    <w:rsid w:val="0025289D"/>
    <w:rsid w:val="00252B83"/>
    <w:rsid w:val="00252C70"/>
    <w:rsid w:val="00253D29"/>
    <w:rsid w:val="00254703"/>
    <w:rsid w:val="002553AC"/>
    <w:rsid w:val="00256A03"/>
    <w:rsid w:val="00257257"/>
    <w:rsid w:val="002577D6"/>
    <w:rsid w:val="002604D7"/>
    <w:rsid w:val="002605AF"/>
    <w:rsid w:val="00261A10"/>
    <w:rsid w:val="0026317D"/>
    <w:rsid w:val="00263578"/>
    <w:rsid w:val="002643A8"/>
    <w:rsid w:val="00264C24"/>
    <w:rsid w:val="002652FD"/>
    <w:rsid w:val="00265539"/>
    <w:rsid w:val="00270134"/>
    <w:rsid w:val="002717D2"/>
    <w:rsid w:val="00271EA6"/>
    <w:rsid w:val="0027256A"/>
    <w:rsid w:val="002725BA"/>
    <w:rsid w:val="00272ADE"/>
    <w:rsid w:val="00272BA3"/>
    <w:rsid w:val="00273F3E"/>
    <w:rsid w:val="002743C3"/>
    <w:rsid w:val="00275536"/>
    <w:rsid w:val="002763A8"/>
    <w:rsid w:val="0027791E"/>
    <w:rsid w:val="00280227"/>
    <w:rsid w:val="00281B51"/>
    <w:rsid w:val="002834B6"/>
    <w:rsid w:val="0028393D"/>
    <w:rsid w:val="00286702"/>
    <w:rsid w:val="002900CB"/>
    <w:rsid w:val="00291192"/>
    <w:rsid w:val="00291D5E"/>
    <w:rsid w:val="00291F15"/>
    <w:rsid w:val="00293E44"/>
    <w:rsid w:val="00296B73"/>
    <w:rsid w:val="00297A9B"/>
    <w:rsid w:val="002A2A70"/>
    <w:rsid w:val="002A34CE"/>
    <w:rsid w:val="002A4080"/>
    <w:rsid w:val="002A5C31"/>
    <w:rsid w:val="002A5F62"/>
    <w:rsid w:val="002A66BE"/>
    <w:rsid w:val="002B06C6"/>
    <w:rsid w:val="002B286C"/>
    <w:rsid w:val="002B2986"/>
    <w:rsid w:val="002B3E66"/>
    <w:rsid w:val="002B4F96"/>
    <w:rsid w:val="002B4FE2"/>
    <w:rsid w:val="002B547C"/>
    <w:rsid w:val="002B595C"/>
    <w:rsid w:val="002B6201"/>
    <w:rsid w:val="002C07EC"/>
    <w:rsid w:val="002C1810"/>
    <w:rsid w:val="002C2752"/>
    <w:rsid w:val="002C2AE8"/>
    <w:rsid w:val="002C353C"/>
    <w:rsid w:val="002C425C"/>
    <w:rsid w:val="002C4FAC"/>
    <w:rsid w:val="002C50AB"/>
    <w:rsid w:val="002C55BB"/>
    <w:rsid w:val="002C7736"/>
    <w:rsid w:val="002C786D"/>
    <w:rsid w:val="002D0788"/>
    <w:rsid w:val="002D1D62"/>
    <w:rsid w:val="002D1EFE"/>
    <w:rsid w:val="002D25A3"/>
    <w:rsid w:val="002D4229"/>
    <w:rsid w:val="002D4578"/>
    <w:rsid w:val="002D46F8"/>
    <w:rsid w:val="002D52C1"/>
    <w:rsid w:val="002D59F7"/>
    <w:rsid w:val="002D5A82"/>
    <w:rsid w:val="002D63AC"/>
    <w:rsid w:val="002D6B4C"/>
    <w:rsid w:val="002D6DFE"/>
    <w:rsid w:val="002D6E8A"/>
    <w:rsid w:val="002D74C6"/>
    <w:rsid w:val="002E26A8"/>
    <w:rsid w:val="002E2867"/>
    <w:rsid w:val="002E2F25"/>
    <w:rsid w:val="002E3E9C"/>
    <w:rsid w:val="002E61FB"/>
    <w:rsid w:val="002E62F4"/>
    <w:rsid w:val="002E66EC"/>
    <w:rsid w:val="002F0447"/>
    <w:rsid w:val="002F0C6D"/>
    <w:rsid w:val="002F2E6D"/>
    <w:rsid w:val="002F34FD"/>
    <w:rsid w:val="002F36B4"/>
    <w:rsid w:val="002F4F77"/>
    <w:rsid w:val="002F6271"/>
    <w:rsid w:val="002F64F3"/>
    <w:rsid w:val="002F7C47"/>
    <w:rsid w:val="003046EB"/>
    <w:rsid w:val="00305C7E"/>
    <w:rsid w:val="00310E39"/>
    <w:rsid w:val="003138B9"/>
    <w:rsid w:val="003149A0"/>
    <w:rsid w:val="00314DA9"/>
    <w:rsid w:val="00316107"/>
    <w:rsid w:val="003174F2"/>
    <w:rsid w:val="00320B78"/>
    <w:rsid w:val="00321922"/>
    <w:rsid w:val="00321E91"/>
    <w:rsid w:val="00322139"/>
    <w:rsid w:val="00322A56"/>
    <w:rsid w:val="00322C1E"/>
    <w:rsid w:val="0032379E"/>
    <w:rsid w:val="00323E02"/>
    <w:rsid w:val="00323E63"/>
    <w:rsid w:val="003249A2"/>
    <w:rsid w:val="00324FC4"/>
    <w:rsid w:val="00325346"/>
    <w:rsid w:val="00325C94"/>
    <w:rsid w:val="00327467"/>
    <w:rsid w:val="00331026"/>
    <w:rsid w:val="00332C98"/>
    <w:rsid w:val="0033359F"/>
    <w:rsid w:val="003354C4"/>
    <w:rsid w:val="0033616D"/>
    <w:rsid w:val="00336186"/>
    <w:rsid w:val="003372F0"/>
    <w:rsid w:val="00337889"/>
    <w:rsid w:val="0034054A"/>
    <w:rsid w:val="00341162"/>
    <w:rsid w:val="00341392"/>
    <w:rsid w:val="00343437"/>
    <w:rsid w:val="00346AAA"/>
    <w:rsid w:val="003473D1"/>
    <w:rsid w:val="00347E6D"/>
    <w:rsid w:val="00347F6D"/>
    <w:rsid w:val="00350C6F"/>
    <w:rsid w:val="00350E31"/>
    <w:rsid w:val="00351882"/>
    <w:rsid w:val="003528B0"/>
    <w:rsid w:val="00353111"/>
    <w:rsid w:val="00353504"/>
    <w:rsid w:val="00357035"/>
    <w:rsid w:val="00357410"/>
    <w:rsid w:val="003579E0"/>
    <w:rsid w:val="00360F24"/>
    <w:rsid w:val="00361878"/>
    <w:rsid w:val="00362BBF"/>
    <w:rsid w:val="0036552B"/>
    <w:rsid w:val="00370822"/>
    <w:rsid w:val="00371443"/>
    <w:rsid w:val="00371F58"/>
    <w:rsid w:val="00372FE3"/>
    <w:rsid w:val="0037383C"/>
    <w:rsid w:val="0037693D"/>
    <w:rsid w:val="00376A19"/>
    <w:rsid w:val="00376A75"/>
    <w:rsid w:val="003807DF"/>
    <w:rsid w:val="00381973"/>
    <w:rsid w:val="00381B9A"/>
    <w:rsid w:val="00381E7A"/>
    <w:rsid w:val="003827BD"/>
    <w:rsid w:val="00382840"/>
    <w:rsid w:val="00382A8A"/>
    <w:rsid w:val="00382DA2"/>
    <w:rsid w:val="00382E6D"/>
    <w:rsid w:val="00384F58"/>
    <w:rsid w:val="003875AF"/>
    <w:rsid w:val="003877B8"/>
    <w:rsid w:val="003908E5"/>
    <w:rsid w:val="003921BF"/>
    <w:rsid w:val="003930B1"/>
    <w:rsid w:val="003933D0"/>
    <w:rsid w:val="003939C6"/>
    <w:rsid w:val="00394F80"/>
    <w:rsid w:val="00395137"/>
    <w:rsid w:val="0039601D"/>
    <w:rsid w:val="003965D5"/>
    <w:rsid w:val="00397742"/>
    <w:rsid w:val="003A1AAA"/>
    <w:rsid w:val="003A1CA8"/>
    <w:rsid w:val="003A7853"/>
    <w:rsid w:val="003B0425"/>
    <w:rsid w:val="003B05C6"/>
    <w:rsid w:val="003B261D"/>
    <w:rsid w:val="003B2866"/>
    <w:rsid w:val="003B2B86"/>
    <w:rsid w:val="003B2C08"/>
    <w:rsid w:val="003B3E1A"/>
    <w:rsid w:val="003B3E9B"/>
    <w:rsid w:val="003B45F1"/>
    <w:rsid w:val="003B48BD"/>
    <w:rsid w:val="003B5C80"/>
    <w:rsid w:val="003B66CE"/>
    <w:rsid w:val="003C0753"/>
    <w:rsid w:val="003C34C5"/>
    <w:rsid w:val="003C3EE4"/>
    <w:rsid w:val="003C45D2"/>
    <w:rsid w:val="003C4C73"/>
    <w:rsid w:val="003C58F4"/>
    <w:rsid w:val="003C64D0"/>
    <w:rsid w:val="003D1181"/>
    <w:rsid w:val="003D18CB"/>
    <w:rsid w:val="003D2488"/>
    <w:rsid w:val="003D45BF"/>
    <w:rsid w:val="003D52BE"/>
    <w:rsid w:val="003D54ED"/>
    <w:rsid w:val="003D6564"/>
    <w:rsid w:val="003D6FCA"/>
    <w:rsid w:val="003D7621"/>
    <w:rsid w:val="003D7FBD"/>
    <w:rsid w:val="003E0FD3"/>
    <w:rsid w:val="003E15DC"/>
    <w:rsid w:val="003E256A"/>
    <w:rsid w:val="003E257B"/>
    <w:rsid w:val="003E3AA6"/>
    <w:rsid w:val="003E504C"/>
    <w:rsid w:val="003E6094"/>
    <w:rsid w:val="003E61C3"/>
    <w:rsid w:val="003E6AE3"/>
    <w:rsid w:val="003E77FE"/>
    <w:rsid w:val="003E7914"/>
    <w:rsid w:val="003E7E90"/>
    <w:rsid w:val="003F1BEA"/>
    <w:rsid w:val="003F3C9D"/>
    <w:rsid w:val="003F520C"/>
    <w:rsid w:val="003F5680"/>
    <w:rsid w:val="003F6FA2"/>
    <w:rsid w:val="003F77A3"/>
    <w:rsid w:val="004010D3"/>
    <w:rsid w:val="004013DC"/>
    <w:rsid w:val="0040222A"/>
    <w:rsid w:val="00402553"/>
    <w:rsid w:val="00402D54"/>
    <w:rsid w:val="004036D5"/>
    <w:rsid w:val="00403F36"/>
    <w:rsid w:val="00403FEE"/>
    <w:rsid w:val="0040689D"/>
    <w:rsid w:val="00407034"/>
    <w:rsid w:val="00407A2A"/>
    <w:rsid w:val="00411CA6"/>
    <w:rsid w:val="00412D8C"/>
    <w:rsid w:val="00412FD6"/>
    <w:rsid w:val="0041313E"/>
    <w:rsid w:val="00414397"/>
    <w:rsid w:val="00415E9D"/>
    <w:rsid w:val="00417574"/>
    <w:rsid w:val="00420D00"/>
    <w:rsid w:val="00420FD4"/>
    <w:rsid w:val="00421067"/>
    <w:rsid w:val="0042148A"/>
    <w:rsid w:val="00421A3A"/>
    <w:rsid w:val="0042240D"/>
    <w:rsid w:val="00422C51"/>
    <w:rsid w:val="00423101"/>
    <w:rsid w:val="00426FC2"/>
    <w:rsid w:val="00427888"/>
    <w:rsid w:val="00430D03"/>
    <w:rsid w:val="00431963"/>
    <w:rsid w:val="0043331F"/>
    <w:rsid w:val="00434ED5"/>
    <w:rsid w:val="00436E1D"/>
    <w:rsid w:val="00437096"/>
    <w:rsid w:val="0043752C"/>
    <w:rsid w:val="00437884"/>
    <w:rsid w:val="00437B65"/>
    <w:rsid w:val="00440D9E"/>
    <w:rsid w:val="004411AC"/>
    <w:rsid w:val="00441A8F"/>
    <w:rsid w:val="00442CD6"/>
    <w:rsid w:val="00443872"/>
    <w:rsid w:val="00443A9A"/>
    <w:rsid w:val="00445136"/>
    <w:rsid w:val="0044554A"/>
    <w:rsid w:val="00445C64"/>
    <w:rsid w:val="00446375"/>
    <w:rsid w:val="0044713F"/>
    <w:rsid w:val="0045005E"/>
    <w:rsid w:val="0045040D"/>
    <w:rsid w:val="00451105"/>
    <w:rsid w:val="00451725"/>
    <w:rsid w:val="0045190D"/>
    <w:rsid w:val="0045191D"/>
    <w:rsid w:val="00452FB1"/>
    <w:rsid w:val="004531A9"/>
    <w:rsid w:val="004534B9"/>
    <w:rsid w:val="0045380F"/>
    <w:rsid w:val="00453F4D"/>
    <w:rsid w:val="0045484A"/>
    <w:rsid w:val="00455DBF"/>
    <w:rsid w:val="00457062"/>
    <w:rsid w:val="004573BA"/>
    <w:rsid w:val="00457906"/>
    <w:rsid w:val="00460878"/>
    <w:rsid w:val="004623A2"/>
    <w:rsid w:val="004638ED"/>
    <w:rsid w:val="00464C85"/>
    <w:rsid w:val="0046576E"/>
    <w:rsid w:val="00466906"/>
    <w:rsid w:val="00466E15"/>
    <w:rsid w:val="004676B0"/>
    <w:rsid w:val="00467D14"/>
    <w:rsid w:val="0047078E"/>
    <w:rsid w:val="00470C8A"/>
    <w:rsid w:val="00471D91"/>
    <w:rsid w:val="00472B7D"/>
    <w:rsid w:val="00473724"/>
    <w:rsid w:val="00473990"/>
    <w:rsid w:val="00473E4F"/>
    <w:rsid w:val="00475C91"/>
    <w:rsid w:val="004767D9"/>
    <w:rsid w:val="004775E0"/>
    <w:rsid w:val="00477CAB"/>
    <w:rsid w:val="00480A65"/>
    <w:rsid w:val="00481400"/>
    <w:rsid w:val="00481495"/>
    <w:rsid w:val="00481CDC"/>
    <w:rsid w:val="00481F2C"/>
    <w:rsid w:val="00483306"/>
    <w:rsid w:val="00483655"/>
    <w:rsid w:val="00484161"/>
    <w:rsid w:val="004847CD"/>
    <w:rsid w:val="00484817"/>
    <w:rsid w:val="004857CF"/>
    <w:rsid w:val="004919C7"/>
    <w:rsid w:val="00492384"/>
    <w:rsid w:val="00492A2D"/>
    <w:rsid w:val="00493003"/>
    <w:rsid w:val="00494ABB"/>
    <w:rsid w:val="00495439"/>
    <w:rsid w:val="00496E75"/>
    <w:rsid w:val="00496EE6"/>
    <w:rsid w:val="00497896"/>
    <w:rsid w:val="00497B68"/>
    <w:rsid w:val="004A070A"/>
    <w:rsid w:val="004A08BC"/>
    <w:rsid w:val="004A1005"/>
    <w:rsid w:val="004A1086"/>
    <w:rsid w:val="004A5425"/>
    <w:rsid w:val="004A614E"/>
    <w:rsid w:val="004A65F9"/>
    <w:rsid w:val="004A6649"/>
    <w:rsid w:val="004A7135"/>
    <w:rsid w:val="004A721C"/>
    <w:rsid w:val="004B03BD"/>
    <w:rsid w:val="004B3AAF"/>
    <w:rsid w:val="004B44F4"/>
    <w:rsid w:val="004B4508"/>
    <w:rsid w:val="004B4DEC"/>
    <w:rsid w:val="004B524A"/>
    <w:rsid w:val="004B7B89"/>
    <w:rsid w:val="004C0217"/>
    <w:rsid w:val="004C0FFB"/>
    <w:rsid w:val="004C51C3"/>
    <w:rsid w:val="004C564C"/>
    <w:rsid w:val="004C628F"/>
    <w:rsid w:val="004C6452"/>
    <w:rsid w:val="004C65D9"/>
    <w:rsid w:val="004C6614"/>
    <w:rsid w:val="004D1965"/>
    <w:rsid w:val="004D1DFE"/>
    <w:rsid w:val="004D221C"/>
    <w:rsid w:val="004D2832"/>
    <w:rsid w:val="004D33D6"/>
    <w:rsid w:val="004D3F30"/>
    <w:rsid w:val="004D4DCE"/>
    <w:rsid w:val="004D5162"/>
    <w:rsid w:val="004D59FB"/>
    <w:rsid w:val="004D5A59"/>
    <w:rsid w:val="004D6AEE"/>
    <w:rsid w:val="004D6D7B"/>
    <w:rsid w:val="004D7B82"/>
    <w:rsid w:val="004E2BCB"/>
    <w:rsid w:val="004E3BA5"/>
    <w:rsid w:val="004E703B"/>
    <w:rsid w:val="004E750F"/>
    <w:rsid w:val="004F043E"/>
    <w:rsid w:val="004F26CE"/>
    <w:rsid w:val="004F2CDB"/>
    <w:rsid w:val="004F311C"/>
    <w:rsid w:val="004F3AEE"/>
    <w:rsid w:val="004F4B78"/>
    <w:rsid w:val="004F4CDA"/>
    <w:rsid w:val="004F553C"/>
    <w:rsid w:val="004F57BB"/>
    <w:rsid w:val="004F7036"/>
    <w:rsid w:val="005008E8"/>
    <w:rsid w:val="0050145F"/>
    <w:rsid w:val="00505871"/>
    <w:rsid w:val="005063ED"/>
    <w:rsid w:val="005064DF"/>
    <w:rsid w:val="005075EB"/>
    <w:rsid w:val="00512131"/>
    <w:rsid w:val="0051247B"/>
    <w:rsid w:val="00512648"/>
    <w:rsid w:val="0051296C"/>
    <w:rsid w:val="00514711"/>
    <w:rsid w:val="005155D2"/>
    <w:rsid w:val="005157C4"/>
    <w:rsid w:val="00515CB6"/>
    <w:rsid w:val="005164A9"/>
    <w:rsid w:val="0051697C"/>
    <w:rsid w:val="00516D43"/>
    <w:rsid w:val="005174E9"/>
    <w:rsid w:val="005204AC"/>
    <w:rsid w:val="005209AB"/>
    <w:rsid w:val="00520FEB"/>
    <w:rsid w:val="0052157D"/>
    <w:rsid w:val="00521E88"/>
    <w:rsid w:val="005222A7"/>
    <w:rsid w:val="00523E98"/>
    <w:rsid w:val="00525529"/>
    <w:rsid w:val="00526665"/>
    <w:rsid w:val="00526E06"/>
    <w:rsid w:val="005272E8"/>
    <w:rsid w:val="005312FB"/>
    <w:rsid w:val="00531B3B"/>
    <w:rsid w:val="00531DF1"/>
    <w:rsid w:val="00532708"/>
    <w:rsid w:val="005340AD"/>
    <w:rsid w:val="00534F8D"/>
    <w:rsid w:val="005351DC"/>
    <w:rsid w:val="005379B5"/>
    <w:rsid w:val="005406D5"/>
    <w:rsid w:val="0054516B"/>
    <w:rsid w:val="00547FD2"/>
    <w:rsid w:val="005509FD"/>
    <w:rsid w:val="005509FE"/>
    <w:rsid w:val="005539EF"/>
    <w:rsid w:val="00553B4E"/>
    <w:rsid w:val="0055434E"/>
    <w:rsid w:val="005548AD"/>
    <w:rsid w:val="005549C6"/>
    <w:rsid w:val="00555138"/>
    <w:rsid w:val="00556210"/>
    <w:rsid w:val="0055654F"/>
    <w:rsid w:val="005576CB"/>
    <w:rsid w:val="005578A0"/>
    <w:rsid w:val="00557C95"/>
    <w:rsid w:val="00560814"/>
    <w:rsid w:val="00560889"/>
    <w:rsid w:val="005612C8"/>
    <w:rsid w:val="0056156B"/>
    <w:rsid w:val="00561A80"/>
    <w:rsid w:val="00561C01"/>
    <w:rsid w:val="00561DA3"/>
    <w:rsid w:val="00562275"/>
    <w:rsid w:val="00562EED"/>
    <w:rsid w:val="00564447"/>
    <w:rsid w:val="005651E5"/>
    <w:rsid w:val="0056574F"/>
    <w:rsid w:val="005667A8"/>
    <w:rsid w:val="00570376"/>
    <w:rsid w:val="00570541"/>
    <w:rsid w:val="0057233F"/>
    <w:rsid w:val="00572FF8"/>
    <w:rsid w:val="00573013"/>
    <w:rsid w:val="0057402C"/>
    <w:rsid w:val="00574249"/>
    <w:rsid w:val="00575955"/>
    <w:rsid w:val="00575E29"/>
    <w:rsid w:val="005809B4"/>
    <w:rsid w:val="00580FC8"/>
    <w:rsid w:val="0058233C"/>
    <w:rsid w:val="0058269E"/>
    <w:rsid w:val="00582F90"/>
    <w:rsid w:val="00583455"/>
    <w:rsid w:val="00584474"/>
    <w:rsid w:val="00584A3F"/>
    <w:rsid w:val="00585301"/>
    <w:rsid w:val="00585374"/>
    <w:rsid w:val="0058551D"/>
    <w:rsid w:val="005864EC"/>
    <w:rsid w:val="00586853"/>
    <w:rsid w:val="00587CD8"/>
    <w:rsid w:val="00590E03"/>
    <w:rsid w:val="00591F25"/>
    <w:rsid w:val="0059339B"/>
    <w:rsid w:val="00593439"/>
    <w:rsid w:val="00593B5C"/>
    <w:rsid w:val="00594159"/>
    <w:rsid w:val="005948BC"/>
    <w:rsid w:val="00594CAE"/>
    <w:rsid w:val="005A19E3"/>
    <w:rsid w:val="005A521D"/>
    <w:rsid w:val="005A5A3B"/>
    <w:rsid w:val="005A62A7"/>
    <w:rsid w:val="005A6B32"/>
    <w:rsid w:val="005A737B"/>
    <w:rsid w:val="005B1926"/>
    <w:rsid w:val="005B2214"/>
    <w:rsid w:val="005B25F2"/>
    <w:rsid w:val="005B2EA9"/>
    <w:rsid w:val="005B3481"/>
    <w:rsid w:val="005B3B9D"/>
    <w:rsid w:val="005B4D2C"/>
    <w:rsid w:val="005B52CE"/>
    <w:rsid w:val="005B55B3"/>
    <w:rsid w:val="005B7DF6"/>
    <w:rsid w:val="005C1637"/>
    <w:rsid w:val="005C217D"/>
    <w:rsid w:val="005C23D0"/>
    <w:rsid w:val="005C260C"/>
    <w:rsid w:val="005C3358"/>
    <w:rsid w:val="005C6D8F"/>
    <w:rsid w:val="005C7264"/>
    <w:rsid w:val="005D0852"/>
    <w:rsid w:val="005D27C7"/>
    <w:rsid w:val="005D3880"/>
    <w:rsid w:val="005D431A"/>
    <w:rsid w:val="005D48D1"/>
    <w:rsid w:val="005D5251"/>
    <w:rsid w:val="005D5369"/>
    <w:rsid w:val="005D55FE"/>
    <w:rsid w:val="005D5703"/>
    <w:rsid w:val="005D58D3"/>
    <w:rsid w:val="005D64DA"/>
    <w:rsid w:val="005D710B"/>
    <w:rsid w:val="005D77D4"/>
    <w:rsid w:val="005E0490"/>
    <w:rsid w:val="005E20C0"/>
    <w:rsid w:val="005E30CA"/>
    <w:rsid w:val="005E3566"/>
    <w:rsid w:val="005E3FF9"/>
    <w:rsid w:val="005E5421"/>
    <w:rsid w:val="005E596C"/>
    <w:rsid w:val="005E6C14"/>
    <w:rsid w:val="005E7EB6"/>
    <w:rsid w:val="005F057E"/>
    <w:rsid w:val="005F172A"/>
    <w:rsid w:val="005F3039"/>
    <w:rsid w:val="005F3159"/>
    <w:rsid w:val="005F6EDE"/>
    <w:rsid w:val="005F7E42"/>
    <w:rsid w:val="00600661"/>
    <w:rsid w:val="00600F1F"/>
    <w:rsid w:val="006011A6"/>
    <w:rsid w:val="006018DD"/>
    <w:rsid w:val="00601AE6"/>
    <w:rsid w:val="0060289D"/>
    <w:rsid w:val="00603926"/>
    <w:rsid w:val="00603DC8"/>
    <w:rsid w:val="0060441B"/>
    <w:rsid w:val="00606BDA"/>
    <w:rsid w:val="00607B4B"/>
    <w:rsid w:val="00607E70"/>
    <w:rsid w:val="00610995"/>
    <w:rsid w:val="006123F0"/>
    <w:rsid w:val="006124C0"/>
    <w:rsid w:val="006130B9"/>
    <w:rsid w:val="00613EAE"/>
    <w:rsid w:val="00615AB1"/>
    <w:rsid w:val="0061641D"/>
    <w:rsid w:val="0061789C"/>
    <w:rsid w:val="00617929"/>
    <w:rsid w:val="00617ADF"/>
    <w:rsid w:val="00620314"/>
    <w:rsid w:val="00621A93"/>
    <w:rsid w:val="00621EEB"/>
    <w:rsid w:val="00622653"/>
    <w:rsid w:val="006227E8"/>
    <w:rsid w:val="00623139"/>
    <w:rsid w:val="006238BD"/>
    <w:rsid w:val="006240B8"/>
    <w:rsid w:val="006253EF"/>
    <w:rsid w:val="00627611"/>
    <w:rsid w:val="00627F2B"/>
    <w:rsid w:val="00634A97"/>
    <w:rsid w:val="00635297"/>
    <w:rsid w:val="00635770"/>
    <w:rsid w:val="00636076"/>
    <w:rsid w:val="006376EE"/>
    <w:rsid w:val="00637BB5"/>
    <w:rsid w:val="00641991"/>
    <w:rsid w:val="006420E7"/>
    <w:rsid w:val="00643133"/>
    <w:rsid w:val="00643A20"/>
    <w:rsid w:val="00647C7E"/>
    <w:rsid w:val="006513D6"/>
    <w:rsid w:val="00651566"/>
    <w:rsid w:val="00651A4C"/>
    <w:rsid w:val="00653CFB"/>
    <w:rsid w:val="00654F84"/>
    <w:rsid w:val="006551B9"/>
    <w:rsid w:val="00657CD4"/>
    <w:rsid w:val="00661100"/>
    <w:rsid w:val="006614C8"/>
    <w:rsid w:val="0066199B"/>
    <w:rsid w:val="00661DB3"/>
    <w:rsid w:val="00661F24"/>
    <w:rsid w:val="0066216B"/>
    <w:rsid w:val="0066226D"/>
    <w:rsid w:val="006625A6"/>
    <w:rsid w:val="00662D47"/>
    <w:rsid w:val="006678FB"/>
    <w:rsid w:val="006679D9"/>
    <w:rsid w:val="006718B8"/>
    <w:rsid w:val="00671F98"/>
    <w:rsid w:val="0067240A"/>
    <w:rsid w:val="00673095"/>
    <w:rsid w:val="006763EE"/>
    <w:rsid w:val="00676478"/>
    <w:rsid w:val="00676515"/>
    <w:rsid w:val="00676C7A"/>
    <w:rsid w:val="00677D44"/>
    <w:rsid w:val="00680C56"/>
    <w:rsid w:val="00681409"/>
    <w:rsid w:val="00681C53"/>
    <w:rsid w:val="0068383E"/>
    <w:rsid w:val="00684549"/>
    <w:rsid w:val="00684B67"/>
    <w:rsid w:val="00684BEE"/>
    <w:rsid w:val="006865B3"/>
    <w:rsid w:val="00687142"/>
    <w:rsid w:val="0068715D"/>
    <w:rsid w:val="00687971"/>
    <w:rsid w:val="00690CE9"/>
    <w:rsid w:val="006917A6"/>
    <w:rsid w:val="00691D86"/>
    <w:rsid w:val="00692675"/>
    <w:rsid w:val="00692853"/>
    <w:rsid w:val="00693368"/>
    <w:rsid w:val="006A0F64"/>
    <w:rsid w:val="006A1630"/>
    <w:rsid w:val="006A1F51"/>
    <w:rsid w:val="006A2761"/>
    <w:rsid w:val="006A27AA"/>
    <w:rsid w:val="006A702C"/>
    <w:rsid w:val="006A7A50"/>
    <w:rsid w:val="006B1173"/>
    <w:rsid w:val="006B14B7"/>
    <w:rsid w:val="006B1AB6"/>
    <w:rsid w:val="006B2B9D"/>
    <w:rsid w:val="006B37C4"/>
    <w:rsid w:val="006B4311"/>
    <w:rsid w:val="006B57DE"/>
    <w:rsid w:val="006B6BA2"/>
    <w:rsid w:val="006B6BB8"/>
    <w:rsid w:val="006B6BBC"/>
    <w:rsid w:val="006B7219"/>
    <w:rsid w:val="006B77F3"/>
    <w:rsid w:val="006C191C"/>
    <w:rsid w:val="006C1B21"/>
    <w:rsid w:val="006C2207"/>
    <w:rsid w:val="006C4036"/>
    <w:rsid w:val="006C4241"/>
    <w:rsid w:val="006D0137"/>
    <w:rsid w:val="006D15F8"/>
    <w:rsid w:val="006D2614"/>
    <w:rsid w:val="006D3A58"/>
    <w:rsid w:val="006D3F84"/>
    <w:rsid w:val="006D3FBA"/>
    <w:rsid w:val="006D447C"/>
    <w:rsid w:val="006D4636"/>
    <w:rsid w:val="006D50D9"/>
    <w:rsid w:val="006D52AE"/>
    <w:rsid w:val="006D54E2"/>
    <w:rsid w:val="006D6518"/>
    <w:rsid w:val="006D6971"/>
    <w:rsid w:val="006D69D2"/>
    <w:rsid w:val="006D73D1"/>
    <w:rsid w:val="006D73F3"/>
    <w:rsid w:val="006E0231"/>
    <w:rsid w:val="006E0345"/>
    <w:rsid w:val="006E0766"/>
    <w:rsid w:val="006E0C3F"/>
    <w:rsid w:val="006E0F9A"/>
    <w:rsid w:val="006E146E"/>
    <w:rsid w:val="006E153A"/>
    <w:rsid w:val="006E1AD0"/>
    <w:rsid w:val="006E2B84"/>
    <w:rsid w:val="006E6E60"/>
    <w:rsid w:val="006E6F17"/>
    <w:rsid w:val="006F0E6A"/>
    <w:rsid w:val="006F30DE"/>
    <w:rsid w:val="006F35E3"/>
    <w:rsid w:val="006F4252"/>
    <w:rsid w:val="006F527B"/>
    <w:rsid w:val="006F6E11"/>
    <w:rsid w:val="006F70D3"/>
    <w:rsid w:val="006F73DE"/>
    <w:rsid w:val="006F79C8"/>
    <w:rsid w:val="006F7D51"/>
    <w:rsid w:val="00700EE4"/>
    <w:rsid w:val="0070140A"/>
    <w:rsid w:val="007018B5"/>
    <w:rsid w:val="00701999"/>
    <w:rsid w:val="0070287F"/>
    <w:rsid w:val="00703067"/>
    <w:rsid w:val="0070372A"/>
    <w:rsid w:val="00703959"/>
    <w:rsid w:val="00704433"/>
    <w:rsid w:val="007050B7"/>
    <w:rsid w:val="007051B6"/>
    <w:rsid w:val="00706089"/>
    <w:rsid w:val="00706B2E"/>
    <w:rsid w:val="00707B90"/>
    <w:rsid w:val="00707DD9"/>
    <w:rsid w:val="00707F2F"/>
    <w:rsid w:val="007101AC"/>
    <w:rsid w:val="007103BB"/>
    <w:rsid w:val="00710770"/>
    <w:rsid w:val="00712326"/>
    <w:rsid w:val="00715469"/>
    <w:rsid w:val="00716835"/>
    <w:rsid w:val="00716D0D"/>
    <w:rsid w:val="00717178"/>
    <w:rsid w:val="00720AAD"/>
    <w:rsid w:val="00721009"/>
    <w:rsid w:val="00721AFF"/>
    <w:rsid w:val="00721CA6"/>
    <w:rsid w:val="00722649"/>
    <w:rsid w:val="007233F3"/>
    <w:rsid w:val="007263BC"/>
    <w:rsid w:val="00727370"/>
    <w:rsid w:val="00731479"/>
    <w:rsid w:val="00731D86"/>
    <w:rsid w:val="00733A14"/>
    <w:rsid w:val="00733AC6"/>
    <w:rsid w:val="00733F55"/>
    <w:rsid w:val="00736D3D"/>
    <w:rsid w:val="00736F95"/>
    <w:rsid w:val="00737F40"/>
    <w:rsid w:val="00740C5C"/>
    <w:rsid w:val="0074192B"/>
    <w:rsid w:val="00741D24"/>
    <w:rsid w:val="00750341"/>
    <w:rsid w:val="0075048A"/>
    <w:rsid w:val="007510DE"/>
    <w:rsid w:val="0075196B"/>
    <w:rsid w:val="007530FC"/>
    <w:rsid w:val="0075390D"/>
    <w:rsid w:val="0075417F"/>
    <w:rsid w:val="00755117"/>
    <w:rsid w:val="00755B93"/>
    <w:rsid w:val="00757123"/>
    <w:rsid w:val="00757339"/>
    <w:rsid w:val="007573D4"/>
    <w:rsid w:val="00757F09"/>
    <w:rsid w:val="00761817"/>
    <w:rsid w:val="0076425D"/>
    <w:rsid w:val="00764D12"/>
    <w:rsid w:val="007667D1"/>
    <w:rsid w:val="0077141F"/>
    <w:rsid w:val="00771461"/>
    <w:rsid w:val="00772D3A"/>
    <w:rsid w:val="0077351B"/>
    <w:rsid w:val="00775421"/>
    <w:rsid w:val="00775902"/>
    <w:rsid w:val="00775BA9"/>
    <w:rsid w:val="00775E8C"/>
    <w:rsid w:val="00776CD8"/>
    <w:rsid w:val="00780466"/>
    <w:rsid w:val="00782771"/>
    <w:rsid w:val="00783302"/>
    <w:rsid w:val="00783642"/>
    <w:rsid w:val="007847ED"/>
    <w:rsid w:val="00784C7D"/>
    <w:rsid w:val="00785291"/>
    <w:rsid w:val="007854D5"/>
    <w:rsid w:val="00786B73"/>
    <w:rsid w:val="00787CBD"/>
    <w:rsid w:val="00790F24"/>
    <w:rsid w:val="0079121A"/>
    <w:rsid w:val="00791261"/>
    <w:rsid w:val="00792B0F"/>
    <w:rsid w:val="00792C9F"/>
    <w:rsid w:val="00792E9F"/>
    <w:rsid w:val="007941BD"/>
    <w:rsid w:val="0079427F"/>
    <w:rsid w:val="00794439"/>
    <w:rsid w:val="00794677"/>
    <w:rsid w:val="00794B6F"/>
    <w:rsid w:val="00795B53"/>
    <w:rsid w:val="007963AB"/>
    <w:rsid w:val="0079683A"/>
    <w:rsid w:val="00797650"/>
    <w:rsid w:val="007A03C8"/>
    <w:rsid w:val="007A0FF6"/>
    <w:rsid w:val="007A1087"/>
    <w:rsid w:val="007A3774"/>
    <w:rsid w:val="007A4319"/>
    <w:rsid w:val="007A4371"/>
    <w:rsid w:val="007A4993"/>
    <w:rsid w:val="007B0849"/>
    <w:rsid w:val="007B1D90"/>
    <w:rsid w:val="007B25EF"/>
    <w:rsid w:val="007B2AB8"/>
    <w:rsid w:val="007B2D6E"/>
    <w:rsid w:val="007B37A1"/>
    <w:rsid w:val="007B6388"/>
    <w:rsid w:val="007B6C01"/>
    <w:rsid w:val="007B758F"/>
    <w:rsid w:val="007C35E3"/>
    <w:rsid w:val="007C3699"/>
    <w:rsid w:val="007C412F"/>
    <w:rsid w:val="007C4E13"/>
    <w:rsid w:val="007C51DF"/>
    <w:rsid w:val="007C63E7"/>
    <w:rsid w:val="007C7273"/>
    <w:rsid w:val="007C734A"/>
    <w:rsid w:val="007C7E20"/>
    <w:rsid w:val="007D0CA1"/>
    <w:rsid w:val="007D15B4"/>
    <w:rsid w:val="007D199F"/>
    <w:rsid w:val="007D31A4"/>
    <w:rsid w:val="007D31E9"/>
    <w:rsid w:val="007D397C"/>
    <w:rsid w:val="007D5E97"/>
    <w:rsid w:val="007D6F44"/>
    <w:rsid w:val="007D71EC"/>
    <w:rsid w:val="007E0556"/>
    <w:rsid w:val="007E0909"/>
    <w:rsid w:val="007E10A4"/>
    <w:rsid w:val="007E12A1"/>
    <w:rsid w:val="007E352F"/>
    <w:rsid w:val="007E395A"/>
    <w:rsid w:val="007E4EE9"/>
    <w:rsid w:val="007E73BB"/>
    <w:rsid w:val="007F3F91"/>
    <w:rsid w:val="007F4371"/>
    <w:rsid w:val="007F4C2A"/>
    <w:rsid w:val="007F54C2"/>
    <w:rsid w:val="007F65F2"/>
    <w:rsid w:val="00800812"/>
    <w:rsid w:val="00800EDA"/>
    <w:rsid w:val="00802468"/>
    <w:rsid w:val="0080419F"/>
    <w:rsid w:val="008045D7"/>
    <w:rsid w:val="00806176"/>
    <w:rsid w:val="00806A95"/>
    <w:rsid w:val="00806E4E"/>
    <w:rsid w:val="0080730B"/>
    <w:rsid w:val="00810A52"/>
    <w:rsid w:val="00810B06"/>
    <w:rsid w:val="008122DA"/>
    <w:rsid w:val="008138BF"/>
    <w:rsid w:val="00814127"/>
    <w:rsid w:val="008167B8"/>
    <w:rsid w:val="00817268"/>
    <w:rsid w:val="008173A8"/>
    <w:rsid w:val="00817461"/>
    <w:rsid w:val="0081771C"/>
    <w:rsid w:val="00817D17"/>
    <w:rsid w:val="00817F8C"/>
    <w:rsid w:val="0082504C"/>
    <w:rsid w:val="008255AF"/>
    <w:rsid w:val="008257DE"/>
    <w:rsid w:val="00830506"/>
    <w:rsid w:val="00830F6C"/>
    <w:rsid w:val="00833BAF"/>
    <w:rsid w:val="00834647"/>
    <w:rsid w:val="00835520"/>
    <w:rsid w:val="0083590D"/>
    <w:rsid w:val="008375CB"/>
    <w:rsid w:val="00837D17"/>
    <w:rsid w:val="008421B4"/>
    <w:rsid w:val="008451CD"/>
    <w:rsid w:val="00845E65"/>
    <w:rsid w:val="008460D5"/>
    <w:rsid w:val="00847780"/>
    <w:rsid w:val="00853423"/>
    <w:rsid w:val="00853667"/>
    <w:rsid w:val="00854830"/>
    <w:rsid w:val="008557EC"/>
    <w:rsid w:val="008563E4"/>
    <w:rsid w:val="00856AC0"/>
    <w:rsid w:val="00860823"/>
    <w:rsid w:val="00860A89"/>
    <w:rsid w:val="00860CE7"/>
    <w:rsid w:val="00860D44"/>
    <w:rsid w:val="008627E3"/>
    <w:rsid w:val="00862803"/>
    <w:rsid w:val="00862F1A"/>
    <w:rsid w:val="00863836"/>
    <w:rsid w:val="00864E81"/>
    <w:rsid w:val="00866D15"/>
    <w:rsid w:val="00866D21"/>
    <w:rsid w:val="00866EF6"/>
    <w:rsid w:val="00866F27"/>
    <w:rsid w:val="00870810"/>
    <w:rsid w:val="00871000"/>
    <w:rsid w:val="0087100D"/>
    <w:rsid w:val="00871DFE"/>
    <w:rsid w:val="008726C3"/>
    <w:rsid w:val="00872920"/>
    <w:rsid w:val="0087337B"/>
    <w:rsid w:val="008733F9"/>
    <w:rsid w:val="00874CE9"/>
    <w:rsid w:val="00875138"/>
    <w:rsid w:val="00876315"/>
    <w:rsid w:val="008766FD"/>
    <w:rsid w:val="00876ECD"/>
    <w:rsid w:val="0088004F"/>
    <w:rsid w:val="0088180D"/>
    <w:rsid w:val="008829CD"/>
    <w:rsid w:val="00884FE8"/>
    <w:rsid w:val="00885907"/>
    <w:rsid w:val="00885C5B"/>
    <w:rsid w:val="008863C2"/>
    <w:rsid w:val="00886ADD"/>
    <w:rsid w:val="00886F69"/>
    <w:rsid w:val="008871CB"/>
    <w:rsid w:val="008873AA"/>
    <w:rsid w:val="00890031"/>
    <w:rsid w:val="00890933"/>
    <w:rsid w:val="00890FC0"/>
    <w:rsid w:val="008923C4"/>
    <w:rsid w:val="0089591E"/>
    <w:rsid w:val="008959C1"/>
    <w:rsid w:val="0089705A"/>
    <w:rsid w:val="008A0193"/>
    <w:rsid w:val="008A227D"/>
    <w:rsid w:val="008A254F"/>
    <w:rsid w:val="008A2AC1"/>
    <w:rsid w:val="008A4653"/>
    <w:rsid w:val="008A5136"/>
    <w:rsid w:val="008A6CEF"/>
    <w:rsid w:val="008A7532"/>
    <w:rsid w:val="008A7832"/>
    <w:rsid w:val="008A78B6"/>
    <w:rsid w:val="008B3772"/>
    <w:rsid w:val="008B4279"/>
    <w:rsid w:val="008B631D"/>
    <w:rsid w:val="008B662C"/>
    <w:rsid w:val="008B698E"/>
    <w:rsid w:val="008B6E36"/>
    <w:rsid w:val="008B70D6"/>
    <w:rsid w:val="008B739A"/>
    <w:rsid w:val="008B739D"/>
    <w:rsid w:val="008B7BD1"/>
    <w:rsid w:val="008C14E6"/>
    <w:rsid w:val="008C184C"/>
    <w:rsid w:val="008C2741"/>
    <w:rsid w:val="008C2909"/>
    <w:rsid w:val="008C2BE5"/>
    <w:rsid w:val="008C2FF5"/>
    <w:rsid w:val="008C31CC"/>
    <w:rsid w:val="008C3BE2"/>
    <w:rsid w:val="008C4A6B"/>
    <w:rsid w:val="008C54E8"/>
    <w:rsid w:val="008C594E"/>
    <w:rsid w:val="008C6E95"/>
    <w:rsid w:val="008C77CE"/>
    <w:rsid w:val="008D032C"/>
    <w:rsid w:val="008D123F"/>
    <w:rsid w:val="008D1B09"/>
    <w:rsid w:val="008D2BF9"/>
    <w:rsid w:val="008D2D4D"/>
    <w:rsid w:val="008D3F9B"/>
    <w:rsid w:val="008D47EA"/>
    <w:rsid w:val="008D526B"/>
    <w:rsid w:val="008D5DA0"/>
    <w:rsid w:val="008D5F7B"/>
    <w:rsid w:val="008D6309"/>
    <w:rsid w:val="008D7CB5"/>
    <w:rsid w:val="008E0685"/>
    <w:rsid w:val="008E143A"/>
    <w:rsid w:val="008E24D3"/>
    <w:rsid w:val="008E2DAC"/>
    <w:rsid w:val="008E3A66"/>
    <w:rsid w:val="008E3E5B"/>
    <w:rsid w:val="008E5591"/>
    <w:rsid w:val="008E7033"/>
    <w:rsid w:val="008F02E4"/>
    <w:rsid w:val="008F0F32"/>
    <w:rsid w:val="008F29D5"/>
    <w:rsid w:val="008F2A1E"/>
    <w:rsid w:val="008F3C80"/>
    <w:rsid w:val="008F3F5B"/>
    <w:rsid w:val="008F49B3"/>
    <w:rsid w:val="008F5896"/>
    <w:rsid w:val="008F6229"/>
    <w:rsid w:val="008F78FD"/>
    <w:rsid w:val="00901984"/>
    <w:rsid w:val="00904AF9"/>
    <w:rsid w:val="009050FE"/>
    <w:rsid w:val="009051C8"/>
    <w:rsid w:val="00905A08"/>
    <w:rsid w:val="00905CFA"/>
    <w:rsid w:val="00906B4A"/>
    <w:rsid w:val="00907086"/>
    <w:rsid w:val="009112C8"/>
    <w:rsid w:val="00911904"/>
    <w:rsid w:val="00912088"/>
    <w:rsid w:val="009127C9"/>
    <w:rsid w:val="009133A9"/>
    <w:rsid w:val="00914C26"/>
    <w:rsid w:val="00915C7B"/>
    <w:rsid w:val="00917FF3"/>
    <w:rsid w:val="00920005"/>
    <w:rsid w:val="00920747"/>
    <w:rsid w:val="0092112E"/>
    <w:rsid w:val="00921FD1"/>
    <w:rsid w:val="009222BF"/>
    <w:rsid w:val="009223A7"/>
    <w:rsid w:val="009228DA"/>
    <w:rsid w:val="00923019"/>
    <w:rsid w:val="009231A1"/>
    <w:rsid w:val="00925AC5"/>
    <w:rsid w:val="009260B3"/>
    <w:rsid w:val="009311C8"/>
    <w:rsid w:val="0093288E"/>
    <w:rsid w:val="0093353C"/>
    <w:rsid w:val="00935FF9"/>
    <w:rsid w:val="00936084"/>
    <w:rsid w:val="009375DE"/>
    <w:rsid w:val="009379B0"/>
    <w:rsid w:val="00940159"/>
    <w:rsid w:val="00940907"/>
    <w:rsid w:val="009417F8"/>
    <w:rsid w:val="00941809"/>
    <w:rsid w:val="009441A6"/>
    <w:rsid w:val="00946736"/>
    <w:rsid w:val="00947D62"/>
    <w:rsid w:val="009514AD"/>
    <w:rsid w:val="009519EC"/>
    <w:rsid w:val="009530A6"/>
    <w:rsid w:val="009532B7"/>
    <w:rsid w:val="009538B7"/>
    <w:rsid w:val="0095493D"/>
    <w:rsid w:val="00956598"/>
    <w:rsid w:val="00960F88"/>
    <w:rsid w:val="0096195C"/>
    <w:rsid w:val="00961E75"/>
    <w:rsid w:val="00961EA4"/>
    <w:rsid w:val="00962BCA"/>
    <w:rsid w:val="00963052"/>
    <w:rsid w:val="00963D1D"/>
    <w:rsid w:val="00965194"/>
    <w:rsid w:val="00966079"/>
    <w:rsid w:val="009662EE"/>
    <w:rsid w:val="009669F4"/>
    <w:rsid w:val="00970965"/>
    <w:rsid w:val="00971C15"/>
    <w:rsid w:val="00973273"/>
    <w:rsid w:val="00980172"/>
    <w:rsid w:val="009805E4"/>
    <w:rsid w:val="00980659"/>
    <w:rsid w:val="00980F6D"/>
    <w:rsid w:val="00981682"/>
    <w:rsid w:val="00981BF5"/>
    <w:rsid w:val="00984D26"/>
    <w:rsid w:val="00990170"/>
    <w:rsid w:val="0099065D"/>
    <w:rsid w:val="009923E5"/>
    <w:rsid w:val="00993ADD"/>
    <w:rsid w:val="00994890"/>
    <w:rsid w:val="00995134"/>
    <w:rsid w:val="0099570F"/>
    <w:rsid w:val="00997749"/>
    <w:rsid w:val="009A068D"/>
    <w:rsid w:val="009A0965"/>
    <w:rsid w:val="009A15E0"/>
    <w:rsid w:val="009A1E5D"/>
    <w:rsid w:val="009A24CB"/>
    <w:rsid w:val="009A4084"/>
    <w:rsid w:val="009A53EE"/>
    <w:rsid w:val="009A5CAB"/>
    <w:rsid w:val="009A64B1"/>
    <w:rsid w:val="009A74CA"/>
    <w:rsid w:val="009B03C3"/>
    <w:rsid w:val="009B0958"/>
    <w:rsid w:val="009B0EB2"/>
    <w:rsid w:val="009B1386"/>
    <w:rsid w:val="009B1AF4"/>
    <w:rsid w:val="009B1E0E"/>
    <w:rsid w:val="009B1F68"/>
    <w:rsid w:val="009B3776"/>
    <w:rsid w:val="009B47AD"/>
    <w:rsid w:val="009B4959"/>
    <w:rsid w:val="009B7622"/>
    <w:rsid w:val="009C06E8"/>
    <w:rsid w:val="009C0760"/>
    <w:rsid w:val="009C0BB2"/>
    <w:rsid w:val="009C2B34"/>
    <w:rsid w:val="009C3508"/>
    <w:rsid w:val="009C36D3"/>
    <w:rsid w:val="009C4ACC"/>
    <w:rsid w:val="009C5038"/>
    <w:rsid w:val="009C5331"/>
    <w:rsid w:val="009C5AB4"/>
    <w:rsid w:val="009C5D88"/>
    <w:rsid w:val="009C6095"/>
    <w:rsid w:val="009D0309"/>
    <w:rsid w:val="009D1578"/>
    <w:rsid w:val="009D3003"/>
    <w:rsid w:val="009D376A"/>
    <w:rsid w:val="009D4751"/>
    <w:rsid w:val="009D5775"/>
    <w:rsid w:val="009D6EAB"/>
    <w:rsid w:val="009D7F79"/>
    <w:rsid w:val="009E0099"/>
    <w:rsid w:val="009E144E"/>
    <w:rsid w:val="009E2A99"/>
    <w:rsid w:val="009E2C95"/>
    <w:rsid w:val="009F0980"/>
    <w:rsid w:val="009F1F4E"/>
    <w:rsid w:val="009F21AC"/>
    <w:rsid w:val="009F2886"/>
    <w:rsid w:val="009F34B9"/>
    <w:rsid w:val="009F3683"/>
    <w:rsid w:val="009F4AAB"/>
    <w:rsid w:val="009F5809"/>
    <w:rsid w:val="009F6094"/>
    <w:rsid w:val="009F6C71"/>
    <w:rsid w:val="009F71FB"/>
    <w:rsid w:val="00A00287"/>
    <w:rsid w:val="00A00A95"/>
    <w:rsid w:val="00A00E08"/>
    <w:rsid w:val="00A01D53"/>
    <w:rsid w:val="00A04711"/>
    <w:rsid w:val="00A04DCD"/>
    <w:rsid w:val="00A11143"/>
    <w:rsid w:val="00A12961"/>
    <w:rsid w:val="00A1378F"/>
    <w:rsid w:val="00A1404F"/>
    <w:rsid w:val="00A144DA"/>
    <w:rsid w:val="00A15271"/>
    <w:rsid w:val="00A15816"/>
    <w:rsid w:val="00A213B8"/>
    <w:rsid w:val="00A22FEE"/>
    <w:rsid w:val="00A24839"/>
    <w:rsid w:val="00A24FC2"/>
    <w:rsid w:val="00A25D33"/>
    <w:rsid w:val="00A2621D"/>
    <w:rsid w:val="00A272ED"/>
    <w:rsid w:val="00A27B93"/>
    <w:rsid w:val="00A316C8"/>
    <w:rsid w:val="00A31AB6"/>
    <w:rsid w:val="00A31AFF"/>
    <w:rsid w:val="00A32528"/>
    <w:rsid w:val="00A33669"/>
    <w:rsid w:val="00A343FC"/>
    <w:rsid w:val="00A3443B"/>
    <w:rsid w:val="00A349B9"/>
    <w:rsid w:val="00A371DB"/>
    <w:rsid w:val="00A37ACA"/>
    <w:rsid w:val="00A37AE5"/>
    <w:rsid w:val="00A37CA5"/>
    <w:rsid w:val="00A401E2"/>
    <w:rsid w:val="00A4144A"/>
    <w:rsid w:val="00A4158D"/>
    <w:rsid w:val="00A424D5"/>
    <w:rsid w:val="00A43335"/>
    <w:rsid w:val="00A43477"/>
    <w:rsid w:val="00A43B85"/>
    <w:rsid w:val="00A446CA"/>
    <w:rsid w:val="00A44B33"/>
    <w:rsid w:val="00A452E1"/>
    <w:rsid w:val="00A45A0A"/>
    <w:rsid w:val="00A4724B"/>
    <w:rsid w:val="00A47D07"/>
    <w:rsid w:val="00A47FD6"/>
    <w:rsid w:val="00A516BB"/>
    <w:rsid w:val="00A51EB3"/>
    <w:rsid w:val="00A51FDD"/>
    <w:rsid w:val="00A52281"/>
    <w:rsid w:val="00A53212"/>
    <w:rsid w:val="00A53AB5"/>
    <w:rsid w:val="00A55424"/>
    <w:rsid w:val="00A55D38"/>
    <w:rsid w:val="00A56235"/>
    <w:rsid w:val="00A610F9"/>
    <w:rsid w:val="00A61840"/>
    <w:rsid w:val="00A64C3C"/>
    <w:rsid w:val="00A651F0"/>
    <w:rsid w:val="00A65C87"/>
    <w:rsid w:val="00A66B8D"/>
    <w:rsid w:val="00A676A3"/>
    <w:rsid w:val="00A70C6F"/>
    <w:rsid w:val="00A73AFD"/>
    <w:rsid w:val="00A7455B"/>
    <w:rsid w:val="00A75127"/>
    <w:rsid w:val="00A75FDD"/>
    <w:rsid w:val="00A77273"/>
    <w:rsid w:val="00A802F9"/>
    <w:rsid w:val="00A80505"/>
    <w:rsid w:val="00A81F6C"/>
    <w:rsid w:val="00A821A5"/>
    <w:rsid w:val="00A827FE"/>
    <w:rsid w:val="00A82DAE"/>
    <w:rsid w:val="00A82E92"/>
    <w:rsid w:val="00A8499A"/>
    <w:rsid w:val="00A8627C"/>
    <w:rsid w:val="00A86BB8"/>
    <w:rsid w:val="00A86C9D"/>
    <w:rsid w:val="00A86EDA"/>
    <w:rsid w:val="00A87793"/>
    <w:rsid w:val="00A87969"/>
    <w:rsid w:val="00A90828"/>
    <w:rsid w:val="00A934FA"/>
    <w:rsid w:val="00A93AB1"/>
    <w:rsid w:val="00A94C14"/>
    <w:rsid w:val="00A97698"/>
    <w:rsid w:val="00AA0A95"/>
    <w:rsid w:val="00AA1576"/>
    <w:rsid w:val="00AA4B1C"/>
    <w:rsid w:val="00AA5F90"/>
    <w:rsid w:val="00AA6125"/>
    <w:rsid w:val="00AA6D82"/>
    <w:rsid w:val="00AA7C3F"/>
    <w:rsid w:val="00AA7DE6"/>
    <w:rsid w:val="00AB0326"/>
    <w:rsid w:val="00AB0A4F"/>
    <w:rsid w:val="00AB17C7"/>
    <w:rsid w:val="00AB1D6F"/>
    <w:rsid w:val="00AB2BAE"/>
    <w:rsid w:val="00AB40BF"/>
    <w:rsid w:val="00AB4123"/>
    <w:rsid w:val="00AB47B2"/>
    <w:rsid w:val="00AB5416"/>
    <w:rsid w:val="00AB64D2"/>
    <w:rsid w:val="00AB6809"/>
    <w:rsid w:val="00AB6BDA"/>
    <w:rsid w:val="00AB6EBF"/>
    <w:rsid w:val="00AB713C"/>
    <w:rsid w:val="00AC09F6"/>
    <w:rsid w:val="00AC0DB1"/>
    <w:rsid w:val="00AC1C63"/>
    <w:rsid w:val="00AC2AB0"/>
    <w:rsid w:val="00AC3E0B"/>
    <w:rsid w:val="00AC466A"/>
    <w:rsid w:val="00AC49BE"/>
    <w:rsid w:val="00AC4F8A"/>
    <w:rsid w:val="00AC4FF6"/>
    <w:rsid w:val="00AC61DD"/>
    <w:rsid w:val="00AC72A2"/>
    <w:rsid w:val="00AD011C"/>
    <w:rsid w:val="00AD06B0"/>
    <w:rsid w:val="00AD089B"/>
    <w:rsid w:val="00AD2389"/>
    <w:rsid w:val="00AD2541"/>
    <w:rsid w:val="00AD3F74"/>
    <w:rsid w:val="00AD7513"/>
    <w:rsid w:val="00AE141E"/>
    <w:rsid w:val="00AE1CAF"/>
    <w:rsid w:val="00AE2690"/>
    <w:rsid w:val="00AE34C2"/>
    <w:rsid w:val="00AE41EF"/>
    <w:rsid w:val="00AE4F0F"/>
    <w:rsid w:val="00AE6CDF"/>
    <w:rsid w:val="00AF2FCF"/>
    <w:rsid w:val="00AF3928"/>
    <w:rsid w:val="00AF40F8"/>
    <w:rsid w:val="00AF47BA"/>
    <w:rsid w:val="00AF4E19"/>
    <w:rsid w:val="00AF52F7"/>
    <w:rsid w:val="00AF634E"/>
    <w:rsid w:val="00AF693F"/>
    <w:rsid w:val="00B01F5E"/>
    <w:rsid w:val="00B02686"/>
    <w:rsid w:val="00B02A7C"/>
    <w:rsid w:val="00B03CB7"/>
    <w:rsid w:val="00B03DF1"/>
    <w:rsid w:val="00B06383"/>
    <w:rsid w:val="00B07AC7"/>
    <w:rsid w:val="00B119BF"/>
    <w:rsid w:val="00B127A2"/>
    <w:rsid w:val="00B12C98"/>
    <w:rsid w:val="00B13936"/>
    <w:rsid w:val="00B13B0A"/>
    <w:rsid w:val="00B15EBB"/>
    <w:rsid w:val="00B16903"/>
    <w:rsid w:val="00B17182"/>
    <w:rsid w:val="00B17701"/>
    <w:rsid w:val="00B22B04"/>
    <w:rsid w:val="00B24829"/>
    <w:rsid w:val="00B255C3"/>
    <w:rsid w:val="00B268BD"/>
    <w:rsid w:val="00B27CC9"/>
    <w:rsid w:val="00B30620"/>
    <w:rsid w:val="00B310DC"/>
    <w:rsid w:val="00B312A7"/>
    <w:rsid w:val="00B34347"/>
    <w:rsid w:val="00B36356"/>
    <w:rsid w:val="00B36AA2"/>
    <w:rsid w:val="00B36E75"/>
    <w:rsid w:val="00B37332"/>
    <w:rsid w:val="00B40106"/>
    <w:rsid w:val="00B411C5"/>
    <w:rsid w:val="00B42893"/>
    <w:rsid w:val="00B44940"/>
    <w:rsid w:val="00B45C32"/>
    <w:rsid w:val="00B45EB2"/>
    <w:rsid w:val="00B45F56"/>
    <w:rsid w:val="00B47B1F"/>
    <w:rsid w:val="00B50842"/>
    <w:rsid w:val="00B51324"/>
    <w:rsid w:val="00B5285D"/>
    <w:rsid w:val="00B531CA"/>
    <w:rsid w:val="00B54866"/>
    <w:rsid w:val="00B57113"/>
    <w:rsid w:val="00B600AB"/>
    <w:rsid w:val="00B643F6"/>
    <w:rsid w:val="00B66D2B"/>
    <w:rsid w:val="00B706AF"/>
    <w:rsid w:val="00B708D2"/>
    <w:rsid w:val="00B712A4"/>
    <w:rsid w:val="00B71475"/>
    <w:rsid w:val="00B72846"/>
    <w:rsid w:val="00B75246"/>
    <w:rsid w:val="00B75DEF"/>
    <w:rsid w:val="00B7648C"/>
    <w:rsid w:val="00B76E1F"/>
    <w:rsid w:val="00B804FB"/>
    <w:rsid w:val="00B80BE1"/>
    <w:rsid w:val="00B81D11"/>
    <w:rsid w:val="00B8225B"/>
    <w:rsid w:val="00B82331"/>
    <w:rsid w:val="00B832A7"/>
    <w:rsid w:val="00B85275"/>
    <w:rsid w:val="00B856A0"/>
    <w:rsid w:val="00B85EDF"/>
    <w:rsid w:val="00B8608E"/>
    <w:rsid w:val="00B864EB"/>
    <w:rsid w:val="00B86C86"/>
    <w:rsid w:val="00B875B6"/>
    <w:rsid w:val="00B9030C"/>
    <w:rsid w:val="00B91962"/>
    <w:rsid w:val="00B92925"/>
    <w:rsid w:val="00B92D6E"/>
    <w:rsid w:val="00B933B6"/>
    <w:rsid w:val="00B94EAA"/>
    <w:rsid w:val="00B97732"/>
    <w:rsid w:val="00BA0202"/>
    <w:rsid w:val="00BA0271"/>
    <w:rsid w:val="00BA247C"/>
    <w:rsid w:val="00BA25FE"/>
    <w:rsid w:val="00BA3470"/>
    <w:rsid w:val="00BA52E6"/>
    <w:rsid w:val="00BA608E"/>
    <w:rsid w:val="00BA64AF"/>
    <w:rsid w:val="00BA6BF3"/>
    <w:rsid w:val="00BA7462"/>
    <w:rsid w:val="00BB0C74"/>
    <w:rsid w:val="00BB14DA"/>
    <w:rsid w:val="00BB3C05"/>
    <w:rsid w:val="00BB4320"/>
    <w:rsid w:val="00BB5400"/>
    <w:rsid w:val="00BB5579"/>
    <w:rsid w:val="00BB6479"/>
    <w:rsid w:val="00BB6F0E"/>
    <w:rsid w:val="00BC0210"/>
    <w:rsid w:val="00BC0DFF"/>
    <w:rsid w:val="00BC2342"/>
    <w:rsid w:val="00BC2620"/>
    <w:rsid w:val="00BC293F"/>
    <w:rsid w:val="00BC498A"/>
    <w:rsid w:val="00BC5315"/>
    <w:rsid w:val="00BC5D3A"/>
    <w:rsid w:val="00BC5E19"/>
    <w:rsid w:val="00BC5F1C"/>
    <w:rsid w:val="00BC769D"/>
    <w:rsid w:val="00BD1BE3"/>
    <w:rsid w:val="00BD3115"/>
    <w:rsid w:val="00BD4FFA"/>
    <w:rsid w:val="00BD7ACD"/>
    <w:rsid w:val="00BE0D3F"/>
    <w:rsid w:val="00BE23D5"/>
    <w:rsid w:val="00BE2A7E"/>
    <w:rsid w:val="00BE58EF"/>
    <w:rsid w:val="00BE6099"/>
    <w:rsid w:val="00BE6F30"/>
    <w:rsid w:val="00BF0DA1"/>
    <w:rsid w:val="00BF11C8"/>
    <w:rsid w:val="00BF24D9"/>
    <w:rsid w:val="00BF2C78"/>
    <w:rsid w:val="00BF343F"/>
    <w:rsid w:val="00BF3D3E"/>
    <w:rsid w:val="00BF4FAA"/>
    <w:rsid w:val="00BF5AC2"/>
    <w:rsid w:val="00BF638F"/>
    <w:rsid w:val="00BF69E1"/>
    <w:rsid w:val="00BF73DF"/>
    <w:rsid w:val="00C00986"/>
    <w:rsid w:val="00C01CD8"/>
    <w:rsid w:val="00C03D78"/>
    <w:rsid w:val="00C065FC"/>
    <w:rsid w:val="00C06608"/>
    <w:rsid w:val="00C06E37"/>
    <w:rsid w:val="00C104DD"/>
    <w:rsid w:val="00C1393E"/>
    <w:rsid w:val="00C14E82"/>
    <w:rsid w:val="00C15543"/>
    <w:rsid w:val="00C172D3"/>
    <w:rsid w:val="00C17BF8"/>
    <w:rsid w:val="00C20D04"/>
    <w:rsid w:val="00C21DAC"/>
    <w:rsid w:val="00C220FD"/>
    <w:rsid w:val="00C22208"/>
    <w:rsid w:val="00C23652"/>
    <w:rsid w:val="00C23C4D"/>
    <w:rsid w:val="00C27349"/>
    <w:rsid w:val="00C274FF"/>
    <w:rsid w:val="00C276A0"/>
    <w:rsid w:val="00C3160E"/>
    <w:rsid w:val="00C31625"/>
    <w:rsid w:val="00C32365"/>
    <w:rsid w:val="00C32522"/>
    <w:rsid w:val="00C343C7"/>
    <w:rsid w:val="00C34DFF"/>
    <w:rsid w:val="00C352C8"/>
    <w:rsid w:val="00C40A9D"/>
    <w:rsid w:val="00C42481"/>
    <w:rsid w:val="00C428F4"/>
    <w:rsid w:val="00C42EDE"/>
    <w:rsid w:val="00C430D6"/>
    <w:rsid w:val="00C43A8A"/>
    <w:rsid w:val="00C44990"/>
    <w:rsid w:val="00C45AFC"/>
    <w:rsid w:val="00C464DA"/>
    <w:rsid w:val="00C466CE"/>
    <w:rsid w:val="00C46A7B"/>
    <w:rsid w:val="00C47291"/>
    <w:rsid w:val="00C47787"/>
    <w:rsid w:val="00C506D2"/>
    <w:rsid w:val="00C50E06"/>
    <w:rsid w:val="00C50F42"/>
    <w:rsid w:val="00C513B6"/>
    <w:rsid w:val="00C52E31"/>
    <w:rsid w:val="00C548BB"/>
    <w:rsid w:val="00C548D4"/>
    <w:rsid w:val="00C54A50"/>
    <w:rsid w:val="00C55A52"/>
    <w:rsid w:val="00C56932"/>
    <w:rsid w:val="00C56EAD"/>
    <w:rsid w:val="00C608B4"/>
    <w:rsid w:val="00C61962"/>
    <w:rsid w:val="00C62545"/>
    <w:rsid w:val="00C62ADA"/>
    <w:rsid w:val="00C63830"/>
    <w:rsid w:val="00C63B5E"/>
    <w:rsid w:val="00C64DCE"/>
    <w:rsid w:val="00C65460"/>
    <w:rsid w:val="00C66F27"/>
    <w:rsid w:val="00C67C78"/>
    <w:rsid w:val="00C71A70"/>
    <w:rsid w:val="00C71AF3"/>
    <w:rsid w:val="00C72D67"/>
    <w:rsid w:val="00C73781"/>
    <w:rsid w:val="00C74052"/>
    <w:rsid w:val="00C74DFB"/>
    <w:rsid w:val="00C75D36"/>
    <w:rsid w:val="00C76027"/>
    <w:rsid w:val="00C7680E"/>
    <w:rsid w:val="00C76F79"/>
    <w:rsid w:val="00C7747C"/>
    <w:rsid w:val="00C80C6C"/>
    <w:rsid w:val="00C82A16"/>
    <w:rsid w:val="00C82AE5"/>
    <w:rsid w:val="00C83473"/>
    <w:rsid w:val="00C8358A"/>
    <w:rsid w:val="00C853E4"/>
    <w:rsid w:val="00C8647C"/>
    <w:rsid w:val="00C86C50"/>
    <w:rsid w:val="00C87999"/>
    <w:rsid w:val="00C90EE1"/>
    <w:rsid w:val="00C9199F"/>
    <w:rsid w:val="00C91ED3"/>
    <w:rsid w:val="00C91F94"/>
    <w:rsid w:val="00C93F7B"/>
    <w:rsid w:val="00C94101"/>
    <w:rsid w:val="00C951EA"/>
    <w:rsid w:val="00C965C6"/>
    <w:rsid w:val="00C9728E"/>
    <w:rsid w:val="00C9749E"/>
    <w:rsid w:val="00CA0C25"/>
    <w:rsid w:val="00CA172F"/>
    <w:rsid w:val="00CA3171"/>
    <w:rsid w:val="00CA3BD5"/>
    <w:rsid w:val="00CA7259"/>
    <w:rsid w:val="00CA7759"/>
    <w:rsid w:val="00CA7B51"/>
    <w:rsid w:val="00CB02A0"/>
    <w:rsid w:val="00CB1429"/>
    <w:rsid w:val="00CB169E"/>
    <w:rsid w:val="00CB1DCA"/>
    <w:rsid w:val="00CB2028"/>
    <w:rsid w:val="00CB3253"/>
    <w:rsid w:val="00CB44AA"/>
    <w:rsid w:val="00CB51B2"/>
    <w:rsid w:val="00CB5868"/>
    <w:rsid w:val="00CB6AFC"/>
    <w:rsid w:val="00CB759A"/>
    <w:rsid w:val="00CB75A5"/>
    <w:rsid w:val="00CC11FD"/>
    <w:rsid w:val="00CC145B"/>
    <w:rsid w:val="00CC1AD6"/>
    <w:rsid w:val="00CC2448"/>
    <w:rsid w:val="00CC45C9"/>
    <w:rsid w:val="00CC490A"/>
    <w:rsid w:val="00CC758E"/>
    <w:rsid w:val="00CC7D46"/>
    <w:rsid w:val="00CC7E26"/>
    <w:rsid w:val="00CD0823"/>
    <w:rsid w:val="00CD08EE"/>
    <w:rsid w:val="00CD1308"/>
    <w:rsid w:val="00CD1DB0"/>
    <w:rsid w:val="00CD2B7F"/>
    <w:rsid w:val="00CD3FF0"/>
    <w:rsid w:val="00CE0C4C"/>
    <w:rsid w:val="00CE379F"/>
    <w:rsid w:val="00CE4BA4"/>
    <w:rsid w:val="00CE5795"/>
    <w:rsid w:val="00CE5F77"/>
    <w:rsid w:val="00CE63E3"/>
    <w:rsid w:val="00CE68D1"/>
    <w:rsid w:val="00CE78B8"/>
    <w:rsid w:val="00CF18A7"/>
    <w:rsid w:val="00CF191B"/>
    <w:rsid w:val="00CF3691"/>
    <w:rsid w:val="00CF375D"/>
    <w:rsid w:val="00D01144"/>
    <w:rsid w:val="00D02089"/>
    <w:rsid w:val="00D028FF"/>
    <w:rsid w:val="00D02C4E"/>
    <w:rsid w:val="00D035F3"/>
    <w:rsid w:val="00D03E06"/>
    <w:rsid w:val="00D04815"/>
    <w:rsid w:val="00D0564C"/>
    <w:rsid w:val="00D10ADC"/>
    <w:rsid w:val="00D1134A"/>
    <w:rsid w:val="00D11ACB"/>
    <w:rsid w:val="00D11F8B"/>
    <w:rsid w:val="00D1227B"/>
    <w:rsid w:val="00D126A6"/>
    <w:rsid w:val="00D130FD"/>
    <w:rsid w:val="00D132F8"/>
    <w:rsid w:val="00D13B82"/>
    <w:rsid w:val="00D13FB7"/>
    <w:rsid w:val="00D14234"/>
    <w:rsid w:val="00D148AE"/>
    <w:rsid w:val="00D16CC2"/>
    <w:rsid w:val="00D16ED5"/>
    <w:rsid w:val="00D2034D"/>
    <w:rsid w:val="00D21006"/>
    <w:rsid w:val="00D23737"/>
    <w:rsid w:val="00D23846"/>
    <w:rsid w:val="00D23CA8"/>
    <w:rsid w:val="00D2409F"/>
    <w:rsid w:val="00D268AF"/>
    <w:rsid w:val="00D26CF5"/>
    <w:rsid w:val="00D3173A"/>
    <w:rsid w:val="00D32162"/>
    <w:rsid w:val="00D34B53"/>
    <w:rsid w:val="00D36ABB"/>
    <w:rsid w:val="00D40D6F"/>
    <w:rsid w:val="00D410F5"/>
    <w:rsid w:val="00D42280"/>
    <w:rsid w:val="00D42F14"/>
    <w:rsid w:val="00D43747"/>
    <w:rsid w:val="00D43F15"/>
    <w:rsid w:val="00D44E36"/>
    <w:rsid w:val="00D44F63"/>
    <w:rsid w:val="00D4669C"/>
    <w:rsid w:val="00D46767"/>
    <w:rsid w:val="00D5026B"/>
    <w:rsid w:val="00D50440"/>
    <w:rsid w:val="00D50689"/>
    <w:rsid w:val="00D50DB0"/>
    <w:rsid w:val="00D517D5"/>
    <w:rsid w:val="00D5192D"/>
    <w:rsid w:val="00D54396"/>
    <w:rsid w:val="00D55158"/>
    <w:rsid w:val="00D57F84"/>
    <w:rsid w:val="00D61E3A"/>
    <w:rsid w:val="00D64623"/>
    <w:rsid w:val="00D652A7"/>
    <w:rsid w:val="00D658F8"/>
    <w:rsid w:val="00D66742"/>
    <w:rsid w:val="00D674F4"/>
    <w:rsid w:val="00D67BC9"/>
    <w:rsid w:val="00D70DC3"/>
    <w:rsid w:val="00D71F62"/>
    <w:rsid w:val="00D72689"/>
    <w:rsid w:val="00D72838"/>
    <w:rsid w:val="00D73749"/>
    <w:rsid w:val="00D73B90"/>
    <w:rsid w:val="00D73F8C"/>
    <w:rsid w:val="00D754E4"/>
    <w:rsid w:val="00D75B41"/>
    <w:rsid w:val="00D81FE3"/>
    <w:rsid w:val="00D84B7F"/>
    <w:rsid w:val="00D866B2"/>
    <w:rsid w:val="00D8706B"/>
    <w:rsid w:val="00D8797A"/>
    <w:rsid w:val="00D87FB6"/>
    <w:rsid w:val="00D903B4"/>
    <w:rsid w:val="00D90956"/>
    <w:rsid w:val="00D90BD0"/>
    <w:rsid w:val="00D914D5"/>
    <w:rsid w:val="00D916C3"/>
    <w:rsid w:val="00D96FA8"/>
    <w:rsid w:val="00D971D1"/>
    <w:rsid w:val="00D976BA"/>
    <w:rsid w:val="00D97877"/>
    <w:rsid w:val="00D97EBB"/>
    <w:rsid w:val="00DA061F"/>
    <w:rsid w:val="00DA372D"/>
    <w:rsid w:val="00DA48C8"/>
    <w:rsid w:val="00DA528C"/>
    <w:rsid w:val="00DA6593"/>
    <w:rsid w:val="00DA7130"/>
    <w:rsid w:val="00DA7D53"/>
    <w:rsid w:val="00DB090A"/>
    <w:rsid w:val="00DB0ACB"/>
    <w:rsid w:val="00DB0D45"/>
    <w:rsid w:val="00DB175C"/>
    <w:rsid w:val="00DB1FB8"/>
    <w:rsid w:val="00DB2201"/>
    <w:rsid w:val="00DB2D18"/>
    <w:rsid w:val="00DB6864"/>
    <w:rsid w:val="00DB740F"/>
    <w:rsid w:val="00DB7EFA"/>
    <w:rsid w:val="00DC2CD3"/>
    <w:rsid w:val="00DC3EC5"/>
    <w:rsid w:val="00DC4ED6"/>
    <w:rsid w:val="00DC4FA5"/>
    <w:rsid w:val="00DC5703"/>
    <w:rsid w:val="00DC584C"/>
    <w:rsid w:val="00DC6624"/>
    <w:rsid w:val="00DC6AFC"/>
    <w:rsid w:val="00DC6EAC"/>
    <w:rsid w:val="00DC7893"/>
    <w:rsid w:val="00DD1D96"/>
    <w:rsid w:val="00DD3873"/>
    <w:rsid w:val="00DD4312"/>
    <w:rsid w:val="00DD591C"/>
    <w:rsid w:val="00DD67D9"/>
    <w:rsid w:val="00DD7179"/>
    <w:rsid w:val="00DD7180"/>
    <w:rsid w:val="00DD76AC"/>
    <w:rsid w:val="00DE0AF3"/>
    <w:rsid w:val="00DE2AB5"/>
    <w:rsid w:val="00DE468C"/>
    <w:rsid w:val="00DF05D9"/>
    <w:rsid w:val="00DF13B7"/>
    <w:rsid w:val="00DF180D"/>
    <w:rsid w:val="00DF1E61"/>
    <w:rsid w:val="00DF322C"/>
    <w:rsid w:val="00DF51E9"/>
    <w:rsid w:val="00DF56BA"/>
    <w:rsid w:val="00DF69D7"/>
    <w:rsid w:val="00E007F1"/>
    <w:rsid w:val="00E00989"/>
    <w:rsid w:val="00E02EC1"/>
    <w:rsid w:val="00E03CEE"/>
    <w:rsid w:val="00E062B0"/>
    <w:rsid w:val="00E076C9"/>
    <w:rsid w:val="00E076D4"/>
    <w:rsid w:val="00E07EB2"/>
    <w:rsid w:val="00E10A15"/>
    <w:rsid w:val="00E12973"/>
    <w:rsid w:val="00E1461B"/>
    <w:rsid w:val="00E1526F"/>
    <w:rsid w:val="00E166A6"/>
    <w:rsid w:val="00E166B4"/>
    <w:rsid w:val="00E16F8D"/>
    <w:rsid w:val="00E211BA"/>
    <w:rsid w:val="00E2154C"/>
    <w:rsid w:val="00E21787"/>
    <w:rsid w:val="00E22D52"/>
    <w:rsid w:val="00E240AD"/>
    <w:rsid w:val="00E2485D"/>
    <w:rsid w:val="00E24F76"/>
    <w:rsid w:val="00E25F56"/>
    <w:rsid w:val="00E26500"/>
    <w:rsid w:val="00E27105"/>
    <w:rsid w:val="00E301F1"/>
    <w:rsid w:val="00E30BF1"/>
    <w:rsid w:val="00E3217C"/>
    <w:rsid w:val="00E32D79"/>
    <w:rsid w:val="00E33B3D"/>
    <w:rsid w:val="00E3439D"/>
    <w:rsid w:val="00E35145"/>
    <w:rsid w:val="00E35E65"/>
    <w:rsid w:val="00E3608D"/>
    <w:rsid w:val="00E3629E"/>
    <w:rsid w:val="00E36307"/>
    <w:rsid w:val="00E41AA6"/>
    <w:rsid w:val="00E4290D"/>
    <w:rsid w:val="00E429FB"/>
    <w:rsid w:val="00E42A8A"/>
    <w:rsid w:val="00E431F5"/>
    <w:rsid w:val="00E43931"/>
    <w:rsid w:val="00E44B53"/>
    <w:rsid w:val="00E44F1A"/>
    <w:rsid w:val="00E470D9"/>
    <w:rsid w:val="00E4792C"/>
    <w:rsid w:val="00E54A22"/>
    <w:rsid w:val="00E559E7"/>
    <w:rsid w:val="00E57011"/>
    <w:rsid w:val="00E575BE"/>
    <w:rsid w:val="00E617B8"/>
    <w:rsid w:val="00E61FF3"/>
    <w:rsid w:val="00E639CA"/>
    <w:rsid w:val="00E640C8"/>
    <w:rsid w:val="00E65EC8"/>
    <w:rsid w:val="00E6780B"/>
    <w:rsid w:val="00E713F4"/>
    <w:rsid w:val="00E71518"/>
    <w:rsid w:val="00E726AA"/>
    <w:rsid w:val="00E7290E"/>
    <w:rsid w:val="00E7321F"/>
    <w:rsid w:val="00E7344E"/>
    <w:rsid w:val="00E742FF"/>
    <w:rsid w:val="00E743E2"/>
    <w:rsid w:val="00E74B4B"/>
    <w:rsid w:val="00E76EBC"/>
    <w:rsid w:val="00E8199A"/>
    <w:rsid w:val="00E81C49"/>
    <w:rsid w:val="00E82556"/>
    <w:rsid w:val="00E825CE"/>
    <w:rsid w:val="00E82B59"/>
    <w:rsid w:val="00E82D13"/>
    <w:rsid w:val="00E83413"/>
    <w:rsid w:val="00E846FA"/>
    <w:rsid w:val="00E84F28"/>
    <w:rsid w:val="00E868EA"/>
    <w:rsid w:val="00E906DB"/>
    <w:rsid w:val="00E90C8F"/>
    <w:rsid w:val="00E9220D"/>
    <w:rsid w:val="00E93675"/>
    <w:rsid w:val="00E93D55"/>
    <w:rsid w:val="00E9560A"/>
    <w:rsid w:val="00E96330"/>
    <w:rsid w:val="00E96ACD"/>
    <w:rsid w:val="00E974D4"/>
    <w:rsid w:val="00E97BF5"/>
    <w:rsid w:val="00EA22AD"/>
    <w:rsid w:val="00EA31F7"/>
    <w:rsid w:val="00EA4282"/>
    <w:rsid w:val="00EA4FE3"/>
    <w:rsid w:val="00EA6E09"/>
    <w:rsid w:val="00EA75A4"/>
    <w:rsid w:val="00EA77CA"/>
    <w:rsid w:val="00EB0451"/>
    <w:rsid w:val="00EB053F"/>
    <w:rsid w:val="00EB06C2"/>
    <w:rsid w:val="00EB2ABF"/>
    <w:rsid w:val="00EB41B8"/>
    <w:rsid w:val="00EB4928"/>
    <w:rsid w:val="00EB4E31"/>
    <w:rsid w:val="00EB5131"/>
    <w:rsid w:val="00EB56E7"/>
    <w:rsid w:val="00EB5FCC"/>
    <w:rsid w:val="00EB6B7B"/>
    <w:rsid w:val="00EC07D3"/>
    <w:rsid w:val="00EC19CA"/>
    <w:rsid w:val="00EC1E27"/>
    <w:rsid w:val="00EC2965"/>
    <w:rsid w:val="00EC317A"/>
    <w:rsid w:val="00EC4DF6"/>
    <w:rsid w:val="00EC54EF"/>
    <w:rsid w:val="00EC6DC8"/>
    <w:rsid w:val="00EC6FBB"/>
    <w:rsid w:val="00EC744C"/>
    <w:rsid w:val="00ED0366"/>
    <w:rsid w:val="00ED03C7"/>
    <w:rsid w:val="00ED0B57"/>
    <w:rsid w:val="00ED1C1E"/>
    <w:rsid w:val="00ED20CF"/>
    <w:rsid w:val="00ED276F"/>
    <w:rsid w:val="00ED4C06"/>
    <w:rsid w:val="00ED50A8"/>
    <w:rsid w:val="00ED585E"/>
    <w:rsid w:val="00ED6636"/>
    <w:rsid w:val="00ED7B4B"/>
    <w:rsid w:val="00EE0E01"/>
    <w:rsid w:val="00EE12C4"/>
    <w:rsid w:val="00EE13A9"/>
    <w:rsid w:val="00EE2562"/>
    <w:rsid w:val="00EE2822"/>
    <w:rsid w:val="00EE4D66"/>
    <w:rsid w:val="00EE4FB6"/>
    <w:rsid w:val="00EF1D66"/>
    <w:rsid w:val="00EF3EF7"/>
    <w:rsid w:val="00EF42B6"/>
    <w:rsid w:val="00EF4700"/>
    <w:rsid w:val="00EF60D4"/>
    <w:rsid w:val="00EF7135"/>
    <w:rsid w:val="00F0058D"/>
    <w:rsid w:val="00F00B99"/>
    <w:rsid w:val="00F012D7"/>
    <w:rsid w:val="00F014B9"/>
    <w:rsid w:val="00F02EAD"/>
    <w:rsid w:val="00F05C96"/>
    <w:rsid w:val="00F10016"/>
    <w:rsid w:val="00F10E0D"/>
    <w:rsid w:val="00F11C43"/>
    <w:rsid w:val="00F11F3E"/>
    <w:rsid w:val="00F1218F"/>
    <w:rsid w:val="00F12BEE"/>
    <w:rsid w:val="00F131AC"/>
    <w:rsid w:val="00F13E02"/>
    <w:rsid w:val="00F142A9"/>
    <w:rsid w:val="00F17A8E"/>
    <w:rsid w:val="00F20316"/>
    <w:rsid w:val="00F208BC"/>
    <w:rsid w:val="00F215BD"/>
    <w:rsid w:val="00F217B0"/>
    <w:rsid w:val="00F22D51"/>
    <w:rsid w:val="00F23AE9"/>
    <w:rsid w:val="00F23F77"/>
    <w:rsid w:val="00F2577A"/>
    <w:rsid w:val="00F2676D"/>
    <w:rsid w:val="00F27BF1"/>
    <w:rsid w:val="00F317EE"/>
    <w:rsid w:val="00F32022"/>
    <w:rsid w:val="00F32C78"/>
    <w:rsid w:val="00F32DEA"/>
    <w:rsid w:val="00F33CD1"/>
    <w:rsid w:val="00F34215"/>
    <w:rsid w:val="00F354A8"/>
    <w:rsid w:val="00F35EB1"/>
    <w:rsid w:val="00F3768E"/>
    <w:rsid w:val="00F41B97"/>
    <w:rsid w:val="00F458DB"/>
    <w:rsid w:val="00F45C38"/>
    <w:rsid w:val="00F46376"/>
    <w:rsid w:val="00F5144C"/>
    <w:rsid w:val="00F516A0"/>
    <w:rsid w:val="00F51C97"/>
    <w:rsid w:val="00F52D44"/>
    <w:rsid w:val="00F53194"/>
    <w:rsid w:val="00F53E8A"/>
    <w:rsid w:val="00F54615"/>
    <w:rsid w:val="00F552C2"/>
    <w:rsid w:val="00F56985"/>
    <w:rsid w:val="00F57141"/>
    <w:rsid w:val="00F576C2"/>
    <w:rsid w:val="00F600A2"/>
    <w:rsid w:val="00F607EE"/>
    <w:rsid w:val="00F60BB9"/>
    <w:rsid w:val="00F62227"/>
    <w:rsid w:val="00F633E0"/>
    <w:rsid w:val="00F63518"/>
    <w:rsid w:val="00F65EE4"/>
    <w:rsid w:val="00F700BF"/>
    <w:rsid w:val="00F71B73"/>
    <w:rsid w:val="00F7460A"/>
    <w:rsid w:val="00F74868"/>
    <w:rsid w:val="00F7552E"/>
    <w:rsid w:val="00F77344"/>
    <w:rsid w:val="00F77FB5"/>
    <w:rsid w:val="00F80766"/>
    <w:rsid w:val="00F80886"/>
    <w:rsid w:val="00F84166"/>
    <w:rsid w:val="00F85AA8"/>
    <w:rsid w:val="00F85CF8"/>
    <w:rsid w:val="00F85DF0"/>
    <w:rsid w:val="00F8696D"/>
    <w:rsid w:val="00F86FC6"/>
    <w:rsid w:val="00F90738"/>
    <w:rsid w:val="00F918D4"/>
    <w:rsid w:val="00F91D10"/>
    <w:rsid w:val="00F91F6A"/>
    <w:rsid w:val="00F922C9"/>
    <w:rsid w:val="00F9378B"/>
    <w:rsid w:val="00F9454F"/>
    <w:rsid w:val="00F94B30"/>
    <w:rsid w:val="00F95A46"/>
    <w:rsid w:val="00F96F45"/>
    <w:rsid w:val="00F97085"/>
    <w:rsid w:val="00F97186"/>
    <w:rsid w:val="00F97EA6"/>
    <w:rsid w:val="00FA2347"/>
    <w:rsid w:val="00FA2F37"/>
    <w:rsid w:val="00FA406F"/>
    <w:rsid w:val="00FA42BA"/>
    <w:rsid w:val="00FA64A2"/>
    <w:rsid w:val="00FB0523"/>
    <w:rsid w:val="00FB085C"/>
    <w:rsid w:val="00FB1620"/>
    <w:rsid w:val="00FB1DC5"/>
    <w:rsid w:val="00FB219D"/>
    <w:rsid w:val="00FB3849"/>
    <w:rsid w:val="00FB5474"/>
    <w:rsid w:val="00FB65CB"/>
    <w:rsid w:val="00FB6B67"/>
    <w:rsid w:val="00FC08D4"/>
    <w:rsid w:val="00FC0B0A"/>
    <w:rsid w:val="00FC1032"/>
    <w:rsid w:val="00FC1190"/>
    <w:rsid w:val="00FC2E4D"/>
    <w:rsid w:val="00FC2EAB"/>
    <w:rsid w:val="00FC30D8"/>
    <w:rsid w:val="00FC43CF"/>
    <w:rsid w:val="00FC55CB"/>
    <w:rsid w:val="00FD0054"/>
    <w:rsid w:val="00FD0B93"/>
    <w:rsid w:val="00FD24F6"/>
    <w:rsid w:val="00FD2DD2"/>
    <w:rsid w:val="00FD2F2D"/>
    <w:rsid w:val="00FD3856"/>
    <w:rsid w:val="00FD3EED"/>
    <w:rsid w:val="00FD4301"/>
    <w:rsid w:val="00FD4DDF"/>
    <w:rsid w:val="00FD7722"/>
    <w:rsid w:val="00FE0442"/>
    <w:rsid w:val="00FE1477"/>
    <w:rsid w:val="00FE3FC7"/>
    <w:rsid w:val="00FE434A"/>
    <w:rsid w:val="00FE4756"/>
    <w:rsid w:val="00FE6D6D"/>
    <w:rsid w:val="00FE7C93"/>
    <w:rsid w:val="00FF055A"/>
    <w:rsid w:val="00FF0766"/>
    <w:rsid w:val="00FF2D21"/>
    <w:rsid w:val="00FF516E"/>
    <w:rsid w:val="00FF530F"/>
    <w:rsid w:val="00FF6FE0"/>
    <w:rsid w:val="02CE7C8D"/>
    <w:rsid w:val="0995537A"/>
    <w:rsid w:val="0F4D9813"/>
    <w:rsid w:val="2A97BC9A"/>
    <w:rsid w:val="346D5A1B"/>
    <w:rsid w:val="3BFFCC83"/>
    <w:rsid w:val="58623DE7"/>
    <w:rsid w:val="5B8F8A7E"/>
    <w:rsid w:val="61687CD1"/>
    <w:rsid w:val="78AEE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C73972"/>
  <w15:chartTrackingRefBased/>
  <w15:docId w15:val="{6F8E8E25-6C77-473D-AF1F-C0575DA2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5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4FC2"/>
    <w:pPr>
      <w:autoSpaceDE w:val="0"/>
      <w:autoSpaceDN w:val="0"/>
      <w:adjustRightInd w:val="0"/>
    </w:pPr>
    <w:rPr>
      <w:color w:val="000000"/>
      <w:sz w:val="24"/>
      <w:szCs w:val="24"/>
    </w:rPr>
  </w:style>
  <w:style w:type="paragraph" w:styleId="Footer">
    <w:name w:val="footer"/>
    <w:basedOn w:val="Normal"/>
    <w:link w:val="FooterChar"/>
    <w:uiPriority w:val="99"/>
    <w:rsid w:val="00A24FC2"/>
    <w:pPr>
      <w:tabs>
        <w:tab w:val="center" w:pos="4320"/>
        <w:tab w:val="right" w:pos="8640"/>
      </w:tabs>
    </w:pPr>
  </w:style>
  <w:style w:type="character" w:styleId="PageNumber">
    <w:name w:val="page number"/>
    <w:basedOn w:val="DefaultParagraphFont"/>
    <w:rsid w:val="00A24FC2"/>
  </w:style>
  <w:style w:type="paragraph" w:styleId="FootnoteText">
    <w:name w:val="footnote text"/>
    <w:basedOn w:val="Normal"/>
    <w:link w:val="FootnoteTextChar"/>
    <w:uiPriority w:val="99"/>
    <w:semiHidden/>
    <w:rsid w:val="00A24FC2"/>
    <w:rPr>
      <w:sz w:val="20"/>
      <w:szCs w:val="20"/>
    </w:rPr>
  </w:style>
  <w:style w:type="character" w:styleId="FootnoteReference">
    <w:name w:val="footnote reference"/>
    <w:uiPriority w:val="99"/>
    <w:semiHidden/>
    <w:rsid w:val="00A24FC2"/>
    <w:rPr>
      <w:vertAlign w:val="superscript"/>
    </w:rPr>
  </w:style>
  <w:style w:type="character" w:styleId="Hyperlink">
    <w:name w:val="Hyperlink"/>
    <w:rsid w:val="00617929"/>
    <w:rPr>
      <w:color w:val="0000FF"/>
      <w:u w:val="single"/>
    </w:rPr>
  </w:style>
  <w:style w:type="paragraph" w:styleId="BalloonText">
    <w:name w:val="Balloon Text"/>
    <w:basedOn w:val="Normal"/>
    <w:semiHidden/>
    <w:rsid w:val="003F3C9D"/>
    <w:rPr>
      <w:rFonts w:ascii="Tahoma" w:hAnsi="Tahoma" w:cs="Tahoma"/>
      <w:sz w:val="16"/>
      <w:szCs w:val="16"/>
    </w:rPr>
  </w:style>
  <w:style w:type="character" w:styleId="CommentReference">
    <w:name w:val="annotation reference"/>
    <w:semiHidden/>
    <w:rsid w:val="0021243F"/>
    <w:rPr>
      <w:sz w:val="16"/>
      <w:szCs w:val="16"/>
    </w:rPr>
  </w:style>
  <w:style w:type="paragraph" w:styleId="CommentText">
    <w:name w:val="annotation text"/>
    <w:basedOn w:val="Normal"/>
    <w:link w:val="CommentTextChar"/>
    <w:semiHidden/>
    <w:rsid w:val="0021243F"/>
    <w:rPr>
      <w:sz w:val="20"/>
      <w:szCs w:val="20"/>
    </w:rPr>
  </w:style>
  <w:style w:type="paragraph" w:styleId="CommentSubject">
    <w:name w:val="annotation subject"/>
    <w:basedOn w:val="CommentText"/>
    <w:next w:val="CommentText"/>
    <w:semiHidden/>
    <w:rsid w:val="0021243F"/>
    <w:rPr>
      <w:b/>
      <w:bCs/>
    </w:rPr>
  </w:style>
  <w:style w:type="paragraph" w:styleId="Header">
    <w:name w:val="header"/>
    <w:basedOn w:val="Normal"/>
    <w:link w:val="HeaderChar"/>
    <w:uiPriority w:val="99"/>
    <w:rsid w:val="004F7036"/>
    <w:pPr>
      <w:tabs>
        <w:tab w:val="center" w:pos="4680"/>
        <w:tab w:val="right" w:pos="9360"/>
      </w:tabs>
    </w:pPr>
  </w:style>
  <w:style w:type="character" w:customStyle="1" w:styleId="HeaderChar">
    <w:name w:val="Header Char"/>
    <w:link w:val="Header"/>
    <w:uiPriority w:val="99"/>
    <w:rsid w:val="004F7036"/>
    <w:rPr>
      <w:sz w:val="24"/>
      <w:szCs w:val="24"/>
    </w:rPr>
  </w:style>
  <w:style w:type="paragraph" w:styleId="EndnoteText">
    <w:name w:val="endnote text"/>
    <w:basedOn w:val="Normal"/>
    <w:link w:val="EndnoteTextChar"/>
    <w:rsid w:val="00520FEB"/>
    <w:rPr>
      <w:sz w:val="20"/>
      <w:szCs w:val="20"/>
    </w:rPr>
  </w:style>
  <w:style w:type="character" w:customStyle="1" w:styleId="EndnoteTextChar">
    <w:name w:val="Endnote Text Char"/>
    <w:basedOn w:val="DefaultParagraphFont"/>
    <w:link w:val="EndnoteText"/>
    <w:rsid w:val="00520FEB"/>
  </w:style>
  <w:style w:type="character" w:styleId="EndnoteReference">
    <w:name w:val="endnote reference"/>
    <w:rsid w:val="00520FEB"/>
    <w:rPr>
      <w:vertAlign w:val="superscript"/>
    </w:rPr>
  </w:style>
  <w:style w:type="character" w:customStyle="1" w:styleId="FootnoteTextChar">
    <w:name w:val="Footnote Text Char"/>
    <w:link w:val="FootnoteText"/>
    <w:uiPriority w:val="99"/>
    <w:semiHidden/>
    <w:rsid w:val="001134F1"/>
  </w:style>
  <w:style w:type="paragraph" w:styleId="Revision">
    <w:name w:val="Revision"/>
    <w:hidden/>
    <w:uiPriority w:val="99"/>
    <w:semiHidden/>
    <w:rsid w:val="0044554A"/>
    <w:rPr>
      <w:sz w:val="24"/>
      <w:szCs w:val="24"/>
    </w:rPr>
  </w:style>
  <w:style w:type="paragraph" w:styleId="NoSpacing">
    <w:name w:val="No Spacing"/>
    <w:uiPriority w:val="1"/>
    <w:qFormat/>
    <w:rsid w:val="00D916C3"/>
    <w:rPr>
      <w:rFonts w:ascii="Calibri" w:eastAsia="Calibri" w:hAnsi="Calibri"/>
      <w:sz w:val="22"/>
      <w:szCs w:val="22"/>
    </w:rPr>
  </w:style>
  <w:style w:type="character" w:customStyle="1" w:styleId="FooterChar">
    <w:name w:val="Footer Char"/>
    <w:link w:val="Footer"/>
    <w:uiPriority w:val="99"/>
    <w:rsid w:val="00233E96"/>
    <w:rPr>
      <w:sz w:val="24"/>
      <w:szCs w:val="24"/>
    </w:rPr>
  </w:style>
  <w:style w:type="paragraph" w:styleId="NormalWeb">
    <w:name w:val="Normal (Web)"/>
    <w:basedOn w:val="Normal"/>
    <w:uiPriority w:val="99"/>
    <w:unhideWhenUsed/>
    <w:rsid w:val="0089705A"/>
    <w:rPr>
      <w:rFonts w:eastAsia="Calibri"/>
    </w:rPr>
  </w:style>
  <w:style w:type="character" w:styleId="FollowedHyperlink">
    <w:name w:val="FollowedHyperlink"/>
    <w:rsid w:val="004623A2"/>
    <w:rPr>
      <w:color w:val="800080"/>
      <w:u w:val="single"/>
    </w:rPr>
  </w:style>
  <w:style w:type="table" w:styleId="TableGrid">
    <w:name w:val="Table Grid"/>
    <w:basedOn w:val="TableNormal"/>
    <w:uiPriority w:val="59"/>
    <w:rsid w:val="00AE4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8451CD"/>
  </w:style>
  <w:style w:type="paragraph" w:styleId="ListParagraph">
    <w:name w:val="List Paragraph"/>
    <w:basedOn w:val="Normal"/>
    <w:uiPriority w:val="34"/>
    <w:qFormat/>
    <w:rsid w:val="00AC1C6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3653">
      <w:bodyDiv w:val="1"/>
      <w:marLeft w:val="0"/>
      <w:marRight w:val="0"/>
      <w:marTop w:val="0"/>
      <w:marBottom w:val="0"/>
      <w:divBdr>
        <w:top w:val="none" w:sz="0" w:space="0" w:color="auto"/>
        <w:left w:val="none" w:sz="0" w:space="0" w:color="auto"/>
        <w:bottom w:val="none" w:sz="0" w:space="0" w:color="auto"/>
        <w:right w:val="none" w:sz="0" w:space="0" w:color="auto"/>
      </w:divBdr>
    </w:div>
    <w:div w:id="104081486">
      <w:bodyDiv w:val="1"/>
      <w:marLeft w:val="0"/>
      <w:marRight w:val="0"/>
      <w:marTop w:val="0"/>
      <w:marBottom w:val="0"/>
      <w:divBdr>
        <w:top w:val="none" w:sz="0" w:space="0" w:color="auto"/>
        <w:left w:val="none" w:sz="0" w:space="0" w:color="auto"/>
        <w:bottom w:val="none" w:sz="0" w:space="0" w:color="auto"/>
        <w:right w:val="none" w:sz="0" w:space="0" w:color="auto"/>
      </w:divBdr>
    </w:div>
    <w:div w:id="117527260">
      <w:bodyDiv w:val="1"/>
      <w:marLeft w:val="0"/>
      <w:marRight w:val="0"/>
      <w:marTop w:val="0"/>
      <w:marBottom w:val="0"/>
      <w:divBdr>
        <w:top w:val="none" w:sz="0" w:space="0" w:color="auto"/>
        <w:left w:val="none" w:sz="0" w:space="0" w:color="auto"/>
        <w:bottom w:val="none" w:sz="0" w:space="0" w:color="auto"/>
        <w:right w:val="none" w:sz="0" w:space="0" w:color="auto"/>
      </w:divBdr>
    </w:div>
    <w:div w:id="512912488">
      <w:bodyDiv w:val="1"/>
      <w:marLeft w:val="0"/>
      <w:marRight w:val="0"/>
      <w:marTop w:val="0"/>
      <w:marBottom w:val="0"/>
      <w:divBdr>
        <w:top w:val="none" w:sz="0" w:space="0" w:color="auto"/>
        <w:left w:val="none" w:sz="0" w:space="0" w:color="auto"/>
        <w:bottom w:val="none" w:sz="0" w:space="0" w:color="auto"/>
        <w:right w:val="none" w:sz="0" w:space="0" w:color="auto"/>
      </w:divBdr>
    </w:div>
    <w:div w:id="676536969">
      <w:bodyDiv w:val="1"/>
      <w:marLeft w:val="0"/>
      <w:marRight w:val="0"/>
      <w:marTop w:val="0"/>
      <w:marBottom w:val="0"/>
      <w:divBdr>
        <w:top w:val="none" w:sz="0" w:space="0" w:color="auto"/>
        <w:left w:val="none" w:sz="0" w:space="0" w:color="auto"/>
        <w:bottom w:val="none" w:sz="0" w:space="0" w:color="auto"/>
        <w:right w:val="none" w:sz="0" w:space="0" w:color="auto"/>
      </w:divBdr>
    </w:div>
    <w:div w:id="88502581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1035354074">
      <w:bodyDiv w:val="1"/>
      <w:marLeft w:val="0"/>
      <w:marRight w:val="0"/>
      <w:marTop w:val="0"/>
      <w:marBottom w:val="0"/>
      <w:divBdr>
        <w:top w:val="none" w:sz="0" w:space="0" w:color="auto"/>
        <w:left w:val="none" w:sz="0" w:space="0" w:color="auto"/>
        <w:bottom w:val="none" w:sz="0" w:space="0" w:color="auto"/>
        <w:right w:val="none" w:sz="0" w:space="0" w:color="auto"/>
      </w:divBdr>
    </w:div>
    <w:div w:id="1232539521">
      <w:bodyDiv w:val="1"/>
      <w:marLeft w:val="0"/>
      <w:marRight w:val="0"/>
      <w:marTop w:val="0"/>
      <w:marBottom w:val="0"/>
      <w:divBdr>
        <w:top w:val="none" w:sz="0" w:space="0" w:color="auto"/>
        <w:left w:val="none" w:sz="0" w:space="0" w:color="auto"/>
        <w:bottom w:val="none" w:sz="0" w:space="0" w:color="auto"/>
        <w:right w:val="none" w:sz="0" w:space="0" w:color="auto"/>
      </w:divBdr>
    </w:div>
    <w:div w:id="1363088160">
      <w:bodyDiv w:val="1"/>
      <w:marLeft w:val="0"/>
      <w:marRight w:val="0"/>
      <w:marTop w:val="0"/>
      <w:marBottom w:val="0"/>
      <w:divBdr>
        <w:top w:val="none" w:sz="0" w:space="0" w:color="auto"/>
        <w:left w:val="none" w:sz="0" w:space="0" w:color="auto"/>
        <w:bottom w:val="none" w:sz="0" w:space="0" w:color="auto"/>
        <w:right w:val="none" w:sz="0" w:space="0" w:color="auto"/>
      </w:divBdr>
    </w:div>
    <w:div w:id="1469663924">
      <w:bodyDiv w:val="1"/>
      <w:marLeft w:val="0"/>
      <w:marRight w:val="0"/>
      <w:marTop w:val="0"/>
      <w:marBottom w:val="0"/>
      <w:divBdr>
        <w:top w:val="none" w:sz="0" w:space="0" w:color="auto"/>
        <w:left w:val="none" w:sz="0" w:space="0" w:color="auto"/>
        <w:bottom w:val="none" w:sz="0" w:space="0" w:color="auto"/>
        <w:right w:val="none" w:sz="0" w:space="0" w:color="auto"/>
      </w:divBdr>
    </w:div>
    <w:div w:id="1535312860">
      <w:bodyDiv w:val="1"/>
      <w:marLeft w:val="0"/>
      <w:marRight w:val="0"/>
      <w:marTop w:val="0"/>
      <w:marBottom w:val="0"/>
      <w:divBdr>
        <w:top w:val="none" w:sz="0" w:space="0" w:color="auto"/>
        <w:left w:val="none" w:sz="0" w:space="0" w:color="auto"/>
        <w:bottom w:val="none" w:sz="0" w:space="0" w:color="auto"/>
        <w:right w:val="none" w:sz="0" w:space="0" w:color="auto"/>
      </w:divBdr>
    </w:div>
    <w:div w:id="1708917156">
      <w:bodyDiv w:val="1"/>
      <w:marLeft w:val="0"/>
      <w:marRight w:val="0"/>
      <w:marTop w:val="0"/>
      <w:marBottom w:val="0"/>
      <w:divBdr>
        <w:top w:val="none" w:sz="0" w:space="0" w:color="auto"/>
        <w:left w:val="none" w:sz="0" w:space="0" w:color="auto"/>
        <w:bottom w:val="none" w:sz="0" w:space="0" w:color="auto"/>
        <w:right w:val="none" w:sz="0" w:space="0" w:color="auto"/>
      </w:divBdr>
    </w:div>
    <w:div w:id="18905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archives/ecec_12172020.pdf"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tables.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CFCFC-F5E0-4B15-B1BD-458B75111A86}">
  <ds:schemaRefs>
    <ds:schemaRef ds:uri="http://schemas.microsoft.com/sharepoint/v3/contenttype/forms"/>
  </ds:schemaRefs>
</ds:datastoreItem>
</file>

<file path=customXml/itemProps2.xml><?xml version="1.0" encoding="utf-8"?>
<ds:datastoreItem xmlns:ds="http://schemas.openxmlformats.org/officeDocument/2006/customXml" ds:itemID="{B36BF8B5-43D4-4E12-8208-CDD560CF6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858EF-9B95-40B8-8302-16483B0CF6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E259F8-8A88-49B2-9C9D-D890010AE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4470</Words>
  <Characters>25483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DOL</Company>
  <LinksUpToDate>false</LinksUpToDate>
  <CharactersWithSpaces>29894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OSHA-USER</dc:creator>
  <cp:keywords/>
  <cp:lastModifiedBy>Perryman, Seleda M - OSHA</cp:lastModifiedBy>
  <cp:revision>4</cp:revision>
  <cp:lastPrinted>2018-02-21T16:14:00Z</cp:lastPrinted>
  <dcterms:created xsi:type="dcterms:W3CDTF">2021-04-15T23:31:00Z</dcterms:created>
  <dcterms:modified xsi:type="dcterms:W3CDTF">2021-04-15T23:34:00Z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0x0101000E00F11FDD8BCE42B3E3D299A4BF2C16</vt:lpwstr>
  </property>
</Properties>
</file>