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0A3E" w:rsidR="00FE0A3E" w:rsidP="48F72D2D" w:rsidRDefault="00FE0A3E" w14:paraId="50C83089" w14:textId="722F8F61">
      <w:pPr>
        <w:jc w:val="center"/>
        <w:rPr>
          <w:rFonts w:eastAsia="Calibri"/>
          <w:b/>
          <w:bCs/>
          <w:sz w:val="24"/>
          <w:szCs w:val="24"/>
        </w:rPr>
      </w:pPr>
      <w:r w:rsidRPr="48F72D2D">
        <w:rPr>
          <w:rFonts w:eastAsia="Calibri"/>
          <w:b/>
          <w:bCs/>
          <w:sz w:val="24"/>
          <w:szCs w:val="24"/>
        </w:rPr>
        <w:t>SUPPORTING STATEMENT FOR THE</w:t>
      </w:r>
    </w:p>
    <w:p w:rsidRPr="00FE0A3E" w:rsidR="00FE0A3E" w:rsidP="00FE0A3E" w:rsidRDefault="00FE0A3E" w14:paraId="2AFAC553" w14:textId="77777777">
      <w:pPr>
        <w:jc w:val="center"/>
        <w:rPr>
          <w:rFonts w:eastAsia="Calibri"/>
          <w:b/>
          <w:sz w:val="24"/>
          <w:szCs w:val="24"/>
        </w:rPr>
      </w:pPr>
      <w:r w:rsidRPr="00FE0A3E">
        <w:rPr>
          <w:rFonts w:eastAsia="Calibri"/>
          <w:b/>
          <w:sz w:val="24"/>
          <w:szCs w:val="24"/>
        </w:rPr>
        <w:t>INFORMATION COLLECTION REQUIREMENTS OF THE</w:t>
      </w:r>
    </w:p>
    <w:p w:rsidRPr="00FE0A3E" w:rsidR="00FE0A3E" w:rsidP="00FE0A3E" w:rsidRDefault="00FE0A3E" w14:paraId="7170C004" w14:textId="77777777">
      <w:pPr>
        <w:jc w:val="center"/>
        <w:rPr>
          <w:rFonts w:eastAsia="Calibri"/>
          <w:b/>
          <w:sz w:val="24"/>
          <w:szCs w:val="24"/>
        </w:rPr>
      </w:pPr>
      <w:r w:rsidRPr="00FE0A3E">
        <w:rPr>
          <w:rFonts w:eastAsia="Calibri"/>
          <w:b/>
          <w:sz w:val="24"/>
          <w:szCs w:val="24"/>
        </w:rPr>
        <w:t>FIRE PROTECTION IN SHIPYARD EMPLOYMENT STANDARD</w:t>
      </w:r>
    </w:p>
    <w:p w:rsidRPr="00FE0A3E" w:rsidR="00FE0A3E" w:rsidP="00FE0A3E" w:rsidRDefault="00FE0A3E" w14:paraId="0D834282" w14:textId="77777777">
      <w:pPr>
        <w:jc w:val="center"/>
        <w:rPr>
          <w:rFonts w:eastAsia="Calibri"/>
          <w:b/>
          <w:sz w:val="24"/>
          <w:szCs w:val="24"/>
        </w:rPr>
      </w:pPr>
      <w:r w:rsidRPr="00FE0A3E">
        <w:rPr>
          <w:rFonts w:eastAsia="Calibri"/>
          <w:b/>
          <w:sz w:val="24"/>
          <w:szCs w:val="24"/>
        </w:rPr>
        <w:t xml:space="preserve">(29 CFR </w:t>
      </w:r>
      <w:r w:rsidR="00217474">
        <w:rPr>
          <w:rFonts w:eastAsia="Calibri"/>
          <w:b/>
          <w:sz w:val="24"/>
          <w:szCs w:val="24"/>
        </w:rPr>
        <w:t>PART</w:t>
      </w:r>
      <w:r w:rsidRPr="00FE0A3E" w:rsidR="00217474">
        <w:rPr>
          <w:rFonts w:eastAsia="Calibri"/>
          <w:b/>
          <w:sz w:val="24"/>
          <w:szCs w:val="24"/>
        </w:rPr>
        <w:t xml:space="preserve"> </w:t>
      </w:r>
      <w:r w:rsidRPr="00FE0A3E">
        <w:rPr>
          <w:rFonts w:eastAsia="Calibri"/>
          <w:b/>
          <w:sz w:val="24"/>
          <w:szCs w:val="24"/>
        </w:rPr>
        <w:t xml:space="preserve">1915, </w:t>
      </w:r>
      <w:r w:rsidR="004E685B">
        <w:rPr>
          <w:rFonts w:eastAsia="Calibri"/>
          <w:b/>
          <w:sz w:val="24"/>
          <w:szCs w:val="24"/>
        </w:rPr>
        <w:t>S</w:t>
      </w:r>
      <w:r w:rsidRPr="00FE0A3E">
        <w:rPr>
          <w:rFonts w:eastAsia="Calibri"/>
          <w:b/>
          <w:sz w:val="24"/>
          <w:szCs w:val="24"/>
        </w:rPr>
        <w:t>ubpart P)</w:t>
      </w:r>
      <w:r w:rsidRPr="00FE0A3E">
        <w:rPr>
          <w:rFonts w:eastAsia="Calibri"/>
          <w:b/>
          <w:sz w:val="24"/>
          <w:szCs w:val="24"/>
          <w:vertAlign w:val="superscript"/>
        </w:rPr>
        <w:footnoteReference w:id="1"/>
      </w:r>
    </w:p>
    <w:p w:rsidRPr="00FE0A3E" w:rsidR="00FE0A3E" w:rsidP="00FE0A3E" w:rsidRDefault="00FE0A3E" w14:paraId="7F9B1BD0" w14:textId="77777777">
      <w:pPr>
        <w:jc w:val="center"/>
        <w:rPr>
          <w:rFonts w:eastAsia="Calibri"/>
          <w:b/>
          <w:sz w:val="24"/>
          <w:szCs w:val="24"/>
        </w:rPr>
      </w:pPr>
      <w:r w:rsidRPr="00FE0A3E">
        <w:rPr>
          <w:rFonts w:eastAsia="Calibri"/>
          <w:b/>
          <w:sz w:val="24"/>
          <w:szCs w:val="24"/>
        </w:rPr>
        <w:t>OFFICE OF MANAGEMENT AND BUDGET (OMB)</w:t>
      </w:r>
    </w:p>
    <w:p w:rsidRPr="00FE0A3E" w:rsidR="00FE0A3E" w:rsidP="00FE0A3E" w:rsidRDefault="00FE0A3E" w14:paraId="7C86E94E" w14:textId="75B416BA">
      <w:pPr>
        <w:jc w:val="center"/>
        <w:rPr>
          <w:rFonts w:eastAsia="Calibri"/>
          <w:b/>
          <w:sz w:val="24"/>
          <w:szCs w:val="24"/>
        </w:rPr>
      </w:pPr>
      <w:r w:rsidRPr="00FE0A3E">
        <w:rPr>
          <w:rFonts w:eastAsia="Calibri"/>
          <w:b/>
          <w:sz w:val="24"/>
          <w:szCs w:val="24"/>
        </w:rPr>
        <w:t>CONTROL NO. 1218-0248 (</w:t>
      </w:r>
      <w:r w:rsidR="00964B4B">
        <w:rPr>
          <w:rFonts w:eastAsia="Calibri"/>
          <w:b/>
          <w:sz w:val="24"/>
          <w:szCs w:val="24"/>
        </w:rPr>
        <w:t>November</w:t>
      </w:r>
      <w:r w:rsidR="004C7B94">
        <w:rPr>
          <w:rFonts w:eastAsia="Calibri"/>
          <w:b/>
          <w:sz w:val="24"/>
          <w:szCs w:val="24"/>
        </w:rPr>
        <w:t xml:space="preserve"> 2020</w:t>
      </w:r>
      <w:r w:rsidRPr="00FE0A3E">
        <w:rPr>
          <w:rFonts w:eastAsia="Calibri"/>
          <w:b/>
          <w:sz w:val="24"/>
          <w:szCs w:val="24"/>
        </w:rPr>
        <w:t>)</w:t>
      </w:r>
    </w:p>
    <w:p w:rsidRPr="00FE0A3E" w:rsidR="00FE0A3E" w:rsidP="00FE0A3E" w:rsidRDefault="00FE0A3E" w14:paraId="5EB14128" w14:textId="77777777">
      <w:pPr>
        <w:jc w:val="center"/>
        <w:rPr>
          <w:rFonts w:eastAsia="Calibri"/>
          <w:b/>
          <w:sz w:val="24"/>
          <w:szCs w:val="24"/>
        </w:rPr>
      </w:pPr>
    </w:p>
    <w:p w:rsidRPr="00FE0A3E" w:rsidR="00FE0A3E" w:rsidP="00FE0A3E" w:rsidRDefault="00FE0A3E" w14:paraId="511D840E" w14:textId="77777777">
      <w:pPr>
        <w:jc w:val="center"/>
        <w:rPr>
          <w:rFonts w:eastAsia="Calibri"/>
          <w:b/>
          <w:sz w:val="24"/>
          <w:szCs w:val="24"/>
        </w:rPr>
      </w:pPr>
    </w:p>
    <w:p w:rsidRPr="0061684D" w:rsidR="00092D98" w:rsidP="00FE0A3E" w:rsidRDefault="00092D98" w14:paraId="745FF5D5" w14:textId="77777777">
      <w:pPr>
        <w:rPr>
          <w:bCs/>
          <w:sz w:val="24"/>
          <w:szCs w:val="24"/>
        </w:rPr>
      </w:pPr>
      <w:r w:rsidRPr="0061684D">
        <w:rPr>
          <w:bCs/>
          <w:sz w:val="24"/>
          <w:szCs w:val="24"/>
        </w:rPr>
        <w:t xml:space="preserve">This ICR seeks to extend </w:t>
      </w:r>
      <w:r w:rsidRPr="0061684D" w:rsidR="009A6878">
        <w:rPr>
          <w:bCs/>
          <w:sz w:val="24"/>
          <w:szCs w:val="24"/>
        </w:rPr>
        <w:t>the authorization of the existing collection of information without change</w:t>
      </w:r>
      <w:r w:rsidRPr="0061684D">
        <w:rPr>
          <w:bCs/>
          <w:sz w:val="24"/>
          <w:szCs w:val="24"/>
        </w:rPr>
        <w:t>.</w:t>
      </w:r>
    </w:p>
    <w:p w:rsidR="00092D98" w:rsidP="00FE0A3E" w:rsidRDefault="00092D98" w14:paraId="2066EA09" w14:textId="77777777">
      <w:pPr>
        <w:rPr>
          <w:bCs/>
        </w:rPr>
      </w:pPr>
    </w:p>
    <w:p w:rsidRPr="00FE0A3E" w:rsidR="00FE0A3E" w:rsidP="00FE0A3E" w:rsidRDefault="00FE0A3E" w14:paraId="272D2646" w14:textId="77777777">
      <w:pPr>
        <w:rPr>
          <w:rFonts w:eastAsia="Calibri"/>
          <w:b/>
          <w:sz w:val="24"/>
          <w:szCs w:val="24"/>
        </w:rPr>
      </w:pPr>
      <w:r w:rsidRPr="00FE0A3E">
        <w:rPr>
          <w:rFonts w:eastAsia="Calibri"/>
          <w:b/>
          <w:sz w:val="24"/>
          <w:szCs w:val="24"/>
        </w:rPr>
        <w:t>A.  JUSTIFICATION</w:t>
      </w:r>
    </w:p>
    <w:p w:rsidRPr="00FE0A3E" w:rsidR="00FE0A3E" w:rsidP="00FE0A3E" w:rsidRDefault="00FE0A3E" w14:paraId="0A221E74" w14:textId="77777777">
      <w:pPr>
        <w:rPr>
          <w:rFonts w:eastAsia="Calibri"/>
          <w:b/>
          <w:sz w:val="24"/>
          <w:szCs w:val="24"/>
        </w:rPr>
      </w:pPr>
    </w:p>
    <w:p w:rsidRPr="003C27DC" w:rsidR="00FE0A3E" w:rsidP="00FE0A3E" w:rsidRDefault="00FE0A3E" w14:paraId="59F70581" w14:textId="77777777">
      <w:pPr>
        <w:rPr>
          <w:rFonts w:eastAsia="Calibri"/>
          <w:b/>
          <w:sz w:val="24"/>
          <w:szCs w:val="24"/>
        </w:rPr>
      </w:pPr>
      <w:r w:rsidRPr="003C27DC">
        <w:rPr>
          <w:rFonts w:eastAsia="Calibri"/>
          <w:b/>
          <w:sz w:val="24"/>
          <w:szCs w:val="24"/>
        </w:rPr>
        <w:t>1.  Explain the circumstances that make the collection of information necessary.  Identify any legal or administrative requirements that necessitate the collection.  Attach a copy of the appropriate section of the statute and regulation mandating or authorizing the collection of information.</w:t>
      </w:r>
    </w:p>
    <w:p w:rsidRPr="00FE0A3E" w:rsidR="00FE0A3E" w:rsidP="00FE0A3E" w:rsidRDefault="00FE0A3E" w14:paraId="749B1CFF" w14:textId="77777777">
      <w:pPr>
        <w:rPr>
          <w:rFonts w:eastAsia="Calibri"/>
          <w:b/>
          <w:sz w:val="24"/>
          <w:szCs w:val="24"/>
        </w:rPr>
      </w:pPr>
    </w:p>
    <w:p w:rsidRPr="00FE0A3E" w:rsidR="00FE0A3E" w:rsidP="00FE0A3E" w:rsidRDefault="00FE0A3E" w14:paraId="7DB45B7E" w14:textId="77777777">
      <w:pPr>
        <w:rPr>
          <w:rFonts w:eastAsia="Calibri"/>
          <w:sz w:val="24"/>
          <w:szCs w:val="24"/>
        </w:rPr>
      </w:pPr>
      <w:r w:rsidRPr="00FE0A3E">
        <w:rPr>
          <w:rFonts w:eastAsia="Calibri"/>
          <w:sz w:val="24"/>
          <w:szCs w:val="24"/>
        </w:rPr>
        <w:t xml:space="preserve">The main objective of the Occupational Safety and Health Act of 1970 (the Act) is “to assure so far as possible every working man and woman in the Nation safe and healthful working conditions and to preserve our human resources” (29 U.S.C. 651).  To achieve this objective, the Act </w:t>
      </w:r>
      <w:r w:rsidRPr="00FE0A3E">
        <w:rPr>
          <w:rFonts w:eastAsia="Calibri"/>
          <w:sz w:val="24"/>
          <w:szCs w:val="24"/>
        </w:rPr>
        <w:lastRenderedPageBreak/>
        <w:t>authorizes “the development and promulgation of occupational safety and health standards” (29 U.S.C. 651).</w:t>
      </w:r>
    </w:p>
    <w:p w:rsidRPr="00FE0A3E" w:rsidR="00FE0A3E" w:rsidP="00FE0A3E" w:rsidRDefault="00FE0A3E" w14:paraId="0B26F088" w14:textId="77777777">
      <w:pPr>
        <w:rPr>
          <w:rFonts w:eastAsia="Calibri"/>
          <w:sz w:val="24"/>
          <w:szCs w:val="24"/>
        </w:rPr>
      </w:pPr>
    </w:p>
    <w:p w:rsidRPr="00FE0A3E" w:rsidR="00FE0A3E" w:rsidP="00FE0A3E" w:rsidRDefault="00FE0A3E" w14:paraId="6FE63957" w14:textId="77777777">
      <w:pPr>
        <w:rPr>
          <w:rFonts w:eastAsia="Calibri"/>
          <w:sz w:val="24"/>
          <w:szCs w:val="24"/>
        </w:rPr>
      </w:pPr>
      <w:r w:rsidRPr="00FE0A3E">
        <w:rPr>
          <w:rFonts w:eastAsia="Calibri"/>
          <w:sz w:val="24"/>
          <w:szCs w:val="24"/>
        </w:rPr>
        <w:t xml:space="preserve">Section 6(b)(7) of the Act specifies that [a]ny standard promulgated under this subsection shall prescribe the use of labels or other appropriate forms of warning as are necessary to </w:t>
      </w:r>
      <w:r w:rsidR="002454E1">
        <w:rPr>
          <w:rFonts w:eastAsia="Calibri"/>
          <w:sz w:val="24"/>
          <w:szCs w:val="24"/>
        </w:rPr>
        <w:t>e</w:t>
      </w:r>
      <w:r w:rsidRPr="00FE0A3E">
        <w:rPr>
          <w:rFonts w:eastAsia="Calibri"/>
          <w:sz w:val="24"/>
          <w:szCs w:val="24"/>
        </w:rPr>
        <w:t xml:space="preserve">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w:t>
      </w:r>
      <w:r w:rsidR="00F5644F">
        <w:rPr>
          <w:rFonts w:eastAsia="Calibri"/>
          <w:sz w:val="24"/>
          <w:szCs w:val="24"/>
        </w:rPr>
        <w:t>according</w:t>
      </w:r>
      <w:r w:rsidRPr="00FE0A3E" w:rsidR="00F5644F">
        <w:rPr>
          <w:rFonts w:eastAsia="Calibri"/>
          <w:sz w:val="24"/>
          <w:szCs w:val="24"/>
        </w:rPr>
        <w:t xml:space="preserve"> </w:t>
      </w:r>
      <w:r w:rsidRPr="00FE0A3E">
        <w:rPr>
          <w:rFonts w:eastAsia="Calibri"/>
          <w:sz w:val="24"/>
          <w:szCs w:val="24"/>
        </w:rPr>
        <w:t xml:space="preserve">to section 553 of title 5, United States Code, make appropriate modifications in the foregoing requirements relating to the use of labels or other forms of warning . . . as may be warranted by experience, information, or medical or technological developments acquired </w:t>
      </w:r>
      <w:r w:rsidR="00F5644F">
        <w:rPr>
          <w:rFonts w:eastAsia="Calibri"/>
          <w:sz w:val="24"/>
          <w:szCs w:val="24"/>
        </w:rPr>
        <w:t>after</w:t>
      </w:r>
      <w:r w:rsidRPr="00FE0A3E">
        <w:rPr>
          <w:rFonts w:eastAsia="Calibri"/>
          <w:sz w:val="24"/>
          <w:szCs w:val="24"/>
        </w:rPr>
        <w:t xml:space="preserve"> the promulgation of the relevant standard” (29 U.S.C. 655).</w:t>
      </w:r>
    </w:p>
    <w:p w:rsidRPr="00FE0A3E" w:rsidR="00FE0A3E" w:rsidP="00FE0A3E" w:rsidRDefault="00FE0A3E" w14:paraId="6E32B7B0" w14:textId="77777777">
      <w:pPr>
        <w:rPr>
          <w:rFonts w:eastAsia="Calibri"/>
          <w:sz w:val="24"/>
          <w:szCs w:val="24"/>
        </w:rPr>
      </w:pPr>
    </w:p>
    <w:p w:rsidRPr="00FE0A3E" w:rsidR="00FE0A3E" w:rsidP="00FE0A3E" w:rsidRDefault="00F5644F" w14:paraId="2ABDC929" w14:textId="77777777">
      <w:pPr>
        <w:rPr>
          <w:rFonts w:eastAsia="Calibri"/>
          <w:sz w:val="24"/>
          <w:szCs w:val="24"/>
        </w:rPr>
      </w:pPr>
      <w:r>
        <w:rPr>
          <w:rFonts w:eastAsia="Calibri"/>
          <w:sz w:val="24"/>
          <w:szCs w:val="24"/>
        </w:rPr>
        <w:t>About</w:t>
      </w:r>
      <w:r w:rsidRPr="00FE0A3E" w:rsidR="00FE0A3E">
        <w:rPr>
          <w:rFonts w:eastAsia="Calibri"/>
          <w:sz w:val="24"/>
          <w:szCs w:val="24"/>
        </w:rPr>
        <w:t xml:space="preserve">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 . . prescribe such rules and regulations as [he/she] may deem necessary to carry out [his/her] responsibilities under this Act, including rules and regulations dealing with the inspection of an employer’s establishment” (29 U.S.C. 657).</w:t>
      </w:r>
    </w:p>
    <w:p w:rsidRPr="00FE0A3E" w:rsidR="00FE0A3E" w:rsidP="00FE0A3E" w:rsidRDefault="00FE0A3E" w14:paraId="4DDAE4DD" w14:textId="77777777">
      <w:pPr>
        <w:rPr>
          <w:rFonts w:eastAsia="Calibri"/>
          <w:sz w:val="24"/>
          <w:szCs w:val="24"/>
        </w:rPr>
      </w:pPr>
    </w:p>
    <w:p w:rsidRPr="00FE0A3E" w:rsidR="00FE0A3E" w:rsidP="00FE0A3E" w:rsidRDefault="00FE0A3E" w14:paraId="618ACA40" w14:textId="40FA5B96">
      <w:pPr>
        <w:rPr>
          <w:rFonts w:eastAsia="Calibri"/>
          <w:sz w:val="24"/>
          <w:szCs w:val="24"/>
        </w:rPr>
      </w:pPr>
      <w:r w:rsidRPr="00FE0A3E">
        <w:rPr>
          <w:rFonts w:eastAsia="Calibri"/>
          <w:sz w:val="24"/>
          <w:szCs w:val="24"/>
        </w:rPr>
        <w:lastRenderedPageBreak/>
        <w:t>Therefore, under the authority granted by the Act, the Occupational Safety and Health Administration (“OSHA” or “the Agency”) published at 29 CFR part 1915, a standard on Fire Protection in Shipyard Employment (69 FR 55667).  Th</w:t>
      </w:r>
      <w:r w:rsidR="00D67E01">
        <w:rPr>
          <w:rFonts w:eastAsia="Calibri"/>
          <w:sz w:val="24"/>
          <w:szCs w:val="24"/>
        </w:rPr>
        <w:t>is</w:t>
      </w:r>
      <w:r w:rsidRPr="00FE0A3E">
        <w:rPr>
          <w:rFonts w:eastAsia="Calibri"/>
          <w:sz w:val="24"/>
          <w:szCs w:val="24"/>
        </w:rPr>
        <w:t xml:space="preserve"> </w:t>
      </w:r>
      <w:r w:rsidR="003F11D9">
        <w:rPr>
          <w:rFonts w:eastAsia="Calibri"/>
          <w:sz w:val="24"/>
          <w:szCs w:val="24"/>
        </w:rPr>
        <w:t>S</w:t>
      </w:r>
      <w:r w:rsidRPr="00FE0A3E">
        <w:rPr>
          <w:rFonts w:eastAsia="Calibri"/>
          <w:sz w:val="24"/>
          <w:szCs w:val="24"/>
        </w:rPr>
        <w:t>tandard addresses method</w:t>
      </w:r>
      <w:r w:rsidR="000D6DAC">
        <w:rPr>
          <w:rFonts w:eastAsia="Calibri"/>
          <w:sz w:val="24"/>
          <w:szCs w:val="24"/>
        </w:rPr>
        <w:t>s</w:t>
      </w:r>
      <w:r w:rsidRPr="00FE0A3E">
        <w:rPr>
          <w:rFonts w:eastAsia="Calibri"/>
          <w:sz w:val="24"/>
          <w:szCs w:val="24"/>
        </w:rPr>
        <w:t xml:space="preserve"> of protecting </w:t>
      </w:r>
      <w:r w:rsidR="00B97D5E">
        <w:rPr>
          <w:rFonts w:eastAsia="Calibri"/>
          <w:sz w:val="24"/>
          <w:szCs w:val="24"/>
        </w:rPr>
        <w:t>employee</w:t>
      </w:r>
      <w:r w:rsidRPr="00FE0A3E">
        <w:rPr>
          <w:rFonts w:eastAsia="Calibri"/>
          <w:sz w:val="24"/>
          <w:szCs w:val="24"/>
        </w:rPr>
        <w:t xml:space="preserve">s in shipyards from fire hazards.  </w:t>
      </w:r>
    </w:p>
    <w:p w:rsidRPr="00FE0A3E" w:rsidR="00FE0A3E" w:rsidP="00FE0A3E" w:rsidRDefault="00FE0A3E" w14:paraId="247DDC88" w14:textId="77777777">
      <w:pPr>
        <w:rPr>
          <w:rFonts w:eastAsia="Calibri"/>
          <w:sz w:val="24"/>
          <w:szCs w:val="24"/>
        </w:rPr>
      </w:pPr>
    </w:p>
    <w:p w:rsidRPr="003C27DC" w:rsidR="00FE0A3E" w:rsidP="00FE0A3E" w:rsidRDefault="00FE0A3E" w14:paraId="0B821ABC" w14:textId="77777777">
      <w:pPr>
        <w:rPr>
          <w:rFonts w:eastAsia="Calibri"/>
          <w:b/>
          <w:sz w:val="24"/>
          <w:szCs w:val="24"/>
        </w:rPr>
      </w:pPr>
      <w:r w:rsidRPr="003C27DC">
        <w:rPr>
          <w:rFonts w:eastAsia="Calibri"/>
          <w:b/>
          <w:sz w:val="24"/>
          <w:szCs w:val="24"/>
        </w:rPr>
        <w:t>2.  Indicate how, by whom, and for what purpose the information is to be used.  Except for a new collection, indicate the actual use the Agency has made of the information received from the current collection</w:t>
      </w:r>
    </w:p>
    <w:p w:rsidRPr="00FE0A3E" w:rsidR="00FE0A3E" w:rsidP="00FE0A3E" w:rsidRDefault="00FE0A3E" w14:paraId="19486329" w14:textId="77777777">
      <w:pPr>
        <w:rPr>
          <w:rFonts w:eastAsia="Calibri"/>
          <w:b/>
          <w:sz w:val="24"/>
          <w:szCs w:val="24"/>
        </w:rPr>
      </w:pPr>
    </w:p>
    <w:p w:rsidRPr="00FE0A3E" w:rsidR="00FE0A3E" w:rsidP="00FE0A3E" w:rsidRDefault="00FE0A3E" w14:paraId="0910CC9A" w14:textId="77777777">
      <w:pPr>
        <w:rPr>
          <w:rFonts w:eastAsia="Calibri"/>
          <w:sz w:val="24"/>
          <w:szCs w:val="24"/>
        </w:rPr>
      </w:pPr>
      <w:r w:rsidRPr="00FE0A3E">
        <w:rPr>
          <w:rFonts w:eastAsia="Calibri"/>
          <w:sz w:val="24"/>
          <w:szCs w:val="24"/>
        </w:rPr>
        <w:t xml:space="preserve">The Standard specifies </w:t>
      </w:r>
      <w:r w:rsidR="00F5644F">
        <w:rPr>
          <w:rFonts w:eastAsia="Calibri"/>
          <w:sz w:val="24"/>
          <w:szCs w:val="24"/>
        </w:rPr>
        <w:t>the</w:t>
      </w:r>
      <w:r w:rsidRPr="00FE0A3E" w:rsidR="00F5644F">
        <w:rPr>
          <w:rFonts w:eastAsia="Calibri"/>
          <w:sz w:val="24"/>
          <w:szCs w:val="24"/>
        </w:rPr>
        <w:t xml:space="preserve"> </w:t>
      </w:r>
      <w:r w:rsidRPr="00FE0A3E">
        <w:rPr>
          <w:rFonts w:eastAsia="Calibri"/>
          <w:sz w:val="24"/>
          <w:szCs w:val="24"/>
        </w:rPr>
        <w:t xml:space="preserve">number of collections of information (paperwork) requirements.  Each provision is described in detail below.  In general, the Standard requires employers to develop a written fire safety plan and written statements or policies that contain information about fire watches and fire response duties and responsibilities.  The Standard also requires the employer to obtain medical exams for certain </w:t>
      </w:r>
      <w:r w:rsidR="00B97D5E">
        <w:rPr>
          <w:rFonts w:eastAsia="Calibri"/>
          <w:sz w:val="24"/>
          <w:szCs w:val="24"/>
        </w:rPr>
        <w:t>employee</w:t>
      </w:r>
      <w:r w:rsidRPr="00FE0A3E">
        <w:rPr>
          <w:rFonts w:eastAsia="Calibri"/>
          <w:sz w:val="24"/>
          <w:szCs w:val="24"/>
        </w:rPr>
        <w:t>s and to develop training programs</w:t>
      </w:r>
      <w:r w:rsidR="00CB6B49">
        <w:rPr>
          <w:rFonts w:eastAsia="Calibri"/>
          <w:sz w:val="24"/>
          <w:szCs w:val="24"/>
        </w:rPr>
        <w:t xml:space="preserve"> for </w:t>
      </w:r>
      <w:r w:rsidR="00F5644F">
        <w:rPr>
          <w:rFonts w:eastAsia="Calibri"/>
          <w:sz w:val="24"/>
          <w:szCs w:val="24"/>
        </w:rPr>
        <w:t xml:space="preserve">a </w:t>
      </w:r>
      <w:r w:rsidR="00B97D5E">
        <w:rPr>
          <w:rFonts w:eastAsia="Calibri"/>
          <w:sz w:val="24"/>
          <w:szCs w:val="24"/>
        </w:rPr>
        <w:t>employee</w:t>
      </w:r>
      <w:r w:rsidR="00CB6B49">
        <w:rPr>
          <w:rFonts w:eastAsia="Calibri"/>
          <w:sz w:val="24"/>
          <w:szCs w:val="24"/>
        </w:rPr>
        <w:t xml:space="preserve"> who are </w:t>
      </w:r>
      <w:r w:rsidRPr="00FE0A3E">
        <w:rPr>
          <w:rFonts w:eastAsia="Calibri"/>
          <w:sz w:val="24"/>
          <w:szCs w:val="24"/>
        </w:rPr>
        <w:t xml:space="preserve">exposed to fire hazards.  The Standard also requires employers to create and maintain records to certify that </w:t>
      </w:r>
      <w:r w:rsidR="00B97D5E">
        <w:rPr>
          <w:rFonts w:eastAsia="Calibri"/>
          <w:sz w:val="24"/>
          <w:szCs w:val="24"/>
        </w:rPr>
        <w:t>employee</w:t>
      </w:r>
      <w:r w:rsidR="00CB6B49">
        <w:rPr>
          <w:rFonts w:eastAsia="Calibri"/>
          <w:sz w:val="24"/>
          <w:szCs w:val="24"/>
        </w:rPr>
        <w:t>s</w:t>
      </w:r>
      <w:r w:rsidRPr="00FE0A3E">
        <w:rPr>
          <w:rFonts w:eastAsia="Calibri"/>
          <w:sz w:val="24"/>
          <w:szCs w:val="24"/>
        </w:rPr>
        <w:t xml:space="preserve"> have been made aware of the details of the fire safety plan and the </w:t>
      </w:r>
      <w:r w:rsidR="00B97D5E">
        <w:rPr>
          <w:rFonts w:eastAsia="Calibri"/>
          <w:sz w:val="24"/>
          <w:szCs w:val="24"/>
        </w:rPr>
        <w:t>employee</w:t>
      </w:r>
      <w:r w:rsidR="00CB6B49">
        <w:rPr>
          <w:rFonts w:eastAsia="Calibri"/>
          <w:sz w:val="24"/>
          <w:szCs w:val="24"/>
        </w:rPr>
        <w:t>s</w:t>
      </w:r>
      <w:r w:rsidRPr="00FE0A3E">
        <w:rPr>
          <w:rFonts w:eastAsia="Calibri"/>
          <w:sz w:val="24"/>
          <w:szCs w:val="24"/>
        </w:rPr>
        <w:t xml:space="preserve"> trained as required by the Standard.</w:t>
      </w:r>
    </w:p>
    <w:p w:rsidRPr="00FE0A3E" w:rsidR="00FE0A3E" w:rsidP="00FE0A3E" w:rsidRDefault="00FE0A3E" w14:paraId="6485E5F7" w14:textId="77777777">
      <w:pPr>
        <w:rPr>
          <w:rFonts w:eastAsia="Calibri"/>
          <w:sz w:val="24"/>
          <w:szCs w:val="24"/>
        </w:rPr>
      </w:pPr>
    </w:p>
    <w:p w:rsidRPr="00FE0A3E" w:rsidR="00FE0A3E" w:rsidP="00FE0A3E" w:rsidRDefault="00FE0A3E" w14:paraId="7FD43381"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1915.501 – General Provisions.</w:t>
      </w:r>
    </w:p>
    <w:p w:rsidRPr="00FE0A3E" w:rsidR="00FE0A3E" w:rsidP="00FE0A3E" w:rsidRDefault="00FE0A3E" w14:paraId="0AC8E8F5" w14:textId="77777777">
      <w:pPr>
        <w:rPr>
          <w:rFonts w:eastAsia="Calibri"/>
          <w:b/>
          <w:sz w:val="24"/>
          <w:szCs w:val="24"/>
        </w:rPr>
      </w:pPr>
    </w:p>
    <w:p w:rsidRPr="00FE0A3E" w:rsidR="00FE0A3E" w:rsidP="00FE0A3E" w:rsidRDefault="00FE0A3E" w14:paraId="589DB3AD" w14:textId="77777777">
      <w:pPr>
        <w:rPr>
          <w:rFonts w:eastAsia="Calibri"/>
          <w:sz w:val="24"/>
          <w:szCs w:val="24"/>
        </w:rPr>
      </w:pPr>
      <w:r w:rsidRPr="00FE0A3E">
        <w:rPr>
          <w:rFonts w:eastAsia="Calibri"/>
          <w:sz w:val="24"/>
          <w:szCs w:val="24"/>
        </w:rPr>
        <w:t>Paragraph (d)(1)(i) of this section requires the host employer on multi-employer worksites to inform all employers (contract employers) at the worksite about the content of the host employer’s fire safety plan.</w:t>
      </w:r>
    </w:p>
    <w:p w:rsidRPr="00FE0A3E" w:rsidR="00FE0A3E" w:rsidP="00FE0A3E" w:rsidRDefault="00FE0A3E" w14:paraId="3502E84A" w14:textId="77777777">
      <w:pPr>
        <w:rPr>
          <w:rFonts w:eastAsia="Calibri"/>
          <w:sz w:val="24"/>
          <w:szCs w:val="24"/>
        </w:rPr>
      </w:pPr>
    </w:p>
    <w:p w:rsidRPr="00FE0A3E" w:rsidR="00FE0A3E" w:rsidP="00FE0A3E" w:rsidRDefault="00FE0A3E" w14:paraId="4B961CB3" w14:textId="77777777">
      <w:pPr>
        <w:rPr>
          <w:rFonts w:eastAsia="Calibri"/>
          <w:sz w:val="24"/>
          <w:szCs w:val="24"/>
        </w:rPr>
      </w:pPr>
      <w:r w:rsidRPr="00FE0A3E">
        <w:rPr>
          <w:rFonts w:eastAsia="Calibri"/>
          <w:sz w:val="24"/>
          <w:szCs w:val="24"/>
        </w:rPr>
        <w:lastRenderedPageBreak/>
        <w:t xml:space="preserve">Paragraph (d)(2)(i) of this section requires that contract employers make sure the host employer is aware of fire-related hazards associate with the contract work and how the contract employer will address those hazards.  </w:t>
      </w:r>
      <w:r w:rsidR="00F5644F">
        <w:rPr>
          <w:rFonts w:eastAsia="Calibri"/>
          <w:sz w:val="24"/>
          <w:szCs w:val="24"/>
        </w:rPr>
        <w:t>Also</w:t>
      </w:r>
      <w:r w:rsidRPr="00FE0A3E">
        <w:rPr>
          <w:rFonts w:eastAsia="Calibri"/>
          <w:sz w:val="24"/>
          <w:szCs w:val="24"/>
        </w:rPr>
        <w:t xml:space="preserve">, paragraph (d)(2)(ii) requires the contract employer to identify hazards that arise during work that </w:t>
      </w:r>
      <w:r w:rsidRPr="00FE0A3E" w:rsidR="00F5644F">
        <w:rPr>
          <w:rFonts w:eastAsia="Calibri"/>
          <w:sz w:val="24"/>
          <w:szCs w:val="24"/>
        </w:rPr>
        <w:t>w</w:t>
      </w:r>
      <w:r w:rsidR="00F5644F">
        <w:rPr>
          <w:rFonts w:eastAsia="Calibri"/>
          <w:sz w:val="24"/>
          <w:szCs w:val="24"/>
        </w:rPr>
        <w:t>as</w:t>
      </w:r>
      <w:r w:rsidRPr="00FE0A3E" w:rsidR="00F5644F">
        <w:rPr>
          <w:rFonts w:eastAsia="Calibri"/>
          <w:sz w:val="24"/>
          <w:szCs w:val="24"/>
        </w:rPr>
        <w:t xml:space="preserve"> </w:t>
      </w:r>
      <w:r w:rsidRPr="00FE0A3E">
        <w:rPr>
          <w:rFonts w:eastAsia="Calibri"/>
          <w:sz w:val="24"/>
          <w:szCs w:val="24"/>
        </w:rPr>
        <w:t>not identified as part of the information transfer required by paragraph (d)(2)(i) described above.</w:t>
      </w:r>
    </w:p>
    <w:p w:rsidRPr="00FE0A3E" w:rsidR="00FE0A3E" w:rsidP="00FE0A3E" w:rsidRDefault="00FE0A3E" w14:paraId="58D7D33F" w14:textId="77777777">
      <w:pPr>
        <w:rPr>
          <w:rFonts w:eastAsia="Calibri"/>
          <w:sz w:val="24"/>
          <w:szCs w:val="24"/>
        </w:rPr>
      </w:pPr>
    </w:p>
    <w:p w:rsidRPr="00FE0A3E" w:rsidR="00FE0A3E" w:rsidP="00FE0A3E" w:rsidRDefault="00FE0A3E" w14:paraId="6ACFF804"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1915.502 – Fire Safety Plan.</w:t>
      </w:r>
    </w:p>
    <w:p w:rsidRPr="00FE0A3E" w:rsidR="00FE0A3E" w:rsidP="00FE0A3E" w:rsidRDefault="00FE0A3E" w14:paraId="476AB361" w14:textId="77777777">
      <w:pPr>
        <w:rPr>
          <w:rFonts w:eastAsia="Calibri"/>
          <w:b/>
          <w:sz w:val="24"/>
          <w:szCs w:val="24"/>
        </w:rPr>
      </w:pPr>
    </w:p>
    <w:p w:rsidRPr="00FE0A3E" w:rsidR="00FE0A3E" w:rsidP="00FE0A3E" w:rsidRDefault="00FE0A3E" w14:paraId="637068E0" w14:textId="77777777">
      <w:pPr>
        <w:rPr>
          <w:rFonts w:eastAsia="Calibri"/>
          <w:sz w:val="24"/>
          <w:szCs w:val="24"/>
        </w:rPr>
      </w:pPr>
      <w:r w:rsidRPr="00FE0A3E">
        <w:rPr>
          <w:rFonts w:eastAsia="Calibri"/>
          <w:sz w:val="24"/>
          <w:szCs w:val="24"/>
        </w:rPr>
        <w:t xml:space="preserve">Paragraph (a) of this section requires the employer to develop a written fire safety </w:t>
      </w:r>
      <w:r w:rsidR="009128EE">
        <w:rPr>
          <w:rFonts w:eastAsia="Calibri"/>
          <w:sz w:val="24"/>
          <w:szCs w:val="24"/>
        </w:rPr>
        <w:t>plan</w:t>
      </w:r>
      <w:r w:rsidRPr="00FE0A3E">
        <w:rPr>
          <w:rFonts w:eastAsia="Calibri"/>
          <w:sz w:val="24"/>
          <w:szCs w:val="24"/>
        </w:rPr>
        <w:t xml:space="preserve"> covering the elements listed in paragraph (b), including the following information:</w:t>
      </w:r>
    </w:p>
    <w:p w:rsidRPr="00FE0A3E" w:rsidR="00FE0A3E" w:rsidP="00FE0A3E" w:rsidRDefault="00FE0A3E" w14:paraId="6A745501" w14:textId="77777777">
      <w:pPr>
        <w:rPr>
          <w:rFonts w:eastAsia="Calibri"/>
          <w:sz w:val="24"/>
          <w:szCs w:val="24"/>
        </w:rPr>
      </w:pPr>
    </w:p>
    <w:p w:rsidRPr="00FE0A3E" w:rsidR="00FE0A3E" w:rsidP="00FE0A3E" w:rsidRDefault="00FE0A3E" w14:paraId="0BEDFC54" w14:textId="77777777">
      <w:pPr>
        <w:numPr>
          <w:ilvl w:val="0"/>
          <w:numId w:val="3"/>
        </w:numPr>
        <w:spacing w:after="200" w:line="276" w:lineRule="auto"/>
        <w:contextualSpacing/>
        <w:rPr>
          <w:rFonts w:eastAsia="Calibri"/>
          <w:sz w:val="24"/>
          <w:szCs w:val="24"/>
        </w:rPr>
      </w:pPr>
      <w:r w:rsidRPr="00FE0A3E">
        <w:rPr>
          <w:rFonts w:eastAsia="Calibri"/>
          <w:sz w:val="24"/>
          <w:szCs w:val="24"/>
        </w:rPr>
        <w:t>The identification of the significant potential fire risk hazard;</w:t>
      </w:r>
    </w:p>
    <w:p w:rsidRPr="00FE0A3E" w:rsidR="00FE0A3E" w:rsidP="00FE0A3E" w:rsidRDefault="00FE0A3E" w14:paraId="43F5EABF" w14:textId="77777777">
      <w:pPr>
        <w:numPr>
          <w:ilvl w:val="0"/>
          <w:numId w:val="3"/>
        </w:numPr>
        <w:spacing w:after="200" w:line="276" w:lineRule="auto"/>
        <w:contextualSpacing/>
        <w:rPr>
          <w:rFonts w:eastAsia="Calibri"/>
          <w:sz w:val="24"/>
          <w:szCs w:val="24"/>
        </w:rPr>
      </w:pPr>
      <w:r w:rsidRPr="00FE0A3E">
        <w:rPr>
          <w:rFonts w:eastAsia="Calibri"/>
          <w:sz w:val="24"/>
          <w:szCs w:val="24"/>
        </w:rPr>
        <w:t>Procedures for recognizing and reporting unsafe conditions;</w:t>
      </w:r>
    </w:p>
    <w:p w:rsidRPr="00FE0A3E" w:rsidR="00FE0A3E" w:rsidP="00FE0A3E" w:rsidRDefault="00FE0A3E" w14:paraId="4C3B7F1F" w14:textId="77777777">
      <w:pPr>
        <w:numPr>
          <w:ilvl w:val="0"/>
          <w:numId w:val="3"/>
        </w:numPr>
        <w:spacing w:after="200" w:line="276" w:lineRule="auto"/>
        <w:contextualSpacing/>
        <w:rPr>
          <w:rFonts w:eastAsia="Calibri"/>
          <w:sz w:val="24"/>
          <w:szCs w:val="24"/>
        </w:rPr>
      </w:pPr>
      <w:r w:rsidRPr="00FE0A3E">
        <w:rPr>
          <w:rFonts w:eastAsia="Calibri"/>
          <w:sz w:val="24"/>
          <w:szCs w:val="24"/>
        </w:rPr>
        <w:t>Alarm procedures;</w:t>
      </w:r>
    </w:p>
    <w:p w:rsidRPr="00FE0A3E" w:rsidR="00FE0A3E" w:rsidP="00FE0A3E" w:rsidRDefault="00FE0A3E" w14:paraId="2188AB05" w14:textId="77777777">
      <w:pPr>
        <w:numPr>
          <w:ilvl w:val="0"/>
          <w:numId w:val="3"/>
        </w:numPr>
        <w:spacing w:after="200" w:line="276" w:lineRule="auto"/>
        <w:contextualSpacing/>
        <w:rPr>
          <w:rFonts w:eastAsia="Calibri"/>
          <w:sz w:val="24"/>
          <w:szCs w:val="24"/>
        </w:rPr>
      </w:pPr>
      <w:r w:rsidRPr="00FE0A3E">
        <w:rPr>
          <w:rFonts w:eastAsia="Calibri"/>
          <w:sz w:val="24"/>
          <w:szCs w:val="24"/>
        </w:rPr>
        <w:t>Procedures for notifying employees of a fire emergency;</w:t>
      </w:r>
    </w:p>
    <w:p w:rsidRPr="00FE0A3E" w:rsidR="00FE0A3E" w:rsidP="00FE0A3E" w:rsidRDefault="00FE0A3E" w14:paraId="1315A1BB" w14:textId="77777777">
      <w:pPr>
        <w:numPr>
          <w:ilvl w:val="0"/>
          <w:numId w:val="3"/>
        </w:numPr>
        <w:spacing w:after="200" w:line="276" w:lineRule="auto"/>
        <w:contextualSpacing/>
        <w:rPr>
          <w:rFonts w:eastAsia="Calibri"/>
          <w:sz w:val="24"/>
          <w:szCs w:val="24"/>
        </w:rPr>
      </w:pPr>
      <w:r w:rsidRPr="00FE0A3E">
        <w:rPr>
          <w:rFonts w:eastAsia="Calibri"/>
          <w:sz w:val="24"/>
          <w:szCs w:val="24"/>
        </w:rPr>
        <w:t xml:space="preserve">Procedures for notifying fire response organizations of a fire emergency; </w:t>
      </w:r>
    </w:p>
    <w:p w:rsidRPr="00FE0A3E" w:rsidR="00FE0A3E" w:rsidP="00FE0A3E" w:rsidRDefault="00FE0A3E" w14:paraId="3FEA3E47" w14:textId="77777777">
      <w:pPr>
        <w:numPr>
          <w:ilvl w:val="0"/>
          <w:numId w:val="3"/>
        </w:numPr>
        <w:spacing w:after="200" w:line="276" w:lineRule="auto"/>
        <w:contextualSpacing/>
        <w:rPr>
          <w:rFonts w:eastAsia="Calibri"/>
          <w:sz w:val="24"/>
          <w:szCs w:val="24"/>
        </w:rPr>
      </w:pPr>
      <w:r w:rsidRPr="00FE0A3E">
        <w:rPr>
          <w:rFonts w:eastAsia="Calibri"/>
          <w:sz w:val="24"/>
          <w:szCs w:val="24"/>
        </w:rPr>
        <w:t xml:space="preserve">Procedures for evacuation; </w:t>
      </w:r>
    </w:p>
    <w:p w:rsidRPr="00FE0A3E" w:rsidR="00FE0A3E" w:rsidP="00FE0A3E" w:rsidRDefault="00FE0A3E" w14:paraId="1863FE3D" w14:textId="77777777">
      <w:pPr>
        <w:numPr>
          <w:ilvl w:val="0"/>
          <w:numId w:val="3"/>
        </w:numPr>
        <w:spacing w:after="200" w:line="276" w:lineRule="auto"/>
        <w:contextualSpacing/>
        <w:rPr>
          <w:rFonts w:eastAsia="Calibri"/>
          <w:sz w:val="24"/>
          <w:szCs w:val="24"/>
        </w:rPr>
      </w:pPr>
      <w:r w:rsidRPr="00FE0A3E">
        <w:rPr>
          <w:rFonts w:eastAsia="Calibri"/>
          <w:sz w:val="24"/>
          <w:szCs w:val="24"/>
        </w:rPr>
        <w:t xml:space="preserve">Procedures to account for all employees after an evacuation; and </w:t>
      </w:r>
    </w:p>
    <w:p w:rsidRPr="00FE0A3E" w:rsidR="00FE0A3E" w:rsidP="00FE0A3E" w:rsidRDefault="00FE0A3E" w14:paraId="4F1D38D6" w14:textId="77777777">
      <w:pPr>
        <w:numPr>
          <w:ilvl w:val="0"/>
          <w:numId w:val="3"/>
        </w:numPr>
        <w:spacing w:after="200" w:line="276" w:lineRule="auto"/>
        <w:contextualSpacing/>
        <w:rPr>
          <w:rFonts w:eastAsia="Calibri"/>
          <w:sz w:val="24"/>
          <w:szCs w:val="24"/>
        </w:rPr>
      </w:pPr>
      <w:r w:rsidRPr="00FE0A3E">
        <w:rPr>
          <w:rFonts w:eastAsia="Calibri"/>
          <w:sz w:val="24"/>
          <w:szCs w:val="24"/>
        </w:rPr>
        <w:t>Names, job titles, or departments for individuals who can be contacted for further information about the plan.</w:t>
      </w:r>
    </w:p>
    <w:p w:rsidRPr="00FE0A3E" w:rsidR="00FE0A3E" w:rsidP="00FE0A3E" w:rsidRDefault="00FE0A3E" w14:paraId="2F1A38F1" w14:textId="77777777">
      <w:pPr>
        <w:rPr>
          <w:rFonts w:eastAsia="Calibri"/>
          <w:sz w:val="24"/>
          <w:szCs w:val="24"/>
        </w:rPr>
      </w:pPr>
    </w:p>
    <w:p w:rsidRPr="00FE0A3E" w:rsidR="00FE0A3E" w:rsidP="00FE0A3E" w:rsidRDefault="00FE0A3E" w14:paraId="1C074F2B" w14:textId="77777777">
      <w:pPr>
        <w:rPr>
          <w:rFonts w:eastAsia="Calibri"/>
          <w:sz w:val="24"/>
          <w:szCs w:val="24"/>
        </w:rPr>
      </w:pPr>
      <w:r w:rsidRPr="00FE0A3E">
        <w:rPr>
          <w:rFonts w:eastAsia="Calibri"/>
          <w:sz w:val="24"/>
          <w:szCs w:val="24"/>
        </w:rPr>
        <w:t>Paragraph (c) requires the employer to review the fire safety plan with each affected employee at the following times:</w:t>
      </w:r>
    </w:p>
    <w:p w:rsidRPr="00FE0A3E" w:rsidR="00FE0A3E" w:rsidP="00FE0A3E" w:rsidRDefault="00FE0A3E" w14:paraId="5F74E163" w14:textId="77777777">
      <w:pPr>
        <w:rPr>
          <w:rFonts w:eastAsia="Calibri"/>
          <w:sz w:val="24"/>
          <w:szCs w:val="24"/>
        </w:rPr>
      </w:pPr>
    </w:p>
    <w:p w:rsidRPr="00FE0A3E" w:rsidR="00FE0A3E" w:rsidP="00FE0A3E" w:rsidRDefault="00FE0A3E" w14:paraId="21F778B8" w14:textId="77777777">
      <w:pPr>
        <w:numPr>
          <w:ilvl w:val="0"/>
          <w:numId w:val="4"/>
        </w:numPr>
        <w:spacing w:after="200" w:line="276" w:lineRule="auto"/>
        <w:contextualSpacing/>
        <w:rPr>
          <w:rFonts w:eastAsia="Calibri"/>
          <w:sz w:val="24"/>
          <w:szCs w:val="24"/>
        </w:rPr>
      </w:pPr>
      <w:r w:rsidRPr="00FE0A3E">
        <w:rPr>
          <w:rFonts w:eastAsia="Calibri"/>
          <w:sz w:val="24"/>
          <w:szCs w:val="24"/>
        </w:rPr>
        <w:t>Within 90 days of the effective date of the standard;</w:t>
      </w:r>
    </w:p>
    <w:p w:rsidRPr="00FE0A3E" w:rsidR="00FE0A3E" w:rsidP="00FE0A3E" w:rsidRDefault="00FE0A3E" w14:paraId="2DDEF7F2" w14:textId="77777777">
      <w:pPr>
        <w:numPr>
          <w:ilvl w:val="0"/>
          <w:numId w:val="4"/>
        </w:numPr>
        <w:spacing w:after="200" w:line="276" w:lineRule="auto"/>
        <w:contextualSpacing/>
        <w:rPr>
          <w:rFonts w:eastAsia="Calibri"/>
          <w:sz w:val="24"/>
          <w:szCs w:val="24"/>
        </w:rPr>
      </w:pPr>
      <w:r w:rsidRPr="00FE0A3E">
        <w:rPr>
          <w:rFonts w:eastAsia="Calibri"/>
          <w:sz w:val="24"/>
          <w:szCs w:val="24"/>
        </w:rPr>
        <w:t xml:space="preserve">Upon initial assignment for new employees; and </w:t>
      </w:r>
    </w:p>
    <w:p w:rsidRPr="00FE0A3E" w:rsidR="00FE0A3E" w:rsidP="00FE0A3E" w:rsidRDefault="00FE0A3E" w14:paraId="5DDAD53B" w14:textId="77777777">
      <w:pPr>
        <w:numPr>
          <w:ilvl w:val="0"/>
          <w:numId w:val="4"/>
        </w:numPr>
        <w:spacing w:after="200" w:line="276" w:lineRule="auto"/>
        <w:contextualSpacing/>
        <w:rPr>
          <w:rFonts w:eastAsia="Calibri"/>
          <w:sz w:val="24"/>
          <w:szCs w:val="24"/>
        </w:rPr>
      </w:pPr>
      <w:r w:rsidRPr="00FE0A3E">
        <w:rPr>
          <w:rFonts w:eastAsia="Calibri"/>
          <w:sz w:val="24"/>
          <w:szCs w:val="24"/>
        </w:rPr>
        <w:t>When there is a change in the plan or a change of the employee’s duties.</w:t>
      </w:r>
    </w:p>
    <w:p w:rsidRPr="00FE0A3E" w:rsidR="00FE0A3E" w:rsidP="00FE0A3E" w:rsidRDefault="00FE0A3E" w14:paraId="2F331BDD" w14:textId="77777777">
      <w:pPr>
        <w:rPr>
          <w:rFonts w:eastAsia="Calibri"/>
          <w:sz w:val="24"/>
          <w:szCs w:val="24"/>
        </w:rPr>
      </w:pPr>
    </w:p>
    <w:p w:rsidRPr="00FE0A3E" w:rsidR="00FE0A3E" w:rsidP="00FE0A3E" w:rsidRDefault="00FE0A3E" w14:paraId="56C0C88C" w14:textId="77777777">
      <w:pPr>
        <w:rPr>
          <w:rFonts w:eastAsia="Calibri"/>
          <w:sz w:val="24"/>
          <w:szCs w:val="24"/>
        </w:rPr>
      </w:pPr>
      <w:r w:rsidRPr="00FE0A3E">
        <w:rPr>
          <w:rFonts w:eastAsia="Calibri"/>
          <w:sz w:val="24"/>
          <w:szCs w:val="24"/>
        </w:rPr>
        <w:t>Paragraph (d) requires that the employer:</w:t>
      </w:r>
    </w:p>
    <w:p w:rsidRPr="00FE0A3E" w:rsidR="00FE0A3E" w:rsidP="00FE0A3E" w:rsidRDefault="00FE0A3E" w14:paraId="3CDA85D7" w14:textId="77777777">
      <w:pPr>
        <w:rPr>
          <w:rFonts w:eastAsia="Calibri"/>
          <w:sz w:val="24"/>
          <w:szCs w:val="24"/>
        </w:rPr>
      </w:pPr>
    </w:p>
    <w:p w:rsidRPr="00FE0A3E" w:rsidR="00FE0A3E" w:rsidP="00FE0A3E" w:rsidRDefault="00FE0A3E" w14:paraId="264D60EC" w14:textId="77777777">
      <w:pPr>
        <w:numPr>
          <w:ilvl w:val="0"/>
          <w:numId w:val="5"/>
        </w:numPr>
        <w:spacing w:after="200" w:line="276" w:lineRule="auto"/>
        <w:contextualSpacing/>
        <w:rPr>
          <w:rFonts w:eastAsia="Calibri"/>
          <w:sz w:val="24"/>
          <w:szCs w:val="24"/>
        </w:rPr>
      </w:pPr>
      <w:r w:rsidRPr="00FE0A3E">
        <w:rPr>
          <w:rFonts w:eastAsia="Calibri"/>
          <w:sz w:val="24"/>
          <w:szCs w:val="24"/>
        </w:rPr>
        <w:t>Keep the fire safety plan accessible to employees, employee representatives, and OSHA;</w:t>
      </w:r>
    </w:p>
    <w:p w:rsidRPr="00FE0A3E" w:rsidR="00FE0A3E" w:rsidP="00FE0A3E" w:rsidRDefault="009D601B" w14:paraId="018C1315" w14:textId="77777777">
      <w:pPr>
        <w:numPr>
          <w:ilvl w:val="0"/>
          <w:numId w:val="5"/>
        </w:numPr>
        <w:spacing w:after="200" w:line="276" w:lineRule="auto"/>
        <w:contextualSpacing/>
        <w:rPr>
          <w:rFonts w:eastAsia="Calibri"/>
          <w:sz w:val="24"/>
          <w:szCs w:val="24"/>
        </w:rPr>
      </w:pPr>
      <w:r>
        <w:rPr>
          <w:rFonts w:eastAsia="Calibri"/>
          <w:sz w:val="24"/>
          <w:szCs w:val="24"/>
        </w:rPr>
        <w:t>Review and u</w:t>
      </w:r>
      <w:r w:rsidRPr="00FE0A3E">
        <w:rPr>
          <w:rFonts w:eastAsia="Calibri"/>
          <w:sz w:val="24"/>
          <w:szCs w:val="24"/>
        </w:rPr>
        <w:t xml:space="preserve">pdate the plan </w:t>
      </w:r>
      <w:r>
        <w:rPr>
          <w:rFonts w:eastAsia="Calibri"/>
          <w:sz w:val="24"/>
          <w:szCs w:val="24"/>
        </w:rPr>
        <w:t xml:space="preserve">at least annually, and </w:t>
      </w:r>
      <w:r w:rsidRPr="00FE0A3E">
        <w:rPr>
          <w:rFonts w:eastAsia="Calibri"/>
          <w:sz w:val="24"/>
          <w:szCs w:val="24"/>
        </w:rPr>
        <w:t>when necessary</w:t>
      </w:r>
      <w:r w:rsidRPr="00FE0A3E" w:rsidR="00FE0A3E">
        <w:rPr>
          <w:rFonts w:eastAsia="Calibri"/>
          <w:sz w:val="24"/>
          <w:szCs w:val="24"/>
        </w:rPr>
        <w:t>;</w:t>
      </w:r>
    </w:p>
    <w:p w:rsidRPr="00FE0A3E" w:rsidR="00FE0A3E" w:rsidP="00FE0A3E" w:rsidRDefault="00FE0A3E" w14:paraId="75C4BBD5" w14:textId="77777777">
      <w:pPr>
        <w:numPr>
          <w:ilvl w:val="0"/>
          <w:numId w:val="5"/>
        </w:numPr>
        <w:spacing w:after="200" w:line="276" w:lineRule="auto"/>
        <w:contextualSpacing/>
        <w:rPr>
          <w:rFonts w:eastAsia="Calibri"/>
          <w:sz w:val="24"/>
          <w:szCs w:val="24"/>
        </w:rPr>
      </w:pPr>
      <w:r w:rsidRPr="00FE0A3E">
        <w:rPr>
          <w:rFonts w:eastAsia="Calibri"/>
          <w:sz w:val="24"/>
          <w:szCs w:val="24"/>
        </w:rPr>
        <w:t>Document that each affected employee was informed about the plan; and</w:t>
      </w:r>
    </w:p>
    <w:p w:rsidR="00D52B2D" w:rsidP="00F50672" w:rsidRDefault="00FE0A3E" w14:paraId="1766C4DB" w14:textId="77777777">
      <w:pPr>
        <w:numPr>
          <w:ilvl w:val="0"/>
          <w:numId w:val="5"/>
        </w:numPr>
        <w:spacing w:after="200" w:line="276" w:lineRule="auto"/>
        <w:contextualSpacing/>
        <w:rPr>
          <w:rFonts w:eastAsia="Calibri"/>
          <w:sz w:val="24"/>
          <w:szCs w:val="24"/>
        </w:rPr>
      </w:pPr>
      <w:r w:rsidRPr="00FE0A3E">
        <w:rPr>
          <w:rFonts w:eastAsia="Calibri"/>
          <w:sz w:val="24"/>
          <w:szCs w:val="24"/>
        </w:rPr>
        <w:t xml:space="preserve">Ensure that a copy of the </w:t>
      </w:r>
      <w:r w:rsidR="009D601B">
        <w:rPr>
          <w:rFonts w:eastAsia="Calibri"/>
          <w:sz w:val="24"/>
          <w:szCs w:val="24"/>
        </w:rPr>
        <w:t xml:space="preserve">current fire safety </w:t>
      </w:r>
      <w:r w:rsidRPr="00FE0A3E">
        <w:rPr>
          <w:rFonts w:eastAsia="Calibri"/>
          <w:sz w:val="24"/>
          <w:szCs w:val="24"/>
        </w:rPr>
        <w:t>plan is given to outside fire response organizations that may respond to fires at the employer’s worksite.</w:t>
      </w:r>
    </w:p>
    <w:p w:rsidR="00D52B2D" w:rsidP="00F50672" w:rsidRDefault="00D52B2D" w14:paraId="5C9AC8EB" w14:textId="77777777">
      <w:pPr>
        <w:spacing w:after="200" w:line="276" w:lineRule="auto"/>
        <w:contextualSpacing/>
        <w:rPr>
          <w:rFonts w:eastAsia="Calibri"/>
          <w:sz w:val="24"/>
          <w:szCs w:val="24"/>
        </w:rPr>
      </w:pPr>
    </w:p>
    <w:p w:rsidR="00AC3A83" w:rsidP="00AC3A83" w:rsidRDefault="00AC3A83" w14:paraId="391AC486" w14:textId="77777777">
      <w:pPr>
        <w:rPr>
          <w:rFonts w:eastAsia="Calibri"/>
          <w:sz w:val="24"/>
          <w:szCs w:val="24"/>
        </w:rPr>
      </w:pPr>
      <w:r>
        <w:rPr>
          <w:rFonts w:eastAsia="Calibri"/>
          <w:sz w:val="24"/>
          <w:szCs w:val="24"/>
        </w:rPr>
        <w:t>Paragraph (e) stipulates that contract employers must have a fire safety plan for contract employees that complies with the host employer’s fire saf</w:t>
      </w:r>
      <w:r w:rsidR="00DE5484">
        <w:rPr>
          <w:rFonts w:eastAsia="Calibri"/>
          <w:sz w:val="24"/>
          <w:szCs w:val="24"/>
        </w:rPr>
        <w:t>e</w:t>
      </w:r>
      <w:r>
        <w:rPr>
          <w:rFonts w:eastAsia="Calibri"/>
          <w:sz w:val="24"/>
          <w:szCs w:val="24"/>
        </w:rPr>
        <w:t>ty plan.</w:t>
      </w:r>
    </w:p>
    <w:p w:rsidRPr="00FE0A3E" w:rsidR="00FE0A3E" w:rsidP="00FE0A3E" w:rsidRDefault="00FE0A3E" w14:paraId="2F5F4BC4" w14:textId="77777777">
      <w:pPr>
        <w:rPr>
          <w:rFonts w:eastAsia="Calibri"/>
          <w:sz w:val="24"/>
          <w:szCs w:val="24"/>
        </w:rPr>
      </w:pPr>
    </w:p>
    <w:p w:rsidRPr="00FE0A3E" w:rsidR="00FE0A3E" w:rsidP="00FE0A3E" w:rsidRDefault="00FE0A3E" w14:paraId="75EA5845" w14:textId="77777777">
      <w:pPr>
        <w:numPr>
          <w:ilvl w:val="0"/>
          <w:numId w:val="2"/>
        </w:numPr>
        <w:spacing w:after="200" w:line="276" w:lineRule="auto"/>
        <w:contextualSpacing/>
        <w:rPr>
          <w:rFonts w:eastAsia="Calibri"/>
          <w:b/>
          <w:sz w:val="24"/>
          <w:szCs w:val="24"/>
        </w:rPr>
      </w:pPr>
      <w:r w:rsidRPr="00FE0A3E">
        <w:rPr>
          <w:rFonts w:eastAsia="Calibri"/>
          <w:b/>
          <w:sz w:val="24"/>
          <w:szCs w:val="24"/>
        </w:rPr>
        <w:t xml:space="preserve">1915.504 – Fire Watches. </w:t>
      </w:r>
    </w:p>
    <w:p w:rsidRPr="00FE0A3E" w:rsidR="00FE0A3E" w:rsidP="00FE0A3E" w:rsidRDefault="00FE0A3E" w14:paraId="3A494681" w14:textId="77777777">
      <w:pPr>
        <w:rPr>
          <w:rFonts w:eastAsia="Calibri"/>
          <w:b/>
          <w:sz w:val="24"/>
          <w:szCs w:val="24"/>
        </w:rPr>
      </w:pPr>
    </w:p>
    <w:p w:rsidRPr="00FE0A3E" w:rsidR="00FE0A3E" w:rsidP="00FE0A3E" w:rsidRDefault="00FE0A3E" w14:paraId="28228B05" w14:textId="77777777">
      <w:pPr>
        <w:rPr>
          <w:rFonts w:eastAsia="Calibri"/>
          <w:sz w:val="24"/>
          <w:szCs w:val="24"/>
        </w:rPr>
      </w:pPr>
      <w:r w:rsidRPr="00FE0A3E">
        <w:rPr>
          <w:rFonts w:eastAsia="Calibri"/>
          <w:sz w:val="24"/>
          <w:szCs w:val="24"/>
        </w:rPr>
        <w:t>Paragraph (a) requires employer</w:t>
      </w:r>
      <w:r w:rsidR="009D601B">
        <w:rPr>
          <w:rFonts w:eastAsia="Calibri"/>
          <w:sz w:val="24"/>
          <w:szCs w:val="24"/>
        </w:rPr>
        <w:t>s</w:t>
      </w:r>
      <w:r w:rsidRPr="00FE0A3E">
        <w:rPr>
          <w:rFonts w:eastAsia="Calibri"/>
          <w:sz w:val="24"/>
          <w:szCs w:val="24"/>
        </w:rPr>
        <w:t xml:space="preserve"> to create and keep current a written policy specifying the following information:</w:t>
      </w:r>
    </w:p>
    <w:p w:rsidRPr="00FE0A3E" w:rsidR="00FE0A3E" w:rsidP="00FE0A3E" w:rsidRDefault="00FE0A3E" w14:paraId="503C1595" w14:textId="77777777">
      <w:pPr>
        <w:rPr>
          <w:rFonts w:eastAsia="Calibri"/>
          <w:sz w:val="24"/>
          <w:szCs w:val="24"/>
        </w:rPr>
      </w:pPr>
    </w:p>
    <w:p w:rsidRPr="00FE0A3E" w:rsidR="00FE0A3E" w:rsidP="00FE0A3E" w:rsidRDefault="00FE0A3E" w14:paraId="2C14DC02" w14:textId="77777777">
      <w:pPr>
        <w:numPr>
          <w:ilvl w:val="0"/>
          <w:numId w:val="6"/>
        </w:numPr>
        <w:spacing w:after="200" w:line="276" w:lineRule="auto"/>
        <w:contextualSpacing/>
        <w:rPr>
          <w:rFonts w:eastAsia="Calibri"/>
          <w:sz w:val="24"/>
          <w:szCs w:val="24"/>
        </w:rPr>
      </w:pPr>
      <w:r w:rsidRPr="00FE0A3E">
        <w:rPr>
          <w:rFonts w:eastAsia="Calibri"/>
          <w:sz w:val="24"/>
          <w:szCs w:val="24"/>
        </w:rPr>
        <w:lastRenderedPageBreak/>
        <w:t>The training that employees must be given;</w:t>
      </w:r>
    </w:p>
    <w:p w:rsidRPr="00FE0A3E" w:rsidR="00FE0A3E" w:rsidP="00FE0A3E" w:rsidRDefault="00FE0A3E" w14:paraId="3748FB44" w14:textId="77777777">
      <w:pPr>
        <w:numPr>
          <w:ilvl w:val="0"/>
          <w:numId w:val="6"/>
        </w:numPr>
        <w:spacing w:after="200" w:line="276" w:lineRule="auto"/>
        <w:contextualSpacing/>
        <w:rPr>
          <w:rFonts w:eastAsia="Calibri"/>
          <w:sz w:val="24"/>
          <w:szCs w:val="24"/>
        </w:rPr>
      </w:pPr>
      <w:r w:rsidRPr="00FE0A3E">
        <w:rPr>
          <w:rFonts w:eastAsia="Calibri"/>
          <w:sz w:val="24"/>
          <w:szCs w:val="24"/>
        </w:rPr>
        <w:t>The duties that employees are to perform;</w:t>
      </w:r>
    </w:p>
    <w:p w:rsidRPr="00FE0A3E" w:rsidR="00FE0A3E" w:rsidP="00FE0A3E" w:rsidRDefault="00FE0A3E" w14:paraId="05DC1E92" w14:textId="77777777">
      <w:pPr>
        <w:numPr>
          <w:ilvl w:val="0"/>
          <w:numId w:val="6"/>
        </w:numPr>
        <w:spacing w:after="200" w:line="276" w:lineRule="auto"/>
        <w:contextualSpacing/>
        <w:rPr>
          <w:rFonts w:eastAsia="Calibri"/>
          <w:sz w:val="24"/>
          <w:szCs w:val="24"/>
        </w:rPr>
      </w:pPr>
      <w:r w:rsidRPr="00FE0A3E">
        <w:rPr>
          <w:rFonts w:eastAsia="Calibri"/>
          <w:sz w:val="24"/>
          <w:szCs w:val="24"/>
        </w:rPr>
        <w:t xml:space="preserve">The equipment that employees must be given; and </w:t>
      </w:r>
    </w:p>
    <w:p w:rsidRPr="00FE0A3E" w:rsidR="00FE0A3E" w:rsidP="00FE0A3E" w:rsidRDefault="00FE0A3E" w14:paraId="688D89B9" w14:textId="77777777">
      <w:pPr>
        <w:numPr>
          <w:ilvl w:val="0"/>
          <w:numId w:val="6"/>
        </w:numPr>
        <w:spacing w:after="200" w:line="276" w:lineRule="auto"/>
        <w:contextualSpacing/>
        <w:rPr>
          <w:rFonts w:eastAsia="Calibri"/>
          <w:sz w:val="24"/>
          <w:szCs w:val="24"/>
        </w:rPr>
      </w:pPr>
      <w:r w:rsidRPr="00FE0A3E">
        <w:rPr>
          <w:rFonts w:eastAsia="Calibri"/>
          <w:sz w:val="24"/>
          <w:szCs w:val="24"/>
        </w:rPr>
        <w:t>The personal protective equipment (PPE) that employe</w:t>
      </w:r>
      <w:r w:rsidR="00AC3A83">
        <w:rPr>
          <w:rFonts w:eastAsia="Calibri"/>
          <w:sz w:val="24"/>
          <w:szCs w:val="24"/>
        </w:rPr>
        <w:t>rs</w:t>
      </w:r>
      <w:r w:rsidRPr="00FE0A3E">
        <w:rPr>
          <w:rFonts w:eastAsia="Calibri"/>
          <w:sz w:val="24"/>
          <w:szCs w:val="24"/>
        </w:rPr>
        <w:t xml:space="preserve"> must </w:t>
      </w:r>
      <w:r w:rsidR="00AC3A83">
        <w:rPr>
          <w:rFonts w:eastAsia="Calibri"/>
          <w:sz w:val="24"/>
          <w:szCs w:val="24"/>
        </w:rPr>
        <w:t xml:space="preserve">supply employees with </w:t>
      </w:r>
      <w:r w:rsidRPr="00FE0A3E">
        <w:rPr>
          <w:rFonts w:eastAsia="Calibri"/>
          <w:sz w:val="24"/>
          <w:szCs w:val="24"/>
        </w:rPr>
        <w:t>as required in 29 CFR 1915, subpart I, Personal Protective Equipment.</w:t>
      </w:r>
    </w:p>
    <w:p w:rsidRPr="00FE0A3E" w:rsidR="00FE0A3E" w:rsidP="00FE0A3E" w:rsidRDefault="00FE0A3E" w14:paraId="18E97160" w14:textId="77777777">
      <w:pPr>
        <w:rPr>
          <w:rFonts w:eastAsia="Calibri"/>
          <w:sz w:val="24"/>
          <w:szCs w:val="24"/>
        </w:rPr>
      </w:pPr>
    </w:p>
    <w:p w:rsidRPr="00FE0A3E" w:rsidR="00FE0A3E" w:rsidP="00FE0A3E" w:rsidRDefault="00FE0A3E" w14:paraId="4EAF2A52"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1915.505 – Fire Response.</w:t>
      </w:r>
    </w:p>
    <w:p w:rsidRPr="00FE0A3E" w:rsidR="00FE0A3E" w:rsidP="00FE0A3E" w:rsidRDefault="00FE0A3E" w14:paraId="30F75957" w14:textId="77777777">
      <w:pPr>
        <w:rPr>
          <w:rFonts w:eastAsia="Calibri"/>
          <w:b/>
          <w:sz w:val="24"/>
          <w:szCs w:val="24"/>
        </w:rPr>
      </w:pPr>
    </w:p>
    <w:p w:rsidRPr="00FE0A3E" w:rsidR="00FE0A3E" w:rsidP="00FE0A3E" w:rsidRDefault="00FE0A3E" w14:paraId="1C2B385F" w14:textId="77777777">
      <w:pPr>
        <w:rPr>
          <w:rFonts w:eastAsia="Calibri"/>
          <w:sz w:val="24"/>
          <w:szCs w:val="24"/>
        </w:rPr>
      </w:pPr>
      <w:r w:rsidRPr="00FE0A3E">
        <w:rPr>
          <w:rFonts w:eastAsia="Calibri"/>
          <w:sz w:val="24"/>
          <w:szCs w:val="24"/>
        </w:rPr>
        <w:t xml:space="preserve">Paragraph (a)(2)(i) requires employers to create, maintain, and update a </w:t>
      </w:r>
      <w:r w:rsidRPr="00FE0A3E" w:rsidR="00F50672">
        <w:rPr>
          <w:rFonts w:eastAsia="Calibri"/>
          <w:sz w:val="24"/>
          <w:szCs w:val="24"/>
        </w:rPr>
        <w:t>written policy</w:t>
      </w:r>
      <w:r w:rsidRPr="00FE0A3E">
        <w:rPr>
          <w:rFonts w:eastAsia="Calibri"/>
          <w:sz w:val="24"/>
          <w:szCs w:val="24"/>
        </w:rPr>
        <w:t xml:space="preserve"> that describes the internal and outside fire response organizations that the employer will use.</w:t>
      </w:r>
    </w:p>
    <w:p w:rsidRPr="00FE0A3E" w:rsidR="00FE0A3E" w:rsidP="00FE0A3E" w:rsidRDefault="00FE0A3E" w14:paraId="411E5F37" w14:textId="77777777">
      <w:pPr>
        <w:rPr>
          <w:rFonts w:eastAsia="Calibri"/>
          <w:sz w:val="24"/>
          <w:szCs w:val="24"/>
        </w:rPr>
      </w:pPr>
    </w:p>
    <w:p w:rsidRPr="00FE0A3E" w:rsidR="00FE0A3E" w:rsidP="00FE0A3E" w:rsidRDefault="00FE0A3E" w14:paraId="45379E7E" w14:textId="77777777">
      <w:pPr>
        <w:rPr>
          <w:rFonts w:eastAsia="Calibri"/>
          <w:sz w:val="24"/>
          <w:szCs w:val="24"/>
        </w:rPr>
      </w:pPr>
      <w:r w:rsidRPr="00FE0A3E">
        <w:rPr>
          <w:rFonts w:eastAsia="Calibri"/>
          <w:sz w:val="24"/>
          <w:szCs w:val="24"/>
        </w:rPr>
        <w:t xml:space="preserve">Paragraph (a)(2)(ii) requires employers to create, maintain, and update a written policy that defines the evacuation procedures </w:t>
      </w:r>
      <w:r w:rsidR="00B97D5E">
        <w:rPr>
          <w:rFonts w:eastAsia="Calibri"/>
          <w:sz w:val="24"/>
          <w:szCs w:val="24"/>
        </w:rPr>
        <w:t>employee</w:t>
      </w:r>
      <w:r w:rsidRPr="00FE0A3E">
        <w:rPr>
          <w:rFonts w:eastAsia="Calibri"/>
          <w:sz w:val="24"/>
          <w:szCs w:val="24"/>
        </w:rPr>
        <w:t xml:space="preserve">s must follow if the employer chooses to require a total or partial evacuation of the worksite at the time of a fire.  </w:t>
      </w:r>
    </w:p>
    <w:p w:rsidRPr="00FE0A3E" w:rsidR="00FE0A3E" w:rsidP="00FE0A3E" w:rsidRDefault="00FE0A3E" w14:paraId="01C815A1" w14:textId="77777777">
      <w:pPr>
        <w:rPr>
          <w:rFonts w:eastAsia="Calibri"/>
          <w:sz w:val="24"/>
          <w:szCs w:val="24"/>
        </w:rPr>
      </w:pPr>
    </w:p>
    <w:p w:rsidRPr="00FE0A3E" w:rsidR="00FE0A3E" w:rsidP="00FE0A3E" w:rsidRDefault="00FE0A3E" w14:paraId="73F26A65" w14:textId="77777777">
      <w:pPr>
        <w:rPr>
          <w:rFonts w:eastAsia="Calibri"/>
          <w:sz w:val="24"/>
          <w:szCs w:val="24"/>
        </w:rPr>
      </w:pPr>
      <w:r w:rsidRPr="00FE0A3E">
        <w:rPr>
          <w:rFonts w:eastAsia="Calibri"/>
          <w:sz w:val="24"/>
          <w:szCs w:val="24"/>
        </w:rPr>
        <w:t xml:space="preserve">Paragraph (b)(1) lists the information </w:t>
      </w:r>
      <w:r w:rsidR="00AC3A83">
        <w:rPr>
          <w:rFonts w:eastAsia="Calibri"/>
          <w:sz w:val="24"/>
          <w:szCs w:val="24"/>
        </w:rPr>
        <w:t>that must</w:t>
      </w:r>
      <w:r w:rsidRPr="00FE0A3E">
        <w:rPr>
          <w:rFonts w:eastAsia="Calibri"/>
          <w:sz w:val="24"/>
          <w:szCs w:val="24"/>
        </w:rPr>
        <w:t xml:space="preserve"> be included in the statement or policy if </w:t>
      </w:r>
      <w:r w:rsidR="00F5644F">
        <w:rPr>
          <w:rFonts w:eastAsia="Calibri"/>
          <w:sz w:val="24"/>
          <w:szCs w:val="24"/>
        </w:rPr>
        <w:t xml:space="preserve">an </w:t>
      </w:r>
      <w:r w:rsidRPr="00FE0A3E">
        <w:rPr>
          <w:rFonts w:eastAsia="Calibri"/>
          <w:sz w:val="24"/>
          <w:szCs w:val="24"/>
        </w:rPr>
        <w:t>internal fire response is to be used.  The information includes the following:</w:t>
      </w:r>
    </w:p>
    <w:p w:rsidRPr="00FE0A3E" w:rsidR="00FE0A3E" w:rsidP="00FE0A3E" w:rsidRDefault="00FE0A3E" w14:paraId="35E8ABA4" w14:textId="77777777">
      <w:pPr>
        <w:rPr>
          <w:rFonts w:eastAsia="Calibri"/>
          <w:sz w:val="24"/>
          <w:szCs w:val="24"/>
        </w:rPr>
      </w:pPr>
    </w:p>
    <w:p w:rsidRPr="00FE0A3E" w:rsidR="00FE0A3E" w:rsidP="000A31BB" w:rsidRDefault="00FE0A3E" w14:paraId="3A0D823A" w14:textId="77777777">
      <w:pPr>
        <w:numPr>
          <w:ilvl w:val="0"/>
          <w:numId w:val="7"/>
        </w:numPr>
        <w:contextualSpacing/>
        <w:rPr>
          <w:rFonts w:eastAsia="Calibri"/>
          <w:sz w:val="24"/>
          <w:szCs w:val="24"/>
        </w:rPr>
      </w:pPr>
      <w:r w:rsidRPr="00FE0A3E">
        <w:rPr>
          <w:rFonts w:eastAsia="Calibri"/>
          <w:sz w:val="24"/>
          <w:szCs w:val="24"/>
        </w:rPr>
        <w:t>The basic structure of the fire response organization;</w:t>
      </w:r>
    </w:p>
    <w:p w:rsidRPr="00FE0A3E" w:rsidR="00FE0A3E" w:rsidP="00FE0A3E" w:rsidRDefault="00FE0A3E" w14:paraId="3349C822" w14:textId="77777777">
      <w:pPr>
        <w:numPr>
          <w:ilvl w:val="0"/>
          <w:numId w:val="7"/>
        </w:numPr>
        <w:spacing w:after="200" w:line="276" w:lineRule="auto"/>
        <w:contextualSpacing/>
        <w:rPr>
          <w:rFonts w:eastAsia="Calibri"/>
          <w:sz w:val="24"/>
          <w:szCs w:val="24"/>
        </w:rPr>
      </w:pPr>
      <w:r w:rsidRPr="00FE0A3E">
        <w:rPr>
          <w:rFonts w:eastAsia="Calibri"/>
          <w:sz w:val="24"/>
          <w:szCs w:val="24"/>
        </w:rPr>
        <w:t>The number of trained fire response employees;</w:t>
      </w:r>
    </w:p>
    <w:p w:rsidRPr="00FE0A3E" w:rsidR="00FE0A3E" w:rsidP="00FE0A3E" w:rsidRDefault="00FE0A3E" w14:paraId="308F8AC2" w14:textId="77777777">
      <w:pPr>
        <w:numPr>
          <w:ilvl w:val="0"/>
          <w:numId w:val="7"/>
        </w:numPr>
        <w:spacing w:after="200" w:line="276" w:lineRule="auto"/>
        <w:contextualSpacing/>
        <w:rPr>
          <w:rFonts w:eastAsia="Calibri"/>
          <w:sz w:val="24"/>
          <w:szCs w:val="24"/>
        </w:rPr>
      </w:pPr>
      <w:r w:rsidRPr="00FE0A3E">
        <w:rPr>
          <w:rFonts w:eastAsia="Calibri"/>
          <w:sz w:val="24"/>
          <w:szCs w:val="24"/>
        </w:rPr>
        <w:t>The fire response functions that may need to be carried out;</w:t>
      </w:r>
    </w:p>
    <w:p w:rsidRPr="00FE0A3E" w:rsidR="00FE0A3E" w:rsidP="00FE0A3E" w:rsidRDefault="00FE0A3E" w14:paraId="0DCAF61E" w14:textId="77777777">
      <w:pPr>
        <w:numPr>
          <w:ilvl w:val="0"/>
          <w:numId w:val="7"/>
        </w:numPr>
        <w:spacing w:after="200" w:line="276" w:lineRule="auto"/>
        <w:contextualSpacing/>
        <w:rPr>
          <w:rFonts w:eastAsia="Calibri"/>
          <w:sz w:val="24"/>
          <w:szCs w:val="24"/>
        </w:rPr>
      </w:pPr>
      <w:r w:rsidRPr="00FE0A3E">
        <w:rPr>
          <w:rFonts w:eastAsia="Calibri"/>
          <w:sz w:val="24"/>
          <w:szCs w:val="24"/>
        </w:rPr>
        <w:t xml:space="preserve">The minimum number of fire response employees necessary, the number and types of apparatus, and a description of the fire suppression operations established by written standard operating </w:t>
      </w:r>
      <w:r w:rsidRPr="00FE0A3E">
        <w:rPr>
          <w:rFonts w:eastAsia="Calibri"/>
          <w:sz w:val="24"/>
          <w:szCs w:val="24"/>
        </w:rPr>
        <w:lastRenderedPageBreak/>
        <w:t>procedures for each type of fire response at the employer’s facility;</w:t>
      </w:r>
    </w:p>
    <w:p w:rsidRPr="00FE0A3E" w:rsidR="00FE0A3E" w:rsidP="00FE0A3E" w:rsidRDefault="00FE0A3E" w14:paraId="3E5094DF" w14:textId="77777777">
      <w:pPr>
        <w:numPr>
          <w:ilvl w:val="0"/>
          <w:numId w:val="7"/>
        </w:numPr>
        <w:spacing w:after="200" w:line="276" w:lineRule="auto"/>
        <w:contextualSpacing/>
        <w:rPr>
          <w:rFonts w:eastAsia="Calibri"/>
          <w:sz w:val="24"/>
          <w:szCs w:val="24"/>
        </w:rPr>
      </w:pPr>
      <w:r w:rsidRPr="00FE0A3E">
        <w:rPr>
          <w:rFonts w:eastAsia="Calibri"/>
          <w:sz w:val="24"/>
          <w:szCs w:val="24"/>
        </w:rPr>
        <w:t>The type, amount, and frequency of training that must be given to fire response employees; and</w:t>
      </w:r>
    </w:p>
    <w:p w:rsidRPr="00FE0A3E" w:rsidR="00FE0A3E" w:rsidP="00FE0A3E" w:rsidRDefault="00FE0A3E" w14:paraId="346BFCCA" w14:textId="77777777">
      <w:pPr>
        <w:numPr>
          <w:ilvl w:val="0"/>
          <w:numId w:val="7"/>
        </w:numPr>
        <w:spacing w:after="200" w:line="276" w:lineRule="auto"/>
        <w:contextualSpacing/>
        <w:rPr>
          <w:rFonts w:eastAsia="Calibri"/>
          <w:sz w:val="24"/>
          <w:szCs w:val="24"/>
        </w:rPr>
      </w:pPr>
      <w:r w:rsidRPr="00FE0A3E">
        <w:rPr>
          <w:rFonts w:eastAsia="Calibri"/>
          <w:sz w:val="24"/>
          <w:szCs w:val="24"/>
        </w:rPr>
        <w:t>The procedures for use of protective clothing and equipment.</w:t>
      </w:r>
    </w:p>
    <w:p w:rsidRPr="00FE0A3E" w:rsidR="00FE0A3E" w:rsidP="00FE0A3E" w:rsidRDefault="00FE0A3E" w14:paraId="2DCD99B1" w14:textId="77777777">
      <w:pPr>
        <w:rPr>
          <w:rFonts w:eastAsia="Calibri"/>
          <w:sz w:val="24"/>
          <w:szCs w:val="24"/>
        </w:rPr>
      </w:pPr>
    </w:p>
    <w:p w:rsidRPr="00FE0A3E" w:rsidR="00FE0A3E" w:rsidP="00FE0A3E" w:rsidRDefault="00FE0A3E" w14:paraId="438DD9A4" w14:textId="77777777">
      <w:pPr>
        <w:rPr>
          <w:rFonts w:eastAsia="Calibri"/>
          <w:sz w:val="24"/>
          <w:szCs w:val="24"/>
        </w:rPr>
      </w:pPr>
      <w:r w:rsidRPr="00FE0A3E">
        <w:rPr>
          <w:rFonts w:eastAsia="Calibri"/>
          <w:sz w:val="24"/>
          <w:szCs w:val="24"/>
        </w:rPr>
        <w:t>Paragraph (b)(2) lists the information to be included in the policy if outside fire response is to be used.  The information includes the following:</w:t>
      </w:r>
    </w:p>
    <w:p w:rsidRPr="00FE0A3E" w:rsidR="00FE0A3E" w:rsidP="00FE0A3E" w:rsidRDefault="00FE0A3E" w14:paraId="33E34737" w14:textId="77777777">
      <w:pPr>
        <w:rPr>
          <w:rFonts w:eastAsia="Calibri"/>
          <w:sz w:val="24"/>
          <w:szCs w:val="24"/>
        </w:rPr>
      </w:pPr>
    </w:p>
    <w:p w:rsidRPr="00FE0A3E" w:rsidR="00FE0A3E" w:rsidP="00FE0A3E" w:rsidRDefault="00FE0A3E" w14:paraId="312FCC44" w14:textId="77777777">
      <w:pPr>
        <w:numPr>
          <w:ilvl w:val="0"/>
          <w:numId w:val="8"/>
        </w:numPr>
        <w:spacing w:after="200" w:line="276" w:lineRule="auto"/>
        <w:contextualSpacing/>
        <w:rPr>
          <w:rFonts w:eastAsia="Calibri"/>
          <w:sz w:val="24"/>
          <w:szCs w:val="24"/>
        </w:rPr>
      </w:pPr>
      <w:r w:rsidRPr="00FE0A3E">
        <w:rPr>
          <w:rFonts w:eastAsia="Calibri"/>
          <w:sz w:val="24"/>
          <w:szCs w:val="24"/>
        </w:rPr>
        <w:t>The types of fire suppression incidents to which the fire response organization is expected to respond at the employer’s facility or worksite;</w:t>
      </w:r>
    </w:p>
    <w:p w:rsidRPr="00FE0A3E" w:rsidR="00FE0A3E" w:rsidP="00FE0A3E" w:rsidRDefault="00FE0A3E" w14:paraId="11BC2AE4" w14:textId="77777777">
      <w:pPr>
        <w:numPr>
          <w:ilvl w:val="0"/>
          <w:numId w:val="8"/>
        </w:numPr>
        <w:spacing w:after="200" w:line="276" w:lineRule="auto"/>
        <w:contextualSpacing/>
        <w:rPr>
          <w:rFonts w:eastAsia="Calibri"/>
          <w:sz w:val="24"/>
          <w:szCs w:val="24"/>
        </w:rPr>
      </w:pPr>
      <w:r w:rsidRPr="00FE0A3E">
        <w:rPr>
          <w:rFonts w:eastAsia="Calibri"/>
          <w:sz w:val="24"/>
          <w:szCs w:val="24"/>
        </w:rPr>
        <w:t xml:space="preserve">The liaisons between the employer and the outside fire response organization; and </w:t>
      </w:r>
    </w:p>
    <w:p w:rsidRPr="00FE0A3E" w:rsidR="00FE0A3E" w:rsidP="00FE0A3E" w:rsidRDefault="00FE0A3E" w14:paraId="7AC62CAA" w14:textId="77777777">
      <w:pPr>
        <w:numPr>
          <w:ilvl w:val="0"/>
          <w:numId w:val="8"/>
        </w:numPr>
        <w:spacing w:after="200" w:line="276" w:lineRule="auto"/>
        <w:contextualSpacing/>
        <w:rPr>
          <w:rFonts w:eastAsia="Calibri"/>
          <w:sz w:val="24"/>
          <w:szCs w:val="24"/>
        </w:rPr>
      </w:pPr>
      <w:r w:rsidRPr="00FE0A3E">
        <w:rPr>
          <w:rFonts w:eastAsia="Calibri"/>
          <w:sz w:val="24"/>
          <w:szCs w:val="24"/>
        </w:rPr>
        <w:t>A plan for fire response functions that:</w:t>
      </w:r>
    </w:p>
    <w:p w:rsidRPr="00FE0A3E" w:rsidR="00FE0A3E" w:rsidP="00FE0A3E" w:rsidRDefault="00FE0A3E" w14:paraId="1FAC6CAC" w14:textId="77777777">
      <w:pPr>
        <w:numPr>
          <w:ilvl w:val="1"/>
          <w:numId w:val="8"/>
        </w:numPr>
        <w:spacing w:after="200" w:line="276" w:lineRule="auto"/>
        <w:contextualSpacing/>
        <w:rPr>
          <w:rFonts w:eastAsia="Calibri"/>
          <w:sz w:val="24"/>
          <w:szCs w:val="24"/>
        </w:rPr>
      </w:pPr>
      <w:r w:rsidRPr="00FE0A3E">
        <w:rPr>
          <w:rFonts w:eastAsia="Calibri"/>
          <w:sz w:val="24"/>
          <w:szCs w:val="24"/>
        </w:rPr>
        <w:t xml:space="preserve">Address procedures for obtaining assistance from </w:t>
      </w:r>
      <w:r w:rsidR="000C31E8">
        <w:rPr>
          <w:rFonts w:eastAsia="Calibri"/>
          <w:sz w:val="24"/>
          <w:szCs w:val="24"/>
        </w:rPr>
        <w:t>the outside</w:t>
      </w:r>
      <w:r w:rsidRPr="00FE0A3E">
        <w:rPr>
          <w:rFonts w:eastAsia="Calibri"/>
          <w:sz w:val="24"/>
          <w:szCs w:val="24"/>
        </w:rPr>
        <w:t xml:space="preserve"> fire response organization;</w:t>
      </w:r>
    </w:p>
    <w:p w:rsidRPr="00FE0A3E" w:rsidR="00FE0A3E" w:rsidP="00FE0A3E" w:rsidRDefault="00FE0A3E" w14:paraId="34D1C027" w14:textId="77777777">
      <w:pPr>
        <w:numPr>
          <w:ilvl w:val="1"/>
          <w:numId w:val="8"/>
        </w:numPr>
        <w:spacing w:after="200" w:line="276" w:lineRule="auto"/>
        <w:contextualSpacing/>
        <w:rPr>
          <w:rFonts w:eastAsia="Calibri"/>
          <w:sz w:val="24"/>
          <w:szCs w:val="24"/>
        </w:rPr>
      </w:pPr>
      <w:r w:rsidRPr="00FE0A3E">
        <w:rPr>
          <w:rFonts w:eastAsia="Calibri"/>
          <w:sz w:val="24"/>
          <w:szCs w:val="24"/>
        </w:rPr>
        <w:t>Familiarizes the outside fire response organization with the layout of the employer’s facility or worksite, including access routes to controlled areas, and site-specific operations, occupancies, vessels or vessel sections, and hazards; and</w:t>
      </w:r>
    </w:p>
    <w:p w:rsidRPr="00FE0A3E" w:rsidR="00FE0A3E" w:rsidP="00FE0A3E" w:rsidRDefault="00FE0A3E" w14:paraId="6DC55E73" w14:textId="77777777">
      <w:pPr>
        <w:numPr>
          <w:ilvl w:val="1"/>
          <w:numId w:val="8"/>
        </w:numPr>
        <w:spacing w:after="200" w:line="276" w:lineRule="auto"/>
        <w:contextualSpacing/>
        <w:rPr>
          <w:rFonts w:eastAsia="Calibri"/>
          <w:sz w:val="24"/>
          <w:szCs w:val="24"/>
        </w:rPr>
      </w:pPr>
      <w:r w:rsidRPr="00FE0A3E">
        <w:rPr>
          <w:rFonts w:eastAsia="Calibri"/>
          <w:sz w:val="24"/>
          <w:szCs w:val="24"/>
        </w:rPr>
        <w:t xml:space="preserve">Sets forth how hose and coupling connection threads are to be made compatible and includes where the adapter couplings are kept; or </w:t>
      </w:r>
    </w:p>
    <w:p w:rsidRPr="00FE0A3E" w:rsidR="00FE0A3E" w:rsidP="00FE0A3E" w:rsidRDefault="00FE0A3E" w14:paraId="47C54A27" w14:textId="77777777">
      <w:pPr>
        <w:numPr>
          <w:ilvl w:val="1"/>
          <w:numId w:val="8"/>
        </w:numPr>
        <w:spacing w:after="200" w:line="276" w:lineRule="auto"/>
        <w:contextualSpacing/>
        <w:rPr>
          <w:rFonts w:eastAsia="Calibri"/>
          <w:sz w:val="24"/>
          <w:szCs w:val="24"/>
        </w:rPr>
      </w:pPr>
      <w:r w:rsidRPr="00FE0A3E">
        <w:rPr>
          <w:rFonts w:eastAsia="Calibri"/>
          <w:sz w:val="24"/>
          <w:szCs w:val="24"/>
        </w:rPr>
        <w:lastRenderedPageBreak/>
        <w:t>States that the employer will not allow the use of incompatible hose connections.</w:t>
      </w:r>
    </w:p>
    <w:p w:rsidRPr="00FE0A3E" w:rsidR="00FE0A3E" w:rsidP="00FE0A3E" w:rsidRDefault="00FE0A3E" w14:paraId="76BA950E" w14:textId="77777777">
      <w:pPr>
        <w:rPr>
          <w:rFonts w:eastAsia="Calibri"/>
          <w:sz w:val="24"/>
          <w:szCs w:val="24"/>
        </w:rPr>
      </w:pPr>
    </w:p>
    <w:p w:rsidRPr="00FE0A3E" w:rsidR="00FE0A3E" w:rsidP="00FE0A3E" w:rsidRDefault="00FE0A3E" w14:paraId="6EF52096" w14:textId="77777777">
      <w:pPr>
        <w:rPr>
          <w:rFonts w:eastAsia="Calibri"/>
          <w:sz w:val="24"/>
          <w:szCs w:val="24"/>
        </w:rPr>
      </w:pPr>
      <w:r w:rsidRPr="00FE0A3E">
        <w:rPr>
          <w:rFonts w:eastAsia="Calibri"/>
          <w:sz w:val="24"/>
          <w:szCs w:val="24"/>
        </w:rPr>
        <w:t xml:space="preserve">Paragraph (d)(2) requires the employer </w:t>
      </w:r>
      <w:r w:rsidR="00F5644F">
        <w:rPr>
          <w:rFonts w:eastAsia="Calibri"/>
          <w:sz w:val="24"/>
          <w:szCs w:val="24"/>
        </w:rPr>
        <w:t xml:space="preserve">to </w:t>
      </w:r>
      <w:r w:rsidRPr="00FE0A3E">
        <w:rPr>
          <w:rFonts w:eastAsia="Calibri"/>
          <w:sz w:val="24"/>
          <w:szCs w:val="24"/>
        </w:rPr>
        <w:t>set up written administrative regulations, operating procedures, and departmental orders for fire response functions.</w:t>
      </w:r>
    </w:p>
    <w:p w:rsidRPr="00FE0A3E" w:rsidR="00FE0A3E" w:rsidP="00FE0A3E" w:rsidRDefault="00FE0A3E" w14:paraId="4CF006EA" w14:textId="77777777">
      <w:pPr>
        <w:rPr>
          <w:rFonts w:eastAsia="Calibri"/>
          <w:sz w:val="24"/>
          <w:szCs w:val="24"/>
        </w:rPr>
      </w:pPr>
    </w:p>
    <w:p w:rsidRPr="00FE0A3E" w:rsidR="00FE0A3E" w:rsidP="00FE0A3E" w:rsidRDefault="00FE0A3E" w14:paraId="2F46128E" w14:textId="77777777">
      <w:pPr>
        <w:rPr>
          <w:rFonts w:eastAsia="Calibri"/>
          <w:sz w:val="24"/>
          <w:szCs w:val="24"/>
        </w:rPr>
      </w:pPr>
      <w:r w:rsidRPr="00FE0A3E">
        <w:rPr>
          <w:rFonts w:eastAsia="Calibri"/>
          <w:sz w:val="24"/>
          <w:szCs w:val="24"/>
        </w:rPr>
        <w:t>Paragraph (b)(3) lists the information to be included in the policy where a combination of internal and outside fire response is to be used.  The information includes all the information from paragraphs (b)(1) and (b)(2) as listed above and the following information:</w:t>
      </w:r>
    </w:p>
    <w:p w:rsidRPr="00FE0A3E" w:rsidR="00FE0A3E" w:rsidP="00FE0A3E" w:rsidRDefault="00FE0A3E" w14:paraId="2E42995E" w14:textId="77777777">
      <w:pPr>
        <w:rPr>
          <w:rFonts w:eastAsia="Calibri"/>
          <w:sz w:val="24"/>
          <w:szCs w:val="24"/>
        </w:rPr>
      </w:pPr>
    </w:p>
    <w:p w:rsidRPr="00FE0A3E" w:rsidR="00FE0A3E" w:rsidP="00FE0A3E" w:rsidRDefault="00FE0A3E" w14:paraId="4C028570" w14:textId="77777777">
      <w:pPr>
        <w:numPr>
          <w:ilvl w:val="0"/>
          <w:numId w:val="9"/>
        </w:numPr>
        <w:spacing w:after="200" w:line="276" w:lineRule="auto"/>
        <w:contextualSpacing/>
        <w:rPr>
          <w:rFonts w:eastAsia="Calibri"/>
          <w:sz w:val="24"/>
          <w:szCs w:val="24"/>
        </w:rPr>
      </w:pPr>
      <w:r w:rsidRPr="00FE0A3E">
        <w:rPr>
          <w:rFonts w:eastAsia="Calibri"/>
          <w:sz w:val="24"/>
          <w:szCs w:val="24"/>
        </w:rPr>
        <w:t>The basic organizational structure of the combined fire response;</w:t>
      </w:r>
    </w:p>
    <w:p w:rsidRPr="00FE0A3E" w:rsidR="00FE0A3E" w:rsidP="00FE0A3E" w:rsidRDefault="00FE0A3E" w14:paraId="17C5EECF" w14:textId="77777777">
      <w:pPr>
        <w:numPr>
          <w:ilvl w:val="0"/>
          <w:numId w:val="9"/>
        </w:numPr>
        <w:spacing w:after="200" w:line="276" w:lineRule="auto"/>
        <w:contextualSpacing/>
        <w:rPr>
          <w:rFonts w:eastAsia="Calibri"/>
          <w:sz w:val="24"/>
          <w:szCs w:val="24"/>
        </w:rPr>
      </w:pPr>
      <w:r w:rsidRPr="00FE0A3E">
        <w:rPr>
          <w:rFonts w:eastAsia="Calibri"/>
          <w:sz w:val="24"/>
          <w:szCs w:val="24"/>
        </w:rPr>
        <w:t>The number of combined trained fire responders;</w:t>
      </w:r>
    </w:p>
    <w:p w:rsidRPr="00FE0A3E" w:rsidR="00FE0A3E" w:rsidP="00FE0A3E" w:rsidRDefault="00FE0A3E" w14:paraId="1F673BDD" w14:textId="77777777">
      <w:pPr>
        <w:numPr>
          <w:ilvl w:val="0"/>
          <w:numId w:val="9"/>
        </w:numPr>
        <w:spacing w:after="200" w:line="276" w:lineRule="auto"/>
        <w:contextualSpacing/>
        <w:rPr>
          <w:rFonts w:eastAsia="Calibri"/>
          <w:sz w:val="24"/>
          <w:szCs w:val="24"/>
        </w:rPr>
      </w:pPr>
      <w:r w:rsidRPr="00FE0A3E">
        <w:rPr>
          <w:rFonts w:eastAsia="Calibri"/>
          <w:sz w:val="24"/>
          <w:szCs w:val="24"/>
        </w:rPr>
        <w:t>The fire response functions that need to be carried out;</w:t>
      </w:r>
    </w:p>
    <w:p w:rsidRPr="00FE0A3E" w:rsidR="00FE0A3E" w:rsidP="00FE0A3E" w:rsidRDefault="00FE0A3E" w14:paraId="56705DC2" w14:textId="77777777">
      <w:pPr>
        <w:numPr>
          <w:ilvl w:val="0"/>
          <w:numId w:val="9"/>
        </w:numPr>
        <w:spacing w:after="200" w:line="276" w:lineRule="auto"/>
        <w:contextualSpacing/>
        <w:rPr>
          <w:rFonts w:eastAsia="Calibri"/>
          <w:sz w:val="24"/>
          <w:szCs w:val="24"/>
        </w:rPr>
      </w:pPr>
      <w:r w:rsidRPr="00FE0A3E">
        <w:rPr>
          <w:rFonts w:eastAsia="Calibri"/>
          <w:sz w:val="24"/>
          <w:szCs w:val="24"/>
        </w:rPr>
        <w:t>The minimum number of fire response employees necessary, the number and types of apparatus, and a description of the fire suppression operations established by written standard operating procedures for each particular types of fire response at the worksite; and,</w:t>
      </w:r>
    </w:p>
    <w:p w:rsidRPr="00FE0A3E" w:rsidR="00FE0A3E" w:rsidP="00FE0A3E" w:rsidRDefault="00FE0A3E" w14:paraId="2FC9B877" w14:textId="77777777">
      <w:pPr>
        <w:numPr>
          <w:ilvl w:val="0"/>
          <w:numId w:val="9"/>
        </w:numPr>
        <w:spacing w:after="200" w:line="276" w:lineRule="auto"/>
        <w:contextualSpacing/>
        <w:rPr>
          <w:rFonts w:eastAsia="Calibri"/>
          <w:sz w:val="24"/>
          <w:szCs w:val="24"/>
        </w:rPr>
      </w:pPr>
      <w:r w:rsidRPr="00FE0A3E">
        <w:rPr>
          <w:rFonts w:eastAsia="Calibri"/>
          <w:sz w:val="24"/>
          <w:szCs w:val="24"/>
        </w:rPr>
        <w:t>The type, amount, and frequency of joint training must be given to fire response employees.</w:t>
      </w:r>
    </w:p>
    <w:p w:rsidRPr="00FE0A3E" w:rsidR="00FE0A3E" w:rsidP="00FE0A3E" w:rsidRDefault="00FE0A3E" w14:paraId="68B670AA" w14:textId="77777777">
      <w:pPr>
        <w:rPr>
          <w:rFonts w:eastAsia="Calibri"/>
          <w:sz w:val="24"/>
          <w:szCs w:val="24"/>
        </w:rPr>
      </w:pPr>
    </w:p>
    <w:p w:rsidRPr="00FE0A3E" w:rsidR="00FE0A3E" w:rsidP="00FE0A3E" w:rsidRDefault="00FE0A3E" w14:paraId="3A0D15E1" w14:textId="77777777">
      <w:pPr>
        <w:rPr>
          <w:rFonts w:eastAsia="Calibri"/>
          <w:sz w:val="24"/>
          <w:szCs w:val="24"/>
        </w:rPr>
      </w:pPr>
      <w:r w:rsidRPr="00FE0A3E">
        <w:rPr>
          <w:rFonts w:eastAsia="Calibri"/>
          <w:sz w:val="24"/>
          <w:szCs w:val="24"/>
        </w:rPr>
        <w:t xml:space="preserve">Paragraph (b)(4) prescribes the </w:t>
      </w:r>
      <w:r w:rsidR="00B97D5E">
        <w:rPr>
          <w:rFonts w:eastAsia="Calibri"/>
          <w:sz w:val="24"/>
          <w:szCs w:val="24"/>
        </w:rPr>
        <w:t>employee</w:t>
      </w:r>
      <w:r w:rsidRPr="00FE0A3E">
        <w:rPr>
          <w:rFonts w:eastAsia="Calibri"/>
          <w:sz w:val="24"/>
          <w:szCs w:val="24"/>
        </w:rPr>
        <w:t xml:space="preserve"> evacuation information that must be included in the employer’s written policy required by (a)(2)(ii).  That information includes the following:</w:t>
      </w:r>
    </w:p>
    <w:p w:rsidRPr="00FE0A3E" w:rsidR="00FE0A3E" w:rsidP="00FE0A3E" w:rsidRDefault="00FE0A3E" w14:paraId="230D36B3" w14:textId="77777777">
      <w:pPr>
        <w:rPr>
          <w:rFonts w:eastAsia="Calibri"/>
          <w:sz w:val="24"/>
          <w:szCs w:val="24"/>
        </w:rPr>
      </w:pPr>
    </w:p>
    <w:p w:rsidRPr="00FE0A3E" w:rsidR="00FE0A3E" w:rsidP="000A31BB" w:rsidRDefault="00FE0A3E" w14:paraId="4CF84253" w14:textId="77777777">
      <w:pPr>
        <w:numPr>
          <w:ilvl w:val="0"/>
          <w:numId w:val="10"/>
        </w:numPr>
        <w:contextualSpacing/>
        <w:rPr>
          <w:rFonts w:eastAsia="Calibri"/>
          <w:sz w:val="24"/>
          <w:szCs w:val="24"/>
        </w:rPr>
      </w:pPr>
      <w:r w:rsidRPr="00FE0A3E">
        <w:rPr>
          <w:rFonts w:eastAsia="Calibri"/>
          <w:sz w:val="24"/>
          <w:szCs w:val="24"/>
        </w:rPr>
        <w:t>Emergency escape procedures;</w:t>
      </w:r>
    </w:p>
    <w:p w:rsidRPr="00FE0A3E" w:rsidR="00FE0A3E" w:rsidP="00FE0A3E" w:rsidRDefault="00FE0A3E" w14:paraId="6B154710" w14:textId="77777777">
      <w:pPr>
        <w:numPr>
          <w:ilvl w:val="0"/>
          <w:numId w:val="10"/>
        </w:numPr>
        <w:spacing w:after="200" w:line="276" w:lineRule="auto"/>
        <w:contextualSpacing/>
        <w:rPr>
          <w:rFonts w:eastAsia="Calibri"/>
          <w:sz w:val="24"/>
          <w:szCs w:val="24"/>
        </w:rPr>
      </w:pPr>
      <w:r w:rsidRPr="00FE0A3E">
        <w:rPr>
          <w:rFonts w:eastAsia="Calibri"/>
          <w:sz w:val="24"/>
          <w:szCs w:val="24"/>
        </w:rPr>
        <w:t xml:space="preserve">Procedures to be followed by </w:t>
      </w:r>
      <w:r w:rsidR="00B97D5E">
        <w:rPr>
          <w:rFonts w:eastAsia="Calibri"/>
          <w:sz w:val="24"/>
          <w:szCs w:val="24"/>
        </w:rPr>
        <w:t>employee</w:t>
      </w:r>
      <w:r w:rsidRPr="00FE0A3E">
        <w:rPr>
          <w:rFonts w:eastAsia="Calibri"/>
          <w:sz w:val="24"/>
          <w:szCs w:val="24"/>
        </w:rPr>
        <w:t>s who may remain longer at the worksite to perform critical shipyard employment operations during the evacuation;</w:t>
      </w:r>
    </w:p>
    <w:p w:rsidRPr="00FE0A3E" w:rsidR="00FE0A3E" w:rsidP="00FE0A3E" w:rsidRDefault="00FE0A3E" w14:paraId="2A5413A5" w14:textId="77777777">
      <w:pPr>
        <w:numPr>
          <w:ilvl w:val="0"/>
          <w:numId w:val="10"/>
        </w:numPr>
        <w:spacing w:after="200" w:line="276" w:lineRule="auto"/>
        <w:contextualSpacing/>
        <w:rPr>
          <w:rFonts w:eastAsia="Calibri"/>
          <w:sz w:val="24"/>
          <w:szCs w:val="24"/>
        </w:rPr>
      </w:pPr>
      <w:r w:rsidRPr="00FE0A3E">
        <w:rPr>
          <w:rFonts w:eastAsia="Calibri"/>
          <w:sz w:val="24"/>
          <w:szCs w:val="24"/>
        </w:rPr>
        <w:t xml:space="preserve">The procedures to account for all </w:t>
      </w:r>
      <w:r w:rsidR="00B97D5E">
        <w:rPr>
          <w:rFonts w:eastAsia="Calibri"/>
          <w:sz w:val="24"/>
          <w:szCs w:val="24"/>
        </w:rPr>
        <w:t>employee</w:t>
      </w:r>
      <w:r w:rsidRPr="00FE0A3E">
        <w:rPr>
          <w:rFonts w:eastAsia="Calibri"/>
          <w:sz w:val="24"/>
          <w:szCs w:val="24"/>
        </w:rPr>
        <w:t xml:space="preserve">s after emergency evacuation is completed; </w:t>
      </w:r>
    </w:p>
    <w:p w:rsidRPr="00FE0A3E" w:rsidR="00FE0A3E" w:rsidP="00FE0A3E" w:rsidRDefault="00FE0A3E" w14:paraId="76826AE5" w14:textId="77777777">
      <w:pPr>
        <w:numPr>
          <w:ilvl w:val="0"/>
          <w:numId w:val="10"/>
        </w:numPr>
        <w:spacing w:after="200" w:line="276" w:lineRule="auto"/>
        <w:contextualSpacing/>
        <w:rPr>
          <w:rFonts w:eastAsia="Calibri"/>
          <w:sz w:val="24"/>
          <w:szCs w:val="24"/>
        </w:rPr>
      </w:pPr>
      <w:r w:rsidRPr="00FE0A3E">
        <w:rPr>
          <w:rFonts w:eastAsia="Calibri"/>
          <w:sz w:val="24"/>
          <w:szCs w:val="24"/>
        </w:rPr>
        <w:t>The preferred means of reporting fires and other emergencies; and</w:t>
      </w:r>
    </w:p>
    <w:p w:rsidRPr="00FE0A3E" w:rsidR="00FE0A3E" w:rsidP="00FE0A3E" w:rsidRDefault="00FE0A3E" w14:paraId="044BB7C0" w14:textId="77777777">
      <w:pPr>
        <w:numPr>
          <w:ilvl w:val="0"/>
          <w:numId w:val="10"/>
        </w:numPr>
        <w:spacing w:after="200" w:line="276" w:lineRule="auto"/>
        <w:contextualSpacing/>
        <w:rPr>
          <w:rFonts w:eastAsia="Calibri"/>
          <w:sz w:val="24"/>
          <w:szCs w:val="24"/>
        </w:rPr>
      </w:pPr>
      <w:r w:rsidRPr="00FE0A3E">
        <w:rPr>
          <w:rFonts w:eastAsia="Calibri"/>
          <w:sz w:val="24"/>
          <w:szCs w:val="24"/>
        </w:rPr>
        <w:t xml:space="preserve">Names or job titles of the </w:t>
      </w:r>
      <w:r w:rsidR="00B97D5E">
        <w:rPr>
          <w:rFonts w:eastAsia="Calibri"/>
          <w:sz w:val="24"/>
          <w:szCs w:val="24"/>
        </w:rPr>
        <w:t>employee</w:t>
      </w:r>
      <w:r w:rsidRPr="00FE0A3E">
        <w:rPr>
          <w:rFonts w:eastAsia="Calibri"/>
          <w:sz w:val="24"/>
          <w:szCs w:val="24"/>
        </w:rPr>
        <w:t>s or departments to be contacted for further information or explanation of duties.</w:t>
      </w:r>
    </w:p>
    <w:p w:rsidRPr="00FE0A3E" w:rsidR="00FE0A3E" w:rsidP="00FE0A3E" w:rsidRDefault="00FE0A3E" w14:paraId="67D4EB3B" w14:textId="77777777">
      <w:pPr>
        <w:rPr>
          <w:rFonts w:eastAsia="Calibri"/>
          <w:sz w:val="24"/>
          <w:szCs w:val="24"/>
        </w:rPr>
      </w:pPr>
    </w:p>
    <w:p w:rsidRPr="00FE0A3E" w:rsidR="00FE0A3E" w:rsidP="00FE0A3E" w:rsidRDefault="00FE0A3E" w14:paraId="6E513642" w14:textId="77777777">
      <w:pPr>
        <w:rPr>
          <w:rFonts w:eastAsia="Calibri"/>
          <w:sz w:val="24"/>
          <w:szCs w:val="24"/>
        </w:rPr>
      </w:pPr>
      <w:r w:rsidRPr="00FE0A3E">
        <w:rPr>
          <w:rFonts w:eastAsia="Calibri"/>
          <w:sz w:val="24"/>
          <w:szCs w:val="24"/>
        </w:rPr>
        <w:t>Paragraph (b)(5) prescribes the rescue and emergency response information that must also be included in the employer’s written policy.  That information includes the following:</w:t>
      </w:r>
    </w:p>
    <w:p w:rsidRPr="00FE0A3E" w:rsidR="00FE0A3E" w:rsidP="00FE0A3E" w:rsidRDefault="00FE0A3E" w14:paraId="3C9B7D89" w14:textId="77777777">
      <w:pPr>
        <w:rPr>
          <w:rFonts w:eastAsia="Calibri"/>
          <w:sz w:val="24"/>
          <w:szCs w:val="24"/>
        </w:rPr>
      </w:pPr>
    </w:p>
    <w:p w:rsidRPr="00FE0A3E" w:rsidR="00FE0A3E" w:rsidP="00FE0A3E" w:rsidRDefault="00FE0A3E" w14:paraId="342BB87A" w14:textId="77777777">
      <w:pPr>
        <w:numPr>
          <w:ilvl w:val="0"/>
          <w:numId w:val="11"/>
        </w:numPr>
        <w:spacing w:after="200" w:line="276" w:lineRule="auto"/>
        <w:contextualSpacing/>
        <w:rPr>
          <w:rFonts w:eastAsia="Calibri"/>
          <w:sz w:val="24"/>
          <w:szCs w:val="24"/>
        </w:rPr>
      </w:pPr>
      <w:r w:rsidRPr="00FE0A3E">
        <w:rPr>
          <w:rFonts w:eastAsia="Calibri"/>
          <w:sz w:val="24"/>
          <w:szCs w:val="24"/>
        </w:rPr>
        <w:t xml:space="preserve">A description of the emergency rescue procedures; and </w:t>
      </w:r>
    </w:p>
    <w:p w:rsidRPr="00FE0A3E" w:rsidR="00FE0A3E" w:rsidP="00FE0A3E" w:rsidRDefault="00FE0A3E" w14:paraId="0C50F3A5" w14:textId="77777777">
      <w:pPr>
        <w:numPr>
          <w:ilvl w:val="0"/>
          <w:numId w:val="11"/>
        </w:numPr>
        <w:spacing w:after="200" w:line="276" w:lineRule="auto"/>
        <w:contextualSpacing/>
        <w:rPr>
          <w:rFonts w:eastAsia="Calibri"/>
          <w:sz w:val="24"/>
          <w:szCs w:val="24"/>
        </w:rPr>
      </w:pPr>
      <w:r w:rsidRPr="00FE0A3E">
        <w:rPr>
          <w:rFonts w:eastAsia="Calibri"/>
          <w:sz w:val="24"/>
          <w:szCs w:val="24"/>
        </w:rPr>
        <w:t xml:space="preserve">Names or job titles of the </w:t>
      </w:r>
      <w:r w:rsidR="00B97D5E">
        <w:rPr>
          <w:rFonts w:eastAsia="Calibri"/>
          <w:sz w:val="24"/>
          <w:szCs w:val="24"/>
        </w:rPr>
        <w:t>employee</w:t>
      </w:r>
      <w:r w:rsidRPr="00FE0A3E">
        <w:rPr>
          <w:rFonts w:eastAsia="Calibri"/>
          <w:sz w:val="24"/>
          <w:szCs w:val="24"/>
        </w:rPr>
        <w:t>s who are assigned to perform them.</w:t>
      </w:r>
    </w:p>
    <w:p w:rsidRPr="00FE0A3E" w:rsidR="00FE0A3E" w:rsidP="00FE0A3E" w:rsidRDefault="00FE0A3E" w14:paraId="189FB3D2" w14:textId="77777777">
      <w:pPr>
        <w:rPr>
          <w:rFonts w:eastAsia="Calibri"/>
          <w:sz w:val="24"/>
          <w:szCs w:val="24"/>
        </w:rPr>
      </w:pPr>
    </w:p>
    <w:p w:rsidRPr="00FE0A3E" w:rsidR="00FE0A3E" w:rsidP="00FE0A3E" w:rsidRDefault="00FE0A3E" w14:paraId="41C23F94" w14:textId="77777777">
      <w:pPr>
        <w:rPr>
          <w:rFonts w:eastAsia="Calibri"/>
          <w:sz w:val="24"/>
          <w:szCs w:val="24"/>
        </w:rPr>
      </w:pPr>
      <w:r w:rsidRPr="00FE0A3E">
        <w:rPr>
          <w:rFonts w:eastAsia="Calibri"/>
          <w:sz w:val="24"/>
          <w:szCs w:val="24"/>
        </w:rPr>
        <w:t xml:space="preserve">Paragraph (c)(2) requires that fire response </w:t>
      </w:r>
      <w:r w:rsidR="00B97D5E">
        <w:rPr>
          <w:rFonts w:eastAsia="Calibri"/>
          <w:sz w:val="24"/>
          <w:szCs w:val="24"/>
        </w:rPr>
        <w:t>employee</w:t>
      </w:r>
      <w:r w:rsidRPr="00FE0A3E">
        <w:rPr>
          <w:rFonts w:eastAsia="Calibri"/>
          <w:sz w:val="24"/>
          <w:szCs w:val="24"/>
        </w:rPr>
        <w:t xml:space="preserve"> who are required to wear respirators meet the medical requirements of the Respiratory Protection Program Standard in 1915.154.  The paperwork burden for the respiratory protection requirements </w:t>
      </w:r>
      <w:r w:rsidRPr="00FE0A3E" w:rsidR="00F5644F">
        <w:rPr>
          <w:rFonts w:eastAsia="Calibri"/>
          <w:sz w:val="24"/>
          <w:szCs w:val="24"/>
        </w:rPr>
        <w:t>ha</w:t>
      </w:r>
      <w:r w:rsidR="00F5644F">
        <w:rPr>
          <w:rFonts w:eastAsia="Calibri"/>
          <w:sz w:val="24"/>
          <w:szCs w:val="24"/>
        </w:rPr>
        <w:t>s</w:t>
      </w:r>
      <w:r w:rsidRPr="00FE0A3E" w:rsidR="00F5644F">
        <w:rPr>
          <w:rFonts w:eastAsia="Calibri"/>
          <w:sz w:val="24"/>
          <w:szCs w:val="24"/>
        </w:rPr>
        <w:t xml:space="preserve"> </w:t>
      </w:r>
      <w:r w:rsidRPr="00FE0A3E">
        <w:rPr>
          <w:rFonts w:eastAsia="Calibri"/>
          <w:sz w:val="24"/>
          <w:szCs w:val="24"/>
        </w:rPr>
        <w:t xml:space="preserve">been approved under OMB Control Number 1218-0099.  </w:t>
      </w:r>
    </w:p>
    <w:p w:rsidRPr="00FE0A3E" w:rsidR="00FE0A3E" w:rsidP="00FE0A3E" w:rsidRDefault="00FE0A3E" w14:paraId="540DE4C2" w14:textId="77777777">
      <w:pPr>
        <w:rPr>
          <w:rFonts w:eastAsia="Calibri"/>
          <w:sz w:val="24"/>
          <w:szCs w:val="24"/>
        </w:rPr>
      </w:pPr>
    </w:p>
    <w:p w:rsidRPr="00FE0A3E" w:rsidR="00FE0A3E" w:rsidP="00FE0A3E" w:rsidRDefault="00FE0A3E" w14:paraId="340DD812" w14:textId="77777777">
      <w:pPr>
        <w:rPr>
          <w:rFonts w:eastAsia="Calibri"/>
          <w:sz w:val="24"/>
          <w:szCs w:val="24"/>
        </w:rPr>
      </w:pPr>
      <w:r w:rsidRPr="00FE0A3E">
        <w:rPr>
          <w:rFonts w:eastAsia="Calibri"/>
          <w:sz w:val="24"/>
          <w:szCs w:val="24"/>
        </w:rPr>
        <w:lastRenderedPageBreak/>
        <w:t xml:space="preserve">Paragraph (c)(3) requires annual medical exams for all fire response </w:t>
      </w:r>
      <w:r w:rsidR="00B97D5E">
        <w:rPr>
          <w:rFonts w:eastAsia="Calibri"/>
          <w:sz w:val="24"/>
          <w:szCs w:val="24"/>
        </w:rPr>
        <w:t>employee</w:t>
      </w:r>
      <w:r w:rsidRPr="00FE0A3E">
        <w:rPr>
          <w:rFonts w:eastAsia="Calibri"/>
          <w:sz w:val="24"/>
          <w:szCs w:val="24"/>
        </w:rPr>
        <w:t xml:space="preserve">s.  There is no burden or cost for these medical exams because all </w:t>
      </w:r>
      <w:r w:rsidR="00B97D5E">
        <w:rPr>
          <w:rFonts w:eastAsia="Calibri"/>
          <w:sz w:val="24"/>
          <w:szCs w:val="24"/>
        </w:rPr>
        <w:t>employee</w:t>
      </w:r>
      <w:r w:rsidRPr="00FE0A3E">
        <w:rPr>
          <w:rFonts w:eastAsia="Calibri"/>
          <w:sz w:val="24"/>
          <w:szCs w:val="24"/>
        </w:rPr>
        <w:t>s affected, as a usual and customary practice, are now receiving the medical exams.</w:t>
      </w:r>
    </w:p>
    <w:p w:rsidRPr="00FE0A3E" w:rsidR="00FE0A3E" w:rsidP="00FE0A3E" w:rsidRDefault="00FE0A3E" w14:paraId="1226EC1B" w14:textId="77777777">
      <w:pPr>
        <w:rPr>
          <w:rFonts w:eastAsia="Calibri"/>
          <w:sz w:val="24"/>
          <w:szCs w:val="24"/>
        </w:rPr>
      </w:pPr>
    </w:p>
    <w:p w:rsidRPr="00FE0A3E" w:rsidR="00FE0A3E" w:rsidP="00FE0A3E" w:rsidRDefault="00FE0A3E" w14:paraId="7A3C78CF" w14:textId="77777777">
      <w:pPr>
        <w:rPr>
          <w:rFonts w:eastAsia="Calibri"/>
          <w:sz w:val="24"/>
          <w:szCs w:val="24"/>
        </w:rPr>
      </w:pPr>
      <w:r w:rsidRPr="00FE0A3E">
        <w:rPr>
          <w:rFonts w:eastAsia="Calibri"/>
          <w:sz w:val="24"/>
          <w:szCs w:val="24"/>
        </w:rPr>
        <w:t xml:space="preserve">Paragraph (c)(4) requires that the medical records of fire response </w:t>
      </w:r>
      <w:r w:rsidR="00B97D5E">
        <w:rPr>
          <w:rFonts w:eastAsia="Calibri"/>
          <w:sz w:val="24"/>
          <w:szCs w:val="24"/>
        </w:rPr>
        <w:t>employee</w:t>
      </w:r>
      <w:r w:rsidRPr="00FE0A3E">
        <w:rPr>
          <w:rFonts w:eastAsia="Calibri"/>
          <w:sz w:val="24"/>
          <w:szCs w:val="24"/>
        </w:rPr>
        <w:t>s be kept as required in 1915.1020.  The paperwork burden for access to medical records is approved under OMB Control Number 1218-0065.</w:t>
      </w:r>
    </w:p>
    <w:p w:rsidRPr="00FE0A3E" w:rsidR="00FE0A3E" w:rsidP="00FE0A3E" w:rsidRDefault="00FE0A3E" w14:paraId="7CF39575" w14:textId="77777777">
      <w:pPr>
        <w:rPr>
          <w:rFonts w:eastAsia="Calibri"/>
          <w:sz w:val="24"/>
          <w:szCs w:val="24"/>
        </w:rPr>
      </w:pPr>
    </w:p>
    <w:p w:rsidRPr="00FE0A3E" w:rsidR="00FE0A3E" w:rsidP="00FE0A3E" w:rsidRDefault="00FE0A3E" w14:paraId="27B997E0" w14:textId="77777777">
      <w:pPr>
        <w:rPr>
          <w:rFonts w:eastAsia="Calibri"/>
          <w:sz w:val="24"/>
          <w:szCs w:val="24"/>
        </w:rPr>
      </w:pPr>
      <w:r w:rsidRPr="00FE0A3E">
        <w:rPr>
          <w:rFonts w:eastAsia="Calibri"/>
          <w:sz w:val="24"/>
          <w:szCs w:val="24"/>
        </w:rPr>
        <w:t xml:space="preserve">Paragraph (d)(3) requires the employer to set up an incident management system (IMS) to coordinate and direct fire response functions, including the following:  </w:t>
      </w:r>
    </w:p>
    <w:p w:rsidRPr="00FE0A3E" w:rsidR="00FE0A3E" w:rsidP="00FE0A3E" w:rsidRDefault="00FE0A3E" w14:paraId="16043548" w14:textId="77777777">
      <w:pPr>
        <w:rPr>
          <w:rFonts w:eastAsia="Calibri"/>
          <w:sz w:val="24"/>
          <w:szCs w:val="24"/>
        </w:rPr>
      </w:pPr>
    </w:p>
    <w:p w:rsidRPr="00FE0A3E" w:rsidR="00FE0A3E" w:rsidP="00FE0A3E" w:rsidRDefault="00FE0A3E" w14:paraId="3A7CDAE1" w14:textId="77777777">
      <w:pPr>
        <w:numPr>
          <w:ilvl w:val="0"/>
          <w:numId w:val="12"/>
        </w:numPr>
        <w:spacing w:after="200" w:line="276" w:lineRule="auto"/>
        <w:contextualSpacing/>
        <w:rPr>
          <w:rFonts w:eastAsia="Calibri"/>
          <w:sz w:val="24"/>
          <w:szCs w:val="24"/>
        </w:rPr>
      </w:pPr>
      <w:r w:rsidRPr="00FE0A3E">
        <w:rPr>
          <w:rFonts w:eastAsia="Calibri"/>
          <w:sz w:val="24"/>
          <w:szCs w:val="24"/>
        </w:rPr>
        <w:t>Specific fire emergency responsibilities;</w:t>
      </w:r>
    </w:p>
    <w:p w:rsidRPr="00FE0A3E" w:rsidR="00FE0A3E" w:rsidP="00FE0A3E" w:rsidRDefault="00FE0A3E" w14:paraId="62E5CDC4" w14:textId="77777777">
      <w:pPr>
        <w:numPr>
          <w:ilvl w:val="0"/>
          <w:numId w:val="12"/>
        </w:numPr>
        <w:spacing w:after="200" w:line="276" w:lineRule="auto"/>
        <w:contextualSpacing/>
        <w:rPr>
          <w:rFonts w:eastAsia="Calibri"/>
          <w:sz w:val="24"/>
          <w:szCs w:val="24"/>
        </w:rPr>
      </w:pPr>
      <w:r w:rsidRPr="00FE0A3E">
        <w:rPr>
          <w:rFonts w:eastAsia="Calibri"/>
          <w:sz w:val="24"/>
          <w:szCs w:val="24"/>
        </w:rPr>
        <w:t xml:space="preserve">Accountability for all fire response </w:t>
      </w:r>
      <w:r w:rsidR="00B97D5E">
        <w:rPr>
          <w:rFonts w:eastAsia="Calibri"/>
          <w:sz w:val="24"/>
          <w:szCs w:val="24"/>
        </w:rPr>
        <w:t>employee</w:t>
      </w:r>
      <w:r w:rsidRPr="00FE0A3E">
        <w:rPr>
          <w:rFonts w:eastAsia="Calibri"/>
          <w:sz w:val="24"/>
          <w:szCs w:val="24"/>
        </w:rPr>
        <w:t>s participating in an emergency operation; and,</w:t>
      </w:r>
    </w:p>
    <w:p w:rsidRPr="00FE0A3E" w:rsidR="00FE0A3E" w:rsidP="00FE0A3E" w:rsidRDefault="00FE0A3E" w14:paraId="2513C4DA" w14:textId="77777777">
      <w:pPr>
        <w:numPr>
          <w:ilvl w:val="0"/>
          <w:numId w:val="12"/>
        </w:numPr>
        <w:spacing w:after="200" w:line="276" w:lineRule="auto"/>
        <w:contextualSpacing/>
        <w:rPr>
          <w:rFonts w:eastAsia="Calibri"/>
          <w:sz w:val="24"/>
          <w:szCs w:val="24"/>
        </w:rPr>
      </w:pPr>
      <w:r w:rsidRPr="00FE0A3E">
        <w:rPr>
          <w:rFonts w:eastAsia="Calibri"/>
          <w:sz w:val="24"/>
          <w:szCs w:val="24"/>
        </w:rPr>
        <w:t>Resources offered by outside organizations.</w:t>
      </w:r>
    </w:p>
    <w:p w:rsidRPr="00FE0A3E" w:rsidR="00FE0A3E" w:rsidP="00FE0A3E" w:rsidRDefault="00FE0A3E" w14:paraId="0273A136" w14:textId="77777777">
      <w:pPr>
        <w:rPr>
          <w:rFonts w:eastAsia="Calibri"/>
          <w:sz w:val="24"/>
          <w:szCs w:val="24"/>
        </w:rPr>
      </w:pPr>
    </w:p>
    <w:p w:rsidR="00FE0A3E" w:rsidP="00FE0A3E" w:rsidRDefault="00FE0A3E" w14:paraId="28FC4912" w14:textId="77777777">
      <w:pPr>
        <w:rPr>
          <w:rFonts w:eastAsia="Calibri"/>
          <w:sz w:val="24"/>
          <w:szCs w:val="24"/>
        </w:rPr>
      </w:pPr>
      <w:r w:rsidRPr="00FE0A3E">
        <w:rPr>
          <w:rFonts w:eastAsia="Calibri"/>
          <w:sz w:val="24"/>
          <w:szCs w:val="24"/>
        </w:rPr>
        <w:t>Paragraph (d)(4) requires the employer to provide the information to the outside fire response organization to be used.</w:t>
      </w:r>
    </w:p>
    <w:p w:rsidRPr="00FE0A3E" w:rsidR="00FE0A3E" w:rsidP="00FE0A3E" w:rsidRDefault="00FE0A3E" w14:paraId="718BF0B6" w14:textId="77777777">
      <w:pPr>
        <w:rPr>
          <w:rFonts w:eastAsia="Calibri"/>
          <w:sz w:val="24"/>
          <w:szCs w:val="24"/>
        </w:rPr>
      </w:pPr>
    </w:p>
    <w:p w:rsidRPr="00FE0A3E" w:rsidR="00FE0A3E" w:rsidP="00FE0A3E" w:rsidRDefault="00FE0A3E" w14:paraId="209E574D" w14:textId="77777777">
      <w:pPr>
        <w:numPr>
          <w:ilvl w:val="0"/>
          <w:numId w:val="2"/>
        </w:numPr>
        <w:spacing w:after="200" w:line="276" w:lineRule="auto"/>
        <w:contextualSpacing/>
        <w:rPr>
          <w:rFonts w:eastAsia="Calibri"/>
          <w:b/>
          <w:sz w:val="24"/>
          <w:szCs w:val="24"/>
        </w:rPr>
      </w:pPr>
      <w:r w:rsidRPr="00FE0A3E">
        <w:rPr>
          <w:rFonts w:eastAsia="Calibri"/>
          <w:b/>
          <w:sz w:val="24"/>
          <w:szCs w:val="24"/>
        </w:rPr>
        <w:t>1915.507 – landside Fire Protection Systems.</w:t>
      </w:r>
    </w:p>
    <w:p w:rsidRPr="00FE0A3E" w:rsidR="00FE0A3E" w:rsidP="00FE0A3E" w:rsidRDefault="00FE0A3E" w14:paraId="7587EF13" w14:textId="77777777">
      <w:pPr>
        <w:rPr>
          <w:rFonts w:eastAsia="Calibri"/>
          <w:b/>
          <w:sz w:val="24"/>
          <w:szCs w:val="24"/>
        </w:rPr>
      </w:pPr>
    </w:p>
    <w:p w:rsidRPr="00FE0A3E" w:rsidR="00FE0A3E" w:rsidP="00FE0A3E" w:rsidRDefault="00FE0A3E" w14:paraId="7AEB9E64" w14:textId="77777777">
      <w:pPr>
        <w:rPr>
          <w:rFonts w:eastAsia="Calibri"/>
          <w:sz w:val="24"/>
          <w:szCs w:val="24"/>
        </w:rPr>
      </w:pPr>
      <w:r w:rsidRPr="00FE0A3E">
        <w:rPr>
          <w:rFonts w:eastAsia="Calibri"/>
          <w:sz w:val="24"/>
          <w:szCs w:val="24"/>
        </w:rPr>
        <w:t xml:space="preserve">Paragraph (c)(2) requires employers to notify </w:t>
      </w:r>
      <w:r w:rsidR="00B97D5E">
        <w:rPr>
          <w:rFonts w:eastAsia="Calibri"/>
          <w:sz w:val="24"/>
          <w:szCs w:val="24"/>
        </w:rPr>
        <w:t>employee</w:t>
      </w:r>
      <w:r w:rsidRPr="00FE0A3E">
        <w:rPr>
          <w:rFonts w:eastAsia="Calibri"/>
          <w:sz w:val="24"/>
          <w:szCs w:val="24"/>
        </w:rPr>
        <w:t xml:space="preserve">s and take the necessary precautions to make sure </w:t>
      </w:r>
      <w:r w:rsidR="00B97D5E">
        <w:rPr>
          <w:rFonts w:eastAsia="Calibri"/>
          <w:sz w:val="24"/>
          <w:szCs w:val="24"/>
        </w:rPr>
        <w:t>employee</w:t>
      </w:r>
      <w:r w:rsidRPr="00FE0A3E">
        <w:rPr>
          <w:rFonts w:eastAsia="Calibri"/>
          <w:sz w:val="24"/>
          <w:szCs w:val="24"/>
        </w:rPr>
        <w:t>s are safe from fire if for any reason a fire extinguishing system stops working until the system is working again.</w:t>
      </w:r>
    </w:p>
    <w:p w:rsidRPr="00FE0A3E" w:rsidR="00FE0A3E" w:rsidP="00FE0A3E" w:rsidRDefault="00FE0A3E" w14:paraId="3C285126" w14:textId="77777777">
      <w:pPr>
        <w:rPr>
          <w:rFonts w:eastAsia="Calibri"/>
          <w:sz w:val="24"/>
          <w:szCs w:val="24"/>
        </w:rPr>
      </w:pPr>
    </w:p>
    <w:p w:rsidR="00FE0A3E" w:rsidP="00FE0A3E" w:rsidRDefault="00FE0A3E" w14:paraId="71BDEB27" w14:textId="611FE768">
      <w:pPr>
        <w:rPr>
          <w:rFonts w:eastAsia="Calibri"/>
          <w:sz w:val="24"/>
          <w:szCs w:val="24"/>
        </w:rPr>
      </w:pPr>
      <w:r w:rsidRPr="00FE0A3E">
        <w:rPr>
          <w:rFonts w:eastAsia="Calibri"/>
          <w:sz w:val="24"/>
          <w:szCs w:val="24"/>
        </w:rPr>
        <w:lastRenderedPageBreak/>
        <w:t xml:space="preserve">Paragraph (c)(5) requires the employer to post hazard warning or caution signs at both the entrances to and the inside of areas protected by fixed extinguishing systems that use extinguishing agents in concentrations known to be hazardous to </w:t>
      </w:r>
      <w:r w:rsidR="00B97D5E">
        <w:rPr>
          <w:rFonts w:eastAsia="Calibri"/>
          <w:sz w:val="24"/>
          <w:szCs w:val="24"/>
        </w:rPr>
        <w:t>employee</w:t>
      </w:r>
      <w:r w:rsidRPr="00FE0A3E">
        <w:rPr>
          <w:rFonts w:eastAsia="Calibri"/>
          <w:sz w:val="24"/>
          <w:szCs w:val="24"/>
        </w:rPr>
        <w:t xml:space="preserve"> safety or health.</w:t>
      </w:r>
    </w:p>
    <w:p w:rsidRPr="00FE0A3E" w:rsidR="000D6DAC" w:rsidP="00FE0A3E" w:rsidRDefault="000D6DAC" w14:paraId="1FFD63EA" w14:textId="77777777">
      <w:pPr>
        <w:rPr>
          <w:rFonts w:eastAsia="Calibri"/>
          <w:sz w:val="24"/>
          <w:szCs w:val="24"/>
        </w:rPr>
      </w:pPr>
    </w:p>
    <w:p w:rsidR="00FE0A3E" w:rsidP="00FE0A3E" w:rsidRDefault="00FE0A3E" w14:paraId="17272342" w14:textId="77777777">
      <w:pPr>
        <w:numPr>
          <w:ilvl w:val="0"/>
          <w:numId w:val="2"/>
        </w:numPr>
        <w:spacing w:after="200" w:line="276" w:lineRule="auto"/>
        <w:contextualSpacing/>
        <w:rPr>
          <w:rFonts w:eastAsia="Calibri"/>
          <w:b/>
          <w:sz w:val="24"/>
          <w:szCs w:val="24"/>
        </w:rPr>
      </w:pPr>
      <w:r w:rsidRPr="00FE0A3E">
        <w:rPr>
          <w:rFonts w:eastAsia="Calibri"/>
          <w:b/>
          <w:sz w:val="24"/>
          <w:szCs w:val="24"/>
        </w:rPr>
        <w:t xml:space="preserve">1915.508 – Training. </w:t>
      </w:r>
    </w:p>
    <w:p w:rsidRPr="00FE0A3E" w:rsidR="00CE319A" w:rsidP="00CE319A" w:rsidRDefault="00CE319A" w14:paraId="53805A11" w14:textId="77777777">
      <w:pPr>
        <w:spacing w:after="200" w:line="276" w:lineRule="auto"/>
        <w:ind w:left="360"/>
        <w:contextualSpacing/>
        <w:rPr>
          <w:rFonts w:eastAsia="Calibri"/>
          <w:b/>
          <w:sz w:val="24"/>
          <w:szCs w:val="24"/>
        </w:rPr>
      </w:pPr>
    </w:p>
    <w:p w:rsidRPr="00FE0A3E" w:rsidR="00FE0A3E" w:rsidP="00FE0A3E" w:rsidRDefault="00FE0A3E" w14:paraId="7E0C15C3" w14:textId="77777777">
      <w:pPr>
        <w:rPr>
          <w:rFonts w:eastAsia="Calibri"/>
          <w:sz w:val="24"/>
          <w:szCs w:val="24"/>
        </w:rPr>
      </w:pPr>
      <w:r w:rsidRPr="00FE0A3E">
        <w:rPr>
          <w:rFonts w:eastAsia="Calibri"/>
          <w:sz w:val="24"/>
          <w:szCs w:val="24"/>
        </w:rPr>
        <w:t xml:space="preserve">Paragraph (d)(1) requires the employer to have a written training policy stating that fire response </w:t>
      </w:r>
      <w:r w:rsidR="00B97D5E">
        <w:rPr>
          <w:rFonts w:eastAsia="Calibri"/>
          <w:sz w:val="24"/>
          <w:szCs w:val="24"/>
        </w:rPr>
        <w:t>employee</w:t>
      </w:r>
      <w:r w:rsidRPr="00FE0A3E">
        <w:rPr>
          <w:rFonts w:eastAsia="Calibri"/>
          <w:sz w:val="24"/>
          <w:szCs w:val="24"/>
        </w:rPr>
        <w:t xml:space="preserve">s are to be trained and capable of carrying out their duties and responsibilities at all times.  </w:t>
      </w:r>
    </w:p>
    <w:p w:rsidRPr="00FE0A3E" w:rsidR="00FE0A3E" w:rsidP="00FE0A3E" w:rsidRDefault="00FE0A3E" w14:paraId="30ABE702" w14:textId="77777777">
      <w:pPr>
        <w:rPr>
          <w:rFonts w:eastAsia="Calibri"/>
          <w:sz w:val="24"/>
          <w:szCs w:val="24"/>
        </w:rPr>
      </w:pPr>
    </w:p>
    <w:p w:rsidRPr="00FE0A3E" w:rsidR="00FE0A3E" w:rsidP="00FE0A3E" w:rsidRDefault="00FE0A3E" w14:paraId="4DC9F34B" w14:textId="77777777">
      <w:pPr>
        <w:rPr>
          <w:rFonts w:eastAsia="Calibri"/>
          <w:sz w:val="24"/>
          <w:szCs w:val="24"/>
        </w:rPr>
      </w:pPr>
      <w:r w:rsidRPr="00FE0A3E">
        <w:rPr>
          <w:rFonts w:eastAsia="Calibri"/>
          <w:sz w:val="24"/>
          <w:szCs w:val="24"/>
        </w:rPr>
        <w:t xml:space="preserve">Paragraph (d)(2) requires the employer to keep written standard operating procedures that address anticipated emergency operations and to update these procedures as necessary.  </w:t>
      </w:r>
      <w:r w:rsidRPr="00B42088">
        <w:rPr>
          <w:rFonts w:eastAsia="Calibri"/>
          <w:sz w:val="24"/>
          <w:szCs w:val="24"/>
          <w:u w:val="single"/>
        </w:rPr>
        <w:t>Note</w:t>
      </w:r>
      <w:r w:rsidRPr="00FE0A3E">
        <w:rPr>
          <w:rFonts w:eastAsia="Calibri"/>
          <w:sz w:val="24"/>
          <w:szCs w:val="24"/>
        </w:rPr>
        <w:t xml:space="preserve"> that operating procedures are also required in 1915.505(b)(1)(iv).</w:t>
      </w:r>
    </w:p>
    <w:p w:rsidRPr="00FE0A3E" w:rsidR="00FE0A3E" w:rsidP="00FE0A3E" w:rsidRDefault="00FE0A3E" w14:paraId="57876D98" w14:textId="77777777">
      <w:pPr>
        <w:rPr>
          <w:rFonts w:eastAsia="Calibri"/>
          <w:sz w:val="24"/>
          <w:szCs w:val="24"/>
        </w:rPr>
      </w:pPr>
    </w:p>
    <w:p w:rsidRPr="00FE0A3E" w:rsidR="00FE0A3E" w:rsidP="00FE0A3E" w:rsidRDefault="00FE0A3E" w14:paraId="018448E6" w14:textId="77777777">
      <w:pPr>
        <w:rPr>
          <w:rFonts w:eastAsia="Calibri"/>
          <w:sz w:val="24"/>
          <w:szCs w:val="24"/>
        </w:rPr>
      </w:pPr>
      <w:r w:rsidRPr="00FE0A3E">
        <w:rPr>
          <w:rFonts w:eastAsia="Calibri"/>
          <w:sz w:val="24"/>
          <w:szCs w:val="24"/>
        </w:rPr>
        <w:t xml:space="preserve">Paragraph (f) requires that employers keep records that demonstrate that employees have been trained as required by paragraphs (a) through (e).  </w:t>
      </w:r>
      <w:r w:rsidR="009132EB">
        <w:rPr>
          <w:rFonts w:eastAsia="Calibri"/>
          <w:sz w:val="24"/>
          <w:szCs w:val="24"/>
        </w:rPr>
        <w:t>In accordance with paragraph (f)(1), t</w:t>
      </w:r>
      <w:r w:rsidRPr="00FE0A3E">
        <w:rPr>
          <w:rFonts w:eastAsia="Calibri"/>
          <w:sz w:val="24"/>
          <w:szCs w:val="24"/>
        </w:rPr>
        <w:t>he records must include the following information:</w:t>
      </w:r>
    </w:p>
    <w:p w:rsidRPr="00FE0A3E" w:rsidR="00FE0A3E" w:rsidP="00FE0A3E" w:rsidRDefault="00FE0A3E" w14:paraId="4AED4984" w14:textId="77777777">
      <w:pPr>
        <w:rPr>
          <w:rFonts w:eastAsia="Calibri"/>
          <w:sz w:val="24"/>
          <w:szCs w:val="24"/>
        </w:rPr>
      </w:pPr>
    </w:p>
    <w:p w:rsidRPr="00FE0A3E" w:rsidR="00FE0A3E" w:rsidP="00FE0A3E" w:rsidRDefault="00FE0A3E" w14:paraId="0C2A1C02" w14:textId="77777777">
      <w:pPr>
        <w:numPr>
          <w:ilvl w:val="0"/>
          <w:numId w:val="14"/>
        </w:numPr>
        <w:spacing w:after="200" w:line="276" w:lineRule="auto"/>
        <w:contextualSpacing/>
        <w:rPr>
          <w:rFonts w:eastAsia="Calibri"/>
          <w:sz w:val="24"/>
          <w:szCs w:val="24"/>
        </w:rPr>
      </w:pPr>
      <w:r w:rsidRPr="00FE0A3E">
        <w:rPr>
          <w:rFonts w:eastAsia="Calibri"/>
          <w:sz w:val="24"/>
          <w:szCs w:val="24"/>
        </w:rPr>
        <w:t>Employee’s name;</w:t>
      </w:r>
    </w:p>
    <w:p w:rsidRPr="00FE0A3E" w:rsidR="00FE0A3E" w:rsidP="00FE0A3E" w:rsidRDefault="00FE0A3E" w14:paraId="46812981" w14:textId="77777777">
      <w:pPr>
        <w:numPr>
          <w:ilvl w:val="0"/>
          <w:numId w:val="14"/>
        </w:numPr>
        <w:spacing w:after="200" w:line="276" w:lineRule="auto"/>
        <w:contextualSpacing/>
        <w:rPr>
          <w:rFonts w:eastAsia="Calibri"/>
          <w:sz w:val="24"/>
          <w:szCs w:val="24"/>
        </w:rPr>
      </w:pPr>
      <w:r w:rsidRPr="00FE0A3E">
        <w:rPr>
          <w:rFonts w:eastAsia="Calibri"/>
          <w:sz w:val="24"/>
          <w:szCs w:val="24"/>
        </w:rPr>
        <w:t>The trainer’s name;</w:t>
      </w:r>
    </w:p>
    <w:p w:rsidRPr="00FE0A3E" w:rsidR="00FE0A3E" w:rsidP="00FE0A3E" w:rsidRDefault="00FE0A3E" w14:paraId="64221D37" w14:textId="77777777">
      <w:pPr>
        <w:numPr>
          <w:ilvl w:val="0"/>
          <w:numId w:val="14"/>
        </w:numPr>
        <w:spacing w:after="200" w:line="276" w:lineRule="auto"/>
        <w:contextualSpacing/>
        <w:rPr>
          <w:rFonts w:eastAsia="Calibri"/>
          <w:sz w:val="24"/>
          <w:szCs w:val="24"/>
        </w:rPr>
      </w:pPr>
      <w:r w:rsidRPr="00FE0A3E">
        <w:rPr>
          <w:rFonts w:eastAsia="Calibri"/>
          <w:sz w:val="24"/>
          <w:szCs w:val="24"/>
        </w:rPr>
        <w:t xml:space="preserve">The types of training; and </w:t>
      </w:r>
    </w:p>
    <w:p w:rsidRPr="00FE0A3E" w:rsidR="00FE0A3E" w:rsidP="00FE0A3E" w:rsidRDefault="00FE0A3E" w14:paraId="0BC7C1A4" w14:textId="77777777">
      <w:pPr>
        <w:numPr>
          <w:ilvl w:val="0"/>
          <w:numId w:val="14"/>
        </w:numPr>
        <w:spacing w:after="200" w:line="276" w:lineRule="auto"/>
        <w:contextualSpacing/>
        <w:rPr>
          <w:rFonts w:eastAsia="Calibri"/>
          <w:sz w:val="24"/>
          <w:szCs w:val="24"/>
        </w:rPr>
      </w:pPr>
      <w:r w:rsidRPr="00FE0A3E">
        <w:rPr>
          <w:rFonts w:eastAsia="Calibri"/>
          <w:sz w:val="24"/>
          <w:szCs w:val="24"/>
        </w:rPr>
        <w:t>The date(s) on which the training took place.</w:t>
      </w:r>
    </w:p>
    <w:p w:rsidRPr="00FE0A3E" w:rsidR="00FE0A3E" w:rsidP="00FE0A3E" w:rsidRDefault="00FE0A3E" w14:paraId="095C7152" w14:textId="77777777">
      <w:pPr>
        <w:rPr>
          <w:rFonts w:eastAsia="Calibri"/>
          <w:sz w:val="24"/>
          <w:szCs w:val="24"/>
        </w:rPr>
      </w:pPr>
    </w:p>
    <w:p w:rsidRPr="00FE0A3E" w:rsidR="00FE0A3E" w:rsidP="00FE0A3E" w:rsidRDefault="00FE0A3E" w14:paraId="3A7407DE" w14:textId="77777777">
      <w:pPr>
        <w:rPr>
          <w:rFonts w:eastAsia="Calibri"/>
          <w:sz w:val="24"/>
          <w:szCs w:val="24"/>
        </w:rPr>
      </w:pPr>
      <w:r w:rsidRPr="00FE0A3E">
        <w:rPr>
          <w:rFonts w:eastAsia="Calibri"/>
          <w:sz w:val="24"/>
          <w:szCs w:val="24"/>
        </w:rPr>
        <w:t>Paragraph (</w:t>
      </w:r>
      <w:r w:rsidR="009132EB">
        <w:rPr>
          <w:rFonts w:eastAsia="Calibri"/>
          <w:sz w:val="24"/>
          <w:szCs w:val="24"/>
        </w:rPr>
        <w:t>f</w:t>
      </w:r>
      <w:r w:rsidRPr="00FE0A3E">
        <w:rPr>
          <w:rFonts w:eastAsia="Calibri"/>
          <w:sz w:val="24"/>
          <w:szCs w:val="24"/>
        </w:rPr>
        <w:t xml:space="preserve">)(2) requires the employer to keep each training record for one year from the time it was made or until it is replaced, whichever is </w:t>
      </w:r>
      <w:r w:rsidRPr="00FE0A3E">
        <w:rPr>
          <w:rFonts w:eastAsia="Calibri"/>
          <w:sz w:val="24"/>
          <w:szCs w:val="24"/>
        </w:rPr>
        <w:lastRenderedPageBreak/>
        <w:t>shorter, and to make it available for inspection and copying by OSHA personnel on request.</w:t>
      </w:r>
    </w:p>
    <w:p w:rsidRPr="00FE0A3E" w:rsidR="00FE0A3E" w:rsidP="00FE0A3E" w:rsidRDefault="00FE0A3E" w14:paraId="105EA884" w14:textId="77777777">
      <w:pPr>
        <w:rPr>
          <w:rFonts w:eastAsia="Calibri"/>
          <w:sz w:val="24"/>
          <w:szCs w:val="24"/>
        </w:rPr>
      </w:pPr>
    </w:p>
    <w:p w:rsidRPr="00FE0A3E" w:rsidR="00FE0A3E" w:rsidP="00FE0A3E" w:rsidRDefault="00FE0A3E" w14:paraId="1A7393C4" w14:textId="77777777">
      <w:pPr>
        <w:rPr>
          <w:rFonts w:eastAsia="Calibri"/>
          <w:sz w:val="24"/>
          <w:szCs w:val="24"/>
        </w:rPr>
      </w:pPr>
      <w:r w:rsidRPr="00FE0A3E">
        <w:rPr>
          <w:rFonts w:eastAsia="Calibri"/>
          <w:sz w:val="24"/>
          <w:szCs w:val="24"/>
        </w:rPr>
        <w:t>OSHA will use the records developed in response to this Standard to determine compliance with the safety and health provisions of the Standard.  The employer’s failure to generate and disclose the information required in this Standard will affect significantly OSHA’s effort to control and reduce injuries and fatalities related to fires in shipyard employment.</w:t>
      </w:r>
    </w:p>
    <w:p w:rsidRPr="00FE0A3E" w:rsidR="00FE0A3E" w:rsidP="00FE0A3E" w:rsidRDefault="00FE0A3E" w14:paraId="5EF88870" w14:textId="77777777">
      <w:pPr>
        <w:rPr>
          <w:rFonts w:eastAsia="Calibri"/>
          <w:sz w:val="24"/>
          <w:szCs w:val="24"/>
        </w:rPr>
      </w:pPr>
    </w:p>
    <w:p w:rsidRPr="003C27DC" w:rsidR="00FE0A3E" w:rsidP="00FE0A3E" w:rsidRDefault="00FE0A3E" w14:paraId="7F972067" w14:textId="77777777">
      <w:pPr>
        <w:rPr>
          <w:rFonts w:eastAsia="Calibri"/>
          <w:b/>
          <w:sz w:val="24"/>
          <w:szCs w:val="24"/>
        </w:rPr>
      </w:pPr>
      <w:r w:rsidRPr="003C27DC">
        <w:rPr>
          <w:rFonts w:eastAsia="Calibri"/>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3C27DC" w:rsidR="00F5644F">
        <w:rPr>
          <w:rFonts w:eastAsia="Calibri"/>
          <w:b/>
          <w:sz w:val="24"/>
          <w:szCs w:val="24"/>
        </w:rPr>
        <w:t>,</w:t>
      </w:r>
      <w:r w:rsidRPr="003C27DC">
        <w:rPr>
          <w:rFonts w:eastAsia="Calibri"/>
          <w:b/>
          <w:sz w:val="24"/>
          <w:szCs w:val="24"/>
        </w:rPr>
        <w:t xml:space="preserve"> describe any consideration of using information technology to reduce burden.</w:t>
      </w:r>
    </w:p>
    <w:p w:rsidRPr="00FE0A3E" w:rsidR="00FE0A3E" w:rsidP="00FE0A3E" w:rsidRDefault="00FE0A3E" w14:paraId="63C308F3" w14:textId="77777777">
      <w:pPr>
        <w:rPr>
          <w:rFonts w:eastAsia="Calibri"/>
          <w:b/>
          <w:sz w:val="24"/>
          <w:szCs w:val="24"/>
        </w:rPr>
      </w:pPr>
    </w:p>
    <w:p w:rsidRPr="00FE0A3E" w:rsidR="00FE0A3E" w:rsidP="00FE0A3E" w:rsidRDefault="00FE0A3E" w14:paraId="4C3B4418" w14:textId="77777777">
      <w:pPr>
        <w:rPr>
          <w:rFonts w:eastAsia="Calibri"/>
          <w:sz w:val="24"/>
          <w:szCs w:val="24"/>
        </w:rPr>
      </w:pPr>
      <w:r w:rsidRPr="00FE0A3E">
        <w:rPr>
          <w:rFonts w:eastAsia="Calibri"/>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w:t>
      </w:r>
      <w:r w:rsidR="00F5644F">
        <w:rPr>
          <w:rFonts w:eastAsia="Calibri"/>
          <w:sz w:val="24"/>
          <w:szCs w:val="24"/>
        </w:rPr>
        <w:t xml:space="preserve">the </w:t>
      </w:r>
      <w:r w:rsidRPr="00FE0A3E">
        <w:rPr>
          <w:rFonts w:eastAsia="Calibri"/>
          <w:sz w:val="24"/>
          <w:szCs w:val="24"/>
        </w:rPr>
        <w:t xml:space="preserve">performance-oriented language (i.e., in terms of </w:t>
      </w:r>
      <w:r w:rsidRPr="00FE0A3E">
        <w:rPr>
          <w:rFonts w:eastAsia="Calibri"/>
          <w:sz w:val="24"/>
          <w:szCs w:val="24"/>
          <w:u w:val="single"/>
        </w:rPr>
        <w:t>what</w:t>
      </w:r>
      <w:r w:rsidRPr="00FE0A3E">
        <w:rPr>
          <w:rFonts w:eastAsia="Calibri"/>
          <w:sz w:val="24"/>
          <w:szCs w:val="24"/>
        </w:rPr>
        <w:t xml:space="preserve"> date to collect, not </w:t>
      </w:r>
      <w:r w:rsidRPr="00FE0A3E">
        <w:rPr>
          <w:rFonts w:eastAsia="Calibri"/>
          <w:sz w:val="24"/>
          <w:szCs w:val="24"/>
          <w:u w:val="single"/>
        </w:rPr>
        <w:t>how</w:t>
      </w:r>
      <w:r w:rsidRPr="00FE0A3E">
        <w:rPr>
          <w:rFonts w:eastAsia="Calibri"/>
          <w:sz w:val="24"/>
          <w:szCs w:val="24"/>
        </w:rPr>
        <w:t xml:space="preserve"> to record the data).  Advanced data processing programs permit easier accessibility to collect information during OSHA inspections.  They also permit the storage of collected information at locations other than the place of inspection if the employer can deliver the data quickly to the place of inspection (i.e., e-mail, telefax, or other electronic data transfer method).</w:t>
      </w:r>
    </w:p>
    <w:p w:rsidRPr="00FE0A3E" w:rsidR="00FE0A3E" w:rsidP="00FE0A3E" w:rsidRDefault="00FE0A3E" w14:paraId="18B02330" w14:textId="77777777">
      <w:pPr>
        <w:rPr>
          <w:rFonts w:eastAsia="Calibri"/>
          <w:sz w:val="24"/>
          <w:szCs w:val="24"/>
        </w:rPr>
      </w:pPr>
    </w:p>
    <w:p w:rsidRPr="003C27DC" w:rsidR="00FE0A3E" w:rsidP="00FE0A3E" w:rsidRDefault="00FE0A3E" w14:paraId="3842B371" w14:textId="77777777">
      <w:pPr>
        <w:rPr>
          <w:rFonts w:eastAsia="Calibri"/>
          <w:b/>
          <w:sz w:val="24"/>
          <w:szCs w:val="24"/>
        </w:rPr>
      </w:pPr>
      <w:r w:rsidRPr="003C27DC">
        <w:rPr>
          <w:rFonts w:eastAsia="Calibri"/>
          <w:b/>
          <w:sz w:val="24"/>
          <w:szCs w:val="24"/>
        </w:rPr>
        <w:t>4.  Describe efforts to identify duplication.  Show specifically why any similar information already available cannot be used or modified for use for the purpose(s) described in A.2 above.</w:t>
      </w:r>
    </w:p>
    <w:p w:rsidRPr="00FE0A3E" w:rsidR="00FE0A3E" w:rsidP="00FE0A3E" w:rsidRDefault="00FE0A3E" w14:paraId="71EAC912" w14:textId="77777777">
      <w:pPr>
        <w:rPr>
          <w:rFonts w:eastAsia="Calibri"/>
          <w:b/>
          <w:sz w:val="24"/>
          <w:szCs w:val="24"/>
        </w:rPr>
      </w:pPr>
    </w:p>
    <w:p w:rsidRPr="00FE0A3E" w:rsidR="00FE0A3E" w:rsidP="00FE0A3E" w:rsidRDefault="00FE0A3E" w14:paraId="57309B44" w14:textId="77777777">
      <w:pPr>
        <w:rPr>
          <w:rFonts w:eastAsia="Calibri"/>
          <w:sz w:val="24"/>
          <w:szCs w:val="24"/>
        </w:rPr>
      </w:pPr>
      <w:r w:rsidRPr="00FE0A3E">
        <w:rPr>
          <w:rFonts w:eastAsia="Calibri"/>
          <w:sz w:val="24"/>
          <w:szCs w:val="24"/>
        </w:rPr>
        <w:t>The requirements in the Standard for information, plans, and programs closely match those that shipyards already have developed or provide.  In some cases, smaller shipyards may not have established these policies in a written document.  Since the existing information and programs are, in most cases, sufficient to satisfy the requirements of the standard, employers will not have to duplicate the same information just to satisfy the standard if they already have a program.  Only those shipyard employers without programs will have to develop and document new programs and information.</w:t>
      </w:r>
    </w:p>
    <w:p w:rsidRPr="00FE0A3E" w:rsidR="00FE0A3E" w:rsidP="00FE0A3E" w:rsidRDefault="00FE0A3E" w14:paraId="7EC176E9" w14:textId="77777777">
      <w:pPr>
        <w:rPr>
          <w:rFonts w:eastAsia="Calibri"/>
          <w:sz w:val="24"/>
          <w:szCs w:val="24"/>
        </w:rPr>
      </w:pPr>
    </w:p>
    <w:p w:rsidRPr="003C27DC" w:rsidR="00FE0A3E" w:rsidP="00FE0A3E" w:rsidRDefault="00FE0A3E" w14:paraId="5EFBC878" w14:textId="77777777">
      <w:pPr>
        <w:rPr>
          <w:rFonts w:eastAsia="Calibri"/>
          <w:b/>
          <w:sz w:val="24"/>
          <w:szCs w:val="24"/>
        </w:rPr>
      </w:pPr>
      <w:r w:rsidRPr="003C27DC">
        <w:rPr>
          <w:rFonts w:eastAsia="Calibri"/>
          <w:b/>
          <w:sz w:val="24"/>
          <w:szCs w:val="24"/>
        </w:rPr>
        <w:t>5.  If the collection of information impacts small businesses or other small entities, describe the methods used to reduce the burden.</w:t>
      </w:r>
    </w:p>
    <w:p w:rsidRPr="00FE0A3E" w:rsidR="00FE0A3E" w:rsidP="00FE0A3E" w:rsidRDefault="00FE0A3E" w14:paraId="7C469F4C" w14:textId="77777777">
      <w:pPr>
        <w:rPr>
          <w:rFonts w:eastAsia="Calibri"/>
          <w:b/>
          <w:sz w:val="24"/>
          <w:szCs w:val="24"/>
        </w:rPr>
      </w:pPr>
    </w:p>
    <w:p w:rsidRPr="00FE0A3E" w:rsidR="00FE0A3E" w:rsidP="00FE0A3E" w:rsidRDefault="00FE0A3E" w14:paraId="3C5A228B" w14:textId="77777777">
      <w:pPr>
        <w:rPr>
          <w:rFonts w:eastAsia="Calibri"/>
          <w:sz w:val="24"/>
          <w:szCs w:val="24"/>
        </w:rPr>
      </w:pPr>
      <w:r w:rsidRPr="00FE0A3E">
        <w:rPr>
          <w:rFonts w:eastAsia="Calibri"/>
          <w:sz w:val="24"/>
          <w:szCs w:val="24"/>
        </w:rPr>
        <w:t xml:space="preserve">The information collection requirements specified by the Standard do not have a significant impact on a substantial number of small entities.  The final standard uses performance language whenever possible to provide compliance flexibility to employers and reduce the impact on small businesses.  Performance language may require the use of a level of safety and health technical competence not always available to small business employers.  To reduce this burden upon small businesses or other small entities, OSHA developed a non-mandatory appendix to this standard to provide useful compliance information and guidance to small businesses and other small entities.  Further, many states, through </w:t>
      </w:r>
      <w:r w:rsidRPr="00FE0A3E">
        <w:rPr>
          <w:rFonts w:eastAsia="Calibri"/>
          <w:sz w:val="24"/>
          <w:szCs w:val="24"/>
        </w:rPr>
        <w:lastRenderedPageBreak/>
        <w:t>Federal grants, provide consultation programs to assist small businesses in their compliance efforts.</w:t>
      </w:r>
    </w:p>
    <w:p w:rsidRPr="00FE0A3E" w:rsidR="00FE0A3E" w:rsidP="00FE0A3E" w:rsidRDefault="00FE0A3E" w14:paraId="68EBF2C1" w14:textId="77777777">
      <w:pPr>
        <w:rPr>
          <w:rFonts w:eastAsia="Calibri"/>
          <w:sz w:val="24"/>
          <w:szCs w:val="24"/>
        </w:rPr>
      </w:pPr>
    </w:p>
    <w:p w:rsidRPr="003C27DC" w:rsidR="00FE0A3E" w:rsidP="00FE0A3E" w:rsidRDefault="00FE0A3E" w14:paraId="3ECCC229" w14:textId="77777777">
      <w:pPr>
        <w:rPr>
          <w:rFonts w:eastAsia="Calibri"/>
          <w:b/>
          <w:sz w:val="24"/>
          <w:szCs w:val="24"/>
        </w:rPr>
      </w:pPr>
      <w:r w:rsidRPr="003C27DC">
        <w:rPr>
          <w:rFonts w:eastAsia="Calibri"/>
          <w:b/>
          <w:sz w:val="24"/>
          <w:szCs w:val="24"/>
        </w:rPr>
        <w:t xml:space="preserve">6.  </w:t>
      </w:r>
      <w:r w:rsidRPr="003C27DC" w:rsidR="008421E3">
        <w:rPr>
          <w:b/>
          <w:bCs/>
          <w:sz w:val="24"/>
          <w:szCs w:val="24"/>
        </w:rPr>
        <w:t>Describe the consequence to federal program or policy activities if the collection is not conducted or is conducted less frequently, as well as any technical or legal obstacles to reducing burden.</w:t>
      </w:r>
    </w:p>
    <w:p w:rsidRPr="00FA577F" w:rsidR="00FE0A3E" w:rsidP="00FE0A3E" w:rsidRDefault="00FE0A3E" w14:paraId="504175E3" w14:textId="77777777">
      <w:pPr>
        <w:rPr>
          <w:rFonts w:eastAsia="Calibri"/>
          <w:b/>
          <w:sz w:val="24"/>
          <w:szCs w:val="24"/>
        </w:rPr>
      </w:pPr>
    </w:p>
    <w:p w:rsidRPr="00FE0A3E" w:rsidR="00FE0A3E" w:rsidP="00FE0A3E" w:rsidRDefault="00FE0A3E" w14:paraId="7A545AE1" w14:textId="77777777">
      <w:pPr>
        <w:rPr>
          <w:rFonts w:eastAsia="Calibri"/>
          <w:sz w:val="24"/>
          <w:szCs w:val="24"/>
        </w:rPr>
      </w:pPr>
      <w:r w:rsidRPr="00FE0A3E">
        <w:rPr>
          <w:rFonts w:eastAsia="Calibri"/>
          <w:sz w:val="24"/>
          <w:szCs w:val="24"/>
        </w:rPr>
        <w:t>The Agency believes that the information collection frequencies required by the Standard are the minimum frequencies necessary to effectively regulate fire hazards in shipyard employment, and thereby, fulfill its mandate “to assure so far as possible every working man and woman in the nation safe and healthful working conditions and to preserve our human resources” as specified in the Act at 29 U.S.C. 651.</w:t>
      </w:r>
    </w:p>
    <w:p w:rsidRPr="00FE0A3E" w:rsidR="00FE0A3E" w:rsidP="00FE0A3E" w:rsidRDefault="00FE0A3E" w14:paraId="112F6CA4" w14:textId="77777777">
      <w:pPr>
        <w:rPr>
          <w:rFonts w:eastAsia="Calibri"/>
          <w:sz w:val="24"/>
          <w:szCs w:val="24"/>
        </w:rPr>
      </w:pPr>
    </w:p>
    <w:p w:rsidRPr="003C27DC" w:rsidR="00FE0A3E" w:rsidP="00FE0A3E" w:rsidRDefault="00FE0A3E" w14:paraId="63678FA4" w14:textId="77777777">
      <w:pPr>
        <w:rPr>
          <w:rFonts w:eastAsia="Calibri"/>
          <w:b/>
          <w:sz w:val="24"/>
          <w:szCs w:val="24"/>
        </w:rPr>
      </w:pPr>
      <w:r w:rsidRPr="003C27DC">
        <w:rPr>
          <w:rFonts w:eastAsia="Calibri"/>
          <w:b/>
          <w:sz w:val="24"/>
          <w:szCs w:val="24"/>
        </w:rPr>
        <w:t>7.  Explain any special circumstances that would cause an information collection to be conducted in a manner:</w:t>
      </w:r>
    </w:p>
    <w:p w:rsidRPr="003C27DC" w:rsidR="00FE0A3E" w:rsidP="00FE0A3E" w:rsidRDefault="00FE0A3E" w14:paraId="16FE6C09" w14:textId="77777777">
      <w:pPr>
        <w:rPr>
          <w:rFonts w:eastAsia="Calibri"/>
          <w:b/>
          <w:sz w:val="24"/>
          <w:szCs w:val="24"/>
        </w:rPr>
      </w:pPr>
    </w:p>
    <w:p w:rsidRPr="003C27DC" w:rsidR="00FE0A3E" w:rsidP="003C27DC" w:rsidRDefault="00FE0A3E" w14:paraId="39834680" w14:textId="77777777">
      <w:pPr>
        <w:numPr>
          <w:ilvl w:val="0"/>
          <w:numId w:val="15"/>
        </w:numPr>
        <w:contextualSpacing/>
        <w:rPr>
          <w:rFonts w:eastAsia="Calibri"/>
          <w:b/>
          <w:sz w:val="24"/>
          <w:szCs w:val="24"/>
        </w:rPr>
      </w:pPr>
      <w:r w:rsidRPr="003C27DC">
        <w:rPr>
          <w:rFonts w:eastAsia="Calibri"/>
          <w:b/>
          <w:sz w:val="24"/>
          <w:szCs w:val="24"/>
        </w:rPr>
        <w:t>Requiring respondents to report information to the agency more often than quarterly;</w:t>
      </w:r>
    </w:p>
    <w:p w:rsidRPr="003C27DC" w:rsidR="00FE0A3E" w:rsidP="00FA577F" w:rsidRDefault="00FE0A3E" w14:paraId="7C345CEF" w14:textId="77777777">
      <w:pPr>
        <w:ind w:left="360"/>
        <w:contextualSpacing/>
        <w:rPr>
          <w:rFonts w:eastAsia="Calibri"/>
          <w:b/>
          <w:sz w:val="24"/>
          <w:szCs w:val="24"/>
        </w:rPr>
      </w:pPr>
    </w:p>
    <w:p w:rsidRPr="003C27DC" w:rsidR="00FE0A3E" w:rsidP="003C27DC" w:rsidRDefault="00FE0A3E" w14:paraId="7FDE451D" w14:textId="77777777">
      <w:pPr>
        <w:numPr>
          <w:ilvl w:val="0"/>
          <w:numId w:val="15"/>
        </w:numPr>
        <w:contextualSpacing/>
        <w:rPr>
          <w:rFonts w:eastAsia="Calibri"/>
          <w:b/>
          <w:sz w:val="24"/>
          <w:szCs w:val="24"/>
        </w:rPr>
      </w:pPr>
      <w:r w:rsidRPr="003C27DC">
        <w:rPr>
          <w:rFonts w:eastAsia="Calibri"/>
          <w:b/>
          <w:sz w:val="24"/>
          <w:szCs w:val="24"/>
        </w:rPr>
        <w:t>Requiring respondents to prepare a written response to a collection of information in fewer than 30 days after receipt of it;</w:t>
      </w:r>
    </w:p>
    <w:p w:rsidRPr="003C27DC" w:rsidR="00FE0A3E" w:rsidP="00FA577F" w:rsidRDefault="00FE0A3E" w14:paraId="0D0E7953" w14:textId="77777777">
      <w:pPr>
        <w:ind w:left="360"/>
        <w:contextualSpacing/>
        <w:rPr>
          <w:rFonts w:eastAsia="Calibri"/>
          <w:b/>
          <w:sz w:val="24"/>
          <w:szCs w:val="24"/>
        </w:rPr>
      </w:pPr>
    </w:p>
    <w:p w:rsidRPr="003C27DC" w:rsidR="00FE0A3E" w:rsidP="003C27DC" w:rsidRDefault="00FE0A3E" w14:paraId="7F512E81" w14:textId="77777777">
      <w:pPr>
        <w:numPr>
          <w:ilvl w:val="0"/>
          <w:numId w:val="15"/>
        </w:numPr>
        <w:contextualSpacing/>
        <w:rPr>
          <w:rFonts w:eastAsia="Calibri"/>
          <w:b/>
          <w:sz w:val="24"/>
          <w:szCs w:val="24"/>
        </w:rPr>
      </w:pPr>
      <w:r w:rsidRPr="003C27DC">
        <w:rPr>
          <w:rFonts w:eastAsia="Calibri"/>
          <w:b/>
          <w:sz w:val="24"/>
          <w:szCs w:val="24"/>
        </w:rPr>
        <w:t>Requiring respondents to submit more than an original  and two copies of any document;</w:t>
      </w:r>
    </w:p>
    <w:p w:rsidRPr="003C27DC" w:rsidR="00FE0A3E" w:rsidP="00FA577F" w:rsidRDefault="00FE0A3E" w14:paraId="68720465" w14:textId="77777777">
      <w:pPr>
        <w:ind w:left="360"/>
        <w:contextualSpacing/>
        <w:rPr>
          <w:rFonts w:eastAsia="Calibri"/>
          <w:b/>
          <w:sz w:val="24"/>
          <w:szCs w:val="24"/>
        </w:rPr>
      </w:pPr>
    </w:p>
    <w:p w:rsidRPr="003C27DC" w:rsidR="00FE0A3E" w:rsidP="003C27DC" w:rsidRDefault="00FE0A3E" w14:paraId="791F8881" w14:textId="77777777">
      <w:pPr>
        <w:numPr>
          <w:ilvl w:val="0"/>
          <w:numId w:val="15"/>
        </w:numPr>
        <w:contextualSpacing/>
        <w:rPr>
          <w:rFonts w:eastAsia="Calibri"/>
          <w:b/>
          <w:sz w:val="24"/>
          <w:szCs w:val="24"/>
        </w:rPr>
      </w:pPr>
      <w:r w:rsidRPr="003C27DC">
        <w:rPr>
          <w:rFonts w:eastAsia="Calibri"/>
          <w:b/>
          <w:sz w:val="24"/>
          <w:szCs w:val="24"/>
        </w:rPr>
        <w:t>Requiring respondents to retain records, other than health, medical, government contract, grant-in-aid, or tax records for more than three years;</w:t>
      </w:r>
    </w:p>
    <w:p w:rsidRPr="003C27DC" w:rsidR="00FE0A3E" w:rsidP="00FA577F" w:rsidRDefault="00FE0A3E" w14:paraId="49C4B9B2" w14:textId="77777777">
      <w:pPr>
        <w:ind w:left="360"/>
        <w:contextualSpacing/>
        <w:rPr>
          <w:rFonts w:eastAsia="Calibri"/>
          <w:b/>
          <w:sz w:val="24"/>
          <w:szCs w:val="24"/>
        </w:rPr>
      </w:pPr>
    </w:p>
    <w:p w:rsidRPr="003C27DC" w:rsidR="00FE0A3E" w:rsidP="003C27DC" w:rsidRDefault="00FE0A3E" w14:paraId="1B14ACD2" w14:textId="77777777">
      <w:pPr>
        <w:numPr>
          <w:ilvl w:val="0"/>
          <w:numId w:val="15"/>
        </w:numPr>
        <w:contextualSpacing/>
        <w:rPr>
          <w:rFonts w:eastAsia="Calibri"/>
          <w:b/>
          <w:sz w:val="24"/>
          <w:szCs w:val="24"/>
        </w:rPr>
      </w:pPr>
      <w:r w:rsidRPr="003C27DC">
        <w:rPr>
          <w:rFonts w:eastAsia="Calibri"/>
          <w:b/>
          <w:sz w:val="24"/>
          <w:szCs w:val="24"/>
        </w:rPr>
        <w:t>In connection with a statistical survey that is not designed to produce valid and reliable results that can be generalized to the universe of study;</w:t>
      </w:r>
    </w:p>
    <w:p w:rsidRPr="003C27DC" w:rsidR="00FE0A3E" w:rsidP="00FA577F" w:rsidRDefault="00FE0A3E" w14:paraId="0336AEE3" w14:textId="77777777">
      <w:pPr>
        <w:ind w:left="360"/>
        <w:contextualSpacing/>
        <w:rPr>
          <w:rFonts w:eastAsia="Calibri"/>
          <w:b/>
          <w:sz w:val="24"/>
          <w:szCs w:val="24"/>
        </w:rPr>
      </w:pPr>
    </w:p>
    <w:p w:rsidRPr="003C27DC" w:rsidR="00FE0A3E" w:rsidP="003C27DC" w:rsidRDefault="00FE0A3E" w14:paraId="63DFEF96" w14:textId="77777777">
      <w:pPr>
        <w:numPr>
          <w:ilvl w:val="0"/>
          <w:numId w:val="15"/>
        </w:numPr>
        <w:contextualSpacing/>
        <w:rPr>
          <w:rFonts w:eastAsia="Calibri"/>
          <w:b/>
          <w:sz w:val="24"/>
          <w:szCs w:val="24"/>
        </w:rPr>
      </w:pPr>
      <w:r w:rsidRPr="003C27DC">
        <w:rPr>
          <w:rFonts w:eastAsia="Calibri"/>
          <w:b/>
          <w:sz w:val="24"/>
          <w:szCs w:val="24"/>
        </w:rPr>
        <w:t>Requiring the use of statistical data classification that has not been reviewed and approved by OMB;</w:t>
      </w:r>
    </w:p>
    <w:p w:rsidRPr="003C27DC" w:rsidR="00FE0A3E" w:rsidP="00FA577F" w:rsidRDefault="00FE0A3E" w14:paraId="20F74562" w14:textId="77777777">
      <w:pPr>
        <w:ind w:left="360"/>
        <w:contextualSpacing/>
        <w:rPr>
          <w:rFonts w:eastAsia="Calibri"/>
          <w:b/>
          <w:sz w:val="24"/>
          <w:szCs w:val="24"/>
        </w:rPr>
      </w:pPr>
    </w:p>
    <w:p w:rsidRPr="003C27DC" w:rsidR="00FE0A3E" w:rsidP="003C27DC" w:rsidRDefault="00FE0A3E" w14:paraId="492D7CB2" w14:textId="77777777">
      <w:pPr>
        <w:numPr>
          <w:ilvl w:val="0"/>
          <w:numId w:val="15"/>
        </w:numPr>
        <w:contextualSpacing/>
        <w:rPr>
          <w:rFonts w:eastAsia="Calibri"/>
          <w:b/>
          <w:sz w:val="24"/>
          <w:szCs w:val="24"/>
        </w:rPr>
      </w:pPr>
      <w:r w:rsidRPr="003C27DC">
        <w:rPr>
          <w:rFonts w:eastAsia="Calibri"/>
          <w:b/>
          <w:sz w:val="24"/>
          <w:szCs w:val="24"/>
        </w:rPr>
        <w:t>That includes a pledge of confidentially that is not supported by authority established in statu</w:t>
      </w:r>
      <w:r w:rsidRPr="003C27DC" w:rsidR="00F5644F">
        <w:rPr>
          <w:rFonts w:eastAsia="Calibri"/>
          <w:b/>
          <w:sz w:val="24"/>
          <w:szCs w:val="24"/>
        </w:rPr>
        <w:t>t</w:t>
      </w:r>
      <w:r w:rsidRPr="003C27DC">
        <w:rPr>
          <w:rFonts w:eastAsia="Calibri"/>
          <w:b/>
          <w:sz w:val="24"/>
          <w:szCs w:val="24"/>
        </w:rPr>
        <w:t>e or regulation that is not supported by disclosure and data security policies that are consistent with the pledge, or which unnecessarily impedes sharing of data with other agencies for compatible confidential use; or</w:t>
      </w:r>
    </w:p>
    <w:p w:rsidRPr="003C27DC" w:rsidR="00FE0A3E" w:rsidP="00FA577F" w:rsidRDefault="00FE0A3E" w14:paraId="71158610" w14:textId="77777777">
      <w:pPr>
        <w:ind w:left="360"/>
        <w:contextualSpacing/>
        <w:rPr>
          <w:rFonts w:eastAsia="Calibri"/>
          <w:b/>
          <w:sz w:val="24"/>
          <w:szCs w:val="24"/>
        </w:rPr>
      </w:pPr>
    </w:p>
    <w:p w:rsidRPr="003C27DC" w:rsidR="00FE0A3E" w:rsidP="003C27DC" w:rsidRDefault="00FE0A3E" w14:paraId="61C50600" w14:textId="77777777">
      <w:pPr>
        <w:numPr>
          <w:ilvl w:val="0"/>
          <w:numId w:val="15"/>
        </w:numPr>
        <w:contextualSpacing/>
        <w:rPr>
          <w:rFonts w:eastAsia="Calibri"/>
          <w:b/>
          <w:sz w:val="24"/>
          <w:szCs w:val="24"/>
        </w:rPr>
      </w:pPr>
      <w:r w:rsidRPr="003C27DC">
        <w:rPr>
          <w:rFonts w:eastAsia="Calibri"/>
          <w:b/>
          <w:sz w:val="24"/>
          <w:szCs w:val="24"/>
        </w:rPr>
        <w:t>Requiring respondents to submit proprietary trade secret, or other confidential information unless the agency can prove that it has instituted procedures to protect the information’s confidentially to the extent permitted by law.</w:t>
      </w:r>
    </w:p>
    <w:p w:rsidRPr="00FA577F" w:rsidR="00FE0A3E" w:rsidP="00FE0A3E" w:rsidRDefault="00FE0A3E" w14:paraId="5E84274F" w14:textId="77777777">
      <w:pPr>
        <w:rPr>
          <w:rFonts w:eastAsia="Calibri"/>
          <w:b/>
          <w:sz w:val="24"/>
          <w:szCs w:val="24"/>
        </w:rPr>
      </w:pPr>
    </w:p>
    <w:p w:rsidRPr="00FE0A3E" w:rsidR="00FE0A3E" w:rsidP="00FE0A3E" w:rsidRDefault="00FE0A3E" w14:paraId="0EE4DE77" w14:textId="77777777">
      <w:pPr>
        <w:rPr>
          <w:rFonts w:eastAsia="Calibri"/>
          <w:sz w:val="24"/>
          <w:szCs w:val="24"/>
        </w:rPr>
      </w:pPr>
      <w:r w:rsidRPr="00FE0A3E">
        <w:rPr>
          <w:rFonts w:eastAsia="Calibri"/>
          <w:sz w:val="24"/>
          <w:szCs w:val="24"/>
        </w:rPr>
        <w:t>No special circumstances exist that require employers to collect information using the procedures specified by this item.  The requirements are within the guidelines set forth in 5 CFR 1320.5.</w:t>
      </w:r>
    </w:p>
    <w:p w:rsidRPr="00FE0A3E" w:rsidR="00FE0A3E" w:rsidP="00FE0A3E" w:rsidRDefault="00FE0A3E" w14:paraId="7D3729C2" w14:textId="77777777">
      <w:pPr>
        <w:rPr>
          <w:rFonts w:eastAsia="Calibri"/>
          <w:sz w:val="24"/>
          <w:szCs w:val="24"/>
        </w:rPr>
      </w:pPr>
    </w:p>
    <w:p w:rsidRPr="003C27DC" w:rsidR="00FE0A3E" w:rsidP="00FE0A3E" w:rsidRDefault="00FE0A3E" w14:paraId="4849EFF6" w14:textId="77777777">
      <w:pPr>
        <w:rPr>
          <w:rFonts w:eastAsia="Calibri"/>
          <w:b/>
          <w:sz w:val="24"/>
          <w:szCs w:val="24"/>
        </w:rPr>
      </w:pPr>
      <w:r w:rsidRPr="003C27DC">
        <w:rPr>
          <w:rFonts w:eastAsia="Calibri"/>
          <w:b/>
          <w:sz w:val="24"/>
          <w:szCs w:val="24"/>
        </w:rPr>
        <w:t xml:space="preserve">8.  </w:t>
      </w:r>
      <w:r w:rsidRPr="003C27DC" w:rsidR="008421E3">
        <w:rPr>
          <w:b/>
          <w:bCs/>
          <w:sz w:val="24"/>
          <w:szCs w:val="24"/>
        </w:rPr>
        <w:t xml:space="preserve">If applicable, provide a copy and identify the date and page number of publication in the </w:t>
      </w:r>
      <w:r w:rsidRPr="003C27DC" w:rsidR="008421E3">
        <w:rPr>
          <w:rStyle w:val="Heading2Char"/>
          <w:rFonts w:ascii="Times New Roman" w:hAnsi="Times New Roman"/>
          <w:i/>
          <w:sz w:val="24"/>
          <w:szCs w:val="24"/>
        </w:rPr>
        <w:t>Federal Register</w:t>
      </w:r>
      <w:r w:rsidRPr="003C27DC" w:rsidR="008421E3">
        <w:rPr>
          <w:b/>
          <w:bCs/>
          <w:sz w:val="24"/>
          <w:szCs w:val="24"/>
        </w:rPr>
        <w:t xml:space="preserve"> of the agency's notice, required by 5 CFR 1320.8(d), soliciting comments on the information collection prior to submission to OMB.  Summarize public comments received in response to that notice and describe actions </w:t>
      </w:r>
      <w:r w:rsidRPr="003C27DC" w:rsidR="008421E3">
        <w:rPr>
          <w:b/>
          <w:bCs/>
          <w:sz w:val="24"/>
          <w:szCs w:val="24"/>
        </w:rPr>
        <w:lastRenderedPageBreak/>
        <w:t>taken by the agency in response to these comments.   Specifically address comments received on cost and hour burden.</w:t>
      </w:r>
    </w:p>
    <w:p w:rsidRPr="003C27DC" w:rsidR="00FE0A3E" w:rsidP="00FE0A3E" w:rsidRDefault="00FE0A3E" w14:paraId="57878D34" w14:textId="77777777">
      <w:pPr>
        <w:rPr>
          <w:rFonts w:eastAsia="Calibri"/>
          <w:b/>
          <w:sz w:val="24"/>
          <w:szCs w:val="24"/>
        </w:rPr>
      </w:pPr>
    </w:p>
    <w:p w:rsidRPr="003C27DC" w:rsidR="008421E3" w:rsidP="008421E3" w:rsidRDefault="008421E3" w14:paraId="0640DFC2" w14:textId="77777777">
      <w:pPr>
        <w:tabs>
          <w:tab w:val="left" w:pos="-1080"/>
          <w:tab w:val="left" w:pos="-720"/>
          <w:tab w:val="left" w:pos="0"/>
          <w:tab w:val="left" w:pos="720"/>
          <w:tab w:val="left" w:pos="990"/>
          <w:tab w:val="left" w:pos="2160"/>
        </w:tabs>
        <w:rPr>
          <w:b/>
          <w:bCs/>
          <w:sz w:val="24"/>
          <w:szCs w:val="24"/>
        </w:rPr>
      </w:pPr>
      <w:r w:rsidRPr="003C27DC">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C27DC" w:rsidR="00FE0A3E" w:rsidP="00FE0A3E" w:rsidRDefault="00FE0A3E" w14:paraId="01D4BD1E" w14:textId="77777777">
      <w:pPr>
        <w:rPr>
          <w:rFonts w:eastAsia="Calibri"/>
          <w:b/>
          <w:sz w:val="24"/>
          <w:szCs w:val="24"/>
        </w:rPr>
      </w:pPr>
    </w:p>
    <w:p w:rsidRPr="003C27DC" w:rsidR="00E92D1D" w:rsidP="00E92D1D" w:rsidRDefault="00E92D1D" w14:paraId="5967DEB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C27DC">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FE0A3E" w:rsidR="00FE0A3E" w:rsidP="00FE0A3E" w:rsidRDefault="00FE0A3E" w14:paraId="00D91DBC" w14:textId="77777777">
      <w:pPr>
        <w:rPr>
          <w:rFonts w:eastAsia="Calibri"/>
          <w:b/>
          <w:sz w:val="24"/>
          <w:szCs w:val="24"/>
        </w:rPr>
      </w:pPr>
    </w:p>
    <w:p w:rsidR="00B070A2" w:rsidP="00FE0A3E" w:rsidRDefault="00FE0A3E" w14:paraId="24565F55" w14:textId="774A1F5F">
      <w:pPr>
        <w:rPr>
          <w:rFonts w:eastAsia="Calibri"/>
          <w:sz w:val="24"/>
          <w:szCs w:val="24"/>
        </w:rPr>
      </w:pPr>
      <w:r w:rsidRPr="00FE0A3E">
        <w:rPr>
          <w:rFonts w:eastAsia="Calibri"/>
          <w:sz w:val="24"/>
          <w:szCs w:val="24"/>
        </w:rPr>
        <w:t>As required by the Paperwork Reduction Act of 1995 (44 U.S.C. 3506(c)(2)(A)), OSHA publish</w:t>
      </w:r>
      <w:r w:rsidR="00B070A2">
        <w:rPr>
          <w:rFonts w:eastAsia="Calibri"/>
          <w:sz w:val="24"/>
          <w:szCs w:val="24"/>
        </w:rPr>
        <w:t>ed</w:t>
      </w:r>
      <w:r w:rsidRPr="00FE0A3E">
        <w:rPr>
          <w:rFonts w:eastAsia="Calibri"/>
          <w:sz w:val="24"/>
          <w:szCs w:val="24"/>
        </w:rPr>
        <w:t xml:space="preserve"> a notice in the Federal Register</w:t>
      </w:r>
      <w:r w:rsidRPr="002002D4" w:rsidR="002002D4">
        <w:rPr>
          <w:rFonts w:eastAsia="Calibri"/>
          <w:sz w:val="24"/>
          <w:szCs w:val="24"/>
        </w:rPr>
        <w:t xml:space="preserve"> </w:t>
      </w:r>
      <w:r w:rsidR="002002D4">
        <w:rPr>
          <w:rFonts w:eastAsia="Calibri"/>
          <w:sz w:val="24"/>
          <w:szCs w:val="24"/>
        </w:rPr>
        <w:t>on November 12, 2020</w:t>
      </w:r>
      <w:r w:rsidR="00E75A4E">
        <w:rPr>
          <w:rFonts w:eastAsia="Calibri"/>
          <w:sz w:val="24"/>
          <w:szCs w:val="24"/>
        </w:rPr>
        <w:t xml:space="preserve"> (</w:t>
      </w:r>
      <w:r w:rsidR="00776164">
        <w:rPr>
          <w:rFonts w:eastAsia="Calibri"/>
          <w:sz w:val="24"/>
          <w:szCs w:val="24"/>
        </w:rPr>
        <w:t>85</w:t>
      </w:r>
      <w:r w:rsidR="00217474">
        <w:rPr>
          <w:rFonts w:eastAsia="Calibri"/>
          <w:sz w:val="24"/>
          <w:szCs w:val="24"/>
        </w:rPr>
        <w:t xml:space="preserve"> </w:t>
      </w:r>
      <w:r w:rsidR="00E75A4E">
        <w:rPr>
          <w:rFonts w:eastAsia="Calibri"/>
          <w:sz w:val="24"/>
          <w:szCs w:val="24"/>
        </w:rPr>
        <w:t xml:space="preserve">FR </w:t>
      </w:r>
      <w:r w:rsidR="00776164">
        <w:rPr>
          <w:rFonts w:eastAsia="Calibri"/>
          <w:sz w:val="24"/>
          <w:szCs w:val="24"/>
        </w:rPr>
        <w:t>71949</w:t>
      </w:r>
      <w:r w:rsidR="00E75A4E">
        <w:rPr>
          <w:rFonts w:eastAsia="Calibri"/>
          <w:sz w:val="24"/>
          <w:szCs w:val="24"/>
        </w:rPr>
        <w:t xml:space="preserve">) </w:t>
      </w:r>
      <w:r w:rsidRPr="00FE0A3E">
        <w:rPr>
          <w:rFonts w:eastAsia="Calibri"/>
          <w:sz w:val="24"/>
          <w:szCs w:val="24"/>
        </w:rPr>
        <w:t>requesting public comment on its proposed extension of the information collection requirements specified by the Standard on Fire Protection in Shipyard Employment (29 CFR part 1915, subpart P)</w:t>
      </w:r>
      <w:r w:rsidR="00E75A4E">
        <w:rPr>
          <w:rFonts w:eastAsia="Calibri"/>
          <w:sz w:val="24"/>
          <w:szCs w:val="24"/>
        </w:rPr>
        <w:t xml:space="preserve"> under Docket Number OSHA-</w:t>
      </w:r>
      <w:r w:rsidR="00B80DE1">
        <w:rPr>
          <w:rFonts w:eastAsia="Calibri"/>
          <w:sz w:val="24"/>
          <w:szCs w:val="24"/>
        </w:rPr>
        <w:t>2011-0010</w:t>
      </w:r>
      <w:r w:rsidRPr="00FE0A3E">
        <w:rPr>
          <w:rFonts w:eastAsia="Calibri"/>
          <w:sz w:val="24"/>
          <w:szCs w:val="24"/>
        </w:rPr>
        <w:t xml:space="preserve">.  This notice </w:t>
      </w:r>
      <w:r w:rsidR="002002D4">
        <w:rPr>
          <w:rFonts w:eastAsia="Calibri"/>
          <w:sz w:val="24"/>
          <w:szCs w:val="24"/>
        </w:rPr>
        <w:t>was</w:t>
      </w:r>
      <w:r w:rsidRPr="00FE0A3E">
        <w:rPr>
          <w:rFonts w:eastAsia="Calibri"/>
          <w:sz w:val="24"/>
          <w:szCs w:val="24"/>
        </w:rPr>
        <w:t xml:space="preserve">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w:t>
      </w:r>
      <w:r w:rsidR="00A9575E">
        <w:rPr>
          <w:rFonts w:eastAsia="Calibri"/>
          <w:sz w:val="24"/>
          <w:szCs w:val="24"/>
        </w:rPr>
        <w:t xml:space="preserve">did not receive </w:t>
      </w:r>
      <w:r w:rsidR="008576AA">
        <w:rPr>
          <w:rFonts w:eastAsia="Calibri"/>
          <w:sz w:val="24"/>
          <w:szCs w:val="24"/>
        </w:rPr>
        <w:t>any comments</w:t>
      </w:r>
      <w:r w:rsidR="00B070A2">
        <w:rPr>
          <w:rFonts w:eastAsia="Calibri"/>
          <w:sz w:val="24"/>
          <w:szCs w:val="24"/>
        </w:rPr>
        <w:t xml:space="preserve"> in </w:t>
      </w:r>
      <w:r w:rsidR="008576AA">
        <w:rPr>
          <w:rFonts w:eastAsia="Calibri"/>
          <w:sz w:val="24"/>
          <w:szCs w:val="24"/>
        </w:rPr>
        <w:t xml:space="preserve">response to this notice. </w:t>
      </w:r>
      <w:r w:rsidR="00B070A2">
        <w:rPr>
          <w:rFonts w:eastAsia="Calibri"/>
          <w:sz w:val="24"/>
          <w:szCs w:val="24"/>
        </w:rPr>
        <w:t xml:space="preserve">  </w:t>
      </w:r>
    </w:p>
    <w:p w:rsidRPr="00FE0A3E" w:rsidR="00FE0A3E" w:rsidP="00FE0A3E" w:rsidRDefault="00FE0A3E" w14:paraId="209415E6" w14:textId="77777777">
      <w:pPr>
        <w:rPr>
          <w:rFonts w:eastAsia="Calibri"/>
          <w:sz w:val="24"/>
          <w:szCs w:val="24"/>
        </w:rPr>
      </w:pPr>
    </w:p>
    <w:p w:rsidRPr="003C27DC" w:rsidR="00FE0A3E" w:rsidP="00FE0A3E" w:rsidRDefault="00FE0A3E" w14:paraId="6C18EB9C" w14:textId="77777777">
      <w:pPr>
        <w:rPr>
          <w:rFonts w:eastAsia="Calibri"/>
          <w:b/>
          <w:sz w:val="24"/>
          <w:szCs w:val="24"/>
        </w:rPr>
      </w:pPr>
      <w:r w:rsidRPr="003C27DC">
        <w:rPr>
          <w:rFonts w:eastAsia="Calibri"/>
          <w:b/>
          <w:sz w:val="24"/>
          <w:szCs w:val="24"/>
        </w:rPr>
        <w:lastRenderedPageBreak/>
        <w:t>9.  Explain any decision to provide any payments or gift</w:t>
      </w:r>
      <w:r w:rsidRPr="003C27DC" w:rsidR="00F5644F">
        <w:rPr>
          <w:rFonts w:eastAsia="Calibri"/>
          <w:b/>
          <w:sz w:val="24"/>
          <w:szCs w:val="24"/>
        </w:rPr>
        <w:t>s</w:t>
      </w:r>
      <w:r w:rsidRPr="003C27DC">
        <w:rPr>
          <w:rFonts w:eastAsia="Calibri"/>
          <w:b/>
          <w:sz w:val="24"/>
          <w:szCs w:val="24"/>
        </w:rPr>
        <w:t xml:space="preserve"> to respondents, other than reenumeration of contractors or grantees.</w:t>
      </w:r>
    </w:p>
    <w:p w:rsidRPr="00FE0A3E" w:rsidR="00FE0A3E" w:rsidP="00FE0A3E" w:rsidRDefault="00FE0A3E" w14:paraId="1313BA12" w14:textId="77777777">
      <w:pPr>
        <w:rPr>
          <w:rFonts w:eastAsia="Calibri"/>
          <w:b/>
          <w:sz w:val="24"/>
          <w:szCs w:val="24"/>
        </w:rPr>
      </w:pPr>
    </w:p>
    <w:p w:rsidRPr="00FE0A3E" w:rsidR="00FE0A3E" w:rsidP="00FE0A3E" w:rsidRDefault="00FE0A3E" w14:paraId="76D6001B" w14:textId="77777777">
      <w:pPr>
        <w:rPr>
          <w:rFonts w:eastAsia="Calibri"/>
          <w:sz w:val="24"/>
          <w:szCs w:val="24"/>
        </w:rPr>
      </w:pPr>
      <w:r w:rsidRPr="00FE0A3E">
        <w:rPr>
          <w:rFonts w:eastAsia="Calibri"/>
          <w:sz w:val="24"/>
          <w:szCs w:val="24"/>
        </w:rPr>
        <w:t xml:space="preserve">The Agency will </w:t>
      </w:r>
      <w:r w:rsidRPr="00FE0A3E">
        <w:rPr>
          <w:rFonts w:eastAsia="Calibri"/>
          <w:sz w:val="24"/>
          <w:szCs w:val="24"/>
          <w:u w:val="single"/>
        </w:rPr>
        <w:t>not</w:t>
      </w:r>
      <w:r w:rsidRPr="00FE0A3E">
        <w:rPr>
          <w:rFonts w:eastAsia="Calibri"/>
          <w:sz w:val="24"/>
          <w:szCs w:val="24"/>
        </w:rPr>
        <w:t xml:space="preserve"> provide payments or gifts to the respondents.</w:t>
      </w:r>
    </w:p>
    <w:p w:rsidRPr="00FE0A3E" w:rsidR="00FE0A3E" w:rsidP="00FE0A3E" w:rsidRDefault="00FE0A3E" w14:paraId="0ACEF529" w14:textId="77777777">
      <w:pPr>
        <w:rPr>
          <w:rFonts w:eastAsia="Calibri"/>
          <w:sz w:val="24"/>
          <w:szCs w:val="24"/>
        </w:rPr>
      </w:pPr>
    </w:p>
    <w:p w:rsidRPr="003C27DC" w:rsidR="00FE0A3E" w:rsidP="00FE0A3E" w:rsidRDefault="00FE0A3E" w14:paraId="409FE85B" w14:textId="77777777">
      <w:pPr>
        <w:rPr>
          <w:rFonts w:eastAsia="Calibri"/>
          <w:b/>
          <w:sz w:val="24"/>
          <w:szCs w:val="24"/>
        </w:rPr>
      </w:pPr>
      <w:r w:rsidRPr="003C27DC">
        <w:rPr>
          <w:rFonts w:eastAsia="Calibri"/>
          <w:b/>
          <w:sz w:val="24"/>
          <w:szCs w:val="24"/>
        </w:rPr>
        <w:t>10.  Describe any assurance of confidentiality provided to respondents and the basis for the assurance in statute, regulation, or agency policy.</w:t>
      </w:r>
    </w:p>
    <w:p w:rsidRPr="00FE0A3E" w:rsidR="00FE0A3E" w:rsidP="00FE0A3E" w:rsidRDefault="00FE0A3E" w14:paraId="51A1C951" w14:textId="77777777">
      <w:pPr>
        <w:rPr>
          <w:rFonts w:eastAsia="Calibri"/>
          <w:b/>
          <w:sz w:val="24"/>
          <w:szCs w:val="24"/>
        </w:rPr>
      </w:pPr>
    </w:p>
    <w:p w:rsidRPr="00FE0A3E" w:rsidR="00FE0A3E" w:rsidP="00FE0A3E" w:rsidRDefault="00FE0A3E" w14:paraId="46B51599" w14:textId="77777777">
      <w:pPr>
        <w:rPr>
          <w:rFonts w:eastAsia="Calibri"/>
          <w:sz w:val="24"/>
          <w:szCs w:val="24"/>
        </w:rPr>
      </w:pPr>
      <w:r w:rsidRPr="00FE0A3E">
        <w:rPr>
          <w:rFonts w:eastAsia="Calibri"/>
          <w:sz w:val="24"/>
          <w:szCs w:val="24"/>
        </w:rPr>
        <w:t>The paperwork requirements specified by the Standard do not involve confidential information.</w:t>
      </w:r>
    </w:p>
    <w:p w:rsidRPr="00FE0A3E" w:rsidR="00FE0A3E" w:rsidP="00FE0A3E" w:rsidRDefault="00FE0A3E" w14:paraId="2C0A5B03" w14:textId="77777777">
      <w:pPr>
        <w:rPr>
          <w:rFonts w:eastAsia="Calibri"/>
          <w:sz w:val="24"/>
          <w:szCs w:val="24"/>
        </w:rPr>
      </w:pPr>
    </w:p>
    <w:p w:rsidRPr="003C27DC" w:rsidR="00FE0A3E" w:rsidP="00FE0A3E" w:rsidRDefault="00FE0A3E" w14:paraId="2452400F" w14:textId="77777777">
      <w:pPr>
        <w:rPr>
          <w:rFonts w:eastAsia="Calibri"/>
          <w:b/>
          <w:sz w:val="24"/>
          <w:szCs w:val="24"/>
        </w:rPr>
      </w:pPr>
      <w:r w:rsidRPr="003C27DC">
        <w:rPr>
          <w:rFonts w:eastAsia="Calibri"/>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E0A3E" w:rsidR="00FE0A3E" w:rsidP="00FE0A3E" w:rsidRDefault="00FE0A3E" w14:paraId="02703B3F" w14:textId="77777777">
      <w:pPr>
        <w:rPr>
          <w:rFonts w:eastAsia="Calibri"/>
          <w:b/>
          <w:sz w:val="24"/>
          <w:szCs w:val="24"/>
        </w:rPr>
      </w:pPr>
    </w:p>
    <w:p w:rsidRPr="00FE0A3E" w:rsidR="00FE0A3E" w:rsidP="00FE0A3E" w:rsidRDefault="00FE0A3E" w14:paraId="269D916B" w14:textId="77777777">
      <w:pPr>
        <w:rPr>
          <w:rFonts w:eastAsia="Calibri"/>
          <w:sz w:val="24"/>
          <w:szCs w:val="24"/>
        </w:rPr>
      </w:pPr>
      <w:r w:rsidRPr="00FE0A3E">
        <w:rPr>
          <w:rFonts w:eastAsia="Calibri"/>
          <w:sz w:val="24"/>
          <w:szCs w:val="24"/>
        </w:rPr>
        <w:t xml:space="preserve">The provisions in the Standard do not involve </w:t>
      </w:r>
      <w:r w:rsidR="00F5644F">
        <w:rPr>
          <w:rFonts w:eastAsia="Calibri"/>
          <w:sz w:val="24"/>
          <w:szCs w:val="24"/>
        </w:rPr>
        <w:t xml:space="preserve">the </w:t>
      </w:r>
      <w:r w:rsidRPr="00FE0A3E">
        <w:rPr>
          <w:rFonts w:eastAsia="Calibri"/>
          <w:sz w:val="24"/>
          <w:szCs w:val="24"/>
        </w:rPr>
        <w:t>collection of sensitive information.</w:t>
      </w:r>
    </w:p>
    <w:p w:rsidRPr="00FE0A3E" w:rsidR="00FE0A3E" w:rsidP="00FE0A3E" w:rsidRDefault="00FE0A3E" w14:paraId="05E06BD3" w14:textId="77777777">
      <w:pPr>
        <w:rPr>
          <w:rFonts w:eastAsia="Calibri"/>
          <w:sz w:val="24"/>
          <w:szCs w:val="24"/>
        </w:rPr>
      </w:pPr>
    </w:p>
    <w:p w:rsidRPr="003C27DC" w:rsidR="00FE0A3E" w:rsidP="00FE0A3E" w:rsidRDefault="00FE0A3E" w14:paraId="0D953FBE" w14:textId="77777777">
      <w:pPr>
        <w:rPr>
          <w:rFonts w:eastAsia="Calibri"/>
          <w:b/>
          <w:sz w:val="24"/>
          <w:szCs w:val="24"/>
        </w:rPr>
      </w:pPr>
      <w:r w:rsidRPr="003C27DC">
        <w:rPr>
          <w:rFonts w:eastAsia="Calibri"/>
          <w:b/>
          <w:sz w:val="24"/>
          <w:szCs w:val="24"/>
        </w:rPr>
        <w:t>12.  Provide estimates of the hour burden of the collection of information.  The statement should:</w:t>
      </w:r>
    </w:p>
    <w:p w:rsidRPr="003C27DC" w:rsidR="00FE0A3E" w:rsidP="00FE0A3E" w:rsidRDefault="00FE0A3E" w14:paraId="31BB1771" w14:textId="77777777">
      <w:pPr>
        <w:rPr>
          <w:rFonts w:eastAsia="Calibri"/>
          <w:b/>
          <w:sz w:val="24"/>
          <w:szCs w:val="24"/>
        </w:rPr>
      </w:pPr>
    </w:p>
    <w:p w:rsidRPr="003C27DC" w:rsidR="00FE0A3E" w:rsidP="003C27DC" w:rsidRDefault="00FE0A3E" w14:paraId="717F2576" w14:textId="77777777">
      <w:pPr>
        <w:numPr>
          <w:ilvl w:val="0"/>
          <w:numId w:val="20"/>
        </w:numPr>
        <w:ind w:left="360"/>
        <w:contextualSpacing/>
        <w:rPr>
          <w:rFonts w:eastAsia="Calibri"/>
          <w:b/>
          <w:sz w:val="24"/>
          <w:szCs w:val="24"/>
        </w:rPr>
      </w:pPr>
      <w:r w:rsidRPr="003C27DC">
        <w:rPr>
          <w:rFonts w:eastAsia="Calibri"/>
          <w:b/>
          <w:sz w:val="24"/>
          <w:szCs w:val="24"/>
        </w:rPr>
        <w:t xml:space="preserve">Indicate the number of respondents, frequency of response, annual hour burden, and an explanation of how the burden was </w:t>
      </w:r>
      <w:r w:rsidRPr="003C27DC">
        <w:rPr>
          <w:rFonts w:eastAsia="Calibri"/>
          <w:b/>
          <w:sz w:val="24"/>
          <w:szCs w:val="24"/>
        </w:rPr>
        <w:lastRenderedPageBreak/>
        <w:t>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C27DC" w:rsidR="00FE0A3E" w:rsidP="00FE0A3E" w:rsidRDefault="00FE0A3E" w14:paraId="35CD10C9" w14:textId="77777777">
      <w:pPr>
        <w:rPr>
          <w:rFonts w:eastAsia="Calibri"/>
          <w:b/>
          <w:sz w:val="24"/>
          <w:szCs w:val="24"/>
        </w:rPr>
      </w:pPr>
    </w:p>
    <w:p w:rsidRPr="003C27DC" w:rsidR="00FE0A3E" w:rsidP="003C27DC" w:rsidRDefault="00E92D1D" w14:paraId="1709BEAC" w14:textId="77777777">
      <w:pPr>
        <w:numPr>
          <w:ilvl w:val="0"/>
          <w:numId w:val="20"/>
        </w:numPr>
        <w:ind w:left="360"/>
        <w:contextualSpacing/>
        <w:rPr>
          <w:rFonts w:eastAsia="Calibri"/>
          <w:b/>
          <w:sz w:val="24"/>
          <w:szCs w:val="24"/>
        </w:rPr>
      </w:pPr>
      <w:r w:rsidRPr="003C27DC">
        <w:rPr>
          <w:b/>
          <w:sz w:val="24"/>
          <w:szCs w:val="24"/>
        </w:rPr>
        <w:t xml:space="preserve">If this </w:t>
      </w:r>
      <w:r w:rsidRPr="003C27DC">
        <w:rPr>
          <w:b/>
          <w:bCs/>
          <w:sz w:val="24"/>
          <w:szCs w:val="24"/>
        </w:rPr>
        <w:t>request for approval covers more than one form, provide separate</w:t>
      </w:r>
      <w:r w:rsidRPr="003C27DC" w:rsidR="007109F9">
        <w:rPr>
          <w:b/>
          <w:bCs/>
          <w:sz w:val="24"/>
          <w:szCs w:val="24"/>
        </w:rPr>
        <w:t xml:space="preserve"> hour burden estimates for each </w:t>
      </w:r>
      <w:r w:rsidRPr="003C27DC">
        <w:rPr>
          <w:b/>
          <w:bCs/>
          <w:sz w:val="24"/>
          <w:szCs w:val="24"/>
        </w:rPr>
        <w:t>form.</w:t>
      </w:r>
    </w:p>
    <w:p w:rsidRPr="003C27DC" w:rsidR="00FE0A3E" w:rsidP="00FE0A3E" w:rsidRDefault="00FE0A3E" w14:paraId="6BE4832E" w14:textId="77777777">
      <w:pPr>
        <w:rPr>
          <w:rFonts w:eastAsia="Calibri"/>
          <w:b/>
          <w:sz w:val="24"/>
          <w:szCs w:val="24"/>
        </w:rPr>
      </w:pPr>
    </w:p>
    <w:p w:rsidRPr="003C27DC" w:rsidR="00FE0A3E" w:rsidP="003C27DC" w:rsidRDefault="00FE0A3E" w14:paraId="38896C7B" w14:textId="77777777">
      <w:pPr>
        <w:numPr>
          <w:ilvl w:val="0"/>
          <w:numId w:val="20"/>
        </w:numPr>
        <w:ind w:left="360"/>
        <w:contextualSpacing/>
        <w:rPr>
          <w:rFonts w:eastAsia="Calibri"/>
          <w:b/>
          <w:sz w:val="24"/>
          <w:szCs w:val="24"/>
        </w:rPr>
      </w:pPr>
      <w:r w:rsidRPr="003C27DC">
        <w:rPr>
          <w:rFonts w:eastAsia="Calibri"/>
          <w:b/>
          <w:sz w:val="24"/>
          <w:szCs w:val="24"/>
        </w:rPr>
        <w:t>Provide estimates of annualized cost to respondents for the hour burdens for collections of information, identifying and using appropriate wage-rate categories.</w:t>
      </w:r>
      <w:r w:rsidRPr="003C27DC" w:rsidR="00E4200D">
        <w:rPr>
          <w:rFonts w:eastAsia="Calibri"/>
          <w:b/>
          <w:sz w:val="24"/>
          <w:szCs w:val="24"/>
        </w:rPr>
        <w:t xml:space="preserve"> </w:t>
      </w:r>
      <w:r w:rsidRPr="003C27DC" w:rsidR="00E4200D">
        <w:rPr>
          <w:b/>
          <w:bCs/>
          <w:sz w:val="24"/>
          <w:szCs w:val="24"/>
        </w:rPr>
        <w:t>The cost of contracting out or paying outside parties for information collection activities should not be included here.  Instead, this cost should be included in Item 13.</w:t>
      </w:r>
    </w:p>
    <w:p w:rsidRPr="00FE0A3E" w:rsidR="00FE0A3E" w:rsidP="00FE0A3E" w:rsidRDefault="00FE0A3E" w14:paraId="0B136C66" w14:textId="77777777">
      <w:pPr>
        <w:rPr>
          <w:rFonts w:eastAsia="Calibri"/>
          <w:b/>
          <w:sz w:val="24"/>
          <w:szCs w:val="24"/>
        </w:rPr>
      </w:pPr>
    </w:p>
    <w:p w:rsidRPr="00FE0A3E" w:rsidR="00FE0A3E" w:rsidP="00FE0A3E" w:rsidRDefault="00FE0A3E" w14:paraId="03324400" w14:textId="77777777">
      <w:pPr>
        <w:rPr>
          <w:rFonts w:eastAsia="Calibri"/>
          <w:b/>
          <w:sz w:val="24"/>
          <w:szCs w:val="24"/>
        </w:rPr>
      </w:pPr>
      <w:r w:rsidRPr="00FE0A3E">
        <w:rPr>
          <w:rFonts w:eastAsia="Calibri"/>
          <w:b/>
          <w:sz w:val="24"/>
          <w:szCs w:val="24"/>
        </w:rPr>
        <w:t>Burden-Hour and Cost Determinations</w:t>
      </w:r>
    </w:p>
    <w:p w:rsidRPr="00FE0A3E" w:rsidR="00FE0A3E" w:rsidP="00FE0A3E" w:rsidRDefault="00FE0A3E" w14:paraId="3A67574B" w14:textId="77777777">
      <w:pPr>
        <w:rPr>
          <w:rFonts w:eastAsia="Calibri"/>
          <w:b/>
          <w:sz w:val="24"/>
          <w:szCs w:val="24"/>
        </w:rPr>
      </w:pPr>
    </w:p>
    <w:p w:rsidRPr="00FE0A3E" w:rsidR="00FE0A3E" w:rsidP="00FE0A3E" w:rsidRDefault="00FE0A3E" w14:paraId="298CA0EE" w14:textId="08B47791">
      <w:pPr>
        <w:rPr>
          <w:rFonts w:eastAsia="Calibri"/>
          <w:sz w:val="24"/>
          <w:szCs w:val="24"/>
        </w:rPr>
      </w:pPr>
      <w:r w:rsidRPr="00FE0A3E">
        <w:rPr>
          <w:rFonts w:eastAsia="Calibri"/>
          <w:sz w:val="24"/>
          <w:szCs w:val="24"/>
        </w:rPr>
        <w:t xml:space="preserve">Estimates of the burden hours and annual costs for each information collection requirements are shown below.  Data are based upon OSHA’s estimate of the time it would take a worker listed below to perform the required task.  The Agency determined average wage rates using average hourly earnings for </w:t>
      </w:r>
      <w:r w:rsidR="00F5644F">
        <w:rPr>
          <w:rFonts w:eastAsia="Calibri"/>
          <w:sz w:val="24"/>
          <w:szCs w:val="24"/>
        </w:rPr>
        <w:t xml:space="preserve">a </w:t>
      </w:r>
      <w:r w:rsidRPr="00FE0A3E">
        <w:rPr>
          <w:rFonts w:eastAsia="Calibri"/>
          <w:sz w:val="24"/>
          <w:szCs w:val="24"/>
        </w:rPr>
        <w:t xml:space="preserve">worker in </w:t>
      </w:r>
      <w:r w:rsidR="00F5644F">
        <w:rPr>
          <w:rFonts w:eastAsia="Calibri"/>
          <w:sz w:val="24"/>
          <w:szCs w:val="24"/>
        </w:rPr>
        <w:t xml:space="preserve">the </w:t>
      </w:r>
      <w:r w:rsidRPr="00FE0A3E">
        <w:rPr>
          <w:rFonts w:eastAsia="Calibri"/>
          <w:sz w:val="24"/>
          <w:szCs w:val="24"/>
        </w:rPr>
        <w:t xml:space="preserve">Ship and Boat Building.  The Agency adopted the mean </w:t>
      </w:r>
      <w:r w:rsidR="002002D4">
        <w:rPr>
          <w:rFonts w:eastAsia="Calibri"/>
          <w:sz w:val="24"/>
          <w:szCs w:val="24"/>
        </w:rPr>
        <w:t xml:space="preserve">hourly </w:t>
      </w:r>
      <w:r w:rsidRPr="00FE0A3E">
        <w:rPr>
          <w:rFonts w:eastAsia="Calibri"/>
          <w:sz w:val="24"/>
          <w:szCs w:val="24"/>
        </w:rPr>
        <w:t xml:space="preserve">wage rate from </w:t>
      </w:r>
      <w:r w:rsidRPr="00FE0A3E">
        <w:rPr>
          <w:rFonts w:eastAsia="Calibri"/>
          <w:i/>
          <w:sz w:val="24"/>
          <w:szCs w:val="24"/>
        </w:rPr>
        <w:t xml:space="preserve">May </w:t>
      </w:r>
      <w:r w:rsidRPr="00FE0A3E" w:rsidR="003E62F6">
        <w:rPr>
          <w:rFonts w:eastAsia="Calibri"/>
          <w:i/>
          <w:sz w:val="24"/>
          <w:szCs w:val="24"/>
        </w:rPr>
        <w:t>201</w:t>
      </w:r>
      <w:r w:rsidR="00C40B73">
        <w:rPr>
          <w:rFonts w:eastAsia="Calibri"/>
          <w:i/>
          <w:sz w:val="24"/>
          <w:szCs w:val="24"/>
        </w:rPr>
        <w:t>9</w:t>
      </w:r>
      <w:r w:rsidRPr="00FE0A3E" w:rsidR="003E62F6">
        <w:rPr>
          <w:rFonts w:eastAsia="Calibri"/>
          <w:i/>
          <w:sz w:val="24"/>
          <w:szCs w:val="24"/>
        </w:rPr>
        <w:t xml:space="preserve"> </w:t>
      </w:r>
      <w:r w:rsidRPr="00FE0A3E">
        <w:rPr>
          <w:rFonts w:eastAsia="Calibri"/>
          <w:i/>
          <w:sz w:val="24"/>
          <w:szCs w:val="24"/>
        </w:rPr>
        <w:t xml:space="preserve">National Occupational Employment and Wages, </w:t>
      </w:r>
      <w:r w:rsidRPr="00FE0A3E">
        <w:rPr>
          <w:rFonts w:eastAsia="Calibri"/>
          <w:sz w:val="24"/>
          <w:szCs w:val="24"/>
        </w:rPr>
        <w:t xml:space="preserve">U.S. Department of </w:t>
      </w:r>
      <w:r w:rsidRPr="00FE0A3E">
        <w:rPr>
          <w:rFonts w:eastAsia="Calibri"/>
          <w:sz w:val="24"/>
          <w:szCs w:val="24"/>
        </w:rPr>
        <w:lastRenderedPageBreak/>
        <w:t>Labor, Bureau of Labor Statistics</w:t>
      </w:r>
      <w:r w:rsidRPr="00FE0A3E">
        <w:rPr>
          <w:rFonts w:eastAsia="Calibri"/>
          <w:sz w:val="24"/>
          <w:szCs w:val="24"/>
          <w:vertAlign w:val="superscript"/>
        </w:rPr>
        <w:footnoteReference w:id="2"/>
      </w:r>
      <w:r w:rsidRPr="00FE0A3E">
        <w:rPr>
          <w:rFonts w:eastAsia="Calibri"/>
          <w:sz w:val="24"/>
          <w:szCs w:val="24"/>
        </w:rPr>
        <w:t xml:space="preserve">  Total compensation for these occupational categories include an adjustment of </w:t>
      </w:r>
      <w:r w:rsidR="003E62F6">
        <w:rPr>
          <w:rFonts w:eastAsia="Calibri"/>
          <w:sz w:val="24"/>
          <w:szCs w:val="24"/>
        </w:rPr>
        <w:t>3</w:t>
      </w:r>
      <w:r w:rsidR="000258F7">
        <w:rPr>
          <w:rFonts w:eastAsia="Calibri"/>
          <w:sz w:val="24"/>
          <w:szCs w:val="24"/>
        </w:rPr>
        <w:t>0.0</w:t>
      </w:r>
      <w:r w:rsidRPr="00FE0A3E">
        <w:rPr>
          <w:rFonts w:eastAsia="Calibri"/>
          <w:sz w:val="24"/>
          <w:szCs w:val="24"/>
        </w:rPr>
        <w:t xml:space="preserve"> percent (</w:t>
      </w:r>
      <w:r w:rsidRPr="00FE0A3E">
        <w:rPr>
          <w:rFonts w:eastAsia="Calibri"/>
          <w:i/>
          <w:sz w:val="24"/>
          <w:szCs w:val="24"/>
        </w:rPr>
        <w:t xml:space="preserve">Employer Cost for Employee Compensation, </w:t>
      </w:r>
      <w:r w:rsidR="000258F7">
        <w:rPr>
          <w:rFonts w:eastAsia="Calibri"/>
          <w:i/>
          <w:sz w:val="24"/>
          <w:szCs w:val="24"/>
        </w:rPr>
        <w:t>June 2020</w:t>
      </w:r>
      <w:r w:rsidR="003E62F6">
        <w:rPr>
          <w:rFonts w:eastAsia="Calibri"/>
          <w:i/>
          <w:sz w:val="24"/>
          <w:szCs w:val="24"/>
        </w:rPr>
        <w:t xml:space="preserve">, released </w:t>
      </w:r>
      <w:r w:rsidR="000258F7">
        <w:rPr>
          <w:rFonts w:eastAsia="Calibri"/>
          <w:i/>
          <w:sz w:val="24"/>
          <w:szCs w:val="24"/>
        </w:rPr>
        <w:t>September 17, 2020</w:t>
      </w:r>
      <w:r w:rsidRPr="00FE0A3E">
        <w:rPr>
          <w:rFonts w:eastAsia="Calibri"/>
          <w:sz w:val="24"/>
          <w:szCs w:val="24"/>
        </w:rPr>
        <w:t xml:space="preserve">) for fringe benefits.  With wages comprising </w:t>
      </w:r>
      <w:r w:rsidR="000258F7">
        <w:rPr>
          <w:rFonts w:eastAsia="Calibri"/>
          <w:sz w:val="24"/>
          <w:szCs w:val="24"/>
        </w:rPr>
        <w:t>70.0</w:t>
      </w:r>
      <w:r w:rsidRPr="00FE0A3E">
        <w:rPr>
          <w:rFonts w:eastAsia="Calibri"/>
          <w:sz w:val="24"/>
          <w:szCs w:val="24"/>
        </w:rPr>
        <w:t xml:space="preserve"> percent of </w:t>
      </w:r>
      <w:r w:rsidR="00B97D5E">
        <w:rPr>
          <w:rFonts w:eastAsia="Calibri"/>
          <w:sz w:val="24"/>
          <w:szCs w:val="24"/>
        </w:rPr>
        <w:t>employee</w:t>
      </w:r>
      <w:r w:rsidRPr="00FE0A3E">
        <w:rPr>
          <w:rFonts w:eastAsia="Calibri"/>
          <w:sz w:val="24"/>
          <w:szCs w:val="24"/>
        </w:rPr>
        <w:t xml:space="preserve"> compensation, the Agency multiplied wages by 1.</w:t>
      </w:r>
      <w:r w:rsidR="00537C70">
        <w:rPr>
          <w:rFonts w:eastAsia="Calibri"/>
          <w:sz w:val="24"/>
          <w:szCs w:val="24"/>
        </w:rPr>
        <w:t>4</w:t>
      </w:r>
      <w:r w:rsidR="00254B74">
        <w:rPr>
          <w:rFonts w:eastAsia="Calibri"/>
          <w:sz w:val="24"/>
          <w:szCs w:val="24"/>
        </w:rPr>
        <w:t>28</w:t>
      </w:r>
      <w:r w:rsidR="00537C70">
        <w:rPr>
          <w:rFonts w:eastAsia="Calibri"/>
          <w:sz w:val="24"/>
          <w:szCs w:val="24"/>
        </w:rPr>
        <w:t>6</w:t>
      </w:r>
      <w:r w:rsidRPr="00FE0A3E" w:rsidR="00537C70">
        <w:rPr>
          <w:rFonts w:eastAsia="Calibri"/>
          <w:sz w:val="24"/>
          <w:szCs w:val="24"/>
        </w:rPr>
        <w:t xml:space="preserve"> </w:t>
      </w:r>
      <w:r w:rsidRPr="00FE0A3E">
        <w:rPr>
          <w:rFonts w:eastAsia="Calibri"/>
          <w:sz w:val="24"/>
          <w:szCs w:val="24"/>
        </w:rPr>
        <w:t>(1/0.</w:t>
      </w:r>
      <w:r w:rsidR="000258F7">
        <w:rPr>
          <w:rFonts w:eastAsia="Calibri"/>
          <w:sz w:val="24"/>
          <w:szCs w:val="24"/>
        </w:rPr>
        <w:t>700</w:t>
      </w:r>
      <w:r w:rsidRPr="00FE0A3E">
        <w:rPr>
          <w:rFonts w:eastAsia="Calibri"/>
          <w:sz w:val="24"/>
          <w:szCs w:val="24"/>
        </w:rPr>
        <w:t xml:space="preserve">) to derive at a total hourly </w:t>
      </w:r>
      <w:r w:rsidR="00B97D5E">
        <w:rPr>
          <w:rFonts w:eastAsia="Calibri"/>
          <w:sz w:val="24"/>
          <w:szCs w:val="24"/>
        </w:rPr>
        <w:t>employee</w:t>
      </w:r>
      <w:r w:rsidRPr="00FE0A3E">
        <w:rPr>
          <w:rFonts w:eastAsia="Calibri"/>
          <w:sz w:val="24"/>
          <w:szCs w:val="24"/>
        </w:rPr>
        <w:t xml:space="preserve"> compensation.  The costs of labor used in this analysis are estimates of total hourly compensation.  </w:t>
      </w:r>
      <w:r w:rsidR="003F11D9">
        <w:rPr>
          <w:rFonts w:eastAsia="Calibri"/>
          <w:sz w:val="24"/>
          <w:szCs w:val="24"/>
        </w:rPr>
        <w:t>Table 1 summarizes the wage rate estimates</w:t>
      </w:r>
      <w:r w:rsidR="00D03835">
        <w:rPr>
          <w:rFonts w:eastAsia="Calibri"/>
          <w:sz w:val="24"/>
          <w:szCs w:val="24"/>
        </w:rPr>
        <w:t>:</w:t>
      </w:r>
    </w:p>
    <w:p w:rsidRPr="00FE0A3E" w:rsidR="00FE0A3E" w:rsidP="00FE0A3E" w:rsidRDefault="00FE0A3E" w14:paraId="13069C49" w14:textId="77777777">
      <w:pPr>
        <w:rPr>
          <w:rFonts w:eastAsia="Calibri"/>
          <w:sz w:val="24"/>
          <w:szCs w:val="24"/>
        </w:rPr>
      </w:pPr>
    </w:p>
    <w:tbl>
      <w:tblPr>
        <w:tblW w:w="963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41"/>
        <w:gridCol w:w="1507"/>
        <w:gridCol w:w="1671"/>
        <w:gridCol w:w="1764"/>
        <w:gridCol w:w="2047"/>
      </w:tblGrid>
      <w:tr w:rsidRPr="00373F04" w:rsidR="00CC66B3" w:rsidTr="00B42088" w14:paraId="2C5D2408" w14:textId="77777777">
        <w:trPr>
          <w:tblHeader/>
        </w:trPr>
        <w:tc>
          <w:tcPr>
            <w:tcW w:w="9630" w:type="dxa"/>
            <w:gridSpan w:val="5"/>
            <w:shd w:val="clear" w:color="auto" w:fill="E7E6E6"/>
          </w:tcPr>
          <w:p w:rsidRPr="00B42088" w:rsidR="00CC66B3" w:rsidP="00FF6C51" w:rsidRDefault="00CC66B3" w14:paraId="7FA65D7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B42088">
              <w:rPr>
                <w:rFonts w:ascii="Times New Roman" w:hAnsi="Times New Roman"/>
                <w:b/>
                <w:sz w:val="24"/>
                <w:szCs w:val="24"/>
              </w:rPr>
              <w:t xml:space="preserve">Table </w:t>
            </w:r>
            <w:r w:rsidR="00FF6C51">
              <w:rPr>
                <w:rFonts w:ascii="Times New Roman" w:hAnsi="Times New Roman"/>
                <w:b/>
                <w:sz w:val="24"/>
                <w:szCs w:val="24"/>
              </w:rPr>
              <w:t>1</w:t>
            </w:r>
            <w:r w:rsidRPr="00B42088">
              <w:rPr>
                <w:rFonts w:ascii="Times New Roman" w:hAnsi="Times New Roman"/>
                <w:b/>
                <w:sz w:val="24"/>
                <w:szCs w:val="24"/>
              </w:rPr>
              <w:t xml:space="preserve"> –</w:t>
            </w:r>
            <w:r w:rsidR="00FF6C51">
              <w:rPr>
                <w:rFonts w:ascii="Times New Roman" w:hAnsi="Times New Roman"/>
                <w:b/>
                <w:sz w:val="24"/>
                <w:szCs w:val="24"/>
              </w:rPr>
              <w:t xml:space="preserve"> </w:t>
            </w:r>
            <w:r w:rsidRPr="00B42088">
              <w:rPr>
                <w:rFonts w:ascii="Times New Roman" w:hAnsi="Times New Roman"/>
                <w:b/>
                <w:sz w:val="24"/>
                <w:szCs w:val="24"/>
              </w:rPr>
              <w:t>Wage Rate</w:t>
            </w:r>
            <w:r w:rsidR="00FF6C51">
              <w:rPr>
                <w:rFonts w:ascii="Times New Roman" w:hAnsi="Times New Roman"/>
                <w:b/>
                <w:sz w:val="24"/>
                <w:szCs w:val="24"/>
              </w:rPr>
              <w:t xml:space="preserve"> </w:t>
            </w:r>
            <w:r w:rsidRPr="00B85A68" w:rsidR="00FF6C51">
              <w:rPr>
                <w:rFonts w:ascii="Times New Roman" w:hAnsi="Times New Roman"/>
                <w:b/>
                <w:sz w:val="24"/>
                <w:szCs w:val="24"/>
              </w:rPr>
              <w:t>Estimate</w:t>
            </w:r>
            <w:r w:rsidR="00FF6C51">
              <w:rPr>
                <w:rFonts w:ascii="Times New Roman" w:hAnsi="Times New Roman"/>
                <w:b/>
                <w:sz w:val="24"/>
                <w:szCs w:val="24"/>
              </w:rPr>
              <w:t>s</w:t>
            </w:r>
          </w:p>
        </w:tc>
      </w:tr>
      <w:tr w:rsidRPr="00373F04" w:rsidR="00CC66B3" w:rsidTr="00B42088" w14:paraId="676BCB08" w14:textId="77777777">
        <w:trPr>
          <w:tblHeader/>
        </w:trPr>
        <w:tc>
          <w:tcPr>
            <w:tcW w:w="2641" w:type="dxa"/>
            <w:shd w:val="clear" w:color="auto" w:fill="E2EFD9"/>
            <w:vAlign w:val="center"/>
          </w:tcPr>
          <w:p w:rsidRPr="00B42088" w:rsidR="00CC66B3" w:rsidP="00B42088" w:rsidRDefault="00CC66B3" w14:paraId="0C3C139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Occupation</w:t>
            </w:r>
          </w:p>
        </w:tc>
        <w:tc>
          <w:tcPr>
            <w:tcW w:w="1507" w:type="dxa"/>
            <w:shd w:val="clear" w:color="auto" w:fill="E2EFD9"/>
            <w:vAlign w:val="center"/>
          </w:tcPr>
          <w:p w:rsidRPr="00B42088" w:rsidR="00CC66B3" w:rsidP="00B42088" w:rsidRDefault="00CC66B3" w14:paraId="77C727D1"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SOC</w:t>
            </w:r>
            <w:r w:rsidRPr="00B42088" w:rsidR="00662B40">
              <w:rPr>
                <w:rFonts w:eastAsia="Calibri"/>
                <w:vertAlign w:val="superscript"/>
              </w:rPr>
              <w:footnoteReference w:id="3"/>
            </w:r>
          </w:p>
        </w:tc>
        <w:tc>
          <w:tcPr>
            <w:tcW w:w="1671" w:type="dxa"/>
            <w:shd w:val="clear" w:color="auto" w:fill="E2EFD9"/>
            <w:vAlign w:val="center"/>
          </w:tcPr>
          <w:p w:rsidR="00FF6C51" w:rsidP="00B42088" w:rsidRDefault="00CC66B3" w14:paraId="2E4F791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Mean Hourly</w:t>
            </w:r>
            <w:r w:rsidR="00776E33">
              <w:rPr>
                <w:rFonts w:ascii="Times New Roman" w:hAnsi="Times New Roman"/>
                <w:b/>
                <w:sz w:val="24"/>
                <w:szCs w:val="24"/>
              </w:rPr>
              <w:t xml:space="preserve"> </w:t>
            </w:r>
            <w:r w:rsidRPr="00B42088">
              <w:rPr>
                <w:rFonts w:ascii="Times New Roman" w:hAnsi="Times New Roman"/>
                <w:b/>
                <w:sz w:val="24"/>
                <w:szCs w:val="24"/>
              </w:rPr>
              <w:t xml:space="preserve">Wage </w:t>
            </w:r>
          </w:p>
          <w:p w:rsidRPr="00B42088" w:rsidR="00CC66B3" w:rsidP="00B42088" w:rsidRDefault="00CC66B3" w14:paraId="39E4F3B8" w14:textId="77777777">
            <w:pPr>
              <w:pStyle w:val="BodyTextIndent"/>
              <w:tabs>
                <w:tab w:val="left" w:pos="0"/>
                <w:tab w:val="left" w:pos="736"/>
                <w:tab w:val="left" w:pos="1336"/>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(A)</w:t>
            </w:r>
          </w:p>
        </w:tc>
        <w:tc>
          <w:tcPr>
            <w:tcW w:w="1764" w:type="dxa"/>
            <w:shd w:val="clear" w:color="auto" w:fill="E2EFD9"/>
            <w:vAlign w:val="center"/>
          </w:tcPr>
          <w:p w:rsidR="00FF6C51" w:rsidP="00B42088" w:rsidRDefault="00CC66B3" w14:paraId="1F66B29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 xml:space="preserve">Fringe Benefits </w:t>
            </w:r>
          </w:p>
          <w:p w:rsidRPr="00B42088" w:rsidR="00CC66B3" w:rsidP="00B42088" w:rsidRDefault="00CC66B3" w14:paraId="41DCF43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(B)</w:t>
            </w:r>
          </w:p>
        </w:tc>
        <w:tc>
          <w:tcPr>
            <w:tcW w:w="2047" w:type="dxa"/>
            <w:shd w:val="clear" w:color="auto" w:fill="E2EFD9"/>
            <w:vAlign w:val="center"/>
          </w:tcPr>
          <w:p w:rsidRPr="00B42088" w:rsidR="00CC66B3" w:rsidP="00B42088" w:rsidRDefault="00CC66B3" w14:paraId="54909FEA"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Loaded Hourly Wage Rate</w:t>
            </w:r>
          </w:p>
          <w:p w:rsidRPr="00B42088" w:rsidR="00CC66B3" w:rsidP="00B42088" w:rsidRDefault="00FF6C51" w14:paraId="4B53C2FA"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FF6C51">
              <w:rPr>
                <w:rFonts w:ascii="Times New Roman" w:hAnsi="Times New Roman"/>
                <w:b/>
                <w:sz w:val="24"/>
                <w:szCs w:val="24"/>
              </w:rPr>
              <w:t xml:space="preserve">(C) = </w:t>
            </w:r>
            <w:r>
              <w:rPr>
                <w:rFonts w:ascii="Times New Roman" w:hAnsi="Times New Roman"/>
                <w:b/>
                <w:sz w:val="24"/>
                <w:szCs w:val="24"/>
              </w:rPr>
              <w:t>[</w:t>
            </w:r>
            <w:r w:rsidRPr="00FF6C51">
              <w:rPr>
                <w:rFonts w:ascii="Times New Roman" w:hAnsi="Times New Roman"/>
                <w:b/>
                <w:sz w:val="24"/>
                <w:szCs w:val="24"/>
              </w:rPr>
              <w:t>(A)/</w:t>
            </w:r>
            <w:r w:rsidRPr="00B42088" w:rsidR="00CC66B3">
              <w:rPr>
                <w:rFonts w:ascii="Times New Roman" w:hAnsi="Times New Roman"/>
                <w:b/>
                <w:sz w:val="24"/>
                <w:szCs w:val="24"/>
              </w:rPr>
              <w:t>(1-B)</w:t>
            </w:r>
            <w:r w:rsidRPr="00FF6C51">
              <w:rPr>
                <w:rFonts w:ascii="Times New Roman" w:hAnsi="Times New Roman"/>
                <w:b/>
                <w:sz w:val="24"/>
                <w:szCs w:val="24"/>
              </w:rPr>
              <w:t>]</w:t>
            </w:r>
          </w:p>
        </w:tc>
      </w:tr>
      <w:tr w:rsidRPr="00373F04" w:rsidR="00CC66B3" w:rsidTr="00B42088" w14:paraId="3737E386" w14:textId="77777777">
        <w:tc>
          <w:tcPr>
            <w:tcW w:w="2641" w:type="dxa"/>
            <w:shd w:val="clear" w:color="auto" w:fill="auto"/>
          </w:tcPr>
          <w:p w:rsidRPr="00B42088" w:rsidR="00CC66B3" w:rsidP="00B42088" w:rsidRDefault="00C601BD" w14:paraId="2D58E66C"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Manager</w:t>
            </w:r>
            <w:r w:rsidR="008E629A">
              <w:rPr>
                <w:rFonts w:ascii="Times New Roman" w:hAnsi="Times New Roman"/>
                <w:sz w:val="24"/>
                <w:szCs w:val="24"/>
              </w:rPr>
              <w:t xml:space="preserve"> – First-line Supervisor of a Firefighting and Prevention Worker</w:t>
            </w:r>
          </w:p>
        </w:tc>
        <w:tc>
          <w:tcPr>
            <w:tcW w:w="1507" w:type="dxa"/>
            <w:shd w:val="clear" w:color="auto" w:fill="auto"/>
          </w:tcPr>
          <w:p w:rsidRPr="00B42088" w:rsidR="00CC66B3" w:rsidP="00B42088" w:rsidRDefault="00C601BD" w14:paraId="468C820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33-1021</w:t>
            </w:r>
          </w:p>
        </w:tc>
        <w:tc>
          <w:tcPr>
            <w:tcW w:w="1671" w:type="dxa"/>
            <w:shd w:val="clear" w:color="auto" w:fill="auto"/>
          </w:tcPr>
          <w:p w:rsidRPr="00B42088" w:rsidR="00CC66B3" w:rsidP="00F60D05" w:rsidRDefault="00CC66B3" w14:paraId="1764C9E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w:t>
            </w:r>
            <w:r w:rsidRPr="00B42088" w:rsidR="00F60D05">
              <w:rPr>
                <w:rFonts w:ascii="Times New Roman" w:hAnsi="Times New Roman"/>
                <w:sz w:val="24"/>
                <w:szCs w:val="24"/>
              </w:rPr>
              <w:t>39.43</w:t>
            </w:r>
          </w:p>
        </w:tc>
        <w:tc>
          <w:tcPr>
            <w:tcW w:w="1764" w:type="dxa"/>
            <w:shd w:val="clear" w:color="auto" w:fill="auto"/>
          </w:tcPr>
          <w:p w:rsidRPr="00B42088" w:rsidR="00CC66B3" w:rsidP="00A02C62" w:rsidRDefault="0068138A" w14:paraId="10A2F685" w14:textId="68E960DB">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.300</w:t>
            </w:r>
            <w:r w:rsidRPr="00B42088" w:rsidR="00CC66B3">
              <w:rPr>
                <w:rFonts w:ascii="Times New Roman" w:hAnsi="Times New Roman"/>
                <w:sz w:val="24"/>
                <w:szCs w:val="24"/>
              </w:rPr>
              <w:t xml:space="preserve"> </w:t>
            </w:r>
          </w:p>
        </w:tc>
        <w:tc>
          <w:tcPr>
            <w:tcW w:w="2047" w:type="dxa"/>
            <w:shd w:val="clear" w:color="auto" w:fill="auto"/>
          </w:tcPr>
          <w:p w:rsidRPr="00B42088" w:rsidR="00CC66B3" w:rsidP="00F60D05" w:rsidRDefault="00CC66B3" w14:paraId="56D7FDFE"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w:t>
            </w:r>
            <w:r w:rsidR="00F60D05">
              <w:rPr>
                <w:rFonts w:ascii="Times New Roman" w:hAnsi="Times New Roman"/>
                <w:sz w:val="24"/>
                <w:szCs w:val="24"/>
              </w:rPr>
              <w:t>56.33</w:t>
            </w:r>
          </w:p>
        </w:tc>
      </w:tr>
      <w:tr w:rsidRPr="00373F04" w:rsidR="00CC66B3" w:rsidTr="00B42088" w14:paraId="009F97E9" w14:textId="77777777">
        <w:tc>
          <w:tcPr>
            <w:tcW w:w="2641" w:type="dxa"/>
            <w:shd w:val="clear" w:color="auto" w:fill="auto"/>
          </w:tcPr>
          <w:p w:rsidRPr="00B42088" w:rsidR="00CC66B3" w:rsidP="00B42088" w:rsidRDefault="00CC66B3" w14:paraId="762054E2"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 xml:space="preserve">Shipyard Worker </w:t>
            </w:r>
          </w:p>
        </w:tc>
        <w:tc>
          <w:tcPr>
            <w:tcW w:w="1507" w:type="dxa"/>
            <w:shd w:val="clear" w:color="auto" w:fill="auto"/>
          </w:tcPr>
          <w:p w:rsidRPr="00B42088" w:rsidR="00CC66B3" w:rsidP="00B42088" w:rsidRDefault="00C601BD" w14:paraId="51654DB3"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47</w:t>
            </w:r>
            <w:r w:rsidRPr="00B42088" w:rsidR="00CC66B3">
              <w:rPr>
                <w:rFonts w:ascii="Times New Roman" w:hAnsi="Times New Roman"/>
                <w:sz w:val="24"/>
                <w:szCs w:val="24"/>
              </w:rPr>
              <w:t>-</w:t>
            </w:r>
            <w:r w:rsidRPr="00B42088">
              <w:rPr>
                <w:rFonts w:ascii="Times New Roman" w:hAnsi="Times New Roman"/>
                <w:sz w:val="24"/>
                <w:szCs w:val="24"/>
              </w:rPr>
              <w:t>2000</w:t>
            </w:r>
          </w:p>
        </w:tc>
        <w:tc>
          <w:tcPr>
            <w:tcW w:w="1671" w:type="dxa"/>
            <w:shd w:val="clear" w:color="auto" w:fill="auto"/>
          </w:tcPr>
          <w:p w:rsidRPr="00B42088" w:rsidR="00CC66B3" w:rsidP="00A02C62" w:rsidRDefault="00F60D05" w14:paraId="36629F93"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$24.68</w:t>
            </w:r>
          </w:p>
        </w:tc>
        <w:tc>
          <w:tcPr>
            <w:tcW w:w="1764" w:type="dxa"/>
            <w:shd w:val="clear" w:color="auto" w:fill="auto"/>
          </w:tcPr>
          <w:p w:rsidRPr="00B42088" w:rsidR="00CC66B3" w:rsidP="00C601BD" w:rsidRDefault="0068138A" w14:paraId="00909230" w14:textId="12C079B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.300</w:t>
            </w:r>
            <w:r w:rsidRPr="00B42088" w:rsidR="00CC66B3">
              <w:rPr>
                <w:rFonts w:ascii="Times New Roman" w:hAnsi="Times New Roman"/>
                <w:sz w:val="24"/>
                <w:szCs w:val="24"/>
              </w:rPr>
              <w:t xml:space="preserve"> </w:t>
            </w:r>
          </w:p>
        </w:tc>
        <w:tc>
          <w:tcPr>
            <w:tcW w:w="2047" w:type="dxa"/>
            <w:shd w:val="clear" w:color="auto" w:fill="auto"/>
          </w:tcPr>
          <w:p w:rsidRPr="00B42088" w:rsidR="00CC66B3" w:rsidP="00A02C62" w:rsidRDefault="00F60D05" w14:paraId="4544EF5D" w14:textId="71A2821C">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$35.</w:t>
            </w:r>
            <w:r w:rsidR="00B962C4">
              <w:rPr>
                <w:rFonts w:ascii="Times New Roman" w:hAnsi="Times New Roman"/>
                <w:sz w:val="24"/>
                <w:szCs w:val="24"/>
              </w:rPr>
              <w:t>2</w:t>
            </w:r>
            <w:r>
              <w:rPr>
                <w:rFonts w:ascii="Times New Roman" w:hAnsi="Times New Roman"/>
                <w:sz w:val="24"/>
                <w:szCs w:val="24"/>
              </w:rPr>
              <w:t>6</w:t>
            </w:r>
          </w:p>
        </w:tc>
      </w:tr>
      <w:tr w:rsidRPr="00373F04" w:rsidR="00CC66B3" w:rsidTr="00B42088" w14:paraId="16DB86EF" w14:textId="77777777">
        <w:tc>
          <w:tcPr>
            <w:tcW w:w="2641" w:type="dxa"/>
            <w:shd w:val="clear" w:color="auto" w:fill="auto"/>
          </w:tcPr>
          <w:p w:rsidRPr="00B42088" w:rsidR="00CC66B3" w:rsidP="00B42088" w:rsidRDefault="00E11E13" w14:paraId="05936B6A"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Pr>
                <w:rFonts w:ascii="Times New Roman" w:hAnsi="Times New Roman"/>
                <w:sz w:val="24"/>
                <w:szCs w:val="24"/>
              </w:rPr>
              <w:t>Supervisor</w:t>
            </w:r>
            <w:r w:rsidR="000B4863">
              <w:rPr>
                <w:rFonts w:ascii="Times New Roman" w:hAnsi="Times New Roman"/>
                <w:sz w:val="24"/>
                <w:szCs w:val="24"/>
              </w:rPr>
              <w:t xml:space="preserve"> - </w:t>
            </w:r>
            <w:r w:rsidR="002B57B1">
              <w:rPr>
                <w:rFonts w:ascii="Times New Roman" w:hAnsi="Times New Roman"/>
                <w:sz w:val="24"/>
                <w:szCs w:val="24"/>
              </w:rPr>
              <w:t xml:space="preserve">First-line </w:t>
            </w:r>
            <w:r w:rsidRPr="00B42088" w:rsidR="00C601BD">
              <w:rPr>
                <w:rFonts w:ascii="Times New Roman" w:hAnsi="Times New Roman"/>
                <w:sz w:val="24"/>
                <w:szCs w:val="24"/>
              </w:rPr>
              <w:t>Supervisor</w:t>
            </w:r>
            <w:r w:rsidR="002B57B1">
              <w:rPr>
                <w:rFonts w:ascii="Times New Roman" w:hAnsi="Times New Roman"/>
                <w:sz w:val="24"/>
                <w:szCs w:val="24"/>
              </w:rPr>
              <w:t xml:space="preserve"> for construction trade and </w:t>
            </w:r>
            <w:r w:rsidR="008E629A">
              <w:rPr>
                <w:rFonts w:ascii="Times New Roman" w:hAnsi="Times New Roman"/>
                <w:sz w:val="24"/>
                <w:szCs w:val="24"/>
              </w:rPr>
              <w:t>Extraction Worker</w:t>
            </w:r>
          </w:p>
        </w:tc>
        <w:tc>
          <w:tcPr>
            <w:tcW w:w="1507" w:type="dxa"/>
            <w:shd w:val="clear" w:color="auto" w:fill="auto"/>
          </w:tcPr>
          <w:p w:rsidRPr="00B42088" w:rsidR="00CC66B3" w:rsidP="00B42088" w:rsidRDefault="00C601BD" w14:paraId="038C639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47-1011</w:t>
            </w:r>
          </w:p>
        </w:tc>
        <w:tc>
          <w:tcPr>
            <w:tcW w:w="1671" w:type="dxa"/>
            <w:shd w:val="clear" w:color="auto" w:fill="auto"/>
          </w:tcPr>
          <w:p w:rsidRPr="00B42088" w:rsidR="00CC66B3" w:rsidP="00F60D05" w:rsidRDefault="00CC66B3" w14:paraId="3BD5E2B8"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w:t>
            </w:r>
            <w:r w:rsidRPr="00B42088" w:rsidR="00F60D05">
              <w:rPr>
                <w:rFonts w:ascii="Times New Roman" w:hAnsi="Times New Roman"/>
                <w:sz w:val="24"/>
                <w:szCs w:val="24"/>
              </w:rPr>
              <w:t>34.35</w:t>
            </w:r>
          </w:p>
        </w:tc>
        <w:tc>
          <w:tcPr>
            <w:tcW w:w="1764" w:type="dxa"/>
            <w:shd w:val="clear" w:color="auto" w:fill="auto"/>
          </w:tcPr>
          <w:p w:rsidRPr="00B42088" w:rsidR="00CC66B3" w:rsidP="00C601BD" w:rsidRDefault="0068138A" w14:paraId="17678A42" w14:textId="05C1B8F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.300</w:t>
            </w:r>
            <w:r w:rsidRPr="00B42088" w:rsidR="00CC66B3">
              <w:rPr>
                <w:rFonts w:ascii="Times New Roman" w:hAnsi="Times New Roman"/>
                <w:sz w:val="24"/>
                <w:szCs w:val="24"/>
              </w:rPr>
              <w:t xml:space="preserve"> </w:t>
            </w:r>
          </w:p>
        </w:tc>
        <w:tc>
          <w:tcPr>
            <w:tcW w:w="2047" w:type="dxa"/>
            <w:shd w:val="clear" w:color="auto" w:fill="auto"/>
          </w:tcPr>
          <w:p w:rsidRPr="00B42088" w:rsidR="00CC66B3" w:rsidP="00A02C62" w:rsidRDefault="00F60D05" w14:paraId="7A2FCD15"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F60D05">
              <w:rPr>
                <w:rFonts w:ascii="Times New Roman" w:hAnsi="Times New Roman"/>
                <w:sz w:val="24"/>
                <w:szCs w:val="24"/>
              </w:rPr>
              <w:t>$49.07</w:t>
            </w:r>
          </w:p>
        </w:tc>
      </w:tr>
      <w:tr w:rsidRPr="00373F04" w:rsidR="00C601BD" w:rsidTr="00B42088" w14:paraId="40B8CA2E" w14:textId="77777777">
        <w:tc>
          <w:tcPr>
            <w:tcW w:w="2641" w:type="dxa"/>
            <w:shd w:val="clear" w:color="auto" w:fill="auto"/>
          </w:tcPr>
          <w:p w:rsidRPr="00B42088" w:rsidR="00C601BD" w:rsidP="00B42088" w:rsidRDefault="00C601BD" w14:paraId="7ED42C4D"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Fire Trainer</w:t>
            </w:r>
          </w:p>
        </w:tc>
        <w:tc>
          <w:tcPr>
            <w:tcW w:w="1507" w:type="dxa"/>
            <w:shd w:val="clear" w:color="auto" w:fill="auto"/>
          </w:tcPr>
          <w:p w:rsidRPr="00B42088" w:rsidR="00C601BD" w:rsidP="00662B40" w:rsidRDefault="00C601BD" w14:paraId="2CB48FFE"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33-2021</w:t>
            </w:r>
          </w:p>
        </w:tc>
        <w:tc>
          <w:tcPr>
            <w:tcW w:w="1671" w:type="dxa"/>
            <w:shd w:val="clear" w:color="auto" w:fill="auto"/>
          </w:tcPr>
          <w:p w:rsidRPr="00B42088" w:rsidR="00C601BD" w:rsidP="00A02C62" w:rsidRDefault="00F60D05" w14:paraId="2604CD3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$31.12</w:t>
            </w:r>
          </w:p>
        </w:tc>
        <w:tc>
          <w:tcPr>
            <w:tcW w:w="1764" w:type="dxa"/>
            <w:shd w:val="clear" w:color="auto" w:fill="auto"/>
          </w:tcPr>
          <w:p w:rsidRPr="00B42088" w:rsidR="00C601BD" w:rsidP="00A02C62" w:rsidRDefault="0068138A" w14:paraId="21420EA0" w14:textId="73E196B2">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.300</w:t>
            </w:r>
          </w:p>
        </w:tc>
        <w:tc>
          <w:tcPr>
            <w:tcW w:w="2047" w:type="dxa"/>
            <w:shd w:val="clear" w:color="auto" w:fill="auto"/>
          </w:tcPr>
          <w:p w:rsidRPr="00B42088" w:rsidR="00C601BD" w:rsidP="00A02C62" w:rsidRDefault="00F60D05" w14:paraId="7E37E0D2"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$44.46</w:t>
            </w:r>
          </w:p>
        </w:tc>
      </w:tr>
    </w:tbl>
    <w:p w:rsidR="00FE0A3E" w:rsidP="00FE0A3E" w:rsidRDefault="00776E33" w14:paraId="0C312426" w14:textId="77777777">
      <w:pPr>
        <w:rPr>
          <w:rFonts w:eastAsia="Calibri"/>
          <w:sz w:val="24"/>
          <w:szCs w:val="24"/>
        </w:rPr>
      </w:pPr>
      <w:r>
        <w:rPr>
          <w:rFonts w:eastAsia="Calibri"/>
          <w:sz w:val="24"/>
          <w:szCs w:val="24"/>
        </w:rPr>
        <w:tab/>
      </w:r>
      <w:r w:rsidRPr="00B42088" w:rsidR="00FE0A3E">
        <w:rPr>
          <w:rFonts w:eastAsia="Calibri"/>
        </w:rPr>
        <w:tab/>
      </w:r>
    </w:p>
    <w:p w:rsidR="00096C57" w:rsidP="00096C57" w:rsidRDefault="00096C57" w14:paraId="54448CB0" w14:textId="2C0E0B01">
      <w:pPr>
        <w:rPr>
          <w:sz w:val="24"/>
          <w:szCs w:val="24"/>
        </w:rPr>
      </w:pPr>
      <w:r w:rsidRPr="00F50672">
        <w:rPr>
          <w:sz w:val="24"/>
          <w:szCs w:val="24"/>
        </w:rPr>
        <w:lastRenderedPageBreak/>
        <w:t xml:space="preserve">The number of affected </w:t>
      </w:r>
      <w:r>
        <w:rPr>
          <w:sz w:val="24"/>
          <w:szCs w:val="24"/>
        </w:rPr>
        <w:t>establishments and employees</w:t>
      </w:r>
      <w:r w:rsidRPr="00F50672">
        <w:rPr>
          <w:sz w:val="24"/>
          <w:szCs w:val="24"/>
        </w:rPr>
        <w:t xml:space="preserve"> for this ICR </w:t>
      </w:r>
      <w:r>
        <w:rPr>
          <w:sz w:val="24"/>
          <w:szCs w:val="24"/>
        </w:rPr>
        <w:t>are</w:t>
      </w:r>
      <w:r w:rsidR="00932D87">
        <w:rPr>
          <w:sz w:val="24"/>
          <w:szCs w:val="24"/>
        </w:rPr>
        <w:t xml:space="preserve"> listed in</w:t>
      </w:r>
      <w:r w:rsidRPr="00F50672">
        <w:rPr>
          <w:sz w:val="24"/>
          <w:szCs w:val="24"/>
        </w:rPr>
        <w:t xml:space="preserve"> Table </w:t>
      </w:r>
      <w:r w:rsidR="002002D4">
        <w:rPr>
          <w:sz w:val="24"/>
          <w:szCs w:val="24"/>
        </w:rPr>
        <w:t>2</w:t>
      </w:r>
      <w:r w:rsidRPr="00F50672">
        <w:rPr>
          <w:sz w:val="24"/>
          <w:szCs w:val="24"/>
        </w:rPr>
        <w:t xml:space="preserve"> </w:t>
      </w:r>
      <w:r w:rsidRPr="00F50672">
        <w:rPr>
          <w:i/>
          <w:sz w:val="24"/>
          <w:szCs w:val="24"/>
        </w:rPr>
        <w:t>Affected Establishments and Employees</w:t>
      </w:r>
      <w:r w:rsidRPr="00F50672">
        <w:rPr>
          <w:sz w:val="24"/>
          <w:szCs w:val="24"/>
        </w:rPr>
        <w:t xml:space="preserve">).  OSHA updated the industrial profiles by using the 2017 County Business Patterns Data from the US Census Bureau. OSHA estimates that there are </w:t>
      </w:r>
      <w:r w:rsidR="00932D87">
        <w:rPr>
          <w:sz w:val="24"/>
          <w:szCs w:val="24"/>
        </w:rPr>
        <w:t>588</w:t>
      </w:r>
      <w:r w:rsidRPr="00F50672">
        <w:rPr>
          <w:sz w:val="24"/>
          <w:szCs w:val="24"/>
        </w:rPr>
        <w:t xml:space="preserve"> affected establishments in the shipyard industry employing </w:t>
      </w:r>
      <w:r w:rsidR="00932D87">
        <w:rPr>
          <w:sz w:val="24"/>
          <w:szCs w:val="24"/>
        </w:rPr>
        <w:t>99,963</w:t>
      </w:r>
      <w:r w:rsidRPr="00F50672">
        <w:rPr>
          <w:sz w:val="24"/>
          <w:szCs w:val="24"/>
        </w:rPr>
        <w:t xml:space="preserve"> affected (“production”) workers.</w:t>
      </w:r>
    </w:p>
    <w:p w:rsidRPr="00096C57" w:rsidR="00C6642F" w:rsidP="00096C57" w:rsidRDefault="00C6642F" w14:paraId="22F23E66" w14:textId="77777777">
      <w:pPr>
        <w:rPr>
          <w:rFonts w:eastAsia="Calibri"/>
          <w:sz w:val="24"/>
          <w:szCs w:val="24"/>
        </w:rPr>
      </w:pPr>
    </w:p>
    <w:p w:rsidRPr="00373F04" w:rsidR="00F60D05" w:rsidP="00F60D05" w:rsidRDefault="00F60D05" w14:paraId="64D60F55" w14:textId="77777777">
      <w:pPr>
        <w:jc w:val="center"/>
        <w:rPr>
          <w:b/>
          <w:bCs/>
          <w:color w:val="000000"/>
          <w:sz w:val="24"/>
          <w:szCs w:val="24"/>
        </w:rPr>
      </w:pPr>
      <w:r w:rsidRPr="00373F04">
        <w:rPr>
          <w:b/>
          <w:sz w:val="24"/>
          <w:szCs w:val="24"/>
        </w:rPr>
        <w:t xml:space="preserve">Table </w:t>
      </w:r>
      <w:r w:rsidR="000D223A">
        <w:rPr>
          <w:b/>
          <w:sz w:val="24"/>
          <w:szCs w:val="24"/>
        </w:rPr>
        <w:t>2</w:t>
      </w:r>
      <w:r w:rsidRPr="00373F04">
        <w:rPr>
          <w:b/>
          <w:sz w:val="24"/>
          <w:szCs w:val="24"/>
        </w:rPr>
        <w:t xml:space="preserve"> – </w:t>
      </w:r>
      <w:r w:rsidRPr="00373F04">
        <w:rPr>
          <w:b/>
          <w:bCs/>
          <w:color w:val="000000"/>
          <w:sz w:val="24"/>
          <w:szCs w:val="24"/>
        </w:rPr>
        <w:t>Affected Establishments and Employees by Size</w:t>
      </w:r>
      <w:r w:rsidR="00096C57">
        <w:rPr>
          <w:b/>
          <w:bCs/>
          <w:color w:val="000000"/>
          <w:sz w:val="24"/>
          <w:szCs w:val="24"/>
        </w:rPr>
        <w:t xml:space="preserve"> in Shipyards</w:t>
      </w:r>
    </w:p>
    <w:p w:rsidR="00F60D05" w:rsidP="00FE0A3E" w:rsidRDefault="00F60D05" w14:paraId="03171017" w14:textId="77777777">
      <w:pPr>
        <w:rPr>
          <w:rFonts w:eastAsia="Calibri"/>
          <w:b/>
          <w:sz w:val="24"/>
          <w:szCs w:val="24"/>
        </w:rPr>
      </w:pPr>
    </w:p>
    <w:tbl>
      <w:tblPr>
        <w:tblW w:w="9591" w:type="dxa"/>
        <w:tblInd w:w="108" w:type="dxa"/>
        <w:tblLook w:val="04A0" w:firstRow="1" w:lastRow="0" w:firstColumn="1" w:lastColumn="0" w:noHBand="0" w:noVBand="1"/>
      </w:tblPr>
      <w:tblGrid>
        <w:gridCol w:w="90"/>
        <w:gridCol w:w="1170"/>
        <w:gridCol w:w="2970"/>
        <w:gridCol w:w="1710"/>
        <w:gridCol w:w="1800"/>
        <w:gridCol w:w="1851"/>
      </w:tblGrid>
      <w:tr w:rsidRPr="00F60D05" w:rsidR="00776E33" w:rsidTr="00CE319A" w14:paraId="3EBA7E04" w14:textId="77777777">
        <w:trPr>
          <w:trHeight w:val="630"/>
        </w:trPr>
        <w:tc>
          <w:tcPr>
            <w:tcW w:w="1260" w:type="dxa"/>
            <w:gridSpan w:val="2"/>
            <w:tcBorders>
              <w:top w:val="single" w:color="auto" w:sz="4" w:space="0"/>
              <w:left w:val="single" w:color="auto" w:sz="4" w:space="0"/>
              <w:bottom w:val="single" w:color="auto" w:sz="4" w:space="0"/>
              <w:right w:val="single" w:color="auto" w:sz="4" w:space="0"/>
            </w:tcBorders>
            <w:shd w:val="clear" w:color="auto" w:fill="DEEAF6"/>
            <w:vAlign w:val="center"/>
            <w:hideMark/>
          </w:tcPr>
          <w:p w:rsidRPr="00B42088" w:rsidR="00F60D05" w:rsidP="00FF6C51" w:rsidRDefault="00FF6C51" w14:paraId="26D0FE86" w14:textId="77777777">
            <w:pPr>
              <w:rPr>
                <w:b/>
                <w:bCs/>
                <w:color w:val="000000"/>
                <w:sz w:val="24"/>
                <w:szCs w:val="24"/>
              </w:rPr>
            </w:pPr>
            <w:r w:rsidRPr="00B42088">
              <w:rPr>
                <w:b/>
                <w:bCs/>
                <w:color w:val="000000"/>
                <w:sz w:val="24"/>
                <w:szCs w:val="24"/>
              </w:rPr>
              <w:t>Industry</w:t>
            </w:r>
            <w:r w:rsidRPr="00B42088" w:rsidR="00F60D05">
              <w:rPr>
                <w:b/>
                <w:bCs/>
                <w:color w:val="000000"/>
                <w:sz w:val="24"/>
                <w:szCs w:val="24"/>
              </w:rPr>
              <w:t xml:space="preserve"> Code</w:t>
            </w:r>
          </w:p>
        </w:tc>
        <w:tc>
          <w:tcPr>
            <w:tcW w:w="2970" w:type="dxa"/>
            <w:tcBorders>
              <w:top w:val="single" w:color="auto" w:sz="4" w:space="0"/>
              <w:left w:val="nil"/>
              <w:bottom w:val="single" w:color="auto" w:sz="4" w:space="0"/>
              <w:right w:val="single" w:color="auto" w:sz="4" w:space="0"/>
            </w:tcBorders>
            <w:shd w:val="clear" w:color="auto" w:fill="DEEAF6"/>
            <w:vAlign w:val="center"/>
            <w:hideMark/>
          </w:tcPr>
          <w:p w:rsidRPr="00B42088" w:rsidR="00F60D05" w:rsidP="00F60D05" w:rsidRDefault="00FF6C51" w14:paraId="3AC12F0D" w14:textId="77777777">
            <w:pPr>
              <w:rPr>
                <w:b/>
                <w:bCs/>
                <w:color w:val="000000"/>
                <w:sz w:val="24"/>
                <w:szCs w:val="24"/>
              </w:rPr>
            </w:pPr>
            <w:r w:rsidRPr="00B42088">
              <w:rPr>
                <w:b/>
                <w:bCs/>
                <w:color w:val="000000"/>
                <w:sz w:val="24"/>
                <w:szCs w:val="24"/>
              </w:rPr>
              <w:t>Industry Name</w:t>
            </w:r>
          </w:p>
        </w:tc>
        <w:tc>
          <w:tcPr>
            <w:tcW w:w="1710" w:type="dxa"/>
            <w:tcBorders>
              <w:top w:val="single" w:color="auto" w:sz="4" w:space="0"/>
              <w:left w:val="nil"/>
              <w:bottom w:val="single" w:color="auto" w:sz="4" w:space="0"/>
              <w:right w:val="single" w:color="auto" w:sz="4" w:space="0"/>
            </w:tcBorders>
            <w:shd w:val="clear" w:color="auto" w:fill="DEEAF6"/>
            <w:vAlign w:val="center"/>
            <w:hideMark/>
          </w:tcPr>
          <w:p w:rsidRPr="00B42088" w:rsidR="00F60D05" w:rsidP="00EA250F" w:rsidRDefault="00776E33" w14:paraId="2036E46F" w14:textId="77777777">
            <w:pPr>
              <w:rPr>
                <w:b/>
                <w:bCs/>
                <w:color w:val="000000"/>
                <w:sz w:val="24"/>
                <w:szCs w:val="24"/>
              </w:rPr>
            </w:pPr>
            <w:r w:rsidRPr="00EA250F">
              <w:rPr>
                <w:b/>
                <w:bCs/>
                <w:color w:val="000000"/>
                <w:sz w:val="24"/>
                <w:szCs w:val="24"/>
              </w:rPr>
              <w:t>E</w:t>
            </w:r>
            <w:r>
              <w:rPr>
                <w:b/>
                <w:bCs/>
                <w:color w:val="000000"/>
                <w:sz w:val="24"/>
                <w:szCs w:val="24"/>
              </w:rPr>
              <w:t>stablishm</w:t>
            </w:r>
            <w:r w:rsidRPr="00EA250F">
              <w:rPr>
                <w:b/>
                <w:bCs/>
                <w:color w:val="000000"/>
                <w:sz w:val="24"/>
                <w:szCs w:val="24"/>
              </w:rPr>
              <w:t>ent S</w:t>
            </w:r>
            <w:r w:rsidRPr="00B42088" w:rsidR="00F60D05">
              <w:rPr>
                <w:b/>
                <w:bCs/>
                <w:color w:val="000000"/>
                <w:sz w:val="24"/>
                <w:szCs w:val="24"/>
              </w:rPr>
              <w:t>ize</w:t>
            </w:r>
          </w:p>
        </w:tc>
        <w:tc>
          <w:tcPr>
            <w:tcW w:w="1800" w:type="dxa"/>
            <w:tcBorders>
              <w:top w:val="single" w:color="auto" w:sz="4" w:space="0"/>
              <w:left w:val="nil"/>
              <w:bottom w:val="single" w:color="auto" w:sz="4" w:space="0"/>
              <w:right w:val="single" w:color="auto" w:sz="4" w:space="0"/>
            </w:tcBorders>
            <w:shd w:val="clear" w:color="auto" w:fill="DEEAF6"/>
            <w:vAlign w:val="center"/>
            <w:hideMark/>
          </w:tcPr>
          <w:p w:rsidRPr="00B42088" w:rsidR="00F60D05" w:rsidP="00F60D05" w:rsidRDefault="00F60D05" w14:paraId="74E64093" w14:textId="77777777">
            <w:pPr>
              <w:rPr>
                <w:b/>
                <w:bCs/>
                <w:color w:val="000000"/>
                <w:sz w:val="24"/>
                <w:szCs w:val="24"/>
              </w:rPr>
            </w:pPr>
            <w:r w:rsidRPr="00B42088">
              <w:rPr>
                <w:b/>
                <w:bCs/>
                <w:color w:val="000000"/>
                <w:sz w:val="24"/>
                <w:szCs w:val="24"/>
              </w:rPr>
              <w:t>Number of Affected</w:t>
            </w:r>
          </w:p>
          <w:p w:rsidRPr="00B42088" w:rsidR="00F60D05" w:rsidP="00F60D05" w:rsidRDefault="00F60D05" w14:paraId="404847D4" w14:textId="77777777">
            <w:pPr>
              <w:rPr>
                <w:b/>
                <w:bCs/>
                <w:color w:val="000000"/>
                <w:sz w:val="24"/>
                <w:szCs w:val="24"/>
              </w:rPr>
            </w:pPr>
            <w:r w:rsidRPr="00B42088">
              <w:rPr>
                <w:b/>
                <w:bCs/>
                <w:color w:val="000000"/>
                <w:sz w:val="24"/>
                <w:szCs w:val="24"/>
              </w:rPr>
              <w:t>Establishments</w:t>
            </w:r>
          </w:p>
        </w:tc>
        <w:tc>
          <w:tcPr>
            <w:tcW w:w="1851" w:type="dxa"/>
            <w:tcBorders>
              <w:top w:val="single" w:color="auto" w:sz="4" w:space="0"/>
              <w:left w:val="nil"/>
              <w:bottom w:val="single" w:color="auto" w:sz="4" w:space="0"/>
              <w:right w:val="single" w:color="auto" w:sz="4" w:space="0"/>
            </w:tcBorders>
            <w:shd w:val="clear" w:color="auto" w:fill="DEEAF6"/>
            <w:vAlign w:val="center"/>
            <w:hideMark/>
          </w:tcPr>
          <w:p w:rsidRPr="00B42088" w:rsidR="00F60D05" w:rsidP="00F60D05" w:rsidRDefault="00F60D05" w14:paraId="2FF876BE" w14:textId="77777777">
            <w:pPr>
              <w:rPr>
                <w:b/>
                <w:bCs/>
                <w:color w:val="000000"/>
                <w:sz w:val="24"/>
                <w:szCs w:val="24"/>
              </w:rPr>
            </w:pPr>
            <w:r w:rsidRPr="00B42088">
              <w:rPr>
                <w:b/>
                <w:bCs/>
                <w:color w:val="000000"/>
                <w:sz w:val="24"/>
                <w:szCs w:val="24"/>
              </w:rPr>
              <w:t>Number of Affected</w:t>
            </w:r>
          </w:p>
          <w:p w:rsidRPr="00B42088" w:rsidR="00F60D05" w:rsidP="00F60D05" w:rsidRDefault="00F60D05" w14:paraId="69F031FC" w14:textId="77777777">
            <w:pPr>
              <w:rPr>
                <w:b/>
                <w:bCs/>
                <w:color w:val="000000"/>
                <w:sz w:val="24"/>
                <w:szCs w:val="24"/>
              </w:rPr>
            </w:pPr>
            <w:r w:rsidRPr="00B42088">
              <w:rPr>
                <w:b/>
                <w:bCs/>
                <w:color w:val="000000"/>
                <w:sz w:val="24"/>
                <w:szCs w:val="24"/>
              </w:rPr>
              <w:t>Employees</w:t>
            </w:r>
          </w:p>
        </w:tc>
      </w:tr>
      <w:tr w:rsidRPr="00F60D05" w:rsidR="00776E33" w:rsidTr="00CE319A" w14:paraId="63238461" w14:textId="77777777">
        <w:trPr>
          <w:gridBefore w:val="1"/>
          <w:wBefore w:w="90" w:type="dxa"/>
          <w:trHeight w:val="290"/>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B42088" w:rsidR="00F60D05" w:rsidP="00F60D05" w:rsidRDefault="00F60D05" w14:paraId="138147C2" w14:textId="77777777">
            <w:pPr>
              <w:rPr>
                <w:color w:val="000000"/>
                <w:sz w:val="24"/>
                <w:szCs w:val="24"/>
              </w:rPr>
            </w:pPr>
            <w:r w:rsidRPr="00B42088">
              <w:rPr>
                <w:color w:val="000000"/>
                <w:sz w:val="24"/>
                <w:szCs w:val="24"/>
              </w:rPr>
              <w:t>336611</w:t>
            </w:r>
          </w:p>
        </w:tc>
        <w:tc>
          <w:tcPr>
            <w:tcW w:w="297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61AA8AF5"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9D702D" w14:paraId="66A1BCA8" w14:textId="60315B1B">
            <w:pPr>
              <w:rPr>
                <w:color w:val="000000"/>
                <w:sz w:val="24"/>
                <w:szCs w:val="24"/>
              </w:rPr>
            </w:pPr>
            <w:r>
              <w:rPr>
                <w:color w:val="000000"/>
                <w:sz w:val="24"/>
                <w:szCs w:val="24"/>
              </w:rPr>
              <w:t xml:space="preserve"> 1-99</w:t>
            </w:r>
          </w:p>
        </w:tc>
        <w:tc>
          <w:tcPr>
            <w:tcW w:w="180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65CF6932" w14:textId="77777777">
            <w:pPr>
              <w:jc w:val="right"/>
              <w:rPr>
                <w:color w:val="000000"/>
                <w:sz w:val="24"/>
                <w:szCs w:val="24"/>
              </w:rPr>
            </w:pPr>
            <w:r w:rsidRPr="00B42088">
              <w:rPr>
                <w:color w:val="000000"/>
                <w:sz w:val="24"/>
                <w:szCs w:val="24"/>
              </w:rPr>
              <w:t>293</w:t>
            </w:r>
          </w:p>
        </w:tc>
        <w:tc>
          <w:tcPr>
            <w:tcW w:w="1851"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6103A025" w14:textId="77777777">
            <w:pPr>
              <w:jc w:val="right"/>
              <w:rPr>
                <w:color w:val="000000"/>
                <w:sz w:val="24"/>
                <w:szCs w:val="24"/>
              </w:rPr>
            </w:pPr>
            <w:r w:rsidRPr="00B42088">
              <w:rPr>
                <w:color w:val="000000"/>
                <w:sz w:val="24"/>
                <w:szCs w:val="24"/>
              </w:rPr>
              <w:t>1,676</w:t>
            </w:r>
          </w:p>
        </w:tc>
      </w:tr>
      <w:tr w:rsidRPr="00F60D05" w:rsidR="00776E33" w:rsidTr="00CE319A" w14:paraId="10048A6D" w14:textId="77777777">
        <w:trPr>
          <w:gridBefore w:val="1"/>
          <w:wBefore w:w="90" w:type="dxa"/>
          <w:trHeight w:val="290"/>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B42088" w:rsidR="00F60D05" w:rsidP="00F60D05" w:rsidRDefault="00F60D05" w14:paraId="649A6E61" w14:textId="77777777">
            <w:pPr>
              <w:rPr>
                <w:color w:val="000000"/>
                <w:sz w:val="24"/>
                <w:szCs w:val="24"/>
              </w:rPr>
            </w:pPr>
            <w:r w:rsidRPr="00B42088">
              <w:rPr>
                <w:color w:val="000000"/>
                <w:sz w:val="24"/>
                <w:szCs w:val="24"/>
              </w:rPr>
              <w:t>336611</w:t>
            </w:r>
          </w:p>
        </w:tc>
        <w:tc>
          <w:tcPr>
            <w:tcW w:w="297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138963B8"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18C35393" w14:textId="77777777">
            <w:pPr>
              <w:rPr>
                <w:color w:val="000000"/>
                <w:sz w:val="24"/>
                <w:szCs w:val="24"/>
              </w:rPr>
            </w:pPr>
            <w:r w:rsidRPr="00B42088">
              <w:rPr>
                <w:color w:val="000000"/>
                <w:sz w:val="24"/>
                <w:szCs w:val="24"/>
              </w:rPr>
              <w:t>20-99</w:t>
            </w:r>
          </w:p>
        </w:tc>
        <w:tc>
          <w:tcPr>
            <w:tcW w:w="180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1869FE0E" w14:textId="77777777">
            <w:pPr>
              <w:jc w:val="right"/>
              <w:rPr>
                <w:color w:val="000000"/>
                <w:sz w:val="24"/>
                <w:szCs w:val="24"/>
              </w:rPr>
            </w:pPr>
            <w:r w:rsidRPr="00B42088">
              <w:rPr>
                <w:color w:val="000000"/>
                <w:sz w:val="24"/>
                <w:szCs w:val="24"/>
              </w:rPr>
              <w:t>127</w:t>
            </w:r>
          </w:p>
        </w:tc>
        <w:tc>
          <w:tcPr>
            <w:tcW w:w="1851"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354415C9" w14:textId="77777777">
            <w:pPr>
              <w:jc w:val="right"/>
              <w:rPr>
                <w:color w:val="000000"/>
                <w:sz w:val="24"/>
                <w:szCs w:val="24"/>
              </w:rPr>
            </w:pPr>
            <w:r w:rsidRPr="00B42088">
              <w:rPr>
                <w:color w:val="000000"/>
                <w:sz w:val="24"/>
                <w:szCs w:val="24"/>
              </w:rPr>
              <w:t>5,336</w:t>
            </w:r>
          </w:p>
        </w:tc>
      </w:tr>
      <w:tr w:rsidRPr="00F60D05" w:rsidR="00776E33" w:rsidTr="00CE319A" w14:paraId="2DE22EEA" w14:textId="77777777">
        <w:trPr>
          <w:gridBefore w:val="1"/>
          <w:wBefore w:w="90" w:type="dxa"/>
          <w:trHeight w:val="290"/>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B42088" w:rsidR="00F60D05" w:rsidP="00F60D05" w:rsidRDefault="00F60D05" w14:paraId="193F393D" w14:textId="77777777">
            <w:pPr>
              <w:rPr>
                <w:color w:val="000000"/>
                <w:sz w:val="24"/>
                <w:szCs w:val="24"/>
              </w:rPr>
            </w:pPr>
            <w:r w:rsidRPr="00B42088">
              <w:rPr>
                <w:color w:val="000000"/>
                <w:sz w:val="24"/>
                <w:szCs w:val="24"/>
              </w:rPr>
              <w:t>336611</w:t>
            </w:r>
          </w:p>
        </w:tc>
        <w:tc>
          <w:tcPr>
            <w:tcW w:w="297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29839122"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37639321" w14:textId="77777777">
            <w:pPr>
              <w:rPr>
                <w:color w:val="000000"/>
                <w:sz w:val="24"/>
                <w:szCs w:val="24"/>
              </w:rPr>
            </w:pPr>
            <w:r w:rsidRPr="00B42088">
              <w:rPr>
                <w:color w:val="000000"/>
                <w:sz w:val="24"/>
                <w:szCs w:val="24"/>
              </w:rPr>
              <w:t>100-499</w:t>
            </w:r>
          </w:p>
        </w:tc>
        <w:tc>
          <w:tcPr>
            <w:tcW w:w="180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0210214C" w14:textId="77777777">
            <w:pPr>
              <w:jc w:val="right"/>
              <w:rPr>
                <w:color w:val="000000"/>
                <w:sz w:val="24"/>
                <w:szCs w:val="24"/>
              </w:rPr>
            </w:pPr>
            <w:r w:rsidRPr="00B42088">
              <w:rPr>
                <w:color w:val="000000"/>
                <w:sz w:val="24"/>
                <w:szCs w:val="24"/>
              </w:rPr>
              <w:t>78</w:t>
            </w:r>
          </w:p>
        </w:tc>
        <w:tc>
          <w:tcPr>
            <w:tcW w:w="1851"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3FDA1EF3" w14:textId="77777777">
            <w:pPr>
              <w:jc w:val="right"/>
              <w:rPr>
                <w:color w:val="000000"/>
                <w:sz w:val="24"/>
                <w:szCs w:val="24"/>
              </w:rPr>
            </w:pPr>
            <w:r w:rsidRPr="00B42088">
              <w:rPr>
                <w:color w:val="000000"/>
                <w:sz w:val="24"/>
                <w:szCs w:val="24"/>
              </w:rPr>
              <w:t>10,707</w:t>
            </w:r>
          </w:p>
        </w:tc>
      </w:tr>
      <w:tr w:rsidRPr="00F60D05" w:rsidR="00776E33" w:rsidTr="00CE319A" w14:paraId="38D0353B" w14:textId="77777777">
        <w:trPr>
          <w:gridBefore w:val="1"/>
          <w:wBefore w:w="90" w:type="dxa"/>
          <w:trHeight w:val="290"/>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B42088" w:rsidR="00F60D05" w:rsidP="00F60D05" w:rsidRDefault="00F60D05" w14:paraId="592EA14C" w14:textId="77777777">
            <w:pPr>
              <w:rPr>
                <w:color w:val="000000"/>
                <w:sz w:val="24"/>
                <w:szCs w:val="24"/>
              </w:rPr>
            </w:pPr>
            <w:r w:rsidRPr="00B42088">
              <w:rPr>
                <w:color w:val="000000"/>
                <w:sz w:val="24"/>
                <w:szCs w:val="24"/>
              </w:rPr>
              <w:t>336611</w:t>
            </w:r>
          </w:p>
        </w:tc>
        <w:tc>
          <w:tcPr>
            <w:tcW w:w="297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6CEEB5BA" w14:textId="77777777">
            <w:pPr>
              <w:rPr>
                <w:color w:val="000000"/>
                <w:sz w:val="24"/>
                <w:szCs w:val="24"/>
              </w:rPr>
            </w:pPr>
            <w:r w:rsidRPr="00B42088">
              <w:rPr>
                <w:color w:val="000000"/>
                <w:sz w:val="24"/>
                <w:szCs w:val="24"/>
              </w:rPr>
              <w:t>Ship Building and Repairing</w:t>
            </w:r>
          </w:p>
        </w:tc>
        <w:tc>
          <w:tcPr>
            <w:tcW w:w="171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1CBE8799" w14:textId="77777777">
            <w:pPr>
              <w:rPr>
                <w:color w:val="000000"/>
                <w:sz w:val="24"/>
                <w:szCs w:val="24"/>
              </w:rPr>
            </w:pPr>
            <w:r w:rsidRPr="00B42088">
              <w:rPr>
                <w:color w:val="000000"/>
                <w:sz w:val="24"/>
                <w:szCs w:val="24"/>
              </w:rPr>
              <w:t>500+</w:t>
            </w:r>
          </w:p>
        </w:tc>
        <w:tc>
          <w:tcPr>
            <w:tcW w:w="1800"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5464C921" w14:textId="77777777">
            <w:pPr>
              <w:jc w:val="right"/>
              <w:rPr>
                <w:color w:val="000000"/>
                <w:sz w:val="24"/>
                <w:szCs w:val="24"/>
              </w:rPr>
            </w:pPr>
            <w:r w:rsidRPr="00B42088">
              <w:rPr>
                <w:color w:val="000000"/>
                <w:sz w:val="24"/>
                <w:szCs w:val="24"/>
              </w:rPr>
              <w:t>90</w:t>
            </w:r>
          </w:p>
        </w:tc>
        <w:tc>
          <w:tcPr>
            <w:tcW w:w="1851" w:type="dxa"/>
            <w:tcBorders>
              <w:top w:val="nil"/>
              <w:left w:val="nil"/>
              <w:bottom w:val="single" w:color="auto" w:sz="4" w:space="0"/>
              <w:right w:val="single" w:color="auto" w:sz="4" w:space="0"/>
            </w:tcBorders>
            <w:shd w:val="clear" w:color="auto" w:fill="auto"/>
            <w:noWrap/>
            <w:vAlign w:val="bottom"/>
            <w:hideMark/>
          </w:tcPr>
          <w:p w:rsidRPr="00B42088" w:rsidR="00F60D05" w:rsidP="00F60D05" w:rsidRDefault="00F60D05" w14:paraId="3984DAF1" w14:textId="77777777">
            <w:pPr>
              <w:jc w:val="right"/>
              <w:rPr>
                <w:color w:val="000000"/>
                <w:sz w:val="24"/>
                <w:szCs w:val="24"/>
              </w:rPr>
            </w:pPr>
            <w:r w:rsidRPr="00B42088">
              <w:rPr>
                <w:color w:val="000000"/>
                <w:sz w:val="24"/>
                <w:szCs w:val="24"/>
              </w:rPr>
              <w:t>82,244</w:t>
            </w:r>
          </w:p>
        </w:tc>
      </w:tr>
      <w:tr w:rsidRPr="00F60D05" w:rsidR="00776E33" w:rsidTr="00CE319A" w14:paraId="018AEB6B" w14:textId="77777777">
        <w:trPr>
          <w:gridBefore w:val="1"/>
          <w:wBefore w:w="90" w:type="dxa"/>
          <w:trHeight w:val="290"/>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42088" w:rsidR="00F60D05" w:rsidP="00F60D05" w:rsidRDefault="00F60D05" w14:paraId="2696DE91" w14:textId="77777777">
            <w:pPr>
              <w:rPr>
                <w:b/>
                <w:color w:val="000000"/>
                <w:sz w:val="24"/>
                <w:szCs w:val="24"/>
              </w:rPr>
            </w:pPr>
            <w:r w:rsidRPr="00B42088">
              <w:rPr>
                <w:b/>
                <w:color w:val="000000"/>
                <w:sz w:val="24"/>
                <w:szCs w:val="24"/>
              </w:rPr>
              <w:t>Total</w:t>
            </w:r>
          </w:p>
        </w:tc>
        <w:tc>
          <w:tcPr>
            <w:tcW w:w="2970" w:type="dxa"/>
            <w:tcBorders>
              <w:top w:val="single" w:color="auto" w:sz="4" w:space="0"/>
              <w:left w:val="nil"/>
              <w:bottom w:val="single" w:color="auto" w:sz="4" w:space="0"/>
              <w:right w:val="single" w:color="auto" w:sz="4" w:space="0"/>
            </w:tcBorders>
            <w:shd w:val="clear" w:color="auto" w:fill="auto"/>
            <w:noWrap/>
            <w:vAlign w:val="bottom"/>
          </w:tcPr>
          <w:p w:rsidRPr="00B42088" w:rsidR="00F60D05" w:rsidP="00F60D05" w:rsidRDefault="00F60D05" w14:paraId="04E53B1E" w14:textId="77777777">
            <w:pPr>
              <w:rPr>
                <w:b/>
                <w:color w:val="000000"/>
                <w:sz w:val="24"/>
                <w:szCs w:val="24"/>
              </w:rPr>
            </w:pP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B42088" w:rsidR="00F60D05" w:rsidP="00F60D05" w:rsidRDefault="00F60D05" w14:paraId="6919AA97" w14:textId="77777777">
            <w:pPr>
              <w:rPr>
                <w:b/>
                <w:color w:val="000000"/>
                <w:sz w:val="24"/>
                <w:szCs w:val="24"/>
              </w:rPr>
            </w:pP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B42088" w:rsidR="00F60D05" w:rsidP="00F60D05" w:rsidRDefault="00F60D05" w14:paraId="18B241A4" w14:textId="77777777">
            <w:pPr>
              <w:jc w:val="right"/>
              <w:rPr>
                <w:b/>
                <w:color w:val="000000"/>
                <w:sz w:val="24"/>
                <w:szCs w:val="24"/>
              </w:rPr>
            </w:pPr>
            <w:r w:rsidRPr="00B42088">
              <w:rPr>
                <w:b/>
                <w:color w:val="000000"/>
                <w:sz w:val="24"/>
                <w:szCs w:val="24"/>
              </w:rPr>
              <w:t>588</w:t>
            </w:r>
          </w:p>
        </w:tc>
        <w:tc>
          <w:tcPr>
            <w:tcW w:w="1851" w:type="dxa"/>
            <w:tcBorders>
              <w:top w:val="single" w:color="auto" w:sz="4" w:space="0"/>
              <w:left w:val="nil"/>
              <w:bottom w:val="single" w:color="auto" w:sz="4" w:space="0"/>
              <w:right w:val="single" w:color="auto" w:sz="4" w:space="0"/>
            </w:tcBorders>
            <w:shd w:val="clear" w:color="auto" w:fill="auto"/>
            <w:noWrap/>
            <w:vAlign w:val="bottom"/>
            <w:hideMark/>
          </w:tcPr>
          <w:p w:rsidRPr="00B42088" w:rsidR="00F60D05" w:rsidP="00F60D05" w:rsidRDefault="00F60D05" w14:paraId="098D01CE" w14:textId="77777777">
            <w:pPr>
              <w:jc w:val="right"/>
              <w:rPr>
                <w:b/>
                <w:color w:val="000000"/>
                <w:sz w:val="24"/>
                <w:szCs w:val="24"/>
              </w:rPr>
            </w:pPr>
            <w:r w:rsidRPr="00B42088">
              <w:rPr>
                <w:b/>
                <w:color w:val="000000"/>
                <w:sz w:val="24"/>
                <w:szCs w:val="24"/>
              </w:rPr>
              <w:t>99,963</w:t>
            </w:r>
          </w:p>
        </w:tc>
      </w:tr>
    </w:tbl>
    <w:p w:rsidR="00F60D05" w:rsidP="00CE319A" w:rsidRDefault="00E11E13" w14:paraId="49762876" w14:textId="77777777">
      <w:pPr>
        <w:ind w:firstLine="288"/>
        <w:rPr>
          <w:rFonts w:eastAsia="Calibri"/>
          <w:b/>
        </w:rPr>
      </w:pPr>
      <w:r w:rsidRPr="00F50672">
        <w:rPr>
          <w:rFonts w:eastAsia="Calibri"/>
          <w:b/>
        </w:rPr>
        <w:t xml:space="preserve">Source:  </w:t>
      </w:r>
      <w:r w:rsidR="00DE5484">
        <w:rPr>
          <w:rFonts w:eastAsia="Calibri"/>
          <w:b/>
        </w:rPr>
        <w:t>US County Business Patterns, 2017</w:t>
      </w:r>
    </w:p>
    <w:p w:rsidRPr="00F50672" w:rsidR="003F11D9" w:rsidP="00FE0A3E" w:rsidRDefault="003F11D9" w14:paraId="54FB005F" w14:textId="77777777">
      <w:pPr>
        <w:rPr>
          <w:rFonts w:eastAsia="Calibri"/>
          <w:b/>
        </w:rPr>
      </w:pPr>
    </w:p>
    <w:p w:rsidRPr="00FE0A3E" w:rsidR="00FE0A3E" w:rsidP="00FE0A3E" w:rsidRDefault="00FE0A3E" w14:paraId="3C4A2915" w14:textId="77777777">
      <w:pPr>
        <w:rPr>
          <w:rFonts w:eastAsia="Calibri"/>
          <w:b/>
          <w:sz w:val="24"/>
          <w:szCs w:val="24"/>
        </w:rPr>
      </w:pPr>
      <w:r w:rsidRPr="00FE0A3E">
        <w:rPr>
          <w:rFonts w:eastAsia="Calibri"/>
          <w:b/>
          <w:sz w:val="24"/>
          <w:szCs w:val="24"/>
        </w:rPr>
        <w:t>Estimating the number of shipyard establishments, shipyard employers, and shipyard workers</w:t>
      </w:r>
    </w:p>
    <w:p w:rsidRPr="00FE0A3E" w:rsidR="00FE0A3E" w:rsidP="00FE0A3E" w:rsidRDefault="00FE0A3E" w14:paraId="0416EC0A" w14:textId="77777777">
      <w:pPr>
        <w:rPr>
          <w:rFonts w:eastAsia="Calibri"/>
          <w:b/>
          <w:sz w:val="24"/>
          <w:szCs w:val="24"/>
        </w:rPr>
      </w:pPr>
    </w:p>
    <w:p w:rsidR="00C6642F" w:rsidP="00FE0A3E" w:rsidRDefault="00FE0A3E" w14:paraId="157E26D3" w14:textId="77777777">
      <w:pPr>
        <w:rPr>
          <w:rFonts w:eastAsia="Calibri"/>
          <w:sz w:val="24"/>
          <w:szCs w:val="24"/>
        </w:rPr>
      </w:pPr>
      <w:r w:rsidRPr="00FE0A3E">
        <w:rPr>
          <w:rFonts w:eastAsia="Calibri"/>
          <w:sz w:val="24"/>
          <w:szCs w:val="24"/>
        </w:rPr>
        <w:t xml:space="preserve">Based on revised estimates from the Agency’s Office of Regulatory Analysis, OSHA estimates there are </w:t>
      </w:r>
      <w:r w:rsidR="002613C7">
        <w:rPr>
          <w:rFonts w:eastAsia="Calibri"/>
          <w:sz w:val="24"/>
          <w:szCs w:val="24"/>
        </w:rPr>
        <w:t>168</w:t>
      </w:r>
      <w:r w:rsidRPr="00FE0A3E">
        <w:rPr>
          <w:rFonts w:eastAsia="Calibri"/>
          <w:sz w:val="24"/>
          <w:szCs w:val="24"/>
          <w:vertAlign w:val="superscript"/>
        </w:rPr>
        <w:footnoteReference w:id="4"/>
      </w:r>
      <w:r w:rsidRPr="00FE0A3E">
        <w:rPr>
          <w:rFonts w:eastAsia="Calibri"/>
          <w:sz w:val="24"/>
          <w:szCs w:val="24"/>
        </w:rPr>
        <w:t xml:space="preserve"> host employers and </w:t>
      </w:r>
      <w:r w:rsidR="00F60D05">
        <w:rPr>
          <w:rFonts w:eastAsia="Calibri"/>
          <w:sz w:val="24"/>
          <w:szCs w:val="24"/>
        </w:rPr>
        <w:t>588</w:t>
      </w:r>
      <w:r w:rsidRPr="00FE0A3E" w:rsidR="00641AA4">
        <w:rPr>
          <w:rFonts w:eastAsia="Calibri"/>
          <w:sz w:val="24"/>
          <w:szCs w:val="24"/>
        </w:rPr>
        <w:t xml:space="preserve"> </w:t>
      </w:r>
      <w:r w:rsidRPr="00FE0A3E">
        <w:rPr>
          <w:rFonts w:eastAsia="Calibri"/>
          <w:sz w:val="24"/>
          <w:szCs w:val="24"/>
        </w:rPr>
        <w:t>total establishments (</w:t>
      </w:r>
      <w:r w:rsidRPr="00FE0A3E" w:rsidR="002A732A">
        <w:rPr>
          <w:rFonts w:eastAsia="Calibri"/>
          <w:sz w:val="24"/>
          <w:szCs w:val="24"/>
        </w:rPr>
        <w:t>201</w:t>
      </w:r>
      <w:r w:rsidR="00F60D05">
        <w:rPr>
          <w:rFonts w:eastAsia="Calibri"/>
          <w:sz w:val="24"/>
          <w:szCs w:val="24"/>
        </w:rPr>
        <w:t>7</w:t>
      </w:r>
      <w:r w:rsidRPr="00FE0A3E" w:rsidR="002A732A">
        <w:rPr>
          <w:rFonts w:eastAsia="Calibri"/>
          <w:sz w:val="24"/>
          <w:szCs w:val="24"/>
        </w:rPr>
        <w:t xml:space="preserve"> </w:t>
      </w:r>
      <w:r w:rsidRPr="00FE0A3E">
        <w:rPr>
          <w:rFonts w:eastAsia="Calibri"/>
          <w:sz w:val="24"/>
          <w:szCs w:val="24"/>
        </w:rPr>
        <w:t>County Business Patterns (NAICS 336611))</w:t>
      </w:r>
      <w:r w:rsidRPr="00FE0A3E">
        <w:rPr>
          <w:rFonts w:eastAsia="Calibri"/>
          <w:sz w:val="24"/>
          <w:szCs w:val="24"/>
          <w:vertAlign w:val="superscript"/>
        </w:rPr>
        <w:footnoteReference w:id="5"/>
      </w:r>
      <w:r w:rsidRPr="00FE0A3E">
        <w:rPr>
          <w:rFonts w:eastAsia="Calibri"/>
          <w:sz w:val="24"/>
          <w:szCs w:val="24"/>
        </w:rPr>
        <w:t xml:space="preserve">.  </w:t>
      </w:r>
      <w:r w:rsidRPr="00FE0A3E">
        <w:rPr>
          <w:rFonts w:eastAsia="Calibri"/>
          <w:sz w:val="24"/>
          <w:szCs w:val="24"/>
        </w:rPr>
        <w:lastRenderedPageBreak/>
        <w:t xml:space="preserve">However, for purposes of this ICR, OSHA estimates </w:t>
      </w:r>
      <w:r w:rsidR="002A732A">
        <w:rPr>
          <w:rFonts w:eastAsia="Calibri"/>
          <w:sz w:val="24"/>
          <w:szCs w:val="24"/>
        </w:rPr>
        <w:t xml:space="preserve">that </w:t>
      </w:r>
      <w:r w:rsidRPr="00FE0A3E">
        <w:rPr>
          <w:rFonts w:eastAsia="Calibri"/>
          <w:sz w:val="24"/>
          <w:szCs w:val="24"/>
        </w:rPr>
        <w:t>the</w:t>
      </w:r>
      <w:r w:rsidR="002A732A">
        <w:rPr>
          <w:rFonts w:eastAsia="Calibri"/>
          <w:sz w:val="24"/>
          <w:szCs w:val="24"/>
        </w:rPr>
        <w:t xml:space="preserve"> </w:t>
      </w:r>
      <w:r w:rsidRPr="00FE0A3E">
        <w:rPr>
          <w:rFonts w:eastAsia="Calibri"/>
          <w:sz w:val="24"/>
          <w:szCs w:val="24"/>
        </w:rPr>
        <w:t xml:space="preserve">number of affected </w:t>
      </w:r>
      <w:r w:rsidR="00D615F9">
        <w:rPr>
          <w:rFonts w:eastAsia="Calibri"/>
          <w:sz w:val="24"/>
          <w:szCs w:val="24"/>
        </w:rPr>
        <w:t>establishments</w:t>
      </w:r>
      <w:r w:rsidRPr="00FE0A3E">
        <w:rPr>
          <w:rFonts w:eastAsia="Calibri"/>
          <w:sz w:val="24"/>
          <w:szCs w:val="24"/>
        </w:rPr>
        <w:t xml:space="preserve">/employers </w:t>
      </w:r>
      <w:r w:rsidR="00D615F9">
        <w:rPr>
          <w:rFonts w:eastAsia="Calibri"/>
          <w:sz w:val="24"/>
          <w:szCs w:val="24"/>
        </w:rPr>
        <w:t xml:space="preserve">is </w:t>
      </w:r>
      <w:r w:rsidR="00BE038E">
        <w:rPr>
          <w:rFonts w:eastAsia="Calibri"/>
          <w:sz w:val="24"/>
          <w:szCs w:val="24"/>
        </w:rPr>
        <w:t>2</w:t>
      </w:r>
      <w:r w:rsidR="00FF6C51">
        <w:rPr>
          <w:rFonts w:eastAsia="Calibri"/>
          <w:sz w:val="24"/>
          <w:szCs w:val="24"/>
        </w:rPr>
        <w:t>53</w:t>
      </w:r>
      <w:r w:rsidR="00D615F9">
        <w:rPr>
          <w:rFonts w:eastAsia="Calibri"/>
          <w:sz w:val="24"/>
          <w:szCs w:val="24"/>
        </w:rPr>
        <w:t xml:space="preserve"> employers.</w:t>
      </w:r>
      <w:r w:rsidRPr="00FE0A3E">
        <w:rPr>
          <w:rFonts w:eastAsia="Calibri"/>
          <w:sz w:val="24"/>
          <w:szCs w:val="24"/>
        </w:rPr>
        <w:t xml:space="preserve"> </w:t>
      </w:r>
      <w:r w:rsidR="003E4AA2">
        <w:rPr>
          <w:rFonts w:eastAsia="Calibri"/>
          <w:sz w:val="24"/>
          <w:szCs w:val="24"/>
        </w:rPr>
        <w:t>T</w:t>
      </w:r>
      <w:r w:rsidRPr="00FE0A3E">
        <w:rPr>
          <w:rFonts w:eastAsia="Calibri"/>
          <w:sz w:val="24"/>
          <w:szCs w:val="24"/>
        </w:rPr>
        <w:t>h</w:t>
      </w:r>
      <w:r w:rsidR="00F60D05">
        <w:rPr>
          <w:rFonts w:eastAsia="Calibri"/>
          <w:sz w:val="24"/>
          <w:szCs w:val="24"/>
        </w:rPr>
        <w:t>e</w:t>
      </w:r>
      <w:r w:rsidRPr="00FE0A3E">
        <w:rPr>
          <w:rFonts w:eastAsia="Calibri"/>
          <w:sz w:val="24"/>
          <w:szCs w:val="24"/>
        </w:rPr>
        <w:t xml:space="preserve"> </w:t>
      </w:r>
      <w:r w:rsidR="003E4AA2">
        <w:rPr>
          <w:rFonts w:eastAsia="Calibri"/>
          <w:sz w:val="24"/>
          <w:szCs w:val="24"/>
        </w:rPr>
        <w:t xml:space="preserve">establishments of non-compliance </w:t>
      </w:r>
      <w:r w:rsidRPr="00FE0A3E">
        <w:rPr>
          <w:rFonts w:eastAsia="Calibri"/>
          <w:sz w:val="24"/>
          <w:szCs w:val="24"/>
        </w:rPr>
        <w:t>estimate</w:t>
      </w:r>
      <w:r w:rsidR="00F60D05">
        <w:rPr>
          <w:rFonts w:eastAsia="Calibri"/>
          <w:sz w:val="24"/>
          <w:szCs w:val="24"/>
        </w:rPr>
        <w:t>s</w:t>
      </w:r>
      <w:r w:rsidRPr="00FE0A3E">
        <w:rPr>
          <w:rFonts w:eastAsia="Calibri"/>
          <w:sz w:val="24"/>
          <w:szCs w:val="24"/>
        </w:rPr>
        <w:t xml:space="preserve"> </w:t>
      </w:r>
      <w:r w:rsidR="00F60D05">
        <w:rPr>
          <w:rFonts w:eastAsia="Calibri"/>
          <w:sz w:val="24"/>
          <w:szCs w:val="24"/>
        </w:rPr>
        <w:t>are</w:t>
      </w:r>
      <w:r w:rsidRPr="00FE0A3E">
        <w:rPr>
          <w:rFonts w:eastAsia="Calibri"/>
          <w:sz w:val="24"/>
          <w:szCs w:val="24"/>
        </w:rPr>
        <w:t xml:space="preserve"> based on the following:  (</w:t>
      </w:r>
      <w:r w:rsidR="00FF6C51">
        <w:rPr>
          <w:rFonts w:eastAsia="Calibri"/>
          <w:sz w:val="24"/>
          <w:szCs w:val="24"/>
        </w:rPr>
        <w:t>420</w:t>
      </w:r>
      <w:r w:rsidRPr="00FE0A3E" w:rsidR="00537C70">
        <w:rPr>
          <w:rFonts w:eastAsia="Calibri"/>
          <w:sz w:val="24"/>
          <w:szCs w:val="24"/>
        </w:rPr>
        <w:t xml:space="preserve"> </w:t>
      </w:r>
      <w:r w:rsidRPr="00FE0A3E">
        <w:rPr>
          <w:rFonts w:eastAsia="Calibri"/>
          <w:sz w:val="24"/>
          <w:szCs w:val="24"/>
        </w:rPr>
        <w:t xml:space="preserve">small </w:t>
      </w:r>
      <w:r w:rsidR="00BE038E">
        <w:rPr>
          <w:rFonts w:eastAsia="Calibri"/>
          <w:sz w:val="24"/>
          <w:szCs w:val="24"/>
        </w:rPr>
        <w:t>establishments</w:t>
      </w:r>
      <w:r w:rsidRPr="00FE0A3E" w:rsidR="00BE038E">
        <w:rPr>
          <w:rFonts w:eastAsia="Calibri"/>
          <w:sz w:val="24"/>
          <w:szCs w:val="24"/>
        </w:rPr>
        <w:t xml:space="preserve"> </w:t>
      </w:r>
      <w:r w:rsidRPr="00FE0A3E">
        <w:rPr>
          <w:rFonts w:eastAsia="Calibri"/>
          <w:sz w:val="24"/>
          <w:szCs w:val="24"/>
        </w:rPr>
        <w:t xml:space="preserve">x 50% non-compliance = </w:t>
      </w:r>
      <w:r w:rsidR="00537C70">
        <w:rPr>
          <w:rFonts w:eastAsia="Calibri"/>
          <w:sz w:val="24"/>
          <w:szCs w:val="24"/>
        </w:rPr>
        <w:t>2</w:t>
      </w:r>
      <w:r w:rsidR="00FF6C51">
        <w:rPr>
          <w:rFonts w:eastAsia="Calibri"/>
          <w:sz w:val="24"/>
          <w:szCs w:val="24"/>
        </w:rPr>
        <w:t>10</w:t>
      </w:r>
      <w:r w:rsidRPr="00FE0A3E">
        <w:rPr>
          <w:rFonts w:eastAsia="Calibri"/>
          <w:sz w:val="24"/>
          <w:szCs w:val="24"/>
        </w:rPr>
        <w:t>) + (</w:t>
      </w:r>
      <w:r w:rsidR="00FF6C51">
        <w:rPr>
          <w:rFonts w:eastAsia="Calibri"/>
          <w:sz w:val="24"/>
          <w:szCs w:val="24"/>
        </w:rPr>
        <w:t>78</w:t>
      </w:r>
      <w:r w:rsidRPr="00FE0A3E" w:rsidR="00537C70">
        <w:rPr>
          <w:rFonts w:eastAsia="Calibri"/>
          <w:sz w:val="24"/>
          <w:szCs w:val="24"/>
        </w:rPr>
        <w:t xml:space="preserve"> </w:t>
      </w:r>
      <w:r w:rsidRPr="00FE0A3E">
        <w:rPr>
          <w:rFonts w:eastAsia="Calibri"/>
          <w:sz w:val="24"/>
          <w:szCs w:val="24"/>
        </w:rPr>
        <w:t xml:space="preserve">mid-size </w:t>
      </w:r>
      <w:r w:rsidR="00BE038E">
        <w:rPr>
          <w:rFonts w:eastAsia="Calibri"/>
          <w:sz w:val="24"/>
          <w:szCs w:val="24"/>
        </w:rPr>
        <w:t>establishments</w:t>
      </w:r>
      <w:r w:rsidRPr="00FE0A3E" w:rsidR="00BE038E">
        <w:rPr>
          <w:rFonts w:eastAsia="Calibri"/>
          <w:sz w:val="24"/>
          <w:szCs w:val="24"/>
        </w:rPr>
        <w:t xml:space="preserve"> </w:t>
      </w:r>
      <w:r w:rsidRPr="00FE0A3E">
        <w:rPr>
          <w:rFonts w:eastAsia="Calibri"/>
          <w:sz w:val="24"/>
          <w:szCs w:val="24"/>
        </w:rPr>
        <w:t xml:space="preserve">x 25% non-compliance = </w:t>
      </w:r>
      <w:r w:rsidR="00BE038E">
        <w:rPr>
          <w:rFonts w:eastAsia="Calibri"/>
          <w:sz w:val="24"/>
          <w:szCs w:val="24"/>
        </w:rPr>
        <w:t>2</w:t>
      </w:r>
      <w:r w:rsidR="00FF6C51">
        <w:rPr>
          <w:rFonts w:eastAsia="Calibri"/>
          <w:sz w:val="24"/>
          <w:szCs w:val="24"/>
        </w:rPr>
        <w:t>0</w:t>
      </w:r>
      <w:r w:rsidRPr="00FE0A3E">
        <w:rPr>
          <w:rFonts w:eastAsia="Calibri"/>
          <w:sz w:val="24"/>
          <w:szCs w:val="24"/>
        </w:rPr>
        <w:t>) + (</w:t>
      </w:r>
      <w:r w:rsidR="00FF6C51">
        <w:rPr>
          <w:rFonts w:eastAsia="Calibri"/>
          <w:sz w:val="24"/>
          <w:szCs w:val="24"/>
        </w:rPr>
        <w:t>90</w:t>
      </w:r>
      <w:r w:rsidRPr="00FE0A3E" w:rsidR="00537C70">
        <w:rPr>
          <w:rFonts w:eastAsia="Calibri"/>
          <w:sz w:val="24"/>
          <w:szCs w:val="24"/>
        </w:rPr>
        <w:t xml:space="preserve"> </w:t>
      </w:r>
      <w:r w:rsidRPr="00FE0A3E">
        <w:rPr>
          <w:rFonts w:eastAsia="Calibri"/>
          <w:sz w:val="24"/>
          <w:szCs w:val="24"/>
        </w:rPr>
        <w:t xml:space="preserve">large </w:t>
      </w:r>
      <w:r w:rsidR="00BE038E">
        <w:rPr>
          <w:rFonts w:eastAsia="Calibri"/>
          <w:sz w:val="24"/>
          <w:szCs w:val="24"/>
        </w:rPr>
        <w:t>establishments</w:t>
      </w:r>
      <w:r w:rsidRPr="00FE0A3E" w:rsidR="00BE038E">
        <w:rPr>
          <w:rFonts w:eastAsia="Calibri"/>
          <w:sz w:val="24"/>
          <w:szCs w:val="24"/>
        </w:rPr>
        <w:t xml:space="preserve"> </w:t>
      </w:r>
      <w:r w:rsidRPr="00FE0A3E">
        <w:rPr>
          <w:rFonts w:eastAsia="Calibri"/>
          <w:sz w:val="24"/>
          <w:szCs w:val="24"/>
        </w:rPr>
        <w:t xml:space="preserve">x 25% non-compliance = </w:t>
      </w:r>
      <w:r w:rsidR="00BE038E">
        <w:rPr>
          <w:rFonts w:eastAsia="Calibri"/>
          <w:sz w:val="24"/>
          <w:szCs w:val="24"/>
        </w:rPr>
        <w:t>2</w:t>
      </w:r>
      <w:r w:rsidR="00FF6C51">
        <w:rPr>
          <w:rFonts w:eastAsia="Calibri"/>
          <w:sz w:val="24"/>
          <w:szCs w:val="24"/>
        </w:rPr>
        <w:t>3</w:t>
      </w:r>
      <w:r w:rsidRPr="00FE0A3E">
        <w:rPr>
          <w:rFonts w:eastAsia="Calibri"/>
          <w:sz w:val="24"/>
          <w:szCs w:val="24"/>
        </w:rPr>
        <w:t>)</w:t>
      </w:r>
      <w:r w:rsidR="003E4AA2">
        <w:rPr>
          <w:rFonts w:eastAsia="Calibri"/>
          <w:sz w:val="24"/>
          <w:szCs w:val="24"/>
        </w:rPr>
        <w:t xml:space="preserve"> = 253</w:t>
      </w:r>
      <w:r w:rsidRPr="00FE0A3E">
        <w:rPr>
          <w:rFonts w:eastAsia="Calibri"/>
          <w:sz w:val="24"/>
          <w:szCs w:val="24"/>
        </w:rPr>
        <w:t>)</w:t>
      </w:r>
      <w:r w:rsidRPr="00FE0A3E">
        <w:rPr>
          <w:rFonts w:eastAsia="Calibri"/>
          <w:sz w:val="24"/>
          <w:szCs w:val="24"/>
          <w:vertAlign w:val="superscript"/>
        </w:rPr>
        <w:footnoteReference w:id="6"/>
      </w:r>
      <w:r w:rsidRPr="00FE0A3E">
        <w:rPr>
          <w:rFonts w:eastAsia="Calibri"/>
          <w:sz w:val="24"/>
          <w:szCs w:val="24"/>
        </w:rPr>
        <w:t xml:space="preserve">.  The number of affected workers is </w:t>
      </w:r>
      <w:r w:rsidR="00FF6C51">
        <w:rPr>
          <w:rFonts w:eastAsia="Calibri"/>
          <w:sz w:val="24"/>
          <w:szCs w:val="24"/>
        </w:rPr>
        <w:t>99,963</w:t>
      </w:r>
      <w:r w:rsidRPr="00FE0A3E">
        <w:rPr>
          <w:rFonts w:eastAsia="Calibri"/>
          <w:sz w:val="24"/>
          <w:szCs w:val="24"/>
        </w:rPr>
        <w:t xml:space="preserve"> including </w:t>
      </w:r>
      <w:r w:rsidR="00FF6C51">
        <w:rPr>
          <w:rFonts w:eastAsia="Calibri"/>
          <w:sz w:val="24"/>
          <w:szCs w:val="24"/>
        </w:rPr>
        <w:t>8,197</w:t>
      </w:r>
      <w:r w:rsidRPr="00FE0A3E">
        <w:rPr>
          <w:rFonts w:eastAsia="Calibri"/>
          <w:sz w:val="24"/>
          <w:szCs w:val="24"/>
        </w:rPr>
        <w:t xml:space="preserve"> fire response workers</w:t>
      </w:r>
      <w:r w:rsidRPr="00FE0A3E">
        <w:rPr>
          <w:rFonts w:eastAsia="Calibri"/>
          <w:sz w:val="24"/>
          <w:szCs w:val="24"/>
          <w:vertAlign w:val="superscript"/>
        </w:rPr>
        <w:footnoteReference w:id="7"/>
      </w:r>
      <w:r w:rsidRPr="00FE0A3E">
        <w:rPr>
          <w:rFonts w:eastAsia="Calibri"/>
          <w:sz w:val="24"/>
          <w:szCs w:val="24"/>
        </w:rPr>
        <w:t xml:space="preserve">.  The </w:t>
      </w:r>
      <w:r w:rsidR="00FF6C51">
        <w:rPr>
          <w:rFonts w:eastAsia="Calibri"/>
          <w:sz w:val="24"/>
          <w:szCs w:val="24"/>
        </w:rPr>
        <w:t>8,197</w:t>
      </w:r>
      <w:r w:rsidRPr="00FE0A3E">
        <w:rPr>
          <w:rFonts w:eastAsia="Calibri"/>
          <w:sz w:val="24"/>
          <w:szCs w:val="24"/>
        </w:rPr>
        <w:t xml:space="preserve"> fire response workers are an estimate of the number of workers that may be assigned fire response duties.</w:t>
      </w:r>
      <w:r w:rsidR="00F5644F">
        <w:rPr>
          <w:rStyle w:val="FootnoteReference"/>
          <w:rFonts w:eastAsia="Calibri"/>
          <w:sz w:val="24"/>
          <w:szCs w:val="24"/>
        </w:rPr>
        <w:footnoteReference w:id="8"/>
      </w:r>
      <w:r w:rsidRPr="00FE0A3E">
        <w:rPr>
          <w:rFonts w:eastAsia="Calibri"/>
          <w:sz w:val="24"/>
          <w:szCs w:val="24"/>
        </w:rPr>
        <w:t xml:space="preserve"> </w:t>
      </w:r>
    </w:p>
    <w:p w:rsidRPr="00FE0A3E" w:rsidR="00FE0A3E" w:rsidP="00FE0A3E" w:rsidRDefault="00FE0A3E" w14:paraId="7E69F433" w14:textId="2087D189">
      <w:pPr>
        <w:rPr>
          <w:rFonts w:eastAsia="Calibri"/>
          <w:sz w:val="24"/>
          <w:szCs w:val="24"/>
        </w:rPr>
      </w:pPr>
      <w:r w:rsidRPr="00FE0A3E">
        <w:rPr>
          <w:rFonts w:eastAsia="Calibri"/>
          <w:sz w:val="24"/>
          <w:szCs w:val="24"/>
        </w:rPr>
        <w:t xml:space="preserve"> </w:t>
      </w:r>
    </w:p>
    <w:p w:rsidRPr="00FE0A3E" w:rsidR="00FE0A3E" w:rsidP="00FE0A3E" w:rsidRDefault="00FE0A3E" w14:paraId="41CA4E0D" w14:textId="77777777">
      <w:pPr>
        <w:rPr>
          <w:rFonts w:eastAsia="Calibri"/>
          <w:sz w:val="24"/>
          <w:szCs w:val="24"/>
        </w:rPr>
      </w:pPr>
      <w:r w:rsidRPr="00FE0A3E">
        <w:rPr>
          <w:rFonts w:eastAsia="Calibri"/>
          <w:sz w:val="24"/>
          <w:szCs w:val="24"/>
        </w:rPr>
        <w:t xml:space="preserve">There are </w:t>
      </w:r>
      <w:r w:rsidR="00F5644F">
        <w:rPr>
          <w:rFonts w:eastAsia="Calibri"/>
          <w:sz w:val="24"/>
          <w:szCs w:val="24"/>
        </w:rPr>
        <w:t>several</w:t>
      </w:r>
      <w:r w:rsidRPr="00FE0A3E">
        <w:rPr>
          <w:rFonts w:eastAsia="Calibri"/>
          <w:sz w:val="24"/>
          <w:szCs w:val="24"/>
        </w:rPr>
        <w:t xml:space="preserve"> collections of information requirements in the rule as indicated below:</w:t>
      </w:r>
    </w:p>
    <w:p w:rsidRPr="00FE0A3E" w:rsidR="00FE0A3E" w:rsidP="00FE0A3E" w:rsidRDefault="00FE0A3E" w14:paraId="09211694" w14:textId="77777777">
      <w:pPr>
        <w:rPr>
          <w:rFonts w:eastAsia="Calibri"/>
          <w:sz w:val="24"/>
          <w:szCs w:val="24"/>
        </w:rPr>
      </w:pPr>
    </w:p>
    <w:p w:rsidRPr="00FE0A3E" w:rsidR="00FE0A3E" w:rsidP="00FE0A3E" w:rsidRDefault="00FE0A3E" w14:paraId="556BD4AD" w14:textId="77777777">
      <w:pPr>
        <w:numPr>
          <w:ilvl w:val="0"/>
          <w:numId w:val="16"/>
        </w:numPr>
        <w:spacing w:after="200" w:line="276" w:lineRule="auto"/>
        <w:contextualSpacing/>
        <w:rPr>
          <w:rFonts w:eastAsia="Calibri"/>
          <w:b/>
          <w:sz w:val="24"/>
          <w:szCs w:val="24"/>
        </w:rPr>
      </w:pPr>
      <w:r w:rsidRPr="00FE0A3E">
        <w:rPr>
          <w:rFonts w:eastAsia="Calibri"/>
          <w:b/>
          <w:sz w:val="24"/>
          <w:szCs w:val="24"/>
        </w:rPr>
        <w:t>Section 1915.501 – General Provisions</w:t>
      </w:r>
    </w:p>
    <w:p w:rsidRPr="00FE0A3E" w:rsidR="00FE0A3E" w:rsidP="00FE0A3E" w:rsidRDefault="00FE0A3E" w14:paraId="24CAD16F" w14:textId="77777777">
      <w:pPr>
        <w:rPr>
          <w:rFonts w:eastAsia="Calibri"/>
          <w:b/>
          <w:sz w:val="24"/>
          <w:szCs w:val="24"/>
        </w:rPr>
      </w:pPr>
    </w:p>
    <w:p w:rsidRPr="00FE0A3E" w:rsidR="00FE0A3E" w:rsidP="00FE0A3E" w:rsidRDefault="00FE0A3E" w14:paraId="13D147F9" w14:textId="77777777">
      <w:pPr>
        <w:rPr>
          <w:rFonts w:eastAsia="Calibri"/>
          <w:sz w:val="24"/>
          <w:szCs w:val="24"/>
        </w:rPr>
      </w:pPr>
      <w:r w:rsidRPr="00FE0A3E">
        <w:rPr>
          <w:rFonts w:eastAsia="Calibri"/>
          <w:sz w:val="24"/>
          <w:szCs w:val="24"/>
        </w:rPr>
        <w:t xml:space="preserve">Paragraph (d)(1)(i) requires that the host employer on multi-employer worksites inform all employers at the worksite about the content of the </w:t>
      </w:r>
      <w:r w:rsidRPr="00FE0A3E">
        <w:rPr>
          <w:rFonts w:eastAsia="Calibri"/>
          <w:sz w:val="24"/>
          <w:szCs w:val="24"/>
        </w:rPr>
        <w:lastRenderedPageBreak/>
        <w:t xml:space="preserve">host employer’s fire safety plan.  OSHA envisions that to comply with its provision, the host employer will provide a copy of the written fire safety plan to other employers at the worksite (identified as contract employers) and discuss its contents.  OSHA believes some exchange of information about hazards on the job would be normal and customary; however, it is not normal and customary to provide written documents.  OSHA estimates that it will take about 10 minutes </w:t>
      </w:r>
      <w:r w:rsidR="005C110A">
        <w:rPr>
          <w:rFonts w:eastAsia="Calibri"/>
          <w:sz w:val="24"/>
          <w:szCs w:val="24"/>
        </w:rPr>
        <w:t xml:space="preserve">(10/60 hour) </w:t>
      </w:r>
      <w:r w:rsidRPr="00FE0A3E">
        <w:rPr>
          <w:rFonts w:eastAsia="Calibri"/>
          <w:sz w:val="24"/>
          <w:szCs w:val="24"/>
        </w:rPr>
        <w:t xml:space="preserve">for the host employers to make a copy of the written plan and give it to the contract employer and approximately 20 minutes </w:t>
      </w:r>
      <w:r w:rsidR="005C110A">
        <w:rPr>
          <w:rFonts w:eastAsia="Calibri"/>
          <w:sz w:val="24"/>
          <w:szCs w:val="24"/>
        </w:rPr>
        <w:t xml:space="preserve">(20/60 hour) </w:t>
      </w:r>
      <w:r w:rsidRPr="00FE0A3E">
        <w:rPr>
          <w:rFonts w:eastAsia="Calibri"/>
          <w:sz w:val="24"/>
          <w:szCs w:val="24"/>
        </w:rPr>
        <w:t>will be spent exchanging information, for a total of 30 minutes (</w:t>
      </w:r>
      <w:r w:rsidR="00325B23">
        <w:rPr>
          <w:rFonts w:eastAsia="Calibri"/>
          <w:sz w:val="24"/>
          <w:szCs w:val="24"/>
        </w:rPr>
        <w:t>30/60</w:t>
      </w:r>
      <w:r w:rsidRPr="00FE0A3E">
        <w:rPr>
          <w:rFonts w:eastAsia="Calibri"/>
          <w:sz w:val="24"/>
          <w:szCs w:val="24"/>
        </w:rPr>
        <w:t xml:space="preserve"> hour) for this activity.  OSHA estimates that each host employer will have an average of </w:t>
      </w:r>
      <w:r w:rsidR="00E11E13">
        <w:rPr>
          <w:rFonts w:eastAsia="Calibri"/>
          <w:sz w:val="24"/>
          <w:szCs w:val="24"/>
        </w:rPr>
        <w:t xml:space="preserve">four </w:t>
      </w:r>
      <w:r w:rsidRPr="00FE0A3E">
        <w:rPr>
          <w:rFonts w:eastAsia="Calibri"/>
          <w:sz w:val="24"/>
          <w:szCs w:val="24"/>
        </w:rPr>
        <w:t>contractors on their site.</w:t>
      </w:r>
      <w:r w:rsidR="00E11E13">
        <w:rPr>
          <w:rStyle w:val="FootnoteReference"/>
          <w:rFonts w:eastAsia="Calibri"/>
          <w:sz w:val="24"/>
          <w:szCs w:val="24"/>
        </w:rPr>
        <w:footnoteReference w:id="9"/>
      </w:r>
      <w:r w:rsidRPr="00FE0A3E">
        <w:rPr>
          <w:rFonts w:eastAsia="Calibri"/>
          <w:sz w:val="24"/>
          <w:szCs w:val="24"/>
        </w:rPr>
        <w:t xml:space="preserve">  OSHA estimated the number of contract employers based on the size of the </w:t>
      </w:r>
      <w:r w:rsidR="00A5715F">
        <w:rPr>
          <w:rFonts w:eastAsia="Calibri"/>
          <w:sz w:val="24"/>
          <w:szCs w:val="24"/>
        </w:rPr>
        <w:t>establishment</w:t>
      </w:r>
      <w:r w:rsidRPr="00FE0A3E">
        <w:rPr>
          <w:rFonts w:eastAsia="Calibri"/>
          <w:sz w:val="24"/>
          <w:szCs w:val="24"/>
        </w:rPr>
        <w:t xml:space="preserve">.  Thus, </w:t>
      </w:r>
      <w:r w:rsidR="00A5715F">
        <w:rPr>
          <w:rFonts w:eastAsia="Calibri"/>
          <w:sz w:val="24"/>
          <w:szCs w:val="24"/>
        </w:rPr>
        <w:t>establishment</w:t>
      </w:r>
      <w:r w:rsidRPr="00FE0A3E">
        <w:rPr>
          <w:rFonts w:eastAsia="Calibri"/>
          <w:sz w:val="24"/>
          <w:szCs w:val="24"/>
        </w:rPr>
        <w:t>s with 1-19 workers were assumed to be contractors.  A supervisor would perform the duties of this requirement.</w:t>
      </w:r>
    </w:p>
    <w:p w:rsidRPr="00FE0A3E" w:rsidR="00FE0A3E" w:rsidP="00FE0A3E" w:rsidRDefault="00FE0A3E" w14:paraId="5EC2DB38" w14:textId="77777777">
      <w:pPr>
        <w:rPr>
          <w:rFonts w:eastAsia="Calibri"/>
          <w:sz w:val="24"/>
          <w:szCs w:val="24"/>
        </w:rPr>
      </w:pPr>
    </w:p>
    <w:p w:rsidRPr="00FE0A3E" w:rsidR="00FE0A3E" w:rsidP="00FE0A3E" w:rsidRDefault="00FE0A3E" w14:paraId="7460E349"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00600993">
        <w:rPr>
          <w:rFonts w:eastAsia="Calibri"/>
          <w:sz w:val="24"/>
          <w:szCs w:val="24"/>
        </w:rPr>
        <w:t>168</w:t>
      </w:r>
      <w:r w:rsidRPr="00FE0A3E" w:rsidR="00644B38">
        <w:rPr>
          <w:rFonts w:eastAsia="Calibri"/>
          <w:sz w:val="24"/>
          <w:szCs w:val="24"/>
        </w:rPr>
        <w:t xml:space="preserve"> </w:t>
      </w:r>
      <w:r w:rsidRPr="00FE0A3E">
        <w:rPr>
          <w:rFonts w:eastAsia="Calibri"/>
          <w:sz w:val="24"/>
          <w:szCs w:val="24"/>
        </w:rPr>
        <w:t xml:space="preserve">host employers x 4 </w:t>
      </w:r>
      <w:r w:rsidR="002B57B1">
        <w:rPr>
          <w:rFonts w:eastAsia="Calibri"/>
          <w:sz w:val="24"/>
          <w:szCs w:val="24"/>
        </w:rPr>
        <w:t xml:space="preserve">contractors </w:t>
      </w:r>
      <w:r w:rsidRPr="00FE0A3E">
        <w:rPr>
          <w:rFonts w:eastAsia="Calibri"/>
          <w:sz w:val="24"/>
          <w:szCs w:val="24"/>
        </w:rPr>
        <w:t xml:space="preserve">x </w:t>
      </w:r>
      <w:r w:rsidR="00397C57">
        <w:rPr>
          <w:rFonts w:eastAsia="Calibri"/>
          <w:sz w:val="24"/>
          <w:szCs w:val="24"/>
        </w:rPr>
        <w:t>30/60</w:t>
      </w:r>
      <w:r w:rsidRPr="00FE0A3E">
        <w:rPr>
          <w:rFonts w:eastAsia="Calibri"/>
          <w:sz w:val="24"/>
          <w:szCs w:val="24"/>
        </w:rPr>
        <w:t xml:space="preserve"> hour = </w:t>
      </w:r>
      <w:r w:rsidR="003F656B">
        <w:rPr>
          <w:rFonts w:eastAsia="Calibri"/>
          <w:sz w:val="24"/>
          <w:szCs w:val="24"/>
        </w:rPr>
        <w:t>3</w:t>
      </w:r>
      <w:r w:rsidR="00600993">
        <w:rPr>
          <w:rFonts w:eastAsia="Calibri"/>
          <w:sz w:val="24"/>
          <w:szCs w:val="24"/>
        </w:rPr>
        <w:t>36</w:t>
      </w:r>
      <w:r w:rsidRPr="00FE0A3E">
        <w:rPr>
          <w:rFonts w:eastAsia="Calibri"/>
          <w:sz w:val="24"/>
          <w:szCs w:val="24"/>
        </w:rPr>
        <w:t xml:space="preserve"> hours</w:t>
      </w:r>
      <w:r w:rsidR="00600993">
        <w:rPr>
          <w:rFonts w:eastAsia="Calibri"/>
          <w:sz w:val="24"/>
          <w:szCs w:val="24"/>
        </w:rPr>
        <w:tab/>
      </w:r>
      <w:r w:rsidR="00600993">
        <w:rPr>
          <w:rFonts w:eastAsia="Calibri"/>
          <w:sz w:val="24"/>
          <w:szCs w:val="24"/>
        </w:rPr>
        <w:tab/>
      </w:r>
    </w:p>
    <w:p w:rsidRPr="00FE0A3E" w:rsidR="00FE0A3E" w:rsidP="00FE0A3E" w:rsidRDefault="00FE0A3E" w14:paraId="43FC4F98" w14:textId="77777777">
      <w:pPr>
        <w:rPr>
          <w:rFonts w:eastAsia="Calibri"/>
          <w:sz w:val="24"/>
          <w:szCs w:val="24"/>
        </w:rPr>
      </w:pPr>
    </w:p>
    <w:p w:rsidRPr="00FE0A3E" w:rsidR="00FE0A3E" w:rsidP="00FE0A3E" w:rsidRDefault="00FE0A3E" w14:paraId="41865F99"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003F656B">
        <w:rPr>
          <w:rFonts w:eastAsia="Calibri"/>
          <w:sz w:val="24"/>
          <w:szCs w:val="24"/>
        </w:rPr>
        <w:t>3</w:t>
      </w:r>
      <w:r w:rsidR="00600993">
        <w:rPr>
          <w:rFonts w:eastAsia="Calibri"/>
          <w:sz w:val="24"/>
          <w:szCs w:val="24"/>
        </w:rPr>
        <w:t>36</w:t>
      </w:r>
      <w:r w:rsidRPr="00FE0A3E">
        <w:rPr>
          <w:rFonts w:eastAsia="Calibri"/>
          <w:sz w:val="24"/>
          <w:szCs w:val="24"/>
        </w:rPr>
        <w:t xml:space="preserve"> burden hours x $</w:t>
      </w:r>
      <w:r w:rsidR="00FF6C51">
        <w:rPr>
          <w:rFonts w:eastAsia="Calibri"/>
          <w:sz w:val="24"/>
          <w:szCs w:val="24"/>
        </w:rPr>
        <w:t>49.07</w:t>
      </w:r>
      <w:r w:rsidRPr="00FE0A3E">
        <w:rPr>
          <w:rFonts w:eastAsia="Calibri"/>
          <w:sz w:val="24"/>
          <w:szCs w:val="24"/>
        </w:rPr>
        <w:t xml:space="preserve"> = $</w:t>
      </w:r>
      <w:r w:rsidR="001A20C6">
        <w:rPr>
          <w:rFonts w:eastAsia="Calibri"/>
          <w:sz w:val="24"/>
          <w:szCs w:val="24"/>
        </w:rPr>
        <w:t>16,</w:t>
      </w:r>
      <w:r w:rsidR="00064398">
        <w:rPr>
          <w:rFonts w:eastAsia="Calibri"/>
          <w:sz w:val="24"/>
          <w:szCs w:val="24"/>
        </w:rPr>
        <w:t>487.52</w:t>
      </w:r>
    </w:p>
    <w:p w:rsidRPr="00FE0A3E" w:rsidR="00FE0A3E" w:rsidP="00FE0A3E" w:rsidRDefault="00FE0A3E" w14:paraId="5B0E4134" w14:textId="77777777">
      <w:pPr>
        <w:rPr>
          <w:rFonts w:eastAsia="Calibri"/>
          <w:sz w:val="24"/>
          <w:szCs w:val="24"/>
        </w:rPr>
      </w:pPr>
    </w:p>
    <w:p w:rsidRPr="00FE0A3E" w:rsidR="00FE0A3E" w:rsidP="00FE0A3E" w:rsidRDefault="00FE0A3E" w14:paraId="4CE852D0" w14:textId="77777777">
      <w:pPr>
        <w:rPr>
          <w:rFonts w:eastAsia="Calibri"/>
          <w:sz w:val="24"/>
          <w:szCs w:val="24"/>
        </w:rPr>
      </w:pPr>
      <w:r w:rsidRPr="00FE0A3E">
        <w:rPr>
          <w:rFonts w:eastAsia="Calibri"/>
          <w:sz w:val="24"/>
          <w:szCs w:val="24"/>
        </w:rPr>
        <w:t xml:space="preserve">Paragraph (d)(2)(i) requires that the contract employer make sure the host employer knows about fire hazards associated with the contract work and how the contract employer will address those hazards.  </w:t>
      </w:r>
      <w:r w:rsidR="00F5644F">
        <w:rPr>
          <w:rFonts w:eastAsia="Calibri"/>
          <w:sz w:val="24"/>
          <w:szCs w:val="24"/>
        </w:rPr>
        <w:t>Also</w:t>
      </w:r>
      <w:r w:rsidRPr="00FE0A3E">
        <w:rPr>
          <w:rFonts w:eastAsia="Calibri"/>
          <w:sz w:val="24"/>
          <w:szCs w:val="24"/>
        </w:rPr>
        <w:t xml:space="preserve">, paragraph (d)(2)(ii) requires the contract employer to identify hazards that arise during work that </w:t>
      </w:r>
      <w:r w:rsidR="00F5644F">
        <w:rPr>
          <w:rFonts w:eastAsia="Calibri"/>
          <w:sz w:val="24"/>
          <w:szCs w:val="24"/>
        </w:rPr>
        <w:t>is</w:t>
      </w:r>
      <w:r w:rsidRPr="00FE0A3E" w:rsidR="00F5644F">
        <w:rPr>
          <w:rFonts w:eastAsia="Calibri"/>
          <w:sz w:val="24"/>
          <w:szCs w:val="24"/>
        </w:rPr>
        <w:t xml:space="preserve"> </w:t>
      </w:r>
      <w:r w:rsidRPr="00FE0A3E">
        <w:rPr>
          <w:rFonts w:eastAsia="Calibri"/>
          <w:sz w:val="24"/>
          <w:szCs w:val="24"/>
        </w:rPr>
        <w:t xml:space="preserve">not identified as part of (d)(2)(i).  OSHA considers this exchange of information about job hazards to be a normal and customary practice for employers in every industry and, thus, </w:t>
      </w:r>
      <w:r w:rsidRPr="00FE0A3E">
        <w:rPr>
          <w:rFonts w:eastAsia="Calibri"/>
          <w:sz w:val="24"/>
          <w:szCs w:val="24"/>
        </w:rPr>
        <w:lastRenderedPageBreak/>
        <w:t xml:space="preserve">is not assigning a “paperwork” burden to the collection of information requirements in these paragraphs.  </w:t>
      </w:r>
    </w:p>
    <w:p w:rsidRPr="00FE0A3E" w:rsidR="00FE0A3E" w:rsidP="00FE0A3E" w:rsidRDefault="00FE0A3E" w14:paraId="07BDD71F" w14:textId="77777777">
      <w:pPr>
        <w:rPr>
          <w:rFonts w:eastAsia="Calibri"/>
          <w:sz w:val="24"/>
          <w:szCs w:val="24"/>
        </w:rPr>
      </w:pPr>
    </w:p>
    <w:p w:rsidRPr="00FE0A3E" w:rsidR="00FE0A3E" w:rsidP="00FE0A3E" w:rsidRDefault="00FE0A3E" w14:paraId="18F286C6" w14:textId="77777777">
      <w:pPr>
        <w:numPr>
          <w:ilvl w:val="0"/>
          <w:numId w:val="16"/>
        </w:numPr>
        <w:spacing w:after="200" w:line="276" w:lineRule="auto"/>
        <w:contextualSpacing/>
        <w:rPr>
          <w:rFonts w:eastAsia="Calibri"/>
          <w:b/>
          <w:sz w:val="24"/>
          <w:szCs w:val="24"/>
        </w:rPr>
      </w:pPr>
      <w:r w:rsidRPr="00FE0A3E">
        <w:rPr>
          <w:rFonts w:eastAsia="Calibri"/>
          <w:b/>
          <w:sz w:val="24"/>
          <w:szCs w:val="24"/>
        </w:rPr>
        <w:t>Section 1915.502 – Fire Safety Plan</w:t>
      </w:r>
    </w:p>
    <w:p w:rsidRPr="00FE0A3E" w:rsidR="00FE0A3E" w:rsidP="00FE0A3E" w:rsidRDefault="00FE0A3E" w14:paraId="2B290A7C" w14:textId="77777777">
      <w:pPr>
        <w:rPr>
          <w:rFonts w:eastAsia="Calibri"/>
          <w:b/>
          <w:sz w:val="24"/>
          <w:szCs w:val="24"/>
        </w:rPr>
      </w:pPr>
    </w:p>
    <w:p w:rsidR="00FE0A3E" w:rsidP="00FE0A3E" w:rsidRDefault="00FE0A3E" w14:paraId="6084057F" w14:textId="77777777">
      <w:pPr>
        <w:rPr>
          <w:rFonts w:eastAsia="Calibri"/>
          <w:sz w:val="24"/>
          <w:szCs w:val="24"/>
        </w:rPr>
      </w:pPr>
      <w:r w:rsidRPr="00FE0A3E">
        <w:rPr>
          <w:rFonts w:eastAsia="Calibri"/>
          <w:sz w:val="24"/>
          <w:szCs w:val="24"/>
        </w:rPr>
        <w:t>Paragraph (a) requires employers (</w:t>
      </w:r>
      <w:r w:rsidR="004C3496">
        <w:rPr>
          <w:rFonts w:eastAsia="Calibri"/>
          <w:sz w:val="24"/>
          <w:szCs w:val="24"/>
        </w:rPr>
        <w:t>253</w:t>
      </w:r>
      <w:r w:rsidRPr="00FE0A3E">
        <w:rPr>
          <w:rFonts w:eastAsia="Calibri"/>
          <w:sz w:val="24"/>
          <w:szCs w:val="24"/>
        </w:rPr>
        <w:t xml:space="preserve">) to develop a written fire safety plan.  The specific elements of the plan are listed in paragraph (b) of section </w:t>
      </w:r>
      <w:r w:rsidR="00BA59C3">
        <w:rPr>
          <w:rFonts w:eastAsia="Calibri"/>
          <w:sz w:val="24"/>
          <w:szCs w:val="24"/>
        </w:rPr>
        <w:t>1915</w:t>
      </w:r>
      <w:r w:rsidRPr="00FE0A3E">
        <w:rPr>
          <w:rFonts w:eastAsia="Calibri"/>
          <w:sz w:val="24"/>
          <w:szCs w:val="24"/>
        </w:rPr>
        <w:t xml:space="preserve">.502.  OSHA estimates that it will take employers 4-12 hours to develop the plan, depending on the size of the firm.  </w:t>
      </w:r>
      <w:r w:rsidR="00A5715F">
        <w:rPr>
          <w:rFonts w:eastAsia="Calibri"/>
          <w:sz w:val="24"/>
          <w:szCs w:val="24"/>
        </w:rPr>
        <w:t>Establishment</w:t>
      </w:r>
      <w:r w:rsidRPr="00FE0A3E">
        <w:rPr>
          <w:rFonts w:eastAsia="Calibri"/>
          <w:sz w:val="24"/>
          <w:szCs w:val="24"/>
        </w:rPr>
        <w:t>s with 1-99 workers (</w:t>
      </w:r>
      <w:r w:rsidR="004C3496">
        <w:rPr>
          <w:rFonts w:eastAsia="Calibri"/>
          <w:sz w:val="24"/>
          <w:szCs w:val="24"/>
        </w:rPr>
        <w:t>210</w:t>
      </w:r>
      <w:r w:rsidRPr="00FE0A3E">
        <w:rPr>
          <w:rFonts w:eastAsia="Calibri"/>
          <w:sz w:val="24"/>
          <w:szCs w:val="24"/>
        </w:rPr>
        <w:t xml:space="preserve">) will incur a burden of 4 hours the first year and 2 hours the second and subsequent years.  </w:t>
      </w:r>
      <w:r w:rsidR="00A5715F">
        <w:rPr>
          <w:rFonts w:eastAsia="Calibri"/>
          <w:sz w:val="24"/>
          <w:szCs w:val="24"/>
        </w:rPr>
        <w:t>Establishment</w:t>
      </w:r>
      <w:r w:rsidRPr="00FE0A3E">
        <w:rPr>
          <w:rFonts w:eastAsia="Calibri"/>
          <w:sz w:val="24"/>
          <w:szCs w:val="24"/>
        </w:rPr>
        <w:t>s with 100-499 workers (</w:t>
      </w:r>
      <w:r w:rsidR="00A706BA">
        <w:rPr>
          <w:rFonts w:eastAsia="Calibri"/>
          <w:sz w:val="24"/>
          <w:szCs w:val="24"/>
        </w:rPr>
        <w:t>20</w:t>
      </w:r>
      <w:r w:rsidRPr="00FE0A3E">
        <w:rPr>
          <w:rFonts w:eastAsia="Calibri"/>
          <w:sz w:val="24"/>
          <w:szCs w:val="24"/>
        </w:rPr>
        <w:t xml:space="preserve">) will incur a burden of 6 hours the first year and 3 hours the second and subsequent years.  </w:t>
      </w:r>
      <w:r w:rsidR="00A5715F">
        <w:rPr>
          <w:rFonts w:eastAsia="Calibri"/>
          <w:sz w:val="24"/>
          <w:szCs w:val="24"/>
        </w:rPr>
        <w:t>Establishment</w:t>
      </w:r>
      <w:r w:rsidRPr="00FE0A3E">
        <w:rPr>
          <w:rFonts w:eastAsia="Calibri"/>
          <w:sz w:val="24"/>
          <w:szCs w:val="24"/>
        </w:rPr>
        <w:t>s with 500 or more workers (</w:t>
      </w:r>
      <w:r w:rsidR="004C3496">
        <w:rPr>
          <w:rFonts w:eastAsia="Calibri"/>
          <w:sz w:val="24"/>
          <w:szCs w:val="24"/>
        </w:rPr>
        <w:t>23</w:t>
      </w:r>
      <w:r w:rsidRPr="00FE0A3E">
        <w:rPr>
          <w:rFonts w:eastAsia="Calibri"/>
          <w:sz w:val="24"/>
          <w:szCs w:val="24"/>
        </w:rPr>
        <w:t xml:space="preserve">) will incur a burden of 12 hours the first year and 6 hours the second and subsequent years.  </w:t>
      </w:r>
      <w:r w:rsidR="005431CD">
        <w:rPr>
          <w:rFonts w:eastAsia="Calibri"/>
          <w:sz w:val="24"/>
          <w:szCs w:val="24"/>
        </w:rPr>
        <w:t xml:space="preserve">Keeping the same turnover rate, </w:t>
      </w:r>
      <w:r w:rsidRPr="00FE0A3E">
        <w:rPr>
          <w:rFonts w:eastAsia="Calibri"/>
          <w:sz w:val="24"/>
          <w:szCs w:val="24"/>
        </w:rPr>
        <w:t xml:space="preserve">OSHA estimates there is a 10 percent turnover of </w:t>
      </w:r>
      <w:r w:rsidR="00A5715F">
        <w:rPr>
          <w:rFonts w:eastAsia="Calibri"/>
          <w:sz w:val="24"/>
          <w:szCs w:val="24"/>
        </w:rPr>
        <w:t>establishment</w:t>
      </w:r>
      <w:r w:rsidRPr="00FE0A3E">
        <w:rPr>
          <w:rFonts w:eastAsia="Calibri"/>
          <w:sz w:val="24"/>
          <w:szCs w:val="24"/>
        </w:rPr>
        <w:t>s.</w:t>
      </w:r>
      <w:r w:rsidR="00E11E13">
        <w:rPr>
          <w:rStyle w:val="FootnoteReference"/>
          <w:rFonts w:eastAsia="Calibri"/>
          <w:sz w:val="24"/>
          <w:szCs w:val="24"/>
        </w:rPr>
        <w:footnoteReference w:id="10"/>
      </w:r>
      <w:r w:rsidRPr="00FE0A3E">
        <w:rPr>
          <w:rFonts w:eastAsia="Calibri"/>
          <w:sz w:val="24"/>
          <w:szCs w:val="24"/>
        </w:rPr>
        <w:t xml:space="preserve">  </w:t>
      </w:r>
    </w:p>
    <w:p w:rsidRPr="00FE0A3E" w:rsidR="00CE319A" w:rsidP="00FE0A3E" w:rsidRDefault="00CE319A" w14:paraId="43D3B9CB" w14:textId="77777777">
      <w:pPr>
        <w:rPr>
          <w:rFonts w:eastAsia="Calibri"/>
          <w:sz w:val="24"/>
          <w:szCs w:val="24"/>
        </w:rPr>
      </w:pPr>
    </w:p>
    <w:p w:rsidR="0025769A" w:rsidP="0025769A" w:rsidRDefault="0025769A" w14:paraId="2C8B86BA" w14:textId="77777777">
      <w:pPr>
        <w:rPr>
          <w:rFonts w:eastAsia="Calibri"/>
          <w:sz w:val="24"/>
          <w:szCs w:val="24"/>
        </w:rPr>
      </w:pPr>
      <w:r w:rsidRPr="00B42088">
        <w:rPr>
          <w:rFonts w:eastAsia="Calibri"/>
          <w:i/>
          <w:sz w:val="24"/>
          <w:szCs w:val="24"/>
        </w:rPr>
        <w:t>First Year</w:t>
      </w:r>
      <w:r>
        <w:rPr>
          <w:rFonts w:eastAsia="Calibri"/>
          <w:sz w:val="24"/>
          <w:szCs w:val="24"/>
        </w:rPr>
        <w:t>:</w:t>
      </w:r>
      <w:r w:rsidR="005431CD">
        <w:rPr>
          <w:rFonts w:eastAsia="Calibri"/>
          <w:sz w:val="24"/>
          <w:szCs w:val="24"/>
        </w:rPr>
        <w:t xml:space="preserve"> </w:t>
      </w:r>
      <w:r w:rsidRPr="0025769A" w:rsidR="005431CD">
        <w:rPr>
          <w:rFonts w:eastAsia="Calibri"/>
          <w:sz w:val="24"/>
          <w:szCs w:val="24"/>
        </w:rPr>
        <w:t>(New Establishments)</w:t>
      </w:r>
    </w:p>
    <w:p w:rsidR="00BA59C3" w:rsidP="0025769A" w:rsidRDefault="00BA59C3" w14:paraId="7FBC4936" w14:textId="77777777">
      <w:pPr>
        <w:rPr>
          <w:rFonts w:eastAsia="Calibri"/>
          <w:sz w:val="24"/>
          <w:szCs w:val="24"/>
        </w:rPr>
      </w:pPr>
    </w:p>
    <w:p w:rsidRPr="0025769A" w:rsidR="0025769A" w:rsidP="00351F35" w:rsidRDefault="00FE0A3E" w14:paraId="75518CEF" w14:textId="77777777">
      <w:pPr>
        <w:rPr>
          <w:rFonts w:eastAsia="Calibri"/>
          <w:sz w:val="24"/>
          <w:szCs w:val="24"/>
        </w:rPr>
      </w:pPr>
      <w:r w:rsidRPr="00FE0A3E">
        <w:rPr>
          <w:rFonts w:eastAsia="Calibri"/>
          <w:sz w:val="24"/>
          <w:szCs w:val="24"/>
        </w:rPr>
        <w:tab/>
      </w:r>
      <w:r w:rsidRPr="00B42088" w:rsidR="0025769A">
        <w:rPr>
          <w:rFonts w:eastAsia="Calibri"/>
          <w:b/>
          <w:sz w:val="24"/>
          <w:szCs w:val="24"/>
        </w:rPr>
        <w:t>Burden hours</w:t>
      </w:r>
      <w:r w:rsidRPr="0025769A" w:rsidR="0025769A">
        <w:rPr>
          <w:rFonts w:eastAsia="Calibri"/>
          <w:sz w:val="24"/>
          <w:szCs w:val="24"/>
        </w:rPr>
        <w:t>:</w:t>
      </w:r>
      <w:r w:rsidRPr="0025769A" w:rsidR="0025769A">
        <w:rPr>
          <w:rFonts w:eastAsia="Calibri"/>
          <w:sz w:val="24"/>
          <w:szCs w:val="24"/>
        </w:rPr>
        <w:tab/>
      </w:r>
      <w:r w:rsidRPr="0025769A" w:rsidR="0025769A">
        <w:rPr>
          <w:rFonts w:eastAsia="Calibri"/>
          <w:sz w:val="24"/>
          <w:szCs w:val="24"/>
        </w:rPr>
        <w:tab/>
      </w:r>
      <w:r w:rsidR="004C3496">
        <w:rPr>
          <w:rFonts w:eastAsia="Calibri"/>
          <w:sz w:val="24"/>
          <w:szCs w:val="24"/>
        </w:rPr>
        <w:t>210</w:t>
      </w:r>
      <w:r w:rsidRPr="0025769A" w:rsidR="0025769A">
        <w:rPr>
          <w:rFonts w:eastAsia="Calibri"/>
          <w:sz w:val="24"/>
          <w:szCs w:val="24"/>
        </w:rPr>
        <w:t xml:space="preserve"> employers x </w:t>
      </w:r>
      <w:r w:rsidR="00351F35">
        <w:rPr>
          <w:rFonts w:eastAsia="Calibri"/>
          <w:sz w:val="24"/>
          <w:szCs w:val="24"/>
        </w:rPr>
        <w:t>0</w:t>
      </w:r>
      <w:r w:rsidRPr="0025769A" w:rsidR="0025769A">
        <w:rPr>
          <w:rFonts w:eastAsia="Calibri"/>
          <w:sz w:val="24"/>
          <w:szCs w:val="24"/>
        </w:rPr>
        <w:t xml:space="preserve">.10 turnover x 4 hours = </w:t>
      </w:r>
      <w:r w:rsidR="00351F35">
        <w:rPr>
          <w:rFonts w:eastAsia="Calibri"/>
          <w:sz w:val="24"/>
          <w:szCs w:val="24"/>
        </w:rPr>
        <w:t>84</w:t>
      </w:r>
      <w:r w:rsidRPr="0025769A" w:rsidR="0025769A">
        <w:rPr>
          <w:rFonts w:eastAsia="Calibri"/>
          <w:sz w:val="24"/>
          <w:szCs w:val="24"/>
        </w:rPr>
        <w:t xml:space="preserve"> hours</w:t>
      </w:r>
      <w:r w:rsidR="00351F35">
        <w:rPr>
          <w:rFonts w:eastAsia="Calibri"/>
          <w:sz w:val="24"/>
          <w:szCs w:val="24"/>
        </w:rPr>
        <w:tab/>
      </w:r>
      <w:r w:rsidR="00351F35">
        <w:rPr>
          <w:rFonts w:eastAsia="Calibri"/>
          <w:sz w:val="24"/>
          <w:szCs w:val="24"/>
        </w:rPr>
        <w:tab/>
      </w:r>
    </w:p>
    <w:p w:rsidRPr="0025769A" w:rsidR="0025769A" w:rsidP="0025769A" w:rsidRDefault="0025769A" w14:paraId="54989174" w14:textId="77777777">
      <w:pPr>
        <w:rPr>
          <w:rFonts w:eastAsia="Calibri"/>
          <w:sz w:val="24"/>
          <w:szCs w:val="24"/>
        </w:rPr>
      </w:pPr>
      <w:r w:rsidRPr="0025769A">
        <w:rPr>
          <w:rFonts w:eastAsia="Calibri"/>
          <w:sz w:val="24"/>
          <w:szCs w:val="24"/>
        </w:rPr>
        <w:tab/>
        <w:t xml:space="preserve">   </w:t>
      </w:r>
      <w:r w:rsidRPr="0025769A">
        <w:rPr>
          <w:rFonts w:eastAsia="Calibri"/>
          <w:sz w:val="24"/>
          <w:szCs w:val="24"/>
        </w:rPr>
        <w:tab/>
      </w:r>
      <w:r w:rsidRPr="0025769A">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A706BA">
        <w:rPr>
          <w:rFonts w:eastAsia="Calibri"/>
          <w:sz w:val="24"/>
          <w:szCs w:val="24"/>
        </w:rPr>
        <w:t>20</w:t>
      </w:r>
      <w:r w:rsidRPr="0025769A">
        <w:rPr>
          <w:rFonts w:eastAsia="Calibri"/>
          <w:sz w:val="24"/>
          <w:szCs w:val="24"/>
        </w:rPr>
        <w:t xml:space="preserve"> employers x </w:t>
      </w:r>
      <w:r w:rsidR="00351F35">
        <w:rPr>
          <w:rFonts w:eastAsia="Calibri"/>
          <w:sz w:val="24"/>
          <w:szCs w:val="24"/>
        </w:rPr>
        <w:t>0</w:t>
      </w:r>
      <w:r w:rsidRPr="0025769A">
        <w:rPr>
          <w:rFonts w:eastAsia="Calibri"/>
          <w:sz w:val="24"/>
          <w:szCs w:val="24"/>
        </w:rPr>
        <w:t>.10 turnover x 6 hours = 1</w:t>
      </w:r>
      <w:r w:rsidR="00351F35">
        <w:rPr>
          <w:rFonts w:eastAsia="Calibri"/>
          <w:sz w:val="24"/>
          <w:szCs w:val="24"/>
        </w:rPr>
        <w:t>2</w:t>
      </w:r>
      <w:r w:rsidRPr="0025769A">
        <w:rPr>
          <w:rFonts w:eastAsia="Calibri"/>
          <w:sz w:val="24"/>
          <w:szCs w:val="24"/>
        </w:rPr>
        <w:t xml:space="preserve"> hours</w:t>
      </w:r>
    </w:p>
    <w:p w:rsidR="0025769A" w:rsidP="0025769A" w:rsidRDefault="0025769A" w14:paraId="7C10E6E1" w14:textId="77777777">
      <w:pPr>
        <w:rPr>
          <w:rFonts w:eastAsia="Calibri"/>
          <w:sz w:val="24"/>
          <w:szCs w:val="24"/>
        </w:rPr>
      </w:pPr>
      <w:r w:rsidRPr="0025769A">
        <w:rPr>
          <w:rFonts w:eastAsia="Calibri"/>
          <w:sz w:val="24"/>
          <w:szCs w:val="24"/>
        </w:rPr>
        <w:tab/>
      </w:r>
      <w:r w:rsidRPr="0025769A">
        <w:rPr>
          <w:rFonts w:eastAsia="Calibri"/>
          <w:sz w:val="24"/>
          <w:szCs w:val="24"/>
        </w:rPr>
        <w:tab/>
      </w:r>
      <w:r w:rsidRPr="0025769A">
        <w:rPr>
          <w:rFonts w:eastAsia="Calibri"/>
          <w:sz w:val="24"/>
          <w:szCs w:val="24"/>
        </w:rPr>
        <w:tab/>
      </w:r>
      <w:r w:rsidRPr="0025769A">
        <w:rPr>
          <w:rFonts w:eastAsia="Calibri"/>
          <w:sz w:val="24"/>
          <w:szCs w:val="24"/>
        </w:rPr>
        <w:tab/>
      </w:r>
      <w:r w:rsidRPr="0025769A">
        <w:rPr>
          <w:rFonts w:eastAsia="Calibri"/>
          <w:sz w:val="24"/>
          <w:szCs w:val="24"/>
        </w:rPr>
        <w:tab/>
      </w:r>
      <w:r w:rsidRPr="0025769A">
        <w:rPr>
          <w:rFonts w:eastAsia="Calibri"/>
          <w:sz w:val="24"/>
          <w:szCs w:val="24"/>
        </w:rPr>
        <w:tab/>
      </w:r>
      <w:r w:rsidRPr="0025769A">
        <w:rPr>
          <w:rFonts w:eastAsia="Calibri"/>
          <w:sz w:val="24"/>
          <w:szCs w:val="24"/>
        </w:rPr>
        <w:tab/>
      </w:r>
      <w:r w:rsidR="00BA59C3">
        <w:rPr>
          <w:rFonts w:eastAsia="Calibri"/>
          <w:sz w:val="24"/>
          <w:szCs w:val="24"/>
        </w:rPr>
        <w:tab/>
      </w:r>
      <w:r w:rsidR="004C3496">
        <w:rPr>
          <w:rFonts w:eastAsia="Calibri"/>
          <w:sz w:val="24"/>
          <w:szCs w:val="24"/>
        </w:rPr>
        <w:t>23</w:t>
      </w:r>
      <w:r w:rsidRPr="0025769A">
        <w:rPr>
          <w:rFonts w:eastAsia="Calibri"/>
          <w:sz w:val="24"/>
          <w:szCs w:val="24"/>
        </w:rPr>
        <w:t xml:space="preserve"> employers x </w:t>
      </w:r>
      <w:r w:rsidR="00351F35">
        <w:rPr>
          <w:rFonts w:eastAsia="Calibri"/>
          <w:sz w:val="24"/>
          <w:szCs w:val="24"/>
        </w:rPr>
        <w:t>0</w:t>
      </w:r>
      <w:r w:rsidRPr="0025769A">
        <w:rPr>
          <w:rFonts w:eastAsia="Calibri"/>
          <w:sz w:val="24"/>
          <w:szCs w:val="24"/>
        </w:rPr>
        <w:t xml:space="preserve">.10 turnover x 12 hours = </w:t>
      </w:r>
      <w:r w:rsidR="00351F35">
        <w:rPr>
          <w:rFonts w:eastAsia="Calibri"/>
          <w:sz w:val="24"/>
          <w:szCs w:val="24"/>
        </w:rPr>
        <w:t>27.6</w:t>
      </w:r>
      <w:r w:rsidRPr="0025769A">
        <w:rPr>
          <w:rFonts w:eastAsia="Calibri"/>
          <w:sz w:val="24"/>
          <w:szCs w:val="24"/>
        </w:rPr>
        <w:t xml:space="preserve"> hours</w:t>
      </w:r>
    </w:p>
    <w:p w:rsidR="00BC534C" w:rsidP="00FE0A3E" w:rsidRDefault="00BC534C" w14:paraId="2F763A7A" w14:textId="77777777">
      <w:pPr>
        <w:rPr>
          <w:rFonts w:eastAsia="Calibri"/>
          <w:b/>
          <w:sz w:val="24"/>
          <w:szCs w:val="24"/>
        </w:rPr>
      </w:pPr>
    </w:p>
    <w:p w:rsidR="0025769A" w:rsidP="00FE0A3E" w:rsidRDefault="00BC534C" w14:paraId="65AE3428" w14:textId="77777777">
      <w:pPr>
        <w:rPr>
          <w:rFonts w:eastAsia="Calibri"/>
          <w:sz w:val="24"/>
          <w:szCs w:val="24"/>
        </w:rPr>
      </w:pPr>
      <w:r w:rsidRPr="00C47BB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Pr>
          <w:rFonts w:eastAsia="Calibri"/>
          <w:sz w:val="24"/>
          <w:szCs w:val="24"/>
        </w:rPr>
        <w:t>123.6</w:t>
      </w:r>
      <w:r w:rsidRPr="00FE0A3E">
        <w:rPr>
          <w:rFonts w:eastAsia="Calibri"/>
          <w:sz w:val="24"/>
          <w:szCs w:val="24"/>
        </w:rPr>
        <w:t xml:space="preserve"> burden hours x $</w:t>
      </w:r>
      <w:r>
        <w:rPr>
          <w:rFonts w:eastAsia="Calibri"/>
          <w:sz w:val="24"/>
          <w:szCs w:val="24"/>
        </w:rPr>
        <w:t>56.33</w:t>
      </w:r>
      <w:r w:rsidRPr="00FE0A3E">
        <w:rPr>
          <w:rFonts w:eastAsia="Calibri"/>
          <w:sz w:val="24"/>
          <w:szCs w:val="24"/>
        </w:rPr>
        <w:t xml:space="preserve"> = $</w:t>
      </w:r>
      <w:r>
        <w:rPr>
          <w:rFonts w:eastAsia="Calibri"/>
          <w:sz w:val="24"/>
          <w:szCs w:val="24"/>
        </w:rPr>
        <w:t>6,962.39</w:t>
      </w:r>
    </w:p>
    <w:p w:rsidR="00BC534C" w:rsidP="00FE0A3E" w:rsidRDefault="00BC534C" w14:paraId="6713DA90" w14:textId="77777777">
      <w:pPr>
        <w:rPr>
          <w:rFonts w:eastAsia="Calibri"/>
          <w:i/>
          <w:sz w:val="24"/>
          <w:szCs w:val="24"/>
        </w:rPr>
      </w:pPr>
    </w:p>
    <w:p w:rsidR="0025769A" w:rsidP="00FE0A3E" w:rsidRDefault="0025769A" w14:paraId="7FB4C610" w14:textId="77777777">
      <w:pPr>
        <w:rPr>
          <w:rFonts w:eastAsia="Calibri"/>
          <w:sz w:val="24"/>
          <w:szCs w:val="24"/>
        </w:rPr>
      </w:pPr>
      <w:r w:rsidRPr="00B42088">
        <w:rPr>
          <w:rFonts w:eastAsia="Calibri"/>
          <w:i/>
          <w:sz w:val="24"/>
          <w:szCs w:val="24"/>
        </w:rPr>
        <w:t>Subsequent Years</w:t>
      </w:r>
      <w:r>
        <w:rPr>
          <w:rFonts w:eastAsia="Calibri"/>
          <w:sz w:val="24"/>
          <w:szCs w:val="24"/>
        </w:rPr>
        <w:t xml:space="preserve">: </w:t>
      </w:r>
      <w:r w:rsidRPr="00FE0A3E" w:rsidR="005431CD">
        <w:rPr>
          <w:rFonts w:eastAsia="Calibri"/>
          <w:sz w:val="24"/>
          <w:szCs w:val="24"/>
        </w:rPr>
        <w:t xml:space="preserve">(Existing </w:t>
      </w:r>
      <w:r w:rsidR="005431CD">
        <w:rPr>
          <w:rFonts w:eastAsia="Calibri"/>
          <w:sz w:val="24"/>
          <w:szCs w:val="24"/>
        </w:rPr>
        <w:t>Establishment</w:t>
      </w:r>
      <w:r w:rsidRPr="00FE0A3E" w:rsidR="005431CD">
        <w:rPr>
          <w:rFonts w:eastAsia="Calibri"/>
          <w:sz w:val="24"/>
          <w:szCs w:val="24"/>
        </w:rPr>
        <w:t>s)</w:t>
      </w:r>
    </w:p>
    <w:p w:rsidR="005431CD" w:rsidP="00FE0A3E" w:rsidRDefault="005431CD" w14:paraId="551F4866" w14:textId="77777777">
      <w:pPr>
        <w:rPr>
          <w:rFonts w:eastAsia="Calibri"/>
          <w:sz w:val="24"/>
          <w:szCs w:val="24"/>
        </w:rPr>
      </w:pPr>
    </w:p>
    <w:p w:rsidRPr="00FE0A3E" w:rsidR="00FE0A3E" w:rsidP="00B42088" w:rsidRDefault="00FE0A3E" w14:paraId="2C29632C" w14:textId="77777777">
      <w:pPr>
        <w:ind w:firstLine="288"/>
        <w:rPr>
          <w:rFonts w:eastAsia="Calibri"/>
          <w:sz w:val="24"/>
          <w:szCs w:val="24"/>
        </w:rPr>
      </w:pP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4C3496">
        <w:rPr>
          <w:rFonts w:eastAsia="Calibri"/>
          <w:sz w:val="24"/>
          <w:szCs w:val="24"/>
        </w:rPr>
        <w:t>210</w:t>
      </w:r>
      <w:r w:rsidRPr="00FE0A3E" w:rsidR="007E1E6B">
        <w:rPr>
          <w:rFonts w:eastAsia="Calibri"/>
          <w:sz w:val="24"/>
          <w:szCs w:val="24"/>
        </w:rPr>
        <w:t xml:space="preserve"> </w:t>
      </w:r>
      <w:r w:rsidRPr="00FE0A3E">
        <w:rPr>
          <w:rFonts w:eastAsia="Calibri"/>
          <w:sz w:val="24"/>
          <w:szCs w:val="24"/>
        </w:rPr>
        <w:t xml:space="preserve">employers x </w:t>
      </w:r>
      <w:r w:rsidR="00351F35">
        <w:rPr>
          <w:rFonts w:eastAsia="Calibri"/>
          <w:sz w:val="24"/>
          <w:szCs w:val="24"/>
        </w:rPr>
        <w:t>0</w:t>
      </w:r>
      <w:r w:rsidRPr="00FE0A3E">
        <w:rPr>
          <w:rFonts w:eastAsia="Calibri"/>
          <w:sz w:val="24"/>
          <w:szCs w:val="24"/>
        </w:rPr>
        <w:t xml:space="preserve">.90 x 2 hours = </w:t>
      </w:r>
      <w:r w:rsidR="00351F35">
        <w:rPr>
          <w:rFonts w:eastAsia="Calibri"/>
          <w:sz w:val="24"/>
          <w:szCs w:val="24"/>
        </w:rPr>
        <w:t>378</w:t>
      </w:r>
      <w:r w:rsidRPr="00FE0A3E">
        <w:rPr>
          <w:rFonts w:eastAsia="Calibri"/>
          <w:sz w:val="24"/>
          <w:szCs w:val="24"/>
        </w:rPr>
        <w:t xml:space="preserve"> hours</w:t>
      </w:r>
    </w:p>
    <w:p w:rsidRPr="00FE0A3E" w:rsidR="00FE0A3E" w:rsidP="00FE0A3E" w:rsidRDefault="00FE0A3E" w14:paraId="4ACE5AF6" w14:textId="77777777">
      <w:pPr>
        <w:rPr>
          <w:rFonts w:eastAsia="Calibri"/>
          <w:sz w:val="24"/>
          <w:szCs w:val="24"/>
        </w:rPr>
      </w:pPr>
      <w:r w:rsidRPr="00FE0A3E">
        <w:rPr>
          <w:rFonts w:eastAsia="Calibri"/>
          <w:sz w:val="24"/>
          <w:szCs w:val="24"/>
        </w:rPr>
        <w:tab/>
        <w:t xml:space="preserve">   </w:t>
      </w:r>
      <w:r w:rsidRPr="00FE0A3E">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BA59C3">
        <w:rPr>
          <w:rFonts w:eastAsia="Calibri"/>
          <w:sz w:val="24"/>
          <w:szCs w:val="24"/>
        </w:rPr>
        <w:tab/>
      </w:r>
      <w:r w:rsidR="00A706BA">
        <w:rPr>
          <w:rFonts w:eastAsia="Calibri"/>
          <w:sz w:val="24"/>
          <w:szCs w:val="24"/>
        </w:rPr>
        <w:t>20</w:t>
      </w:r>
      <w:r w:rsidRPr="00FE0A3E" w:rsidR="007E1E6B">
        <w:rPr>
          <w:rFonts w:eastAsia="Calibri"/>
          <w:sz w:val="24"/>
          <w:szCs w:val="24"/>
        </w:rPr>
        <w:t xml:space="preserve"> </w:t>
      </w:r>
      <w:r w:rsidRPr="00FE0A3E">
        <w:rPr>
          <w:rFonts w:eastAsia="Calibri"/>
          <w:sz w:val="24"/>
          <w:szCs w:val="24"/>
        </w:rPr>
        <w:t xml:space="preserve">employers x </w:t>
      </w:r>
      <w:r w:rsidR="00BB7934">
        <w:rPr>
          <w:rFonts w:eastAsia="Calibri"/>
          <w:sz w:val="24"/>
          <w:szCs w:val="24"/>
        </w:rPr>
        <w:t>0</w:t>
      </w:r>
      <w:r w:rsidRPr="00FE0A3E">
        <w:rPr>
          <w:rFonts w:eastAsia="Calibri"/>
          <w:sz w:val="24"/>
          <w:szCs w:val="24"/>
        </w:rPr>
        <w:t xml:space="preserve">.90 x 3 hours = </w:t>
      </w:r>
      <w:r w:rsidR="00BB7934">
        <w:rPr>
          <w:rFonts w:eastAsia="Calibri"/>
          <w:sz w:val="24"/>
          <w:szCs w:val="24"/>
        </w:rPr>
        <w:t>54</w:t>
      </w:r>
      <w:r w:rsidRPr="00FE0A3E">
        <w:rPr>
          <w:rFonts w:eastAsia="Calibri"/>
          <w:sz w:val="24"/>
          <w:szCs w:val="24"/>
        </w:rPr>
        <w:t xml:space="preserve"> hours</w:t>
      </w:r>
    </w:p>
    <w:p w:rsidRPr="00FE0A3E" w:rsidR="00FE0A3E" w:rsidP="00FE0A3E" w:rsidRDefault="00FE0A3E" w14:paraId="6984703F" w14:textId="77777777">
      <w:pPr>
        <w:rPr>
          <w:rFonts w:eastAsia="Calibri"/>
          <w:sz w:val="24"/>
          <w:szCs w:val="24"/>
        </w:rPr>
      </w:pPr>
      <w:r w:rsidRPr="00FE0A3E">
        <w:rPr>
          <w:rFonts w:eastAsia="Calibri"/>
          <w:sz w:val="24"/>
          <w:szCs w:val="24"/>
        </w:rPr>
        <w:tab/>
      </w:r>
      <w:r w:rsidRPr="00FE0A3E">
        <w:rPr>
          <w:rFonts w:eastAsia="Calibri"/>
          <w:sz w:val="24"/>
          <w:szCs w:val="24"/>
        </w:rPr>
        <w:tab/>
      </w:r>
      <w:r w:rsidRPr="00FE0A3E">
        <w:rPr>
          <w:rFonts w:eastAsia="Calibri"/>
          <w:sz w:val="24"/>
          <w:szCs w:val="24"/>
        </w:rPr>
        <w:tab/>
      </w:r>
      <w:r w:rsidRPr="00FE0A3E">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4C3496">
        <w:rPr>
          <w:rFonts w:eastAsia="Calibri"/>
          <w:sz w:val="24"/>
          <w:szCs w:val="24"/>
        </w:rPr>
        <w:t>23</w:t>
      </w:r>
      <w:r w:rsidRPr="00FE0A3E" w:rsidR="007E1E6B">
        <w:rPr>
          <w:rFonts w:eastAsia="Calibri"/>
          <w:sz w:val="24"/>
          <w:szCs w:val="24"/>
        </w:rPr>
        <w:t xml:space="preserve"> </w:t>
      </w:r>
      <w:r w:rsidRPr="00FE0A3E">
        <w:rPr>
          <w:rFonts w:eastAsia="Calibri"/>
          <w:sz w:val="24"/>
          <w:szCs w:val="24"/>
        </w:rPr>
        <w:t xml:space="preserve">employers x .90 x 6 hours = </w:t>
      </w:r>
      <w:r w:rsidR="00BB7934">
        <w:rPr>
          <w:rFonts w:eastAsia="Calibri"/>
          <w:sz w:val="24"/>
          <w:szCs w:val="24"/>
        </w:rPr>
        <w:t>124.2</w:t>
      </w:r>
      <w:r w:rsidRPr="00FE0A3E">
        <w:rPr>
          <w:rFonts w:eastAsia="Calibri"/>
          <w:sz w:val="24"/>
          <w:szCs w:val="24"/>
        </w:rPr>
        <w:t xml:space="preserve"> hours</w:t>
      </w:r>
    </w:p>
    <w:p w:rsidRPr="00FE0A3E" w:rsidR="00FE0A3E" w:rsidP="00FE0A3E" w:rsidRDefault="00FE0A3E" w14:paraId="18D31BC6" w14:textId="77777777">
      <w:pPr>
        <w:rPr>
          <w:rFonts w:eastAsia="Calibri"/>
          <w:sz w:val="24"/>
          <w:szCs w:val="24"/>
        </w:rPr>
      </w:pPr>
    </w:p>
    <w:p w:rsidRPr="00FE0A3E" w:rsidR="00FE0A3E" w:rsidP="00933FB2" w:rsidRDefault="00FE0A3E" w14:paraId="75DD2A35" w14:textId="77777777">
      <w:pPr>
        <w:rPr>
          <w:rFonts w:eastAsia="Calibri"/>
          <w:sz w:val="24"/>
          <w:szCs w:val="24"/>
        </w:rPr>
      </w:pPr>
      <w:r w:rsidRPr="00FE0A3E">
        <w:rPr>
          <w:rFonts w:eastAsia="Calibri"/>
          <w:sz w:val="24"/>
          <w:szCs w:val="24"/>
        </w:rPr>
        <w:tab/>
      </w:r>
    </w:p>
    <w:p w:rsidRPr="00FE0A3E" w:rsidR="00FE0A3E" w:rsidP="00FE0A3E" w:rsidRDefault="00FE0A3E" w14:paraId="40A924B2" w14:textId="77777777">
      <w:pPr>
        <w:rPr>
          <w:rFonts w:eastAsia="Calibri"/>
          <w:sz w:val="24"/>
          <w:szCs w:val="24"/>
        </w:rPr>
      </w:pPr>
    </w:p>
    <w:p w:rsidR="00E11E13" w:rsidP="00FE0A3E" w:rsidRDefault="00FE0A3E" w14:paraId="33F19ACE" w14:textId="77777777">
      <w:pPr>
        <w:rPr>
          <w:rFonts w:eastAsia="Calibri"/>
          <w:sz w:val="24"/>
          <w:szCs w:val="24"/>
        </w:rPr>
      </w:pP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BC534C">
        <w:rPr>
          <w:rFonts w:eastAsia="Calibri"/>
          <w:sz w:val="24"/>
          <w:szCs w:val="24"/>
        </w:rPr>
        <w:t>556.2</w:t>
      </w:r>
      <w:r w:rsidRPr="00FE0A3E" w:rsidR="00332FE6">
        <w:rPr>
          <w:rFonts w:eastAsia="Calibri"/>
          <w:sz w:val="24"/>
          <w:szCs w:val="24"/>
        </w:rPr>
        <w:t xml:space="preserve"> </w:t>
      </w:r>
      <w:r w:rsidRPr="00FE0A3E">
        <w:rPr>
          <w:rFonts w:eastAsia="Calibri"/>
          <w:sz w:val="24"/>
          <w:szCs w:val="24"/>
        </w:rPr>
        <w:t>burden hours x $</w:t>
      </w:r>
      <w:r w:rsidR="00FF6C51">
        <w:rPr>
          <w:rFonts w:eastAsia="Calibri"/>
          <w:sz w:val="24"/>
          <w:szCs w:val="24"/>
        </w:rPr>
        <w:t>56.33</w:t>
      </w:r>
      <w:r w:rsidRPr="00FE0A3E">
        <w:rPr>
          <w:rFonts w:eastAsia="Calibri"/>
          <w:sz w:val="24"/>
          <w:szCs w:val="24"/>
        </w:rPr>
        <w:t xml:space="preserve"> = $</w:t>
      </w:r>
      <w:r w:rsidR="00BC534C">
        <w:rPr>
          <w:rFonts w:eastAsia="Calibri"/>
          <w:sz w:val="24"/>
          <w:szCs w:val="24"/>
        </w:rPr>
        <w:t>31,330.75</w:t>
      </w:r>
    </w:p>
    <w:p w:rsidR="00E11E13" w:rsidP="00FE0A3E" w:rsidRDefault="00E11E13" w14:paraId="56CC9804" w14:textId="77777777">
      <w:pPr>
        <w:rPr>
          <w:rFonts w:eastAsia="Calibri"/>
          <w:sz w:val="24"/>
          <w:szCs w:val="24"/>
        </w:rPr>
      </w:pPr>
    </w:p>
    <w:p w:rsidRPr="00FE0A3E" w:rsidR="00FE0A3E" w:rsidP="00FE0A3E" w:rsidRDefault="00FE0A3E" w14:paraId="01F0C0BA" w14:textId="77777777">
      <w:pPr>
        <w:rPr>
          <w:rFonts w:eastAsia="Calibri"/>
          <w:sz w:val="24"/>
          <w:szCs w:val="24"/>
        </w:rPr>
      </w:pPr>
      <w:r w:rsidRPr="00FE0A3E">
        <w:rPr>
          <w:rFonts w:eastAsia="Calibri"/>
          <w:sz w:val="24"/>
          <w:szCs w:val="24"/>
        </w:rPr>
        <w:t>Paragraph (c) requires employers (</w:t>
      </w:r>
      <w:r w:rsidR="004C3496">
        <w:rPr>
          <w:rFonts w:eastAsia="Calibri"/>
          <w:sz w:val="24"/>
          <w:szCs w:val="24"/>
        </w:rPr>
        <w:t>253</w:t>
      </w:r>
      <w:r w:rsidRPr="00FE0A3E">
        <w:rPr>
          <w:rFonts w:eastAsia="Calibri"/>
          <w:sz w:val="24"/>
          <w:szCs w:val="24"/>
        </w:rPr>
        <w:t xml:space="preserve">) to review the fire safety plan with each affected worker within 90 days of the effective date of the standard; upon </w:t>
      </w:r>
      <w:r w:rsidR="00F5644F">
        <w:rPr>
          <w:rFonts w:eastAsia="Calibri"/>
          <w:sz w:val="24"/>
          <w:szCs w:val="24"/>
        </w:rPr>
        <w:t xml:space="preserve">the </w:t>
      </w:r>
      <w:r w:rsidRPr="00FE0A3E">
        <w:rPr>
          <w:rFonts w:eastAsia="Calibri"/>
          <w:sz w:val="24"/>
          <w:szCs w:val="24"/>
        </w:rPr>
        <w:t>initial assignment for new workers; when there is a change in the plan; and when the worker’s duties change.  OSHA estimates that it will take 15 minutes (</w:t>
      </w:r>
      <w:r w:rsidR="00A509CD">
        <w:rPr>
          <w:rFonts w:eastAsia="Calibri"/>
          <w:sz w:val="24"/>
          <w:szCs w:val="24"/>
        </w:rPr>
        <w:t>15/60</w:t>
      </w:r>
      <w:r w:rsidRPr="00FE0A3E">
        <w:rPr>
          <w:rFonts w:eastAsia="Calibri"/>
          <w:sz w:val="24"/>
          <w:szCs w:val="24"/>
        </w:rPr>
        <w:t xml:space="preserve"> hour) to review the plan.  OSHA assumes that all </w:t>
      </w:r>
      <w:r w:rsidR="004C3496">
        <w:rPr>
          <w:rFonts w:eastAsia="Calibri"/>
          <w:sz w:val="24"/>
          <w:szCs w:val="24"/>
        </w:rPr>
        <w:t>253</w:t>
      </w:r>
      <w:r w:rsidRPr="00FE0A3E" w:rsidR="007109BB">
        <w:rPr>
          <w:rFonts w:eastAsia="Calibri"/>
          <w:sz w:val="24"/>
          <w:szCs w:val="24"/>
        </w:rPr>
        <w:t xml:space="preserve"> </w:t>
      </w:r>
      <w:r w:rsidRPr="00FE0A3E">
        <w:rPr>
          <w:rFonts w:eastAsia="Calibri"/>
          <w:sz w:val="24"/>
          <w:szCs w:val="24"/>
        </w:rPr>
        <w:t xml:space="preserve">employers will meet with workers in a group setting for the initial review and for subsequent reviews where the plan has changed, at least annually.  OSHA assumes other reviews (due to worker turnover or new hires and when a worker’s duties have changed) will be conducted with the individual, </w:t>
      </w:r>
      <w:r w:rsidR="003F11D9">
        <w:rPr>
          <w:rFonts w:eastAsia="Calibri"/>
          <w:sz w:val="24"/>
          <w:szCs w:val="24"/>
        </w:rPr>
        <w:t xml:space="preserve">the </w:t>
      </w:r>
      <w:r w:rsidRPr="00FE0A3E">
        <w:rPr>
          <w:rFonts w:eastAsia="Calibri"/>
          <w:sz w:val="24"/>
          <w:szCs w:val="24"/>
        </w:rPr>
        <w:t xml:space="preserve">affected worker.  OSHA estimates the turnover rate for workers in the shipyard industry at 24 percent.  Using this percentage, OSHA estimates that a review of the plan will be held with </w:t>
      </w:r>
      <w:r w:rsidR="00070672">
        <w:rPr>
          <w:rFonts w:eastAsia="Calibri"/>
          <w:sz w:val="24"/>
          <w:szCs w:val="24"/>
        </w:rPr>
        <w:t>23</w:t>
      </w:r>
      <w:r w:rsidR="002F133E">
        <w:rPr>
          <w:rFonts w:eastAsia="Calibri"/>
          <w:sz w:val="24"/>
          <w:szCs w:val="24"/>
        </w:rPr>
        <w:t>,</w:t>
      </w:r>
      <w:r w:rsidR="00070672">
        <w:rPr>
          <w:rFonts w:eastAsia="Calibri"/>
          <w:sz w:val="24"/>
          <w:szCs w:val="24"/>
        </w:rPr>
        <w:t>991</w:t>
      </w:r>
      <w:r w:rsidRPr="00FE0A3E">
        <w:rPr>
          <w:rFonts w:eastAsia="Calibri"/>
          <w:sz w:val="24"/>
          <w:szCs w:val="24"/>
        </w:rPr>
        <w:t xml:space="preserve"> (</w:t>
      </w:r>
      <w:r w:rsidR="008979DD">
        <w:rPr>
          <w:rFonts w:eastAsia="Calibri"/>
          <w:sz w:val="24"/>
          <w:szCs w:val="24"/>
        </w:rPr>
        <w:t>99,963</w:t>
      </w:r>
      <w:r w:rsidRPr="00FE0A3E">
        <w:rPr>
          <w:rFonts w:eastAsia="Calibri"/>
          <w:sz w:val="24"/>
          <w:szCs w:val="24"/>
        </w:rPr>
        <w:t xml:space="preserve"> affected workers x 24% turnover rate) new/turnover workers each year.  </w:t>
      </w:r>
      <w:r w:rsidR="00F5644F">
        <w:rPr>
          <w:rFonts w:eastAsia="Calibri"/>
          <w:sz w:val="24"/>
          <w:szCs w:val="24"/>
        </w:rPr>
        <w:t>Also</w:t>
      </w:r>
      <w:r w:rsidRPr="00FE0A3E">
        <w:rPr>
          <w:rFonts w:eastAsia="Calibri"/>
          <w:sz w:val="24"/>
          <w:szCs w:val="24"/>
        </w:rPr>
        <w:t xml:space="preserve">, OSHA assumes that each year 3 employers (1 percent of all </w:t>
      </w:r>
      <w:r w:rsidR="004C3496">
        <w:rPr>
          <w:rFonts w:eastAsia="Calibri"/>
          <w:sz w:val="24"/>
          <w:szCs w:val="24"/>
        </w:rPr>
        <w:t>253</w:t>
      </w:r>
      <w:r w:rsidRPr="00FE0A3E">
        <w:rPr>
          <w:rFonts w:eastAsia="Calibri"/>
          <w:sz w:val="24"/>
          <w:szCs w:val="24"/>
        </w:rPr>
        <w:t xml:space="preserve"> employers) will make a change to the fire safety plan and </w:t>
      </w:r>
      <w:r w:rsidR="00070672">
        <w:rPr>
          <w:rFonts w:eastAsia="Calibri"/>
          <w:sz w:val="24"/>
          <w:szCs w:val="24"/>
        </w:rPr>
        <w:t>1,000</w:t>
      </w:r>
      <w:r w:rsidRPr="00FE0A3E">
        <w:rPr>
          <w:rFonts w:eastAsia="Calibri"/>
          <w:sz w:val="24"/>
          <w:szCs w:val="24"/>
        </w:rPr>
        <w:t xml:space="preserve"> workers (1 percent of all workers (</w:t>
      </w:r>
      <w:r w:rsidR="008979DD">
        <w:rPr>
          <w:rFonts w:eastAsia="Calibri"/>
          <w:sz w:val="24"/>
          <w:szCs w:val="24"/>
        </w:rPr>
        <w:t>99,963</w:t>
      </w:r>
      <w:r w:rsidRPr="00FE0A3E">
        <w:rPr>
          <w:rFonts w:eastAsia="Calibri"/>
          <w:sz w:val="24"/>
          <w:szCs w:val="24"/>
        </w:rPr>
        <w:t xml:space="preserve"> x 1%)) will have a change in duty triggering another review </w:t>
      </w:r>
      <w:r w:rsidRPr="00FE0A3E">
        <w:rPr>
          <w:rFonts w:eastAsia="Calibri"/>
          <w:sz w:val="24"/>
          <w:szCs w:val="24"/>
        </w:rPr>
        <w:lastRenderedPageBreak/>
        <w:t xml:space="preserve">of the plan.  A safety and health manager would conduct </w:t>
      </w:r>
      <w:r w:rsidR="00F5644F">
        <w:rPr>
          <w:rFonts w:eastAsia="Calibri"/>
          <w:sz w:val="24"/>
          <w:szCs w:val="24"/>
        </w:rPr>
        <w:t>a</w:t>
      </w:r>
      <w:r w:rsidRPr="00FE0A3E" w:rsidR="00F5644F">
        <w:rPr>
          <w:rFonts w:eastAsia="Calibri"/>
          <w:sz w:val="24"/>
          <w:szCs w:val="24"/>
        </w:rPr>
        <w:t xml:space="preserve"> </w:t>
      </w:r>
      <w:r w:rsidRPr="00FE0A3E">
        <w:rPr>
          <w:rFonts w:eastAsia="Calibri"/>
          <w:sz w:val="24"/>
          <w:szCs w:val="24"/>
        </w:rPr>
        <w:t>review with each worker.  Therefore, the burden is estimated as follows:</w:t>
      </w:r>
    </w:p>
    <w:p w:rsidRPr="00FE0A3E" w:rsidR="00FE0A3E" w:rsidP="00FE0A3E" w:rsidRDefault="00FE0A3E" w14:paraId="0C1E48EF" w14:textId="77777777">
      <w:pPr>
        <w:rPr>
          <w:rFonts w:eastAsia="Calibri"/>
          <w:sz w:val="24"/>
          <w:szCs w:val="24"/>
        </w:rPr>
      </w:pPr>
    </w:p>
    <w:p w:rsidRPr="00FE0A3E" w:rsidR="00FE0A3E" w:rsidP="00FE0A3E" w:rsidRDefault="00FE0A3E" w14:paraId="00E0B67F"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004C3496">
        <w:rPr>
          <w:rFonts w:eastAsia="Calibri"/>
          <w:sz w:val="24"/>
          <w:szCs w:val="24"/>
        </w:rPr>
        <w:t>253</w:t>
      </w:r>
      <w:r w:rsidRPr="00FE0A3E" w:rsidR="000276AB">
        <w:rPr>
          <w:rFonts w:eastAsia="Calibri"/>
          <w:sz w:val="24"/>
          <w:szCs w:val="24"/>
        </w:rPr>
        <w:t xml:space="preserve"> </w:t>
      </w:r>
      <w:r w:rsidRPr="00FE0A3E">
        <w:rPr>
          <w:rFonts w:eastAsia="Calibri"/>
          <w:sz w:val="24"/>
          <w:szCs w:val="24"/>
        </w:rPr>
        <w:t xml:space="preserve">employers x </w:t>
      </w:r>
      <w:r w:rsidR="00A509CD">
        <w:rPr>
          <w:rFonts w:eastAsia="Calibri"/>
          <w:sz w:val="24"/>
          <w:szCs w:val="24"/>
        </w:rPr>
        <w:t>15/60</w:t>
      </w:r>
      <w:r w:rsidRPr="00FE0A3E">
        <w:rPr>
          <w:rFonts w:eastAsia="Calibri"/>
          <w:sz w:val="24"/>
          <w:szCs w:val="24"/>
        </w:rPr>
        <w:t xml:space="preserve"> hour = </w:t>
      </w:r>
      <w:r w:rsidR="00EA250F">
        <w:rPr>
          <w:rFonts w:eastAsia="Calibri"/>
          <w:sz w:val="24"/>
          <w:szCs w:val="24"/>
        </w:rPr>
        <w:t>63.25</w:t>
      </w:r>
      <w:r w:rsidR="00E11E13">
        <w:rPr>
          <w:rFonts w:eastAsia="Calibri"/>
          <w:sz w:val="24"/>
          <w:szCs w:val="24"/>
        </w:rPr>
        <w:t xml:space="preserve"> </w:t>
      </w:r>
      <w:r w:rsidRPr="00FE0A3E">
        <w:rPr>
          <w:rFonts w:eastAsia="Calibri"/>
          <w:sz w:val="24"/>
          <w:szCs w:val="24"/>
        </w:rPr>
        <w:t>hours</w:t>
      </w:r>
    </w:p>
    <w:p w:rsidRPr="00FE0A3E" w:rsidR="00FE0A3E" w:rsidP="00D0409C" w:rsidRDefault="009F5D66" w14:paraId="47C5DD0D" w14:textId="77777777">
      <w:pPr>
        <w:ind w:left="1728" w:firstLine="288"/>
        <w:rPr>
          <w:rFonts w:eastAsia="Calibri"/>
          <w:sz w:val="24"/>
          <w:szCs w:val="24"/>
        </w:rPr>
      </w:pPr>
      <w:r>
        <w:rPr>
          <w:rFonts w:eastAsia="Calibri"/>
          <w:sz w:val="24"/>
          <w:szCs w:val="24"/>
        </w:rPr>
        <w:t>23,991</w:t>
      </w:r>
      <w:r w:rsidRPr="00FE0A3E" w:rsidR="00FE0A3E">
        <w:rPr>
          <w:rFonts w:eastAsia="Calibri"/>
          <w:sz w:val="24"/>
          <w:szCs w:val="24"/>
        </w:rPr>
        <w:t xml:space="preserve"> new hires/turnover workers x </w:t>
      </w:r>
      <w:r w:rsidR="00A509CD">
        <w:rPr>
          <w:rFonts w:eastAsia="Calibri"/>
          <w:sz w:val="24"/>
          <w:szCs w:val="24"/>
        </w:rPr>
        <w:t>15/60</w:t>
      </w:r>
      <w:r w:rsidRPr="00FE0A3E" w:rsidR="00FE0A3E">
        <w:rPr>
          <w:rFonts w:eastAsia="Calibri"/>
          <w:sz w:val="24"/>
          <w:szCs w:val="24"/>
        </w:rPr>
        <w:t xml:space="preserve"> hour = </w:t>
      </w:r>
      <w:r>
        <w:rPr>
          <w:rFonts w:eastAsia="Calibri"/>
          <w:sz w:val="24"/>
          <w:szCs w:val="24"/>
        </w:rPr>
        <w:t>5,997.75</w:t>
      </w:r>
      <w:r w:rsidRPr="00FE0A3E" w:rsidR="00FE0A3E">
        <w:rPr>
          <w:rFonts w:eastAsia="Calibri"/>
          <w:sz w:val="24"/>
          <w:szCs w:val="24"/>
        </w:rPr>
        <w:t xml:space="preserve"> hours</w:t>
      </w:r>
    </w:p>
    <w:p w:rsidRPr="00FE0A3E" w:rsidR="00FE0A3E" w:rsidP="00FE0A3E" w:rsidRDefault="00FE0A3E" w14:paraId="0CBE0BC7" w14:textId="77777777">
      <w:pPr>
        <w:rPr>
          <w:rFonts w:eastAsia="Calibri"/>
          <w:sz w:val="24"/>
          <w:szCs w:val="24"/>
        </w:rPr>
      </w:pPr>
      <w:r w:rsidRPr="00FE0A3E">
        <w:rPr>
          <w:rFonts w:eastAsia="Calibri"/>
          <w:sz w:val="24"/>
          <w:szCs w:val="24"/>
        </w:rPr>
        <w:tab/>
      </w:r>
      <w:r w:rsidRPr="00FE0A3E">
        <w:rPr>
          <w:rFonts w:eastAsia="Calibri"/>
          <w:sz w:val="24"/>
          <w:szCs w:val="24"/>
        </w:rPr>
        <w:tab/>
      </w:r>
      <w:r w:rsidRPr="00FE0A3E">
        <w:rPr>
          <w:rFonts w:eastAsia="Calibri"/>
          <w:sz w:val="24"/>
          <w:szCs w:val="24"/>
        </w:rPr>
        <w:tab/>
      </w:r>
      <w:r w:rsidRPr="00FE0A3E">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Pr="00FE0A3E">
        <w:rPr>
          <w:rFonts w:eastAsia="Calibri"/>
          <w:sz w:val="24"/>
          <w:szCs w:val="24"/>
        </w:rPr>
        <w:t xml:space="preserve">3 employers x </w:t>
      </w:r>
      <w:r w:rsidR="00A509CD">
        <w:rPr>
          <w:rFonts w:eastAsia="Calibri"/>
          <w:sz w:val="24"/>
          <w:szCs w:val="24"/>
        </w:rPr>
        <w:t>15/60</w:t>
      </w:r>
      <w:r w:rsidRPr="00FE0A3E">
        <w:rPr>
          <w:rFonts w:eastAsia="Calibri"/>
          <w:sz w:val="24"/>
          <w:szCs w:val="24"/>
        </w:rPr>
        <w:t xml:space="preserve"> hour = </w:t>
      </w:r>
      <w:r w:rsidR="009F5D66">
        <w:rPr>
          <w:rFonts w:eastAsia="Calibri"/>
          <w:sz w:val="24"/>
          <w:szCs w:val="24"/>
        </w:rPr>
        <w:t>0.75</w:t>
      </w:r>
      <w:r w:rsidRPr="00FE0A3E">
        <w:rPr>
          <w:rFonts w:eastAsia="Calibri"/>
          <w:sz w:val="24"/>
          <w:szCs w:val="24"/>
        </w:rPr>
        <w:t xml:space="preserve"> hour</w:t>
      </w:r>
    </w:p>
    <w:p w:rsidRPr="00FE0A3E" w:rsidR="00FE0A3E" w:rsidP="00FE0A3E" w:rsidRDefault="00FE0A3E" w14:paraId="71D69759" w14:textId="77777777">
      <w:pPr>
        <w:rPr>
          <w:rFonts w:eastAsia="Calibri"/>
          <w:sz w:val="24"/>
          <w:szCs w:val="24"/>
        </w:rPr>
      </w:pPr>
      <w:r w:rsidRPr="00FE0A3E">
        <w:rPr>
          <w:rFonts w:eastAsia="Calibri"/>
          <w:sz w:val="24"/>
          <w:szCs w:val="24"/>
        </w:rPr>
        <w:tab/>
      </w:r>
      <w:r w:rsidRPr="00FE0A3E">
        <w:rPr>
          <w:rFonts w:eastAsia="Calibri"/>
          <w:sz w:val="24"/>
          <w:szCs w:val="24"/>
        </w:rPr>
        <w:tab/>
      </w:r>
      <w:r w:rsidRPr="00FE0A3E">
        <w:rPr>
          <w:rFonts w:eastAsia="Calibri"/>
          <w:sz w:val="24"/>
          <w:szCs w:val="24"/>
        </w:rPr>
        <w:tab/>
      </w:r>
      <w:r w:rsidRPr="00FE0A3E">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9F5D66">
        <w:rPr>
          <w:rFonts w:eastAsia="Calibri"/>
          <w:sz w:val="24"/>
          <w:szCs w:val="24"/>
        </w:rPr>
        <w:t>1,000</w:t>
      </w:r>
      <w:r w:rsidRPr="00FE0A3E" w:rsidR="007E6882">
        <w:rPr>
          <w:rFonts w:eastAsia="Calibri"/>
          <w:sz w:val="24"/>
          <w:szCs w:val="24"/>
        </w:rPr>
        <w:t xml:space="preserve"> </w:t>
      </w:r>
      <w:r w:rsidRPr="00FE0A3E">
        <w:rPr>
          <w:rFonts w:eastAsia="Calibri"/>
          <w:sz w:val="24"/>
          <w:szCs w:val="24"/>
        </w:rPr>
        <w:t xml:space="preserve">workers x </w:t>
      </w:r>
      <w:r w:rsidR="00A509CD">
        <w:rPr>
          <w:rFonts w:eastAsia="Calibri"/>
          <w:sz w:val="24"/>
          <w:szCs w:val="24"/>
        </w:rPr>
        <w:t>15/60</w:t>
      </w:r>
      <w:r w:rsidRPr="00FE0A3E">
        <w:rPr>
          <w:rFonts w:eastAsia="Calibri"/>
          <w:sz w:val="24"/>
          <w:szCs w:val="24"/>
        </w:rPr>
        <w:t xml:space="preserve"> hour = </w:t>
      </w:r>
      <w:r w:rsidR="009F5D66">
        <w:rPr>
          <w:rFonts w:eastAsia="Calibri"/>
          <w:sz w:val="24"/>
          <w:szCs w:val="24"/>
        </w:rPr>
        <w:t>250</w:t>
      </w:r>
      <w:r w:rsidRPr="00FE0A3E" w:rsidR="00157D6D">
        <w:rPr>
          <w:rFonts w:eastAsia="Calibri"/>
          <w:sz w:val="24"/>
          <w:szCs w:val="24"/>
        </w:rPr>
        <w:t xml:space="preserve"> </w:t>
      </w:r>
      <w:r w:rsidRPr="00FE0A3E">
        <w:rPr>
          <w:rFonts w:eastAsia="Calibri"/>
          <w:sz w:val="24"/>
          <w:szCs w:val="24"/>
        </w:rPr>
        <w:t>hours</w:t>
      </w:r>
    </w:p>
    <w:p w:rsidRPr="00FE0A3E" w:rsidR="00FE0A3E" w:rsidP="00FE0A3E" w:rsidRDefault="00FE0A3E" w14:paraId="50792B2A" w14:textId="77777777">
      <w:pPr>
        <w:rPr>
          <w:rFonts w:eastAsia="Calibri"/>
          <w:sz w:val="24"/>
          <w:szCs w:val="24"/>
        </w:rPr>
      </w:pPr>
    </w:p>
    <w:p w:rsidRPr="00FE0A3E" w:rsidR="00FE0A3E" w:rsidP="00FE0A3E" w:rsidRDefault="00FE0A3E" w14:paraId="5379D195"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EA250F">
        <w:rPr>
          <w:rFonts w:eastAsia="Calibri"/>
          <w:sz w:val="24"/>
          <w:szCs w:val="24"/>
        </w:rPr>
        <w:tab/>
      </w:r>
      <w:r w:rsidR="00EA250F">
        <w:rPr>
          <w:rFonts w:eastAsia="Calibri"/>
          <w:sz w:val="24"/>
          <w:szCs w:val="24"/>
        </w:rPr>
        <w:tab/>
      </w:r>
      <w:r w:rsidR="009F5D66">
        <w:rPr>
          <w:rFonts w:eastAsia="Calibri"/>
          <w:sz w:val="24"/>
          <w:szCs w:val="24"/>
        </w:rPr>
        <w:t>6,311.75</w:t>
      </w:r>
      <w:r w:rsidRPr="00FE0A3E">
        <w:rPr>
          <w:rFonts w:eastAsia="Calibri"/>
          <w:sz w:val="24"/>
          <w:szCs w:val="24"/>
        </w:rPr>
        <w:t xml:space="preserve"> burden hours x $</w:t>
      </w:r>
      <w:r w:rsidR="00FF6C51">
        <w:rPr>
          <w:rFonts w:eastAsia="Calibri"/>
          <w:sz w:val="24"/>
          <w:szCs w:val="24"/>
        </w:rPr>
        <w:t>56.33</w:t>
      </w:r>
      <w:r w:rsidRPr="00FE0A3E">
        <w:rPr>
          <w:rFonts w:eastAsia="Calibri"/>
          <w:sz w:val="24"/>
          <w:szCs w:val="24"/>
        </w:rPr>
        <w:t xml:space="preserve"> = $</w:t>
      </w:r>
      <w:r w:rsidR="000F4EDB">
        <w:rPr>
          <w:rFonts w:eastAsia="Calibri"/>
          <w:sz w:val="24"/>
          <w:szCs w:val="24"/>
        </w:rPr>
        <w:t>355,540.88</w:t>
      </w:r>
    </w:p>
    <w:p w:rsidRPr="00FE0A3E" w:rsidR="00FE0A3E" w:rsidP="00FE0A3E" w:rsidRDefault="00FE0A3E" w14:paraId="036A2D7B" w14:textId="77777777">
      <w:pPr>
        <w:rPr>
          <w:rFonts w:eastAsia="Calibri"/>
          <w:sz w:val="24"/>
          <w:szCs w:val="24"/>
        </w:rPr>
      </w:pPr>
    </w:p>
    <w:p w:rsidRPr="00FE0A3E" w:rsidR="00FE0A3E" w:rsidP="00FE0A3E" w:rsidRDefault="00FE0A3E" w14:paraId="1B5F6DD3" w14:textId="77777777">
      <w:pPr>
        <w:rPr>
          <w:rFonts w:eastAsia="Calibri"/>
          <w:sz w:val="24"/>
          <w:szCs w:val="24"/>
        </w:rPr>
      </w:pPr>
      <w:r w:rsidRPr="00FE0A3E">
        <w:rPr>
          <w:rFonts w:eastAsia="Calibri"/>
          <w:sz w:val="24"/>
          <w:szCs w:val="24"/>
        </w:rPr>
        <w:t xml:space="preserve">The burden hour estimate listed for the review of the fire safety plan also includes the time to provide the general training information (1915.508(a)).  The general training essentially requires the employer to ensure that workers are trained in the fire safety plan.  Therefore, as noted in  </w:t>
      </w:r>
      <w:r w:rsidR="00F5644F">
        <w:rPr>
          <w:rFonts w:eastAsia="Calibri"/>
          <w:sz w:val="24"/>
          <w:szCs w:val="24"/>
        </w:rPr>
        <w:t>the Final Economic Analysis (</w:t>
      </w:r>
      <w:r w:rsidRPr="00FE0A3E">
        <w:rPr>
          <w:rFonts w:eastAsia="Calibri"/>
          <w:sz w:val="24"/>
          <w:szCs w:val="24"/>
        </w:rPr>
        <w:t>FEA</w:t>
      </w:r>
      <w:r w:rsidR="00F5644F">
        <w:rPr>
          <w:rFonts w:eastAsia="Calibri"/>
          <w:sz w:val="24"/>
          <w:szCs w:val="24"/>
        </w:rPr>
        <w:t>)</w:t>
      </w:r>
      <w:r w:rsidR="000519A7">
        <w:rPr>
          <w:rFonts w:eastAsia="Calibri"/>
          <w:sz w:val="24"/>
          <w:szCs w:val="24"/>
        </w:rPr>
        <w:t xml:space="preserve"> from the final rule</w:t>
      </w:r>
      <w:r w:rsidR="00254B74">
        <w:rPr>
          <w:rFonts w:eastAsia="Calibri"/>
          <w:sz w:val="24"/>
          <w:szCs w:val="24"/>
        </w:rPr>
        <w:t xml:space="preserve"> (76 FR 24576)</w:t>
      </w:r>
      <w:r w:rsidRPr="00FE0A3E">
        <w:rPr>
          <w:rFonts w:eastAsia="Calibri"/>
          <w:sz w:val="24"/>
          <w:szCs w:val="24"/>
        </w:rPr>
        <w:t>, OSHA assumes 15 minutes (</w:t>
      </w:r>
      <w:r w:rsidR="00325B23">
        <w:rPr>
          <w:rFonts w:eastAsia="Calibri"/>
          <w:sz w:val="24"/>
          <w:szCs w:val="24"/>
        </w:rPr>
        <w:t>15/60</w:t>
      </w:r>
      <w:r w:rsidRPr="00FE0A3E">
        <w:rPr>
          <w:rFonts w:eastAsia="Calibri"/>
          <w:sz w:val="24"/>
          <w:szCs w:val="24"/>
        </w:rPr>
        <w:t xml:space="preserve"> hour) will cover activities as well as the generation and maintenance of certification records for the two activities.</w:t>
      </w:r>
    </w:p>
    <w:p w:rsidRPr="00FE0A3E" w:rsidR="00FE0A3E" w:rsidP="00FE0A3E" w:rsidRDefault="00FE0A3E" w14:paraId="3704FC96" w14:textId="77777777">
      <w:pPr>
        <w:rPr>
          <w:rFonts w:eastAsia="Calibri"/>
          <w:sz w:val="24"/>
          <w:szCs w:val="24"/>
        </w:rPr>
      </w:pPr>
    </w:p>
    <w:p w:rsidRPr="00FE0A3E" w:rsidR="00FE0A3E" w:rsidP="00FE0A3E" w:rsidRDefault="00FE0A3E" w14:paraId="555AE487" w14:textId="77777777">
      <w:pPr>
        <w:rPr>
          <w:rFonts w:eastAsia="Calibri"/>
          <w:sz w:val="24"/>
          <w:szCs w:val="24"/>
        </w:rPr>
      </w:pPr>
      <w:r w:rsidRPr="00FE0A3E">
        <w:rPr>
          <w:rFonts w:eastAsia="Calibri"/>
          <w:sz w:val="24"/>
          <w:szCs w:val="24"/>
        </w:rPr>
        <w:t>Paragraph (d)(1) requires employers (</w:t>
      </w:r>
      <w:r w:rsidR="004C3496">
        <w:rPr>
          <w:rFonts w:eastAsia="Calibri"/>
          <w:sz w:val="24"/>
          <w:szCs w:val="24"/>
        </w:rPr>
        <w:t>253</w:t>
      </w:r>
      <w:r w:rsidRPr="00FE0A3E">
        <w:rPr>
          <w:rFonts w:eastAsia="Calibri"/>
          <w:sz w:val="24"/>
          <w:szCs w:val="24"/>
        </w:rPr>
        <w:t>) to keep the fire safety plan accessible to workers, worker representatives</w:t>
      </w:r>
      <w:r w:rsidR="00F5644F">
        <w:rPr>
          <w:rFonts w:eastAsia="Calibri"/>
          <w:sz w:val="24"/>
          <w:szCs w:val="24"/>
        </w:rPr>
        <w:t>,</w:t>
      </w:r>
      <w:r w:rsidRPr="00FE0A3E">
        <w:rPr>
          <w:rFonts w:eastAsia="Calibri"/>
          <w:sz w:val="24"/>
          <w:szCs w:val="24"/>
        </w:rPr>
        <w:t xml:space="preserve"> and OSHA.  OSHA estimates it will take 5 minutes (</w:t>
      </w:r>
      <w:r w:rsidR="00325B23">
        <w:rPr>
          <w:rFonts w:eastAsia="Calibri"/>
          <w:sz w:val="24"/>
          <w:szCs w:val="24"/>
        </w:rPr>
        <w:t>5/60</w:t>
      </w:r>
      <w:r w:rsidRPr="00FE0A3E">
        <w:rPr>
          <w:rFonts w:eastAsia="Calibri"/>
          <w:sz w:val="24"/>
          <w:szCs w:val="24"/>
        </w:rPr>
        <w:t xml:space="preserve"> hour) to post the plan or to place it in an area where it is accessible.  The plan is updated yearly; therefore, it will be a yearly burden to post the plan/make it accessible.</w:t>
      </w:r>
    </w:p>
    <w:p w:rsidRPr="00FE0A3E" w:rsidR="00FE0A3E" w:rsidP="00FE0A3E" w:rsidRDefault="00FE0A3E" w14:paraId="1AFDE750" w14:textId="77777777">
      <w:pPr>
        <w:rPr>
          <w:rFonts w:eastAsia="Calibri"/>
          <w:sz w:val="24"/>
          <w:szCs w:val="24"/>
        </w:rPr>
      </w:pPr>
    </w:p>
    <w:p w:rsidRPr="00FE0A3E" w:rsidR="00FE0A3E" w:rsidP="00FE0A3E" w:rsidRDefault="00FE0A3E" w14:paraId="199F9A7E"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4C3496">
        <w:rPr>
          <w:rFonts w:eastAsia="Calibri"/>
          <w:sz w:val="24"/>
          <w:szCs w:val="24"/>
        </w:rPr>
        <w:t>253</w:t>
      </w:r>
      <w:r w:rsidRPr="00FE0A3E" w:rsidR="000276AB">
        <w:rPr>
          <w:rFonts w:eastAsia="Calibri"/>
          <w:sz w:val="24"/>
          <w:szCs w:val="24"/>
        </w:rPr>
        <w:t xml:space="preserve"> </w:t>
      </w:r>
      <w:r w:rsidRPr="00FE0A3E">
        <w:rPr>
          <w:rFonts w:eastAsia="Calibri"/>
          <w:sz w:val="24"/>
          <w:szCs w:val="24"/>
        </w:rPr>
        <w:t xml:space="preserve">employers x </w:t>
      </w:r>
      <w:r w:rsidR="00A509CD">
        <w:rPr>
          <w:rFonts w:eastAsia="Calibri"/>
          <w:sz w:val="24"/>
          <w:szCs w:val="24"/>
        </w:rPr>
        <w:t>5/60</w:t>
      </w:r>
      <w:r w:rsidRPr="00FE0A3E">
        <w:rPr>
          <w:rFonts w:eastAsia="Calibri"/>
          <w:sz w:val="24"/>
          <w:szCs w:val="24"/>
        </w:rPr>
        <w:t xml:space="preserve"> hour = </w:t>
      </w:r>
      <w:r w:rsidR="00EA250F">
        <w:rPr>
          <w:rFonts w:eastAsia="Calibri"/>
          <w:sz w:val="24"/>
          <w:szCs w:val="24"/>
        </w:rPr>
        <w:t>21.08</w:t>
      </w:r>
      <w:r w:rsidRPr="00FE0A3E">
        <w:rPr>
          <w:rFonts w:eastAsia="Calibri"/>
          <w:sz w:val="24"/>
          <w:szCs w:val="24"/>
        </w:rPr>
        <w:t xml:space="preserve"> hours</w:t>
      </w:r>
    </w:p>
    <w:p w:rsidRPr="00FE0A3E" w:rsidR="00FE0A3E" w:rsidP="00FE0A3E" w:rsidRDefault="00FE0A3E" w14:paraId="1AF6909E" w14:textId="77777777">
      <w:pPr>
        <w:rPr>
          <w:rFonts w:eastAsia="Calibri"/>
          <w:sz w:val="24"/>
          <w:szCs w:val="24"/>
        </w:rPr>
      </w:pPr>
    </w:p>
    <w:p w:rsidRPr="00FE0A3E" w:rsidR="00FE0A3E" w:rsidP="00FE0A3E" w:rsidRDefault="00FE0A3E" w14:paraId="0016C3C3"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EA250F">
        <w:rPr>
          <w:rFonts w:eastAsia="Calibri"/>
          <w:sz w:val="24"/>
          <w:szCs w:val="24"/>
        </w:rPr>
        <w:t>21.08</w:t>
      </w:r>
      <w:r w:rsidRPr="00FE0A3E">
        <w:rPr>
          <w:rFonts w:eastAsia="Calibri"/>
          <w:sz w:val="24"/>
          <w:szCs w:val="24"/>
        </w:rPr>
        <w:t xml:space="preserve"> burden hours x $</w:t>
      </w:r>
      <w:r w:rsidR="00FF6C51">
        <w:rPr>
          <w:rFonts w:eastAsia="Calibri"/>
          <w:sz w:val="24"/>
          <w:szCs w:val="24"/>
        </w:rPr>
        <w:t>49.07</w:t>
      </w:r>
      <w:r w:rsidRPr="00FE0A3E">
        <w:rPr>
          <w:rFonts w:eastAsia="Calibri"/>
          <w:sz w:val="24"/>
          <w:szCs w:val="24"/>
        </w:rPr>
        <w:t xml:space="preserve"> = $</w:t>
      </w:r>
      <w:r w:rsidR="00070672">
        <w:rPr>
          <w:rFonts w:eastAsia="Calibri"/>
          <w:sz w:val="24"/>
          <w:szCs w:val="24"/>
        </w:rPr>
        <w:t>1,034.</w:t>
      </w:r>
      <w:r w:rsidR="00E11E13">
        <w:rPr>
          <w:rFonts w:eastAsia="Calibri"/>
          <w:sz w:val="24"/>
          <w:szCs w:val="24"/>
        </w:rPr>
        <w:t>4</w:t>
      </w:r>
      <w:r w:rsidR="00131877">
        <w:rPr>
          <w:rFonts w:eastAsia="Calibri"/>
          <w:sz w:val="24"/>
          <w:szCs w:val="24"/>
        </w:rPr>
        <w:t>0</w:t>
      </w:r>
    </w:p>
    <w:p w:rsidRPr="00FE0A3E" w:rsidR="00FE0A3E" w:rsidP="00FE0A3E" w:rsidRDefault="00FE0A3E" w14:paraId="0460B276" w14:textId="77777777">
      <w:pPr>
        <w:rPr>
          <w:rFonts w:eastAsia="Calibri"/>
          <w:sz w:val="24"/>
          <w:szCs w:val="24"/>
        </w:rPr>
      </w:pPr>
    </w:p>
    <w:p w:rsidRPr="00FE0A3E" w:rsidR="00FE0A3E" w:rsidP="00FE0A3E" w:rsidRDefault="00FE0A3E" w14:paraId="0CAB0933" w14:textId="77777777">
      <w:pPr>
        <w:rPr>
          <w:rFonts w:eastAsia="Calibri"/>
          <w:sz w:val="24"/>
          <w:szCs w:val="24"/>
        </w:rPr>
      </w:pPr>
      <w:r w:rsidRPr="00FE0A3E">
        <w:rPr>
          <w:rFonts w:eastAsia="Calibri"/>
          <w:sz w:val="24"/>
          <w:szCs w:val="24"/>
        </w:rPr>
        <w:t>Paragraph (d)(3) requires the employer to certify in writing that each worker was informed about the plan at the intervals dictated by paragraph (c).  OSHA estimates it will take 3 minutes (</w:t>
      </w:r>
      <w:r w:rsidR="00A509CD">
        <w:rPr>
          <w:rFonts w:eastAsia="Calibri"/>
          <w:sz w:val="24"/>
          <w:szCs w:val="24"/>
        </w:rPr>
        <w:t>3/60</w:t>
      </w:r>
      <w:r w:rsidRPr="00FE0A3E">
        <w:rPr>
          <w:rFonts w:eastAsia="Calibri"/>
          <w:sz w:val="24"/>
          <w:szCs w:val="24"/>
        </w:rPr>
        <w:t xml:space="preserve"> hour) to generate and maintain each of the required certifications.  The burden </w:t>
      </w:r>
      <w:r w:rsidR="00F5644F">
        <w:rPr>
          <w:rFonts w:eastAsia="Calibri"/>
          <w:sz w:val="24"/>
          <w:szCs w:val="24"/>
        </w:rPr>
        <w:t>of</w:t>
      </w:r>
      <w:r w:rsidRPr="00FE0A3E" w:rsidR="00F5644F">
        <w:rPr>
          <w:rFonts w:eastAsia="Calibri"/>
          <w:sz w:val="24"/>
          <w:szCs w:val="24"/>
        </w:rPr>
        <w:t xml:space="preserve"> </w:t>
      </w:r>
      <w:r w:rsidRPr="00FE0A3E">
        <w:rPr>
          <w:rFonts w:eastAsia="Calibri"/>
          <w:sz w:val="24"/>
          <w:szCs w:val="24"/>
        </w:rPr>
        <w:t>preparing the certification record for the initial review is included in the burden hour estimate listed above for 1915.502(c).  In the second and subsequent years, the burden will be as follows.  Each year the employer will have to review and update the plan, triggering a review of the plan with all workers at the same time.  A certification of this review will take 3 minutes (</w:t>
      </w:r>
      <w:r w:rsidR="00A509CD">
        <w:rPr>
          <w:rFonts w:eastAsia="Calibri"/>
          <w:sz w:val="24"/>
          <w:szCs w:val="24"/>
        </w:rPr>
        <w:t>3/60</w:t>
      </w:r>
      <w:r w:rsidRPr="00FE0A3E">
        <w:rPr>
          <w:rFonts w:eastAsia="Calibri"/>
          <w:sz w:val="24"/>
          <w:szCs w:val="24"/>
        </w:rPr>
        <w:t xml:space="preserve"> hour).  The standard also requires a certification of the review for new/turnover workers and for workers whose duties change as a result of changes to the plan made at times other than the annual updating of the plan.  OSHA estimates the burden for these certifications at 3 minutes (</w:t>
      </w:r>
      <w:r w:rsidR="00A509CD">
        <w:rPr>
          <w:rFonts w:eastAsia="Calibri"/>
          <w:sz w:val="24"/>
          <w:szCs w:val="24"/>
        </w:rPr>
        <w:t>3/60</w:t>
      </w:r>
      <w:r w:rsidRPr="00FE0A3E">
        <w:rPr>
          <w:rFonts w:eastAsia="Calibri"/>
          <w:sz w:val="24"/>
          <w:szCs w:val="24"/>
        </w:rPr>
        <w:t xml:space="preserve"> hour) </w:t>
      </w:r>
      <w:r w:rsidRPr="00FE0A3E">
        <w:rPr>
          <w:rFonts w:eastAsia="Calibri"/>
          <w:i/>
          <w:sz w:val="24"/>
          <w:szCs w:val="24"/>
        </w:rPr>
        <w:t>per worker</w:t>
      </w:r>
      <w:r w:rsidRPr="00FE0A3E">
        <w:rPr>
          <w:rFonts w:eastAsia="Calibri"/>
          <w:sz w:val="24"/>
          <w:szCs w:val="24"/>
        </w:rPr>
        <w:t xml:space="preserve">, (this review will be conducted with the individual workers).  Total new and turnover workers are estimated at </w:t>
      </w:r>
      <w:r w:rsidR="009F5D66">
        <w:rPr>
          <w:rFonts w:eastAsia="Calibri"/>
          <w:sz w:val="24"/>
          <w:szCs w:val="24"/>
        </w:rPr>
        <w:t>23,991</w:t>
      </w:r>
      <w:r w:rsidRPr="00FE0A3E">
        <w:rPr>
          <w:rFonts w:eastAsia="Calibri"/>
          <w:sz w:val="24"/>
          <w:szCs w:val="24"/>
        </w:rPr>
        <w:t xml:space="preserve"> and workers with a change of duty are estimated at </w:t>
      </w:r>
      <w:r w:rsidR="009F5D66">
        <w:rPr>
          <w:rFonts w:eastAsia="Calibri"/>
          <w:sz w:val="24"/>
          <w:szCs w:val="24"/>
        </w:rPr>
        <w:t>1,000</w:t>
      </w:r>
      <w:r w:rsidRPr="00FE0A3E">
        <w:rPr>
          <w:rFonts w:eastAsia="Calibri"/>
          <w:sz w:val="24"/>
          <w:szCs w:val="24"/>
        </w:rPr>
        <w:t xml:space="preserve"> for a total of </w:t>
      </w:r>
      <w:r w:rsidR="000F4EDB">
        <w:rPr>
          <w:rFonts w:eastAsia="Calibri"/>
          <w:sz w:val="24"/>
          <w:szCs w:val="24"/>
        </w:rPr>
        <w:t>24,991</w:t>
      </w:r>
      <w:r w:rsidRPr="00FE0A3E">
        <w:rPr>
          <w:rFonts w:eastAsia="Calibri"/>
          <w:sz w:val="24"/>
          <w:szCs w:val="24"/>
        </w:rPr>
        <w:t xml:space="preserve"> workers receiving an individual review per year after the first year.  Finally, OSHA estimates that 1% of the employers (</w:t>
      </w:r>
      <w:r w:rsidR="00CE6742">
        <w:rPr>
          <w:rFonts w:eastAsia="Calibri"/>
          <w:sz w:val="24"/>
          <w:szCs w:val="24"/>
        </w:rPr>
        <w:t>10</w:t>
      </w:r>
      <w:r w:rsidRPr="00FE0A3E">
        <w:rPr>
          <w:rFonts w:eastAsia="Calibri"/>
          <w:sz w:val="24"/>
          <w:szCs w:val="24"/>
        </w:rPr>
        <w:t>) will make a change to the plan, triggering an all worker review requiring another certification record.</w:t>
      </w:r>
    </w:p>
    <w:p w:rsidRPr="00FE0A3E" w:rsidR="00FE0A3E" w:rsidP="00FE0A3E" w:rsidRDefault="00FE0A3E" w14:paraId="188CB0BB" w14:textId="77777777">
      <w:pPr>
        <w:rPr>
          <w:rFonts w:eastAsia="Calibri"/>
          <w:sz w:val="24"/>
          <w:szCs w:val="24"/>
        </w:rPr>
      </w:pPr>
    </w:p>
    <w:p w:rsidRPr="00FE0A3E" w:rsidR="00FE0A3E" w:rsidP="00B42088" w:rsidRDefault="00FE0A3E" w14:paraId="6864B6FD" w14:textId="77777777">
      <w:pPr>
        <w:ind w:left="288"/>
        <w:rPr>
          <w:rFonts w:eastAsia="Calibri"/>
          <w:sz w:val="24"/>
          <w:szCs w:val="24"/>
        </w:rPr>
      </w:pP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004C3496">
        <w:rPr>
          <w:rFonts w:eastAsia="Calibri"/>
          <w:sz w:val="24"/>
          <w:szCs w:val="24"/>
        </w:rPr>
        <w:t>253</w:t>
      </w:r>
      <w:r w:rsidRPr="00FE0A3E" w:rsidR="000276AB">
        <w:rPr>
          <w:rFonts w:eastAsia="Calibri"/>
          <w:sz w:val="24"/>
          <w:szCs w:val="24"/>
        </w:rPr>
        <w:t xml:space="preserve"> </w:t>
      </w:r>
      <w:r w:rsidRPr="00FE0A3E">
        <w:rPr>
          <w:rFonts w:eastAsia="Calibri"/>
          <w:sz w:val="24"/>
          <w:szCs w:val="24"/>
        </w:rPr>
        <w:t xml:space="preserve">employers x </w:t>
      </w:r>
      <w:r w:rsidR="00A509CD">
        <w:rPr>
          <w:rFonts w:eastAsia="Calibri"/>
          <w:sz w:val="24"/>
          <w:szCs w:val="24"/>
        </w:rPr>
        <w:t>3/60</w:t>
      </w:r>
      <w:r w:rsidRPr="00FE0A3E">
        <w:rPr>
          <w:rFonts w:eastAsia="Calibri"/>
          <w:sz w:val="24"/>
          <w:szCs w:val="24"/>
        </w:rPr>
        <w:t xml:space="preserve"> hour = </w:t>
      </w:r>
      <w:r w:rsidR="00CE6742">
        <w:rPr>
          <w:rFonts w:eastAsia="Calibri"/>
          <w:sz w:val="24"/>
          <w:szCs w:val="24"/>
        </w:rPr>
        <w:t>12.65</w:t>
      </w:r>
      <w:r w:rsidRPr="00FE0A3E">
        <w:rPr>
          <w:rFonts w:eastAsia="Calibri"/>
          <w:sz w:val="24"/>
          <w:szCs w:val="24"/>
        </w:rPr>
        <w:t xml:space="preserve"> hours (to certify with all workers after the plan has been updated)</w:t>
      </w:r>
    </w:p>
    <w:p w:rsidRPr="00FE0A3E" w:rsidR="00FE0A3E" w:rsidP="00FE0A3E" w:rsidRDefault="00FE0A3E" w14:paraId="7ACCF35F" w14:textId="77777777">
      <w:pPr>
        <w:rPr>
          <w:rFonts w:eastAsia="Calibri"/>
          <w:sz w:val="24"/>
          <w:szCs w:val="24"/>
        </w:rPr>
      </w:pPr>
    </w:p>
    <w:p w:rsidRPr="00FE0A3E" w:rsidR="00FE0A3E" w:rsidP="00FE0A3E" w:rsidRDefault="00CE6742" w14:paraId="23A18DFB" w14:textId="77777777">
      <w:pPr>
        <w:ind w:left="2880"/>
        <w:rPr>
          <w:rFonts w:eastAsia="Calibri"/>
          <w:sz w:val="24"/>
          <w:szCs w:val="24"/>
        </w:rPr>
      </w:pPr>
      <w:r>
        <w:rPr>
          <w:rFonts w:eastAsia="Calibri"/>
          <w:sz w:val="24"/>
          <w:szCs w:val="24"/>
        </w:rPr>
        <w:t>24,991</w:t>
      </w:r>
      <w:r w:rsidRPr="00FE0A3E" w:rsidR="00FE0A3E">
        <w:rPr>
          <w:rFonts w:eastAsia="Calibri"/>
          <w:sz w:val="24"/>
          <w:szCs w:val="24"/>
        </w:rPr>
        <w:t xml:space="preserve"> workers x </w:t>
      </w:r>
      <w:r w:rsidR="00A509CD">
        <w:rPr>
          <w:rFonts w:eastAsia="Calibri"/>
          <w:sz w:val="24"/>
          <w:szCs w:val="24"/>
        </w:rPr>
        <w:t>3/60</w:t>
      </w:r>
      <w:r w:rsidRPr="00FE0A3E" w:rsidR="00FE0A3E">
        <w:rPr>
          <w:rFonts w:eastAsia="Calibri"/>
          <w:sz w:val="24"/>
          <w:szCs w:val="24"/>
        </w:rPr>
        <w:t xml:space="preserve"> hour = </w:t>
      </w:r>
      <w:r>
        <w:rPr>
          <w:rFonts w:eastAsia="Calibri"/>
          <w:sz w:val="24"/>
          <w:szCs w:val="24"/>
        </w:rPr>
        <w:t>1,249.55</w:t>
      </w:r>
      <w:r w:rsidRPr="00FE0A3E" w:rsidR="0052474D">
        <w:rPr>
          <w:rFonts w:eastAsia="Calibri"/>
          <w:sz w:val="24"/>
          <w:szCs w:val="24"/>
        </w:rPr>
        <w:t xml:space="preserve"> </w:t>
      </w:r>
      <w:r w:rsidRPr="00FE0A3E" w:rsidR="00FE0A3E">
        <w:rPr>
          <w:rFonts w:eastAsia="Calibri"/>
          <w:sz w:val="24"/>
          <w:szCs w:val="24"/>
        </w:rPr>
        <w:t>hours (individual reviews with new/turnover workers)</w:t>
      </w:r>
    </w:p>
    <w:p w:rsidRPr="00FE0A3E" w:rsidR="00FE0A3E" w:rsidP="00FE0A3E" w:rsidRDefault="00FE0A3E" w14:paraId="07D0A370" w14:textId="77777777">
      <w:pPr>
        <w:rPr>
          <w:rFonts w:eastAsia="Calibri"/>
          <w:sz w:val="24"/>
          <w:szCs w:val="24"/>
        </w:rPr>
      </w:pPr>
    </w:p>
    <w:p w:rsidRPr="00FE0A3E" w:rsidR="00FE0A3E" w:rsidP="00FE0A3E" w:rsidRDefault="00FE0A3E" w14:paraId="6A1ABD93" w14:textId="77777777">
      <w:pPr>
        <w:rPr>
          <w:rFonts w:eastAsia="Calibri"/>
          <w:sz w:val="24"/>
          <w:szCs w:val="24"/>
        </w:rPr>
      </w:pPr>
      <w:r w:rsidRPr="00FE0A3E">
        <w:rPr>
          <w:rFonts w:eastAsia="Calibri"/>
          <w:sz w:val="24"/>
          <w:szCs w:val="24"/>
        </w:rPr>
        <w:lastRenderedPageBreak/>
        <w:tab/>
      </w:r>
      <w:r w:rsidRPr="00FE0A3E">
        <w:rPr>
          <w:rFonts w:eastAsia="Calibri"/>
          <w:sz w:val="24"/>
          <w:szCs w:val="24"/>
        </w:rPr>
        <w:tab/>
      </w:r>
      <w:r w:rsidRPr="00FE0A3E">
        <w:rPr>
          <w:rFonts w:eastAsia="Calibri"/>
          <w:sz w:val="24"/>
          <w:szCs w:val="24"/>
        </w:rPr>
        <w:tab/>
      </w:r>
      <w:r w:rsidRPr="00FE0A3E">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CE6742">
        <w:rPr>
          <w:rFonts w:eastAsia="Calibri"/>
          <w:sz w:val="24"/>
          <w:szCs w:val="24"/>
        </w:rPr>
        <w:t>10</w:t>
      </w:r>
      <w:r w:rsidRPr="00FE0A3E">
        <w:rPr>
          <w:rFonts w:eastAsia="Calibri"/>
          <w:sz w:val="24"/>
          <w:szCs w:val="24"/>
        </w:rPr>
        <w:t xml:space="preserve"> employers x </w:t>
      </w:r>
      <w:r w:rsidR="00A509CD">
        <w:rPr>
          <w:rFonts w:eastAsia="Calibri"/>
          <w:sz w:val="24"/>
          <w:szCs w:val="24"/>
        </w:rPr>
        <w:t>3/60</w:t>
      </w:r>
      <w:r w:rsidRPr="00FE0A3E">
        <w:rPr>
          <w:rFonts w:eastAsia="Calibri"/>
          <w:sz w:val="24"/>
          <w:szCs w:val="24"/>
        </w:rPr>
        <w:t xml:space="preserve"> hour = </w:t>
      </w:r>
      <w:r w:rsidR="00CE6742">
        <w:rPr>
          <w:rFonts w:eastAsia="Calibri"/>
          <w:sz w:val="24"/>
          <w:szCs w:val="24"/>
        </w:rPr>
        <w:t>0.5</w:t>
      </w:r>
      <w:r w:rsidRPr="00FE0A3E">
        <w:rPr>
          <w:rFonts w:eastAsia="Calibri"/>
          <w:sz w:val="24"/>
          <w:szCs w:val="24"/>
        </w:rPr>
        <w:t xml:space="preserve"> hour (for changes to the plan)</w:t>
      </w:r>
    </w:p>
    <w:p w:rsidRPr="00FE0A3E" w:rsidR="00FE0A3E" w:rsidP="00FE0A3E" w:rsidRDefault="00FE0A3E" w14:paraId="1EE7B1F5" w14:textId="77777777">
      <w:pPr>
        <w:rPr>
          <w:rFonts w:eastAsia="Calibri"/>
          <w:sz w:val="24"/>
          <w:szCs w:val="24"/>
        </w:rPr>
      </w:pPr>
    </w:p>
    <w:p w:rsidRPr="00FE0A3E" w:rsidR="00FE0A3E" w:rsidP="00FE0A3E" w:rsidRDefault="00FE0A3E" w14:paraId="39A2B9A7"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00AA1A0D">
        <w:rPr>
          <w:rFonts w:eastAsia="Calibri"/>
          <w:sz w:val="24"/>
          <w:szCs w:val="24"/>
        </w:rPr>
        <w:tab/>
      </w:r>
      <w:r w:rsidR="00CE6742">
        <w:rPr>
          <w:rFonts w:eastAsia="Calibri"/>
          <w:sz w:val="24"/>
          <w:szCs w:val="24"/>
        </w:rPr>
        <w:t>1,262.7</w:t>
      </w:r>
      <w:r w:rsidRPr="00FE0A3E" w:rsidR="0052474D">
        <w:rPr>
          <w:rFonts w:eastAsia="Calibri"/>
          <w:sz w:val="24"/>
          <w:szCs w:val="24"/>
        </w:rPr>
        <w:t xml:space="preserve"> </w:t>
      </w:r>
      <w:r w:rsidRPr="00FE0A3E">
        <w:rPr>
          <w:rFonts w:eastAsia="Calibri"/>
          <w:sz w:val="24"/>
          <w:szCs w:val="24"/>
        </w:rPr>
        <w:t>burden hours x $</w:t>
      </w:r>
      <w:r w:rsidR="00FF6C51">
        <w:rPr>
          <w:rFonts w:eastAsia="Calibri"/>
          <w:sz w:val="24"/>
          <w:szCs w:val="24"/>
        </w:rPr>
        <w:t>49.07</w:t>
      </w:r>
      <w:r w:rsidRPr="00FE0A3E">
        <w:rPr>
          <w:rFonts w:eastAsia="Calibri"/>
          <w:sz w:val="24"/>
          <w:szCs w:val="24"/>
        </w:rPr>
        <w:t xml:space="preserve"> = $</w:t>
      </w:r>
      <w:r w:rsidR="00CE6742">
        <w:rPr>
          <w:rFonts w:eastAsia="Calibri"/>
          <w:sz w:val="24"/>
          <w:szCs w:val="24"/>
        </w:rPr>
        <w:t>61,960.69</w:t>
      </w:r>
    </w:p>
    <w:p w:rsidRPr="00FE0A3E" w:rsidR="00FE0A3E" w:rsidP="00FE0A3E" w:rsidRDefault="00FE0A3E" w14:paraId="32B9179B" w14:textId="77777777">
      <w:pPr>
        <w:rPr>
          <w:rFonts w:eastAsia="Calibri"/>
          <w:sz w:val="24"/>
          <w:szCs w:val="24"/>
        </w:rPr>
      </w:pPr>
    </w:p>
    <w:p w:rsidRPr="00FE0A3E" w:rsidR="00FE0A3E" w:rsidP="00FE0A3E" w:rsidRDefault="00FE0A3E" w14:paraId="01CB6A48" w14:textId="77777777">
      <w:pPr>
        <w:rPr>
          <w:rFonts w:eastAsia="Calibri"/>
          <w:sz w:val="24"/>
          <w:szCs w:val="24"/>
        </w:rPr>
      </w:pPr>
      <w:r w:rsidRPr="00FE0A3E">
        <w:rPr>
          <w:rFonts w:eastAsia="Calibri"/>
          <w:sz w:val="24"/>
          <w:szCs w:val="24"/>
        </w:rPr>
        <w:t xml:space="preserve">The burden for (d)(2), the annual review and updating of the plan, is shown as the second and subsequent year burden under </w:t>
      </w:r>
      <w:r w:rsidR="00325B23">
        <w:rPr>
          <w:rFonts w:eastAsia="Calibri"/>
          <w:sz w:val="24"/>
          <w:szCs w:val="24"/>
        </w:rPr>
        <w:t>1915</w:t>
      </w:r>
      <w:r w:rsidRPr="00FE0A3E">
        <w:rPr>
          <w:rFonts w:eastAsia="Calibri"/>
          <w:sz w:val="24"/>
          <w:szCs w:val="24"/>
        </w:rPr>
        <w:t>.502(a) above.</w:t>
      </w:r>
    </w:p>
    <w:p w:rsidRPr="00FE0A3E" w:rsidR="00FE0A3E" w:rsidP="00FE0A3E" w:rsidRDefault="00FE0A3E" w14:paraId="73B8FEE1" w14:textId="77777777">
      <w:pPr>
        <w:rPr>
          <w:rFonts w:eastAsia="Calibri"/>
          <w:sz w:val="24"/>
          <w:szCs w:val="24"/>
        </w:rPr>
      </w:pPr>
    </w:p>
    <w:p w:rsidRPr="00FE0A3E" w:rsidR="00FE0A3E" w:rsidP="00FE0A3E" w:rsidRDefault="00FE0A3E" w14:paraId="1B16FCD2" w14:textId="77777777">
      <w:pPr>
        <w:rPr>
          <w:rFonts w:eastAsia="Calibri"/>
          <w:sz w:val="24"/>
          <w:szCs w:val="24"/>
        </w:rPr>
      </w:pPr>
      <w:r w:rsidRPr="00FE0A3E">
        <w:rPr>
          <w:rFonts w:eastAsia="Calibri"/>
          <w:sz w:val="24"/>
          <w:szCs w:val="24"/>
        </w:rPr>
        <w:t>Paragraph (d)(4) requires employers to give the fire safety plan to the outside fire response organizations that may be expected to respond to fires at the employer’s worksite.  OSHA estimates it will take 10 minutes (</w:t>
      </w:r>
      <w:r w:rsidR="00325B23">
        <w:rPr>
          <w:rFonts w:eastAsia="Calibri"/>
          <w:sz w:val="24"/>
          <w:szCs w:val="24"/>
        </w:rPr>
        <w:t>10/60</w:t>
      </w:r>
      <w:r w:rsidRPr="00FE0A3E">
        <w:rPr>
          <w:rFonts w:eastAsia="Calibri"/>
          <w:sz w:val="24"/>
          <w:szCs w:val="24"/>
        </w:rPr>
        <w:t>) for each employer to provide the document to the outside fire response organizations.  This will be an on-going activity.</w:t>
      </w:r>
    </w:p>
    <w:p w:rsidRPr="00FE0A3E" w:rsidR="00FE0A3E" w:rsidP="00FE0A3E" w:rsidRDefault="00FE0A3E" w14:paraId="5BEDD13D" w14:textId="77777777">
      <w:pPr>
        <w:rPr>
          <w:rFonts w:eastAsia="Calibri"/>
          <w:sz w:val="24"/>
          <w:szCs w:val="24"/>
        </w:rPr>
      </w:pPr>
    </w:p>
    <w:p w:rsidRPr="00FE0A3E" w:rsidR="00FE0A3E" w:rsidP="00FE0A3E" w:rsidRDefault="00FE0A3E" w14:paraId="4D80FFE7"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 xml:space="preserve">:  </w:t>
      </w:r>
      <w:r w:rsidRPr="00FE0A3E">
        <w:rPr>
          <w:rFonts w:eastAsia="Calibri"/>
          <w:sz w:val="24"/>
          <w:szCs w:val="24"/>
        </w:rPr>
        <w:tab/>
      </w:r>
      <w:r w:rsidR="004C3496">
        <w:rPr>
          <w:rFonts w:eastAsia="Calibri"/>
          <w:sz w:val="24"/>
          <w:szCs w:val="24"/>
        </w:rPr>
        <w:t>253</w:t>
      </w:r>
      <w:r w:rsidRPr="00FE0A3E" w:rsidR="000276AB">
        <w:rPr>
          <w:rFonts w:eastAsia="Calibri"/>
          <w:sz w:val="24"/>
          <w:szCs w:val="24"/>
        </w:rPr>
        <w:t xml:space="preserve"> </w:t>
      </w:r>
      <w:r w:rsidRPr="00FE0A3E">
        <w:rPr>
          <w:rFonts w:eastAsia="Calibri"/>
          <w:sz w:val="24"/>
          <w:szCs w:val="24"/>
        </w:rPr>
        <w:t xml:space="preserve">employers x </w:t>
      </w:r>
      <w:r w:rsidR="00325B23">
        <w:rPr>
          <w:rFonts w:eastAsia="Calibri"/>
          <w:sz w:val="24"/>
          <w:szCs w:val="24"/>
        </w:rPr>
        <w:t>10/60</w:t>
      </w:r>
      <w:r w:rsidRPr="00FE0A3E">
        <w:rPr>
          <w:rFonts w:eastAsia="Calibri"/>
          <w:sz w:val="24"/>
          <w:szCs w:val="24"/>
        </w:rPr>
        <w:t xml:space="preserve"> hour = </w:t>
      </w:r>
      <w:r w:rsidR="00CE6742">
        <w:rPr>
          <w:rFonts w:eastAsia="Calibri"/>
          <w:sz w:val="24"/>
          <w:szCs w:val="24"/>
        </w:rPr>
        <w:t>42.17</w:t>
      </w:r>
      <w:r w:rsidRPr="00FE0A3E">
        <w:rPr>
          <w:rFonts w:eastAsia="Calibri"/>
          <w:sz w:val="24"/>
          <w:szCs w:val="24"/>
        </w:rPr>
        <w:t xml:space="preserve"> hours</w:t>
      </w:r>
    </w:p>
    <w:p w:rsidRPr="00FE0A3E" w:rsidR="00FE0A3E" w:rsidP="00FE0A3E" w:rsidRDefault="00FE0A3E" w14:paraId="68E62C96" w14:textId="77777777">
      <w:pPr>
        <w:rPr>
          <w:rFonts w:eastAsia="Calibri"/>
          <w:sz w:val="24"/>
          <w:szCs w:val="24"/>
        </w:rPr>
      </w:pPr>
    </w:p>
    <w:p w:rsidRPr="00FE0A3E" w:rsidR="00FE0A3E" w:rsidP="00FE0A3E" w:rsidRDefault="00FE0A3E" w14:paraId="6149775E"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CE6742">
        <w:rPr>
          <w:rFonts w:eastAsia="Calibri"/>
          <w:sz w:val="24"/>
          <w:szCs w:val="24"/>
        </w:rPr>
        <w:t>42.17</w:t>
      </w:r>
      <w:r w:rsidRPr="00FE0A3E">
        <w:rPr>
          <w:rFonts w:eastAsia="Calibri"/>
          <w:sz w:val="24"/>
          <w:szCs w:val="24"/>
        </w:rPr>
        <w:t xml:space="preserve"> burden hours x $</w:t>
      </w:r>
      <w:r w:rsidR="00FF6C51">
        <w:rPr>
          <w:rFonts w:eastAsia="Calibri"/>
          <w:sz w:val="24"/>
          <w:szCs w:val="24"/>
        </w:rPr>
        <w:t>49.07</w:t>
      </w:r>
      <w:r w:rsidRPr="00FE0A3E">
        <w:rPr>
          <w:rFonts w:eastAsia="Calibri"/>
          <w:sz w:val="24"/>
          <w:szCs w:val="24"/>
        </w:rPr>
        <w:t xml:space="preserve"> = $</w:t>
      </w:r>
      <w:r w:rsidR="00CE6742">
        <w:rPr>
          <w:rFonts w:eastAsia="Calibri"/>
          <w:sz w:val="24"/>
          <w:szCs w:val="24"/>
        </w:rPr>
        <w:t>2,069.28</w:t>
      </w:r>
    </w:p>
    <w:p w:rsidRPr="00FE0A3E" w:rsidR="00FE0A3E" w:rsidP="00FE0A3E" w:rsidRDefault="00FE0A3E" w14:paraId="5A753B2C" w14:textId="77777777">
      <w:pPr>
        <w:rPr>
          <w:rFonts w:eastAsia="Calibri"/>
          <w:sz w:val="24"/>
          <w:szCs w:val="24"/>
        </w:rPr>
      </w:pPr>
    </w:p>
    <w:p w:rsidRPr="00FE0A3E" w:rsidR="00FE0A3E" w:rsidP="00FE0A3E" w:rsidRDefault="00FE0A3E" w14:paraId="5E6BE1A5" w14:textId="77777777">
      <w:pPr>
        <w:rPr>
          <w:rFonts w:eastAsia="Calibri"/>
          <w:sz w:val="24"/>
          <w:szCs w:val="24"/>
        </w:rPr>
      </w:pPr>
      <w:r w:rsidRPr="00FE0A3E">
        <w:rPr>
          <w:rFonts w:eastAsia="Calibri"/>
          <w:sz w:val="24"/>
          <w:szCs w:val="24"/>
        </w:rPr>
        <w:t>A supervisor would perform the activity required by paragraph (d).</w:t>
      </w:r>
    </w:p>
    <w:p w:rsidRPr="00FE0A3E" w:rsidR="00FE0A3E" w:rsidP="00FE0A3E" w:rsidRDefault="00FE0A3E" w14:paraId="6BBC6EE6" w14:textId="77777777">
      <w:pPr>
        <w:rPr>
          <w:rFonts w:eastAsia="Calibri"/>
          <w:sz w:val="24"/>
          <w:szCs w:val="24"/>
        </w:rPr>
      </w:pPr>
    </w:p>
    <w:p w:rsidRPr="00FE0A3E" w:rsidR="00FE0A3E" w:rsidP="00FE0A3E" w:rsidRDefault="00FE0A3E" w14:paraId="36F76657" w14:textId="77777777">
      <w:pPr>
        <w:numPr>
          <w:ilvl w:val="0"/>
          <w:numId w:val="16"/>
        </w:numPr>
        <w:spacing w:after="200" w:line="276" w:lineRule="auto"/>
        <w:contextualSpacing/>
        <w:rPr>
          <w:rFonts w:eastAsia="Calibri"/>
          <w:b/>
          <w:sz w:val="24"/>
          <w:szCs w:val="24"/>
        </w:rPr>
      </w:pPr>
      <w:r w:rsidRPr="00FE0A3E">
        <w:rPr>
          <w:rFonts w:eastAsia="Calibri"/>
          <w:b/>
          <w:sz w:val="24"/>
          <w:szCs w:val="24"/>
        </w:rPr>
        <w:t>Section 1915.504 – Fire Watches</w:t>
      </w:r>
    </w:p>
    <w:p w:rsidRPr="00FE0A3E" w:rsidR="00FE0A3E" w:rsidP="00FE0A3E" w:rsidRDefault="00FE0A3E" w14:paraId="4C1DE9F4" w14:textId="77777777">
      <w:pPr>
        <w:rPr>
          <w:rFonts w:eastAsia="Calibri"/>
          <w:b/>
          <w:sz w:val="24"/>
          <w:szCs w:val="24"/>
        </w:rPr>
      </w:pPr>
    </w:p>
    <w:p w:rsidR="00FE0A3E" w:rsidP="00FE0A3E" w:rsidRDefault="00FE0A3E" w14:paraId="32A50105" w14:textId="77777777">
      <w:pPr>
        <w:rPr>
          <w:rFonts w:eastAsia="Calibri"/>
          <w:sz w:val="24"/>
          <w:szCs w:val="24"/>
        </w:rPr>
      </w:pPr>
      <w:r w:rsidRPr="00FE0A3E">
        <w:rPr>
          <w:rFonts w:eastAsia="Calibri"/>
          <w:sz w:val="24"/>
          <w:szCs w:val="24"/>
        </w:rPr>
        <w:t xml:space="preserve">Paragraph (a) requires the employer to prepare and keep current a written policy specifying the information listed in (a)(1)-(4).  OSHA estimates that it will take employers 4-12 hours to develop the policy, depending on the size of the </w:t>
      </w:r>
      <w:r w:rsidR="00A5715F">
        <w:rPr>
          <w:rFonts w:eastAsia="Calibri"/>
          <w:sz w:val="24"/>
          <w:szCs w:val="24"/>
        </w:rPr>
        <w:t>establishment</w:t>
      </w:r>
      <w:r w:rsidRPr="00FE0A3E">
        <w:rPr>
          <w:rFonts w:eastAsia="Calibri"/>
          <w:sz w:val="24"/>
          <w:szCs w:val="24"/>
        </w:rPr>
        <w:t xml:space="preserve">.  </w:t>
      </w:r>
      <w:r w:rsidR="00A5715F">
        <w:rPr>
          <w:rFonts w:eastAsia="Calibri"/>
          <w:sz w:val="24"/>
          <w:szCs w:val="24"/>
        </w:rPr>
        <w:t>Establishment</w:t>
      </w:r>
      <w:r w:rsidRPr="00FE0A3E">
        <w:rPr>
          <w:rFonts w:eastAsia="Calibri"/>
          <w:sz w:val="24"/>
          <w:szCs w:val="24"/>
        </w:rPr>
        <w:t>s with 1-99 workers (</w:t>
      </w:r>
      <w:r w:rsidR="004C3496">
        <w:rPr>
          <w:rFonts w:eastAsia="Calibri"/>
          <w:sz w:val="24"/>
          <w:szCs w:val="24"/>
        </w:rPr>
        <w:t>210</w:t>
      </w:r>
      <w:r w:rsidRPr="00FE0A3E">
        <w:rPr>
          <w:rFonts w:eastAsia="Calibri"/>
          <w:sz w:val="24"/>
          <w:szCs w:val="24"/>
        </w:rPr>
        <w:t xml:space="preserve">) will incur a burden of 4 hours the first year and 2 hours </w:t>
      </w:r>
      <w:r w:rsidRPr="00FE0A3E">
        <w:rPr>
          <w:rFonts w:eastAsia="Calibri"/>
          <w:sz w:val="24"/>
          <w:szCs w:val="24"/>
        </w:rPr>
        <w:lastRenderedPageBreak/>
        <w:t xml:space="preserve">the second and subsequent years.  </w:t>
      </w:r>
      <w:r w:rsidR="00A5715F">
        <w:rPr>
          <w:rFonts w:eastAsia="Calibri"/>
          <w:sz w:val="24"/>
          <w:szCs w:val="24"/>
        </w:rPr>
        <w:t>Establishment</w:t>
      </w:r>
      <w:r w:rsidRPr="00FE0A3E">
        <w:rPr>
          <w:rFonts w:eastAsia="Calibri"/>
          <w:sz w:val="24"/>
          <w:szCs w:val="24"/>
        </w:rPr>
        <w:t>s with 100-499 workers (</w:t>
      </w:r>
      <w:r w:rsidR="00A706BA">
        <w:rPr>
          <w:rFonts w:eastAsia="Calibri"/>
          <w:sz w:val="24"/>
          <w:szCs w:val="24"/>
        </w:rPr>
        <w:t>20</w:t>
      </w:r>
      <w:r w:rsidRPr="00FE0A3E">
        <w:rPr>
          <w:rFonts w:eastAsia="Calibri"/>
          <w:sz w:val="24"/>
          <w:szCs w:val="24"/>
        </w:rPr>
        <w:t xml:space="preserve">) will incur a burden of 6 hours the first year and 3 hours the second and subsequent years.  </w:t>
      </w:r>
      <w:r w:rsidR="00A5715F">
        <w:rPr>
          <w:rFonts w:eastAsia="Calibri"/>
          <w:sz w:val="24"/>
          <w:szCs w:val="24"/>
        </w:rPr>
        <w:t>Establishment</w:t>
      </w:r>
      <w:r w:rsidRPr="00FE0A3E">
        <w:rPr>
          <w:rFonts w:eastAsia="Calibri"/>
          <w:sz w:val="24"/>
          <w:szCs w:val="24"/>
        </w:rPr>
        <w:t>s with 500 or more workers (</w:t>
      </w:r>
      <w:r w:rsidR="004C3496">
        <w:rPr>
          <w:rFonts w:eastAsia="Calibri"/>
          <w:sz w:val="24"/>
          <w:szCs w:val="24"/>
        </w:rPr>
        <w:t>23</w:t>
      </w:r>
      <w:r w:rsidRPr="00FE0A3E">
        <w:rPr>
          <w:rFonts w:eastAsia="Calibri"/>
          <w:sz w:val="24"/>
          <w:szCs w:val="24"/>
        </w:rPr>
        <w:t xml:space="preserve">) will incur a burden of 12 hours the first year and 6 hours the second and subsequent years.  OSHA estimates there is a 10 percent turnover of </w:t>
      </w:r>
      <w:r w:rsidR="00A5715F">
        <w:rPr>
          <w:rFonts w:eastAsia="Calibri"/>
          <w:sz w:val="24"/>
          <w:szCs w:val="24"/>
        </w:rPr>
        <w:t>establishment</w:t>
      </w:r>
      <w:r w:rsidRPr="00FE0A3E">
        <w:rPr>
          <w:rFonts w:eastAsia="Calibri"/>
          <w:sz w:val="24"/>
          <w:szCs w:val="24"/>
        </w:rPr>
        <w:t xml:space="preserve">s.  A safety and health manager would develop </w:t>
      </w:r>
      <w:r w:rsidR="00F5644F">
        <w:rPr>
          <w:rFonts w:eastAsia="Calibri"/>
          <w:sz w:val="24"/>
          <w:szCs w:val="24"/>
        </w:rPr>
        <w:t>a</w:t>
      </w:r>
      <w:r w:rsidRPr="00FE0A3E" w:rsidR="00F5644F">
        <w:rPr>
          <w:rFonts w:eastAsia="Calibri"/>
          <w:sz w:val="24"/>
          <w:szCs w:val="24"/>
        </w:rPr>
        <w:t xml:space="preserve"> </w:t>
      </w:r>
      <w:r w:rsidRPr="00FE0A3E">
        <w:rPr>
          <w:rFonts w:eastAsia="Calibri"/>
          <w:sz w:val="24"/>
          <w:szCs w:val="24"/>
        </w:rPr>
        <w:t>written policy.</w:t>
      </w:r>
    </w:p>
    <w:p w:rsidR="00155F58" w:rsidP="00FE0A3E" w:rsidRDefault="00155F58" w14:paraId="7F24EC50" w14:textId="77777777">
      <w:pPr>
        <w:rPr>
          <w:rFonts w:eastAsia="Calibri"/>
          <w:sz w:val="24"/>
          <w:szCs w:val="24"/>
        </w:rPr>
      </w:pPr>
    </w:p>
    <w:p w:rsidR="00A509CD" w:rsidP="00A509CD" w:rsidRDefault="00A509CD" w14:paraId="468AAE8D" w14:textId="77777777">
      <w:pPr>
        <w:rPr>
          <w:rFonts w:eastAsia="Calibri"/>
          <w:sz w:val="24"/>
          <w:szCs w:val="24"/>
        </w:rPr>
      </w:pPr>
      <w:r w:rsidRPr="00B85A68">
        <w:rPr>
          <w:rFonts w:eastAsia="Calibri"/>
          <w:i/>
          <w:sz w:val="24"/>
          <w:szCs w:val="24"/>
        </w:rPr>
        <w:t>First Year</w:t>
      </w:r>
      <w:r>
        <w:rPr>
          <w:rFonts w:eastAsia="Calibri"/>
          <w:sz w:val="24"/>
          <w:szCs w:val="24"/>
        </w:rPr>
        <w:t xml:space="preserve">: </w:t>
      </w:r>
      <w:r w:rsidRPr="0025769A">
        <w:rPr>
          <w:rFonts w:eastAsia="Calibri"/>
          <w:sz w:val="24"/>
          <w:szCs w:val="24"/>
        </w:rPr>
        <w:t>(New Establishments)</w:t>
      </w:r>
    </w:p>
    <w:p w:rsidR="00A509CD" w:rsidP="00FE0A3E" w:rsidRDefault="00A509CD" w14:paraId="515729DE" w14:textId="77777777">
      <w:pPr>
        <w:rPr>
          <w:rFonts w:eastAsia="Calibri"/>
          <w:sz w:val="24"/>
          <w:szCs w:val="24"/>
        </w:rPr>
      </w:pPr>
    </w:p>
    <w:p w:rsidRPr="00155F58" w:rsidR="00155F58" w:rsidP="00155F58" w:rsidRDefault="00155F58" w14:paraId="17EE10E7" w14:textId="77777777">
      <w:pPr>
        <w:rPr>
          <w:rFonts w:eastAsia="Calibri"/>
          <w:sz w:val="24"/>
          <w:szCs w:val="24"/>
        </w:rPr>
      </w:pPr>
      <w:r w:rsidRPr="00B42088">
        <w:rPr>
          <w:rFonts w:eastAsia="Calibri"/>
          <w:b/>
          <w:sz w:val="24"/>
          <w:szCs w:val="24"/>
        </w:rPr>
        <w:t>Burden hours</w:t>
      </w:r>
      <w:r w:rsidRPr="00155F58">
        <w:rPr>
          <w:rFonts w:eastAsia="Calibri"/>
          <w:sz w:val="24"/>
          <w:szCs w:val="24"/>
        </w:rPr>
        <w:t>:</w:t>
      </w:r>
      <w:r w:rsidRPr="00155F58">
        <w:rPr>
          <w:rFonts w:eastAsia="Calibri"/>
          <w:sz w:val="24"/>
          <w:szCs w:val="24"/>
        </w:rPr>
        <w:tab/>
      </w:r>
      <w:r w:rsidRPr="00155F58">
        <w:rPr>
          <w:rFonts w:eastAsia="Calibri"/>
          <w:sz w:val="24"/>
          <w:szCs w:val="24"/>
        </w:rPr>
        <w:tab/>
      </w:r>
      <w:r w:rsidR="004C3496">
        <w:rPr>
          <w:rFonts w:eastAsia="Calibri"/>
          <w:sz w:val="24"/>
          <w:szCs w:val="24"/>
        </w:rPr>
        <w:t>210</w:t>
      </w:r>
      <w:r w:rsidRPr="00155F58">
        <w:rPr>
          <w:rFonts w:eastAsia="Calibri"/>
          <w:sz w:val="24"/>
          <w:szCs w:val="24"/>
        </w:rPr>
        <w:t xml:space="preserve"> employers x .10 turnover x 4 hours = </w:t>
      </w:r>
      <w:r w:rsidR="004C07F3">
        <w:rPr>
          <w:rFonts w:eastAsia="Calibri"/>
          <w:sz w:val="24"/>
          <w:szCs w:val="24"/>
        </w:rPr>
        <w:t>84</w:t>
      </w:r>
      <w:r w:rsidRPr="00155F58">
        <w:rPr>
          <w:rFonts w:eastAsia="Calibri"/>
          <w:sz w:val="24"/>
          <w:szCs w:val="24"/>
        </w:rPr>
        <w:t xml:space="preserve"> hours</w:t>
      </w:r>
    </w:p>
    <w:p w:rsidRPr="00155F58" w:rsidR="00155F58" w:rsidP="00155F58" w:rsidRDefault="00155F58" w14:paraId="230B2CEF" w14:textId="77777777">
      <w:pPr>
        <w:rPr>
          <w:rFonts w:eastAsia="Calibri"/>
          <w:sz w:val="24"/>
          <w:szCs w:val="24"/>
        </w:rPr>
      </w:pPr>
      <w:r w:rsidRPr="00155F58">
        <w:rPr>
          <w:rFonts w:eastAsia="Calibri"/>
          <w:sz w:val="24"/>
          <w:szCs w:val="24"/>
        </w:rPr>
        <w:tab/>
        <w:t xml:space="preserve">   </w:t>
      </w:r>
      <w:r w:rsidRPr="00155F58">
        <w:rPr>
          <w:rFonts w:eastAsia="Calibri"/>
          <w:sz w:val="24"/>
          <w:szCs w:val="24"/>
        </w:rPr>
        <w:tab/>
      </w:r>
      <w:r w:rsidRPr="00155F58">
        <w:rPr>
          <w:rFonts w:eastAsia="Calibri"/>
          <w:sz w:val="24"/>
          <w:szCs w:val="24"/>
        </w:rPr>
        <w:tab/>
      </w:r>
      <w:r w:rsidR="00865DF3">
        <w:rPr>
          <w:rFonts w:eastAsia="Calibri"/>
          <w:sz w:val="24"/>
          <w:szCs w:val="24"/>
        </w:rPr>
        <w:tab/>
      </w:r>
      <w:r w:rsidR="00865DF3">
        <w:rPr>
          <w:rFonts w:eastAsia="Calibri"/>
          <w:sz w:val="24"/>
          <w:szCs w:val="24"/>
        </w:rPr>
        <w:tab/>
      </w:r>
      <w:r w:rsidR="00865DF3">
        <w:rPr>
          <w:rFonts w:eastAsia="Calibri"/>
          <w:sz w:val="24"/>
          <w:szCs w:val="24"/>
        </w:rPr>
        <w:tab/>
      </w:r>
      <w:r w:rsidR="00865DF3">
        <w:rPr>
          <w:rFonts w:eastAsia="Calibri"/>
          <w:sz w:val="24"/>
          <w:szCs w:val="24"/>
        </w:rPr>
        <w:tab/>
      </w:r>
      <w:r w:rsidR="00A706BA">
        <w:rPr>
          <w:rFonts w:eastAsia="Calibri"/>
          <w:sz w:val="24"/>
          <w:szCs w:val="24"/>
        </w:rPr>
        <w:t>20</w:t>
      </w:r>
      <w:r w:rsidRPr="00155F58">
        <w:rPr>
          <w:rFonts w:eastAsia="Calibri"/>
          <w:sz w:val="24"/>
          <w:szCs w:val="24"/>
        </w:rPr>
        <w:t xml:space="preserve"> employers x .10 turnover x 6 hours = </w:t>
      </w:r>
      <w:r w:rsidR="00C4411C">
        <w:rPr>
          <w:rFonts w:eastAsia="Calibri"/>
          <w:sz w:val="24"/>
          <w:szCs w:val="24"/>
        </w:rPr>
        <w:t>12</w:t>
      </w:r>
      <w:r w:rsidRPr="00155F58">
        <w:rPr>
          <w:rFonts w:eastAsia="Calibri"/>
          <w:sz w:val="24"/>
          <w:szCs w:val="24"/>
        </w:rPr>
        <w:t xml:space="preserve"> hours</w:t>
      </w:r>
    </w:p>
    <w:p w:rsidR="00155F58" w:rsidP="00155F58" w:rsidRDefault="00155F58" w14:paraId="7EC79D72" w14:textId="77777777">
      <w:pPr>
        <w:rPr>
          <w:rFonts w:eastAsia="Calibri"/>
          <w:sz w:val="24"/>
          <w:szCs w:val="24"/>
        </w:rPr>
      </w:pPr>
      <w:r w:rsidRPr="00155F58">
        <w:rPr>
          <w:rFonts w:eastAsia="Calibri"/>
          <w:sz w:val="24"/>
          <w:szCs w:val="24"/>
        </w:rPr>
        <w:tab/>
      </w:r>
      <w:r w:rsidRPr="00155F58">
        <w:rPr>
          <w:rFonts w:eastAsia="Calibri"/>
          <w:sz w:val="24"/>
          <w:szCs w:val="24"/>
        </w:rPr>
        <w:tab/>
      </w:r>
      <w:r w:rsidRPr="00155F58">
        <w:rPr>
          <w:rFonts w:eastAsia="Calibri"/>
          <w:sz w:val="24"/>
          <w:szCs w:val="24"/>
        </w:rPr>
        <w:tab/>
      </w:r>
      <w:r w:rsidRPr="00155F58">
        <w:rPr>
          <w:rFonts w:eastAsia="Calibri"/>
          <w:sz w:val="24"/>
          <w:szCs w:val="24"/>
        </w:rPr>
        <w:tab/>
      </w:r>
      <w:r w:rsidRPr="00155F58">
        <w:rPr>
          <w:rFonts w:eastAsia="Calibri"/>
          <w:sz w:val="24"/>
          <w:szCs w:val="24"/>
        </w:rPr>
        <w:tab/>
      </w:r>
      <w:r w:rsidRPr="00155F58">
        <w:rPr>
          <w:rFonts w:eastAsia="Calibri"/>
          <w:sz w:val="24"/>
          <w:szCs w:val="24"/>
        </w:rPr>
        <w:tab/>
      </w:r>
      <w:r w:rsidRPr="00155F58">
        <w:rPr>
          <w:rFonts w:eastAsia="Calibri"/>
          <w:sz w:val="24"/>
          <w:szCs w:val="24"/>
        </w:rPr>
        <w:tab/>
      </w:r>
      <w:r w:rsidR="004C3496">
        <w:rPr>
          <w:rFonts w:eastAsia="Calibri"/>
          <w:sz w:val="24"/>
          <w:szCs w:val="24"/>
        </w:rPr>
        <w:t>23</w:t>
      </w:r>
      <w:r w:rsidRPr="00155F58">
        <w:rPr>
          <w:rFonts w:eastAsia="Calibri"/>
          <w:sz w:val="24"/>
          <w:szCs w:val="24"/>
        </w:rPr>
        <w:t xml:space="preserve"> employers x .10 turnover x 12 hours = </w:t>
      </w:r>
      <w:r w:rsidR="00C4411C">
        <w:rPr>
          <w:rFonts w:eastAsia="Calibri"/>
          <w:sz w:val="24"/>
          <w:szCs w:val="24"/>
        </w:rPr>
        <w:t>27.6</w:t>
      </w:r>
      <w:r w:rsidRPr="00155F58">
        <w:rPr>
          <w:rFonts w:eastAsia="Calibri"/>
          <w:sz w:val="24"/>
          <w:szCs w:val="24"/>
        </w:rPr>
        <w:t xml:space="preserve"> hours</w:t>
      </w:r>
    </w:p>
    <w:p w:rsidR="00BC534C" w:rsidP="00155F58" w:rsidRDefault="00BC534C" w14:paraId="4AF00956" w14:textId="77777777">
      <w:pPr>
        <w:rPr>
          <w:rFonts w:eastAsia="Calibri"/>
          <w:sz w:val="24"/>
          <w:szCs w:val="24"/>
        </w:rPr>
      </w:pPr>
    </w:p>
    <w:p w:rsidRPr="00FE0A3E" w:rsidR="00BC534C" w:rsidP="00155F58" w:rsidRDefault="00BC534C" w14:paraId="75A309DF" w14:textId="77777777">
      <w:pPr>
        <w:rPr>
          <w:rFonts w:eastAsia="Calibri"/>
          <w:sz w:val="24"/>
          <w:szCs w:val="24"/>
        </w:rPr>
      </w:pPr>
      <w:r w:rsidRPr="00C47BB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Pr>
          <w:rFonts w:eastAsia="Calibri"/>
          <w:sz w:val="24"/>
          <w:szCs w:val="24"/>
        </w:rPr>
        <w:t>123.6</w:t>
      </w:r>
      <w:r w:rsidRPr="00FE0A3E">
        <w:rPr>
          <w:rFonts w:eastAsia="Calibri"/>
          <w:sz w:val="24"/>
          <w:szCs w:val="24"/>
        </w:rPr>
        <w:t xml:space="preserve"> burden hours x $</w:t>
      </w:r>
      <w:r>
        <w:rPr>
          <w:rFonts w:eastAsia="Calibri"/>
          <w:sz w:val="24"/>
          <w:szCs w:val="24"/>
        </w:rPr>
        <w:t>56.33</w:t>
      </w:r>
      <w:r w:rsidRPr="00FE0A3E">
        <w:rPr>
          <w:rFonts w:eastAsia="Calibri"/>
          <w:sz w:val="24"/>
          <w:szCs w:val="24"/>
        </w:rPr>
        <w:t xml:space="preserve"> = $</w:t>
      </w:r>
      <w:r>
        <w:rPr>
          <w:rFonts w:eastAsia="Calibri"/>
          <w:sz w:val="24"/>
          <w:szCs w:val="24"/>
        </w:rPr>
        <w:t>6,962.39</w:t>
      </w:r>
    </w:p>
    <w:p w:rsidR="00A509CD" w:rsidP="00A509CD" w:rsidRDefault="00A509CD" w14:paraId="0ABEA3DB" w14:textId="77777777">
      <w:pPr>
        <w:rPr>
          <w:rFonts w:eastAsia="Calibri"/>
          <w:i/>
          <w:sz w:val="24"/>
          <w:szCs w:val="24"/>
        </w:rPr>
      </w:pPr>
    </w:p>
    <w:p w:rsidR="00A509CD" w:rsidP="00A509CD" w:rsidRDefault="00A509CD" w14:paraId="4EA0B524" w14:textId="77777777">
      <w:pPr>
        <w:rPr>
          <w:rFonts w:eastAsia="Calibri"/>
          <w:sz w:val="24"/>
          <w:szCs w:val="24"/>
        </w:rPr>
      </w:pPr>
      <w:r w:rsidRPr="00B85A68">
        <w:rPr>
          <w:rFonts w:eastAsia="Calibri"/>
          <w:i/>
          <w:sz w:val="24"/>
          <w:szCs w:val="24"/>
        </w:rPr>
        <w:t>Subsequent Years</w:t>
      </w:r>
      <w:r>
        <w:rPr>
          <w:rFonts w:eastAsia="Calibri"/>
          <w:sz w:val="24"/>
          <w:szCs w:val="24"/>
        </w:rPr>
        <w:t xml:space="preserve">: </w:t>
      </w:r>
      <w:r w:rsidRPr="00FE0A3E">
        <w:rPr>
          <w:rFonts w:eastAsia="Calibri"/>
          <w:sz w:val="24"/>
          <w:szCs w:val="24"/>
        </w:rPr>
        <w:t xml:space="preserve">(Existing </w:t>
      </w:r>
      <w:r>
        <w:rPr>
          <w:rFonts w:eastAsia="Calibri"/>
          <w:sz w:val="24"/>
          <w:szCs w:val="24"/>
        </w:rPr>
        <w:t>Establishment</w:t>
      </w:r>
      <w:r w:rsidRPr="00FE0A3E">
        <w:rPr>
          <w:rFonts w:eastAsia="Calibri"/>
          <w:sz w:val="24"/>
          <w:szCs w:val="24"/>
        </w:rPr>
        <w:t>s)</w:t>
      </w:r>
    </w:p>
    <w:p w:rsidRPr="00FE0A3E" w:rsidR="00FE0A3E" w:rsidP="00FE0A3E" w:rsidRDefault="00FE0A3E" w14:paraId="065202D8" w14:textId="77777777">
      <w:pPr>
        <w:rPr>
          <w:rFonts w:eastAsia="Calibri"/>
          <w:sz w:val="24"/>
          <w:szCs w:val="24"/>
        </w:rPr>
      </w:pPr>
    </w:p>
    <w:p w:rsidRPr="00FE0A3E" w:rsidR="00FE0A3E" w:rsidP="00FE0A3E" w:rsidRDefault="00FE0A3E" w14:paraId="1343C701" w14:textId="77777777">
      <w:pPr>
        <w:rPr>
          <w:rFonts w:eastAsia="Calibri"/>
          <w:sz w:val="24"/>
          <w:szCs w:val="24"/>
        </w:rPr>
      </w:pP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4C3496">
        <w:rPr>
          <w:rFonts w:eastAsia="Calibri"/>
          <w:sz w:val="24"/>
          <w:szCs w:val="24"/>
        </w:rPr>
        <w:t>210</w:t>
      </w:r>
      <w:r w:rsidRPr="00FE0A3E" w:rsidR="007F02A6">
        <w:rPr>
          <w:rFonts w:eastAsia="Calibri"/>
          <w:sz w:val="24"/>
          <w:szCs w:val="24"/>
        </w:rPr>
        <w:t xml:space="preserve"> </w:t>
      </w:r>
      <w:r w:rsidRPr="00FE0A3E">
        <w:rPr>
          <w:rFonts w:eastAsia="Calibri"/>
          <w:sz w:val="24"/>
          <w:szCs w:val="24"/>
        </w:rPr>
        <w:t xml:space="preserve">employers x .90 x 2 hours = </w:t>
      </w:r>
      <w:r w:rsidR="000A1EE0">
        <w:rPr>
          <w:rFonts w:eastAsia="Calibri"/>
          <w:sz w:val="24"/>
          <w:szCs w:val="24"/>
        </w:rPr>
        <w:t>378</w:t>
      </w:r>
      <w:r w:rsidRPr="00FE0A3E" w:rsidR="007F02A6">
        <w:rPr>
          <w:rFonts w:eastAsia="Calibri"/>
          <w:sz w:val="24"/>
          <w:szCs w:val="24"/>
        </w:rPr>
        <w:t xml:space="preserve"> </w:t>
      </w:r>
      <w:r w:rsidRPr="00FE0A3E">
        <w:rPr>
          <w:rFonts w:eastAsia="Calibri"/>
          <w:sz w:val="24"/>
          <w:szCs w:val="24"/>
        </w:rPr>
        <w:t>hours</w:t>
      </w:r>
    </w:p>
    <w:p w:rsidRPr="00FE0A3E" w:rsidR="00FE0A3E" w:rsidP="00FE0A3E" w:rsidRDefault="00FE0A3E" w14:paraId="2A361D20" w14:textId="77777777">
      <w:pPr>
        <w:rPr>
          <w:rFonts w:eastAsia="Calibri"/>
          <w:sz w:val="24"/>
          <w:szCs w:val="24"/>
        </w:rPr>
      </w:pPr>
      <w:r w:rsidRPr="00FE0A3E">
        <w:rPr>
          <w:rFonts w:eastAsia="Calibri"/>
          <w:sz w:val="24"/>
          <w:szCs w:val="24"/>
        </w:rPr>
        <w:tab/>
        <w:t xml:space="preserve">   </w:t>
      </w:r>
      <w:r w:rsidRPr="00FE0A3E">
        <w:rPr>
          <w:rFonts w:eastAsia="Calibri"/>
          <w:sz w:val="24"/>
          <w:szCs w:val="24"/>
        </w:rPr>
        <w:tab/>
      </w:r>
      <w:r w:rsidR="00865DF3">
        <w:rPr>
          <w:rFonts w:eastAsia="Calibri"/>
          <w:sz w:val="24"/>
          <w:szCs w:val="24"/>
        </w:rPr>
        <w:tab/>
      </w:r>
      <w:r w:rsidR="00865DF3">
        <w:rPr>
          <w:rFonts w:eastAsia="Calibri"/>
          <w:sz w:val="24"/>
          <w:szCs w:val="24"/>
        </w:rPr>
        <w:tab/>
      </w:r>
      <w:r w:rsidR="00865DF3">
        <w:rPr>
          <w:rFonts w:eastAsia="Calibri"/>
          <w:sz w:val="24"/>
          <w:szCs w:val="24"/>
        </w:rPr>
        <w:tab/>
      </w:r>
      <w:r w:rsidR="00865DF3">
        <w:rPr>
          <w:rFonts w:eastAsia="Calibri"/>
          <w:sz w:val="24"/>
          <w:szCs w:val="24"/>
        </w:rPr>
        <w:tab/>
      </w:r>
      <w:r w:rsidR="00865DF3">
        <w:rPr>
          <w:rFonts w:eastAsia="Calibri"/>
          <w:sz w:val="24"/>
          <w:szCs w:val="24"/>
        </w:rPr>
        <w:tab/>
      </w:r>
      <w:r w:rsidR="00A706BA">
        <w:rPr>
          <w:rFonts w:eastAsia="Calibri"/>
          <w:sz w:val="24"/>
          <w:szCs w:val="24"/>
        </w:rPr>
        <w:t>20</w:t>
      </w:r>
      <w:r w:rsidRPr="00FE0A3E" w:rsidR="007F02A6">
        <w:rPr>
          <w:rFonts w:eastAsia="Calibri"/>
          <w:sz w:val="24"/>
          <w:szCs w:val="24"/>
        </w:rPr>
        <w:t xml:space="preserve"> </w:t>
      </w:r>
      <w:r w:rsidRPr="00FE0A3E">
        <w:rPr>
          <w:rFonts w:eastAsia="Calibri"/>
          <w:sz w:val="24"/>
          <w:szCs w:val="24"/>
        </w:rPr>
        <w:t xml:space="preserve">employers x .90 x 3 hours = </w:t>
      </w:r>
      <w:r w:rsidR="000A1EE0">
        <w:rPr>
          <w:rFonts w:eastAsia="Calibri"/>
          <w:sz w:val="24"/>
          <w:szCs w:val="24"/>
        </w:rPr>
        <w:t>54</w:t>
      </w:r>
      <w:r w:rsidRPr="00FE0A3E" w:rsidR="007F02A6">
        <w:rPr>
          <w:rFonts w:eastAsia="Calibri"/>
          <w:sz w:val="24"/>
          <w:szCs w:val="24"/>
        </w:rPr>
        <w:t xml:space="preserve"> </w:t>
      </w:r>
      <w:r w:rsidRPr="00FE0A3E">
        <w:rPr>
          <w:rFonts w:eastAsia="Calibri"/>
          <w:sz w:val="24"/>
          <w:szCs w:val="24"/>
        </w:rPr>
        <w:t>hours</w:t>
      </w:r>
    </w:p>
    <w:p w:rsidRPr="00FE0A3E" w:rsidR="00FE0A3E" w:rsidP="00FE0A3E" w:rsidRDefault="00FE0A3E" w14:paraId="79080B18" w14:textId="77777777">
      <w:pPr>
        <w:rPr>
          <w:rFonts w:eastAsia="Calibri"/>
          <w:sz w:val="24"/>
          <w:szCs w:val="24"/>
        </w:rPr>
      </w:pPr>
      <w:r w:rsidRPr="00FE0A3E">
        <w:rPr>
          <w:rFonts w:eastAsia="Calibri"/>
          <w:sz w:val="24"/>
          <w:szCs w:val="24"/>
        </w:rPr>
        <w:tab/>
      </w:r>
      <w:r w:rsidRPr="00FE0A3E">
        <w:rPr>
          <w:rFonts w:eastAsia="Calibri"/>
          <w:sz w:val="24"/>
          <w:szCs w:val="24"/>
        </w:rPr>
        <w:tab/>
      </w:r>
      <w:r w:rsidRPr="00FE0A3E">
        <w:rPr>
          <w:rFonts w:eastAsia="Calibri"/>
          <w:sz w:val="24"/>
          <w:szCs w:val="24"/>
        </w:rPr>
        <w:tab/>
      </w:r>
      <w:r w:rsidRPr="00FE0A3E">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4C3496">
        <w:rPr>
          <w:rFonts w:eastAsia="Calibri"/>
          <w:sz w:val="24"/>
          <w:szCs w:val="24"/>
        </w:rPr>
        <w:t>23</w:t>
      </w:r>
      <w:r w:rsidRPr="00FE0A3E" w:rsidR="007F02A6">
        <w:rPr>
          <w:rFonts w:eastAsia="Calibri"/>
          <w:sz w:val="24"/>
          <w:szCs w:val="24"/>
        </w:rPr>
        <w:t xml:space="preserve"> </w:t>
      </w:r>
      <w:r w:rsidRPr="00FE0A3E">
        <w:rPr>
          <w:rFonts w:eastAsia="Calibri"/>
          <w:sz w:val="24"/>
          <w:szCs w:val="24"/>
        </w:rPr>
        <w:t xml:space="preserve">employers x .90 x 6 hours = </w:t>
      </w:r>
      <w:r w:rsidR="000A1EE0">
        <w:rPr>
          <w:rFonts w:eastAsia="Calibri"/>
          <w:sz w:val="24"/>
          <w:szCs w:val="24"/>
        </w:rPr>
        <w:t>124.2</w:t>
      </w:r>
      <w:r w:rsidRPr="00FE0A3E" w:rsidR="007F02A6">
        <w:rPr>
          <w:rFonts w:eastAsia="Calibri"/>
          <w:sz w:val="24"/>
          <w:szCs w:val="24"/>
        </w:rPr>
        <w:t xml:space="preserve"> </w:t>
      </w:r>
      <w:r w:rsidRPr="00FE0A3E">
        <w:rPr>
          <w:rFonts w:eastAsia="Calibri"/>
          <w:sz w:val="24"/>
          <w:szCs w:val="24"/>
        </w:rPr>
        <w:t>hours</w:t>
      </w:r>
    </w:p>
    <w:p w:rsidRPr="00FE0A3E" w:rsidR="00FE0A3E" w:rsidP="00FE0A3E" w:rsidRDefault="00FE0A3E" w14:paraId="449E99F2" w14:textId="77777777">
      <w:pPr>
        <w:rPr>
          <w:rFonts w:eastAsia="Calibri"/>
          <w:sz w:val="24"/>
          <w:szCs w:val="24"/>
        </w:rPr>
      </w:pPr>
    </w:p>
    <w:p w:rsidRPr="00FE0A3E" w:rsidR="00FE0A3E" w:rsidP="00FE0A3E" w:rsidRDefault="00FE0A3E" w14:paraId="1384A711" w14:textId="77777777">
      <w:pPr>
        <w:rPr>
          <w:rFonts w:eastAsia="Calibri"/>
          <w:sz w:val="24"/>
          <w:szCs w:val="24"/>
        </w:rPr>
      </w:pP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0A1EE0">
        <w:rPr>
          <w:rFonts w:eastAsia="Calibri"/>
          <w:sz w:val="24"/>
          <w:szCs w:val="24"/>
        </w:rPr>
        <w:t>556.2</w:t>
      </w:r>
      <w:r w:rsidRPr="00FE0A3E" w:rsidR="007F02A6">
        <w:rPr>
          <w:rFonts w:eastAsia="Calibri"/>
          <w:sz w:val="24"/>
          <w:szCs w:val="24"/>
        </w:rPr>
        <w:t xml:space="preserve"> </w:t>
      </w:r>
      <w:r w:rsidRPr="00FE0A3E">
        <w:rPr>
          <w:rFonts w:eastAsia="Calibri"/>
          <w:sz w:val="24"/>
          <w:szCs w:val="24"/>
        </w:rPr>
        <w:t>burden hours x $</w:t>
      </w:r>
      <w:r w:rsidR="00FF6C51">
        <w:rPr>
          <w:rFonts w:eastAsia="Calibri"/>
          <w:sz w:val="24"/>
          <w:szCs w:val="24"/>
        </w:rPr>
        <w:t>56.33</w:t>
      </w:r>
      <w:r w:rsidRPr="00FE0A3E">
        <w:rPr>
          <w:rFonts w:eastAsia="Calibri"/>
          <w:sz w:val="24"/>
          <w:szCs w:val="24"/>
        </w:rPr>
        <w:t xml:space="preserve"> = $</w:t>
      </w:r>
      <w:r w:rsidR="000A1EE0">
        <w:rPr>
          <w:rFonts w:eastAsia="Calibri"/>
          <w:sz w:val="24"/>
          <w:szCs w:val="24"/>
        </w:rPr>
        <w:t>31,330.75</w:t>
      </w:r>
    </w:p>
    <w:p w:rsidRPr="00FE0A3E" w:rsidR="00FE0A3E" w:rsidP="00FE0A3E" w:rsidRDefault="00FE0A3E" w14:paraId="6309FBF5" w14:textId="77777777">
      <w:pPr>
        <w:rPr>
          <w:rFonts w:eastAsia="Calibri"/>
          <w:sz w:val="24"/>
          <w:szCs w:val="24"/>
        </w:rPr>
      </w:pPr>
    </w:p>
    <w:p w:rsidRPr="00FE0A3E" w:rsidR="00FE0A3E" w:rsidP="00FE0A3E" w:rsidRDefault="00FE0A3E" w14:paraId="1113DC78" w14:textId="77777777">
      <w:pPr>
        <w:numPr>
          <w:ilvl w:val="0"/>
          <w:numId w:val="16"/>
        </w:numPr>
        <w:spacing w:after="200" w:line="276" w:lineRule="auto"/>
        <w:contextualSpacing/>
        <w:rPr>
          <w:rFonts w:eastAsia="Calibri"/>
          <w:b/>
          <w:sz w:val="24"/>
          <w:szCs w:val="24"/>
        </w:rPr>
      </w:pPr>
      <w:r w:rsidRPr="00FE0A3E">
        <w:rPr>
          <w:rFonts w:eastAsia="Calibri"/>
          <w:b/>
          <w:sz w:val="24"/>
          <w:szCs w:val="24"/>
        </w:rPr>
        <w:t>Section 1915.505 – Fire Response</w:t>
      </w:r>
    </w:p>
    <w:p w:rsidRPr="00FE0A3E" w:rsidR="00FE0A3E" w:rsidP="00FE0A3E" w:rsidRDefault="00FE0A3E" w14:paraId="41FDA1BD" w14:textId="77777777">
      <w:pPr>
        <w:rPr>
          <w:rFonts w:eastAsia="Calibri"/>
          <w:b/>
          <w:sz w:val="24"/>
          <w:szCs w:val="24"/>
        </w:rPr>
      </w:pPr>
    </w:p>
    <w:p w:rsidRPr="00FE0A3E" w:rsidR="00FE0A3E" w:rsidP="00FE0A3E" w:rsidRDefault="00FE0A3E" w14:paraId="3A32A7B4" w14:textId="77777777">
      <w:pPr>
        <w:rPr>
          <w:rFonts w:eastAsia="Calibri"/>
          <w:sz w:val="24"/>
          <w:szCs w:val="24"/>
        </w:rPr>
      </w:pPr>
      <w:r w:rsidRPr="00FE0A3E">
        <w:rPr>
          <w:rFonts w:eastAsia="Calibri"/>
          <w:sz w:val="24"/>
          <w:szCs w:val="24"/>
        </w:rPr>
        <w:t>Paragraph (a)(2)(i) requires employers to create, maintain</w:t>
      </w:r>
      <w:r w:rsidR="00F5644F">
        <w:rPr>
          <w:rFonts w:eastAsia="Calibri"/>
          <w:sz w:val="24"/>
          <w:szCs w:val="24"/>
        </w:rPr>
        <w:t>,</w:t>
      </w:r>
      <w:r w:rsidRPr="00FE0A3E">
        <w:rPr>
          <w:rFonts w:eastAsia="Calibri"/>
          <w:sz w:val="24"/>
          <w:szCs w:val="24"/>
        </w:rPr>
        <w:t xml:space="preserve"> and update a written policy that describes the internal and outside fire response organizations that the employer will use.</w:t>
      </w:r>
    </w:p>
    <w:p w:rsidRPr="00FE0A3E" w:rsidR="00FE0A3E" w:rsidP="00FE0A3E" w:rsidRDefault="00FE0A3E" w14:paraId="44586847" w14:textId="77777777">
      <w:pPr>
        <w:rPr>
          <w:rFonts w:eastAsia="Calibri"/>
          <w:sz w:val="24"/>
          <w:szCs w:val="24"/>
        </w:rPr>
      </w:pPr>
    </w:p>
    <w:p w:rsidRPr="00FE0A3E" w:rsidR="00FE0A3E" w:rsidP="00FE0A3E" w:rsidRDefault="00FE0A3E" w14:paraId="0EA53500" w14:textId="77777777">
      <w:pPr>
        <w:rPr>
          <w:rFonts w:eastAsia="Calibri"/>
          <w:sz w:val="24"/>
          <w:szCs w:val="24"/>
        </w:rPr>
      </w:pPr>
      <w:r w:rsidRPr="00FE0A3E">
        <w:rPr>
          <w:rFonts w:eastAsia="Calibri"/>
          <w:sz w:val="24"/>
          <w:szCs w:val="24"/>
        </w:rPr>
        <w:t>Paragraph (a)(2)(ii) requires employers to create, maintain, and update a written policy that defines the evacuation procedures workers must follow.  Paragraphs (b)(1), (b)(2), and (b)(3) discuss what should be included in the written statement based on internal, external, or a combination of fire responses.</w:t>
      </w:r>
      <w:r w:rsidR="000519A7">
        <w:rPr>
          <w:rStyle w:val="FootnoteReference"/>
          <w:rFonts w:eastAsia="Calibri"/>
          <w:sz w:val="24"/>
          <w:szCs w:val="24"/>
        </w:rPr>
        <w:footnoteReference w:id="11"/>
      </w:r>
      <w:r w:rsidRPr="00FE0A3E">
        <w:rPr>
          <w:rFonts w:eastAsia="Calibri"/>
          <w:sz w:val="24"/>
          <w:szCs w:val="24"/>
        </w:rPr>
        <w:t xml:space="preserve">  Specifically, section 1915.502 requires the employer to include the procedures for evacuation and the procedures to account for all workers after evacuation in the fire safety plan.  OSHA estimates that employers with less than 100 workers (</w:t>
      </w:r>
      <w:r w:rsidR="004C3496">
        <w:rPr>
          <w:rFonts w:eastAsia="Calibri"/>
          <w:sz w:val="24"/>
          <w:szCs w:val="24"/>
        </w:rPr>
        <w:t>210</w:t>
      </w:r>
      <w:r w:rsidRPr="00FE0A3E">
        <w:rPr>
          <w:rFonts w:eastAsia="Calibri"/>
          <w:sz w:val="24"/>
          <w:szCs w:val="24"/>
        </w:rPr>
        <w:t>) will incur a burden of 1 hour to develop the initial two policies/statements and 1 hour to update annually; employers (</w:t>
      </w:r>
      <w:r w:rsidR="00A706BA">
        <w:rPr>
          <w:rFonts w:eastAsia="Calibri"/>
          <w:sz w:val="24"/>
          <w:szCs w:val="24"/>
        </w:rPr>
        <w:t>20</w:t>
      </w:r>
      <w:r w:rsidRPr="00FE0A3E">
        <w:rPr>
          <w:rFonts w:eastAsia="Calibri"/>
          <w:sz w:val="24"/>
          <w:szCs w:val="24"/>
        </w:rPr>
        <w:t>) with 100 to 499 workers will incur a burden of 6 hours initially and 3 hours to update yearly thereafter</w:t>
      </w:r>
      <w:r w:rsidR="00F5644F">
        <w:rPr>
          <w:rFonts w:eastAsia="Calibri"/>
          <w:sz w:val="24"/>
          <w:szCs w:val="24"/>
        </w:rPr>
        <w:t>,</w:t>
      </w:r>
      <w:r w:rsidRPr="00FE0A3E" w:rsidR="00F5644F">
        <w:rPr>
          <w:rFonts w:eastAsia="Calibri"/>
          <w:sz w:val="24"/>
          <w:szCs w:val="24"/>
        </w:rPr>
        <w:t xml:space="preserve"> </w:t>
      </w:r>
      <w:r w:rsidRPr="00FE0A3E">
        <w:rPr>
          <w:rFonts w:eastAsia="Calibri"/>
          <w:sz w:val="24"/>
          <w:szCs w:val="24"/>
        </w:rPr>
        <w:t>and employers (</w:t>
      </w:r>
      <w:r w:rsidR="004C3496">
        <w:rPr>
          <w:rFonts w:eastAsia="Calibri"/>
          <w:sz w:val="24"/>
          <w:szCs w:val="24"/>
        </w:rPr>
        <w:t>23</w:t>
      </w:r>
      <w:r w:rsidRPr="00FE0A3E">
        <w:rPr>
          <w:rFonts w:eastAsia="Calibri"/>
          <w:sz w:val="24"/>
          <w:szCs w:val="24"/>
        </w:rPr>
        <w:t>) with more than 500 workers will incur a burden of 12 hours initially and 6 hours to update to information required by paragraphs (a)(2) and (d)(2) [described below] of section 1915.505.  A safety and health manager would perform the activities required in paragraph (a)(2).</w:t>
      </w:r>
    </w:p>
    <w:p w:rsidR="006B4EF4" w:rsidP="006B4EF4" w:rsidRDefault="006B4EF4" w14:paraId="72EF063B" w14:textId="77777777">
      <w:pPr>
        <w:rPr>
          <w:rFonts w:eastAsia="Calibri"/>
          <w:sz w:val="24"/>
          <w:szCs w:val="24"/>
        </w:rPr>
      </w:pPr>
    </w:p>
    <w:p w:rsidR="008E1801" w:rsidP="008E1801" w:rsidRDefault="008E1801" w14:paraId="56CEFF57" w14:textId="77777777">
      <w:pPr>
        <w:rPr>
          <w:rFonts w:eastAsia="Calibri"/>
          <w:sz w:val="24"/>
          <w:szCs w:val="24"/>
        </w:rPr>
      </w:pPr>
      <w:r w:rsidRPr="00B85A68">
        <w:rPr>
          <w:rFonts w:eastAsia="Calibri"/>
          <w:i/>
          <w:sz w:val="24"/>
          <w:szCs w:val="24"/>
        </w:rPr>
        <w:t>First Year</w:t>
      </w:r>
      <w:r>
        <w:rPr>
          <w:rFonts w:eastAsia="Calibri"/>
          <w:sz w:val="24"/>
          <w:szCs w:val="24"/>
        </w:rPr>
        <w:t xml:space="preserve">: </w:t>
      </w:r>
      <w:r w:rsidRPr="0025769A">
        <w:rPr>
          <w:rFonts w:eastAsia="Calibri"/>
          <w:sz w:val="24"/>
          <w:szCs w:val="24"/>
        </w:rPr>
        <w:t>(New Establishments)</w:t>
      </w:r>
    </w:p>
    <w:p w:rsidR="000A1EE0" w:rsidP="008E1801" w:rsidRDefault="000A1EE0" w14:paraId="5E269AD3" w14:textId="77777777">
      <w:pPr>
        <w:rPr>
          <w:rFonts w:eastAsia="Calibri"/>
          <w:sz w:val="24"/>
          <w:szCs w:val="24"/>
        </w:rPr>
      </w:pPr>
    </w:p>
    <w:p w:rsidRPr="006B4EF4" w:rsidR="006B4EF4" w:rsidP="006B4EF4" w:rsidRDefault="006B4EF4" w14:paraId="0A0E71EA" w14:textId="77777777">
      <w:pPr>
        <w:rPr>
          <w:rFonts w:eastAsia="Calibri"/>
          <w:sz w:val="24"/>
          <w:szCs w:val="24"/>
        </w:rPr>
      </w:pPr>
      <w:r w:rsidRPr="006B4EF4">
        <w:rPr>
          <w:rFonts w:eastAsia="Calibri"/>
          <w:sz w:val="24"/>
          <w:szCs w:val="24"/>
        </w:rPr>
        <w:tab/>
      </w:r>
      <w:r w:rsidRPr="00B42088">
        <w:rPr>
          <w:rFonts w:eastAsia="Calibri"/>
          <w:b/>
          <w:sz w:val="24"/>
          <w:szCs w:val="24"/>
        </w:rPr>
        <w:t>Burden hours</w:t>
      </w:r>
      <w:r w:rsidRPr="006B4EF4">
        <w:rPr>
          <w:rFonts w:eastAsia="Calibri"/>
          <w:sz w:val="24"/>
          <w:szCs w:val="24"/>
        </w:rPr>
        <w:t>:</w:t>
      </w:r>
      <w:r w:rsidRPr="006B4EF4">
        <w:rPr>
          <w:rFonts w:eastAsia="Calibri"/>
          <w:sz w:val="24"/>
          <w:szCs w:val="24"/>
        </w:rPr>
        <w:tab/>
      </w:r>
      <w:r w:rsidRPr="006B4EF4">
        <w:rPr>
          <w:rFonts w:eastAsia="Calibri"/>
          <w:sz w:val="24"/>
          <w:szCs w:val="24"/>
        </w:rPr>
        <w:tab/>
      </w:r>
      <w:r w:rsidR="004C3496">
        <w:rPr>
          <w:rFonts w:eastAsia="Calibri"/>
          <w:sz w:val="24"/>
          <w:szCs w:val="24"/>
        </w:rPr>
        <w:t>210</w:t>
      </w:r>
      <w:r w:rsidRPr="006B4EF4">
        <w:rPr>
          <w:rFonts w:eastAsia="Calibri"/>
          <w:sz w:val="24"/>
          <w:szCs w:val="24"/>
        </w:rPr>
        <w:t xml:space="preserve"> employers x .10 turnover x 1 hours = </w:t>
      </w:r>
      <w:r w:rsidR="000A1EE0">
        <w:rPr>
          <w:rFonts w:eastAsia="Calibri"/>
          <w:sz w:val="24"/>
          <w:szCs w:val="24"/>
        </w:rPr>
        <w:t>21</w:t>
      </w:r>
      <w:r w:rsidRPr="006B4EF4">
        <w:rPr>
          <w:rFonts w:eastAsia="Calibri"/>
          <w:sz w:val="24"/>
          <w:szCs w:val="24"/>
        </w:rPr>
        <w:t xml:space="preserve"> hours</w:t>
      </w:r>
    </w:p>
    <w:p w:rsidRPr="006B4EF4" w:rsidR="006B4EF4" w:rsidP="006B4EF4" w:rsidRDefault="006B4EF4" w14:paraId="6734C8A4" w14:textId="77777777">
      <w:pPr>
        <w:rPr>
          <w:rFonts w:eastAsia="Calibri"/>
          <w:sz w:val="24"/>
          <w:szCs w:val="24"/>
        </w:rPr>
      </w:pPr>
      <w:r w:rsidRPr="006B4EF4">
        <w:rPr>
          <w:rFonts w:eastAsia="Calibri"/>
          <w:sz w:val="24"/>
          <w:szCs w:val="24"/>
        </w:rPr>
        <w:tab/>
        <w:t xml:space="preserve">   </w:t>
      </w:r>
      <w:r w:rsidRPr="006B4EF4">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A706BA">
        <w:rPr>
          <w:rFonts w:eastAsia="Calibri"/>
          <w:sz w:val="24"/>
          <w:szCs w:val="24"/>
        </w:rPr>
        <w:t>20</w:t>
      </w:r>
      <w:r w:rsidRPr="006B4EF4">
        <w:rPr>
          <w:rFonts w:eastAsia="Calibri"/>
          <w:sz w:val="24"/>
          <w:szCs w:val="24"/>
        </w:rPr>
        <w:t xml:space="preserve"> employers x .10 turnover x 6 hours = </w:t>
      </w:r>
      <w:r w:rsidR="000A1EE0">
        <w:rPr>
          <w:rFonts w:eastAsia="Calibri"/>
          <w:sz w:val="24"/>
          <w:szCs w:val="24"/>
        </w:rPr>
        <w:t>12</w:t>
      </w:r>
      <w:r w:rsidRPr="006B4EF4">
        <w:rPr>
          <w:rFonts w:eastAsia="Calibri"/>
          <w:sz w:val="24"/>
          <w:szCs w:val="24"/>
        </w:rPr>
        <w:t xml:space="preserve"> hours</w:t>
      </w:r>
    </w:p>
    <w:p w:rsidR="00FE0A3E" w:rsidP="006B4EF4" w:rsidRDefault="006B4EF4" w14:paraId="6F0222FA" w14:textId="77777777">
      <w:pPr>
        <w:rPr>
          <w:rFonts w:eastAsia="Calibri"/>
          <w:sz w:val="24"/>
          <w:szCs w:val="24"/>
        </w:rPr>
      </w:pPr>
      <w:r w:rsidRPr="006B4EF4">
        <w:rPr>
          <w:rFonts w:eastAsia="Calibri"/>
          <w:sz w:val="24"/>
          <w:szCs w:val="24"/>
        </w:rPr>
        <w:tab/>
      </w:r>
      <w:r w:rsidRPr="006B4EF4">
        <w:rPr>
          <w:rFonts w:eastAsia="Calibri"/>
          <w:sz w:val="24"/>
          <w:szCs w:val="24"/>
        </w:rPr>
        <w:tab/>
      </w:r>
      <w:r w:rsidRPr="006B4EF4">
        <w:rPr>
          <w:rFonts w:eastAsia="Calibri"/>
          <w:sz w:val="24"/>
          <w:szCs w:val="24"/>
        </w:rPr>
        <w:tab/>
      </w:r>
      <w:r w:rsidRPr="006B4EF4">
        <w:rPr>
          <w:rFonts w:eastAsia="Calibri"/>
          <w:sz w:val="24"/>
          <w:szCs w:val="24"/>
        </w:rPr>
        <w:tab/>
      </w:r>
      <w:r w:rsidRPr="006B4EF4">
        <w:rPr>
          <w:rFonts w:eastAsia="Calibri"/>
          <w:sz w:val="24"/>
          <w:szCs w:val="24"/>
        </w:rPr>
        <w:tab/>
      </w:r>
      <w:r w:rsidRPr="006B4EF4">
        <w:rPr>
          <w:rFonts w:eastAsia="Calibri"/>
          <w:sz w:val="24"/>
          <w:szCs w:val="24"/>
        </w:rPr>
        <w:tab/>
      </w:r>
      <w:r w:rsidRPr="006B4EF4">
        <w:rPr>
          <w:rFonts w:eastAsia="Calibri"/>
          <w:sz w:val="24"/>
          <w:szCs w:val="24"/>
        </w:rPr>
        <w:tab/>
      </w:r>
      <w:r w:rsidR="000A1EE0">
        <w:rPr>
          <w:rFonts w:eastAsia="Calibri"/>
          <w:sz w:val="24"/>
          <w:szCs w:val="24"/>
        </w:rPr>
        <w:tab/>
      </w:r>
      <w:r w:rsidR="004C3496">
        <w:rPr>
          <w:rFonts w:eastAsia="Calibri"/>
          <w:sz w:val="24"/>
          <w:szCs w:val="24"/>
        </w:rPr>
        <w:t>23</w:t>
      </w:r>
      <w:r w:rsidRPr="006B4EF4">
        <w:rPr>
          <w:rFonts w:eastAsia="Calibri"/>
          <w:sz w:val="24"/>
          <w:szCs w:val="24"/>
        </w:rPr>
        <w:t xml:space="preserve"> employers x .10 turnover x 12 hours = </w:t>
      </w:r>
      <w:r w:rsidR="000A1EE0">
        <w:rPr>
          <w:rFonts w:eastAsia="Calibri"/>
          <w:sz w:val="24"/>
          <w:szCs w:val="24"/>
        </w:rPr>
        <w:t>27.6</w:t>
      </w:r>
      <w:r w:rsidRPr="006B4EF4">
        <w:rPr>
          <w:rFonts w:eastAsia="Calibri"/>
          <w:sz w:val="24"/>
          <w:szCs w:val="24"/>
        </w:rPr>
        <w:t xml:space="preserve"> hours</w:t>
      </w:r>
    </w:p>
    <w:p w:rsidR="00CF1311" w:rsidP="006B4EF4" w:rsidRDefault="00CF1311" w14:paraId="4004C423" w14:textId="77777777">
      <w:pPr>
        <w:rPr>
          <w:rFonts w:eastAsia="Calibri"/>
          <w:sz w:val="24"/>
          <w:szCs w:val="24"/>
        </w:rPr>
      </w:pPr>
      <w:r>
        <w:rPr>
          <w:rFonts w:eastAsia="Calibri"/>
          <w:sz w:val="24"/>
          <w:szCs w:val="24"/>
        </w:rPr>
        <w:tab/>
      </w:r>
    </w:p>
    <w:p w:rsidR="00CF1311" w:rsidP="00B42088" w:rsidRDefault="00CF1311" w14:paraId="11E53B2C" w14:textId="77777777">
      <w:pPr>
        <w:ind w:firstLine="288"/>
        <w:rPr>
          <w:rFonts w:eastAsia="Calibri"/>
          <w:sz w:val="24"/>
          <w:szCs w:val="24"/>
        </w:rPr>
      </w:pPr>
      <w:r w:rsidRPr="00C47BB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Pr>
          <w:rFonts w:eastAsia="Calibri"/>
          <w:sz w:val="24"/>
          <w:szCs w:val="24"/>
        </w:rPr>
        <w:t>60.6</w:t>
      </w:r>
      <w:r w:rsidRPr="00FE0A3E">
        <w:rPr>
          <w:rFonts w:eastAsia="Calibri"/>
          <w:sz w:val="24"/>
          <w:szCs w:val="24"/>
        </w:rPr>
        <w:t xml:space="preserve"> burden hours x $</w:t>
      </w:r>
      <w:r>
        <w:rPr>
          <w:rFonts w:eastAsia="Calibri"/>
          <w:sz w:val="24"/>
          <w:szCs w:val="24"/>
        </w:rPr>
        <w:t>56.33</w:t>
      </w:r>
      <w:r w:rsidRPr="00FE0A3E">
        <w:rPr>
          <w:rFonts w:eastAsia="Calibri"/>
          <w:sz w:val="24"/>
          <w:szCs w:val="24"/>
        </w:rPr>
        <w:t xml:space="preserve"> = $</w:t>
      </w:r>
      <w:r w:rsidR="00586497">
        <w:rPr>
          <w:rFonts w:eastAsia="Calibri"/>
          <w:sz w:val="24"/>
          <w:szCs w:val="24"/>
        </w:rPr>
        <w:t>3,413.</w:t>
      </w:r>
      <w:r w:rsidR="005C157F">
        <w:rPr>
          <w:rFonts w:eastAsia="Calibri"/>
          <w:sz w:val="24"/>
          <w:szCs w:val="24"/>
        </w:rPr>
        <w:t>60</w:t>
      </w:r>
    </w:p>
    <w:p w:rsidR="008E1801" w:rsidP="008E1801" w:rsidRDefault="008E1801" w14:paraId="221BD343" w14:textId="77777777">
      <w:pPr>
        <w:rPr>
          <w:rFonts w:eastAsia="Calibri"/>
          <w:i/>
          <w:sz w:val="24"/>
          <w:szCs w:val="24"/>
        </w:rPr>
      </w:pPr>
    </w:p>
    <w:p w:rsidR="008E1801" w:rsidP="008E1801" w:rsidRDefault="008E1801" w14:paraId="208487BC" w14:textId="77777777">
      <w:pPr>
        <w:rPr>
          <w:rFonts w:eastAsia="Calibri"/>
          <w:sz w:val="24"/>
          <w:szCs w:val="24"/>
        </w:rPr>
      </w:pPr>
      <w:r w:rsidRPr="00B85A68">
        <w:rPr>
          <w:rFonts w:eastAsia="Calibri"/>
          <w:i/>
          <w:sz w:val="24"/>
          <w:szCs w:val="24"/>
        </w:rPr>
        <w:t>Subsequent Years</w:t>
      </w:r>
      <w:r>
        <w:rPr>
          <w:rFonts w:eastAsia="Calibri"/>
          <w:sz w:val="24"/>
          <w:szCs w:val="24"/>
        </w:rPr>
        <w:t xml:space="preserve">: </w:t>
      </w:r>
      <w:r w:rsidRPr="00FE0A3E">
        <w:rPr>
          <w:rFonts w:eastAsia="Calibri"/>
          <w:sz w:val="24"/>
          <w:szCs w:val="24"/>
        </w:rPr>
        <w:t xml:space="preserve">(Existing </w:t>
      </w:r>
      <w:r>
        <w:rPr>
          <w:rFonts w:eastAsia="Calibri"/>
          <w:sz w:val="24"/>
          <w:szCs w:val="24"/>
        </w:rPr>
        <w:t>Establishment</w:t>
      </w:r>
      <w:r w:rsidRPr="00FE0A3E">
        <w:rPr>
          <w:rFonts w:eastAsia="Calibri"/>
          <w:sz w:val="24"/>
          <w:szCs w:val="24"/>
        </w:rPr>
        <w:t>s)</w:t>
      </w:r>
    </w:p>
    <w:p w:rsidR="006B4EF4" w:rsidP="00FE0A3E" w:rsidRDefault="006B4EF4" w14:paraId="1757FB56" w14:textId="77777777">
      <w:pPr>
        <w:rPr>
          <w:rFonts w:eastAsia="Calibri"/>
          <w:sz w:val="24"/>
          <w:szCs w:val="24"/>
        </w:rPr>
      </w:pPr>
    </w:p>
    <w:p w:rsidRPr="00FE0A3E" w:rsidR="00FE0A3E" w:rsidP="00FE0A3E" w:rsidRDefault="00FE0A3E" w14:paraId="2551C306"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4C3496">
        <w:rPr>
          <w:rFonts w:eastAsia="Calibri"/>
          <w:sz w:val="24"/>
          <w:szCs w:val="24"/>
        </w:rPr>
        <w:t>210</w:t>
      </w:r>
      <w:r w:rsidRPr="00FE0A3E" w:rsidR="007F02A6">
        <w:rPr>
          <w:rFonts w:eastAsia="Calibri"/>
          <w:sz w:val="24"/>
          <w:szCs w:val="24"/>
        </w:rPr>
        <w:t xml:space="preserve"> </w:t>
      </w:r>
      <w:r w:rsidRPr="00FE0A3E">
        <w:rPr>
          <w:rFonts w:eastAsia="Calibri"/>
          <w:sz w:val="24"/>
          <w:szCs w:val="24"/>
        </w:rPr>
        <w:t xml:space="preserve">employers x .90 x 1 hour = </w:t>
      </w:r>
      <w:r w:rsidR="00865DF3">
        <w:rPr>
          <w:rFonts w:eastAsia="Calibri"/>
          <w:sz w:val="24"/>
          <w:szCs w:val="24"/>
        </w:rPr>
        <w:t>189</w:t>
      </w:r>
      <w:r w:rsidRPr="00FE0A3E" w:rsidR="00C64A2A">
        <w:rPr>
          <w:rFonts w:eastAsia="Calibri"/>
          <w:sz w:val="24"/>
          <w:szCs w:val="24"/>
        </w:rPr>
        <w:t xml:space="preserve"> </w:t>
      </w:r>
      <w:r w:rsidRPr="00FE0A3E">
        <w:rPr>
          <w:rFonts w:eastAsia="Calibri"/>
          <w:sz w:val="24"/>
          <w:szCs w:val="24"/>
        </w:rPr>
        <w:t>hours</w:t>
      </w:r>
    </w:p>
    <w:p w:rsidRPr="00FE0A3E" w:rsidR="00FE0A3E" w:rsidP="00FE0A3E" w:rsidRDefault="00FE0A3E" w14:paraId="4CB37A2C" w14:textId="77777777">
      <w:pPr>
        <w:rPr>
          <w:rFonts w:eastAsia="Calibri"/>
          <w:sz w:val="24"/>
          <w:szCs w:val="24"/>
        </w:rPr>
      </w:pPr>
      <w:r w:rsidRPr="00FE0A3E">
        <w:rPr>
          <w:rFonts w:eastAsia="Calibri"/>
          <w:sz w:val="24"/>
          <w:szCs w:val="24"/>
        </w:rPr>
        <w:tab/>
        <w:t xml:space="preserve">   </w:t>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0A1EE0">
        <w:rPr>
          <w:rFonts w:eastAsia="Calibri"/>
          <w:sz w:val="24"/>
          <w:szCs w:val="24"/>
        </w:rPr>
        <w:tab/>
      </w:r>
      <w:r w:rsidR="00A706BA">
        <w:rPr>
          <w:rFonts w:eastAsia="Calibri"/>
          <w:sz w:val="24"/>
          <w:szCs w:val="24"/>
        </w:rPr>
        <w:t>20</w:t>
      </w:r>
      <w:r w:rsidRPr="00FE0A3E" w:rsidR="007F02A6">
        <w:rPr>
          <w:rFonts w:eastAsia="Calibri"/>
          <w:sz w:val="24"/>
          <w:szCs w:val="24"/>
        </w:rPr>
        <w:t xml:space="preserve"> </w:t>
      </w:r>
      <w:r w:rsidRPr="00FE0A3E">
        <w:rPr>
          <w:rFonts w:eastAsia="Calibri"/>
          <w:sz w:val="24"/>
          <w:szCs w:val="24"/>
        </w:rPr>
        <w:t xml:space="preserve">employers x .90 x 3 hours = </w:t>
      </w:r>
      <w:r w:rsidR="00865DF3">
        <w:rPr>
          <w:rFonts w:eastAsia="Calibri"/>
          <w:sz w:val="24"/>
          <w:szCs w:val="24"/>
        </w:rPr>
        <w:t>54</w:t>
      </w:r>
      <w:r w:rsidRPr="00FE0A3E" w:rsidR="00C64A2A">
        <w:rPr>
          <w:rFonts w:eastAsia="Calibri"/>
          <w:sz w:val="24"/>
          <w:szCs w:val="24"/>
        </w:rPr>
        <w:t xml:space="preserve"> </w:t>
      </w:r>
      <w:r w:rsidRPr="00FE0A3E">
        <w:rPr>
          <w:rFonts w:eastAsia="Calibri"/>
          <w:sz w:val="24"/>
          <w:szCs w:val="24"/>
        </w:rPr>
        <w:t>hours</w:t>
      </w:r>
    </w:p>
    <w:p w:rsidRPr="00FE0A3E" w:rsidR="00FE0A3E" w:rsidP="00FE0A3E" w:rsidRDefault="00FE0A3E" w14:paraId="1C62BE48" w14:textId="77777777">
      <w:pPr>
        <w:rPr>
          <w:rFonts w:eastAsia="Calibri"/>
          <w:sz w:val="24"/>
          <w:szCs w:val="24"/>
        </w:rPr>
      </w:pPr>
      <w:r w:rsidRPr="00FE0A3E">
        <w:rPr>
          <w:rFonts w:eastAsia="Calibri"/>
          <w:sz w:val="24"/>
          <w:szCs w:val="24"/>
        </w:rPr>
        <w:tab/>
      </w:r>
      <w:r w:rsidRPr="00FE0A3E">
        <w:rPr>
          <w:rFonts w:eastAsia="Calibri"/>
          <w:sz w:val="24"/>
          <w:szCs w:val="24"/>
        </w:rPr>
        <w:tab/>
      </w:r>
      <w:r w:rsidRPr="00FE0A3E">
        <w:rPr>
          <w:rFonts w:eastAsia="Calibri"/>
          <w:sz w:val="24"/>
          <w:szCs w:val="24"/>
        </w:rPr>
        <w:tab/>
      </w:r>
      <w:r w:rsidRPr="00FE0A3E">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AA1A0D">
        <w:rPr>
          <w:rFonts w:eastAsia="Calibri"/>
          <w:sz w:val="24"/>
          <w:szCs w:val="24"/>
        </w:rPr>
        <w:tab/>
      </w:r>
      <w:r w:rsidR="004C3496">
        <w:rPr>
          <w:rFonts w:eastAsia="Calibri"/>
          <w:sz w:val="24"/>
          <w:szCs w:val="24"/>
        </w:rPr>
        <w:t>23</w:t>
      </w:r>
      <w:r w:rsidRPr="00FE0A3E" w:rsidR="007F02A6">
        <w:rPr>
          <w:rFonts w:eastAsia="Calibri"/>
          <w:sz w:val="24"/>
          <w:szCs w:val="24"/>
        </w:rPr>
        <w:t xml:space="preserve"> </w:t>
      </w:r>
      <w:r w:rsidRPr="00FE0A3E">
        <w:rPr>
          <w:rFonts w:eastAsia="Calibri"/>
          <w:sz w:val="24"/>
          <w:szCs w:val="24"/>
        </w:rPr>
        <w:t xml:space="preserve">employers x .90 x 6 hours = </w:t>
      </w:r>
      <w:r w:rsidR="00865DF3">
        <w:rPr>
          <w:rFonts w:eastAsia="Calibri"/>
          <w:sz w:val="24"/>
          <w:szCs w:val="24"/>
        </w:rPr>
        <w:t>124.2</w:t>
      </w:r>
      <w:r w:rsidRPr="00FE0A3E" w:rsidR="00C64A2A">
        <w:rPr>
          <w:rFonts w:eastAsia="Calibri"/>
          <w:sz w:val="24"/>
          <w:szCs w:val="24"/>
        </w:rPr>
        <w:t xml:space="preserve"> </w:t>
      </w:r>
      <w:r w:rsidRPr="00FE0A3E">
        <w:rPr>
          <w:rFonts w:eastAsia="Calibri"/>
          <w:sz w:val="24"/>
          <w:szCs w:val="24"/>
        </w:rPr>
        <w:t>hours</w:t>
      </w:r>
    </w:p>
    <w:p w:rsidRPr="00FE0A3E" w:rsidR="00FE0A3E" w:rsidP="00FE0A3E" w:rsidRDefault="00FE0A3E" w14:paraId="132A90E6" w14:textId="77777777">
      <w:pPr>
        <w:rPr>
          <w:rFonts w:eastAsia="Calibri"/>
          <w:sz w:val="24"/>
          <w:szCs w:val="24"/>
        </w:rPr>
      </w:pPr>
    </w:p>
    <w:p w:rsidRPr="00FE0A3E" w:rsidR="00FE0A3E" w:rsidP="00FE0A3E" w:rsidRDefault="00FE0A3E" w14:paraId="630578A2"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865DF3">
        <w:rPr>
          <w:rFonts w:eastAsia="Calibri"/>
          <w:sz w:val="24"/>
          <w:szCs w:val="24"/>
        </w:rPr>
        <w:t>367.2</w:t>
      </w:r>
      <w:r w:rsidRPr="00FE0A3E" w:rsidR="00C64A2A">
        <w:rPr>
          <w:rFonts w:eastAsia="Calibri"/>
          <w:sz w:val="24"/>
          <w:szCs w:val="24"/>
        </w:rPr>
        <w:t xml:space="preserve"> </w:t>
      </w:r>
      <w:r w:rsidRPr="00FE0A3E">
        <w:rPr>
          <w:rFonts w:eastAsia="Calibri"/>
          <w:sz w:val="24"/>
          <w:szCs w:val="24"/>
        </w:rPr>
        <w:t>burden hours x $</w:t>
      </w:r>
      <w:r w:rsidR="00FF6C51">
        <w:rPr>
          <w:rFonts w:eastAsia="Calibri"/>
          <w:sz w:val="24"/>
          <w:szCs w:val="24"/>
        </w:rPr>
        <w:t>56.33</w:t>
      </w:r>
      <w:r w:rsidRPr="00FE0A3E">
        <w:rPr>
          <w:rFonts w:eastAsia="Calibri"/>
          <w:sz w:val="24"/>
          <w:szCs w:val="24"/>
        </w:rPr>
        <w:t xml:space="preserve"> = $</w:t>
      </w:r>
      <w:r w:rsidR="00865DF3">
        <w:rPr>
          <w:rFonts w:eastAsia="Calibri"/>
          <w:sz w:val="24"/>
          <w:szCs w:val="24"/>
        </w:rPr>
        <w:t>20,684.38</w:t>
      </w:r>
    </w:p>
    <w:p w:rsidRPr="00FE0A3E" w:rsidR="00FE0A3E" w:rsidP="00FE0A3E" w:rsidRDefault="00FE0A3E" w14:paraId="63F1B7B7" w14:textId="77777777">
      <w:pPr>
        <w:rPr>
          <w:rFonts w:eastAsia="Calibri"/>
          <w:sz w:val="24"/>
          <w:szCs w:val="24"/>
        </w:rPr>
      </w:pPr>
    </w:p>
    <w:p w:rsidRPr="00FE0A3E" w:rsidR="00FE0A3E" w:rsidP="00FE0A3E" w:rsidRDefault="00FE0A3E" w14:paraId="4B21D1A7" w14:textId="77777777">
      <w:pPr>
        <w:rPr>
          <w:rFonts w:eastAsia="Calibri"/>
          <w:sz w:val="24"/>
          <w:szCs w:val="24"/>
        </w:rPr>
      </w:pPr>
      <w:r w:rsidRPr="00FE0A3E">
        <w:rPr>
          <w:rFonts w:eastAsia="Calibri"/>
          <w:sz w:val="24"/>
          <w:szCs w:val="24"/>
        </w:rPr>
        <w:t xml:space="preserve">Paragraph (d)(2) requires the employer </w:t>
      </w:r>
      <w:r w:rsidR="00F5644F">
        <w:rPr>
          <w:rFonts w:eastAsia="Calibri"/>
          <w:sz w:val="24"/>
          <w:szCs w:val="24"/>
        </w:rPr>
        <w:t xml:space="preserve">to </w:t>
      </w:r>
      <w:r w:rsidRPr="00FE0A3E">
        <w:rPr>
          <w:rFonts w:eastAsia="Calibri"/>
          <w:sz w:val="24"/>
          <w:szCs w:val="24"/>
        </w:rPr>
        <w:t>set up written administrative regulations, operating procedures, and departmental orders for fire response functions.  The burden for the activity is included in the burden estimate for paragraph (a)(2) above.</w:t>
      </w:r>
    </w:p>
    <w:p w:rsidRPr="00FE0A3E" w:rsidR="00FE0A3E" w:rsidP="00FE0A3E" w:rsidRDefault="00FE0A3E" w14:paraId="6B74DC44" w14:textId="77777777">
      <w:pPr>
        <w:rPr>
          <w:rFonts w:eastAsia="Calibri"/>
          <w:sz w:val="24"/>
          <w:szCs w:val="24"/>
        </w:rPr>
      </w:pPr>
    </w:p>
    <w:p w:rsidRPr="00FE0A3E" w:rsidR="00FE0A3E" w:rsidP="00FE0A3E" w:rsidRDefault="00FE0A3E" w14:paraId="7D330C6B" w14:textId="77777777">
      <w:pPr>
        <w:rPr>
          <w:rFonts w:eastAsia="Calibri"/>
          <w:sz w:val="24"/>
          <w:szCs w:val="24"/>
        </w:rPr>
      </w:pPr>
      <w:r w:rsidRPr="00FE0A3E">
        <w:rPr>
          <w:rFonts w:eastAsia="Calibri"/>
          <w:sz w:val="24"/>
          <w:szCs w:val="24"/>
        </w:rPr>
        <w:t>Paragraph (d)(3) requires the employer to set up an incident management system to address specific areas.  The information in the incident management system is also required in the policy statements required by (a)(2) above, therefore, no additional burden is calculated for this provision.</w:t>
      </w:r>
    </w:p>
    <w:p w:rsidRPr="00FE0A3E" w:rsidR="00FE0A3E" w:rsidP="00FE0A3E" w:rsidRDefault="00FE0A3E" w14:paraId="2A705E7B" w14:textId="77777777">
      <w:pPr>
        <w:rPr>
          <w:rFonts w:eastAsia="Calibri"/>
          <w:sz w:val="24"/>
          <w:szCs w:val="24"/>
        </w:rPr>
      </w:pPr>
    </w:p>
    <w:p w:rsidRPr="00FE0A3E" w:rsidR="00FE0A3E" w:rsidP="00FE0A3E" w:rsidRDefault="00FE0A3E" w14:paraId="33E56708" w14:textId="77777777">
      <w:pPr>
        <w:rPr>
          <w:rFonts w:eastAsia="Calibri"/>
          <w:sz w:val="24"/>
          <w:szCs w:val="24"/>
        </w:rPr>
      </w:pPr>
      <w:r w:rsidRPr="00FE0A3E">
        <w:rPr>
          <w:rFonts w:eastAsia="Calibri"/>
          <w:sz w:val="24"/>
          <w:szCs w:val="24"/>
        </w:rPr>
        <w:t>Paragraph (d)(4) requires that the information created by paragraph (d)(2) and (d)(3) above be provided to the outside fire response organizations that will be used by the employer.  OSHA estimates it will take a supervisor about 10 minutes (</w:t>
      </w:r>
      <w:r w:rsidR="00865DF3">
        <w:rPr>
          <w:rFonts w:eastAsia="Calibri"/>
          <w:sz w:val="24"/>
          <w:szCs w:val="24"/>
        </w:rPr>
        <w:t>10/60</w:t>
      </w:r>
      <w:r w:rsidRPr="00FE0A3E">
        <w:rPr>
          <w:rFonts w:eastAsia="Calibri"/>
          <w:sz w:val="24"/>
          <w:szCs w:val="24"/>
        </w:rPr>
        <w:t xml:space="preserve"> hour) to make a copy of the documents and provide the documents to the liaison with the outside fire response organization.  OSHA estimate that </w:t>
      </w:r>
      <w:r w:rsidR="004C3496">
        <w:rPr>
          <w:rFonts w:eastAsia="Calibri"/>
          <w:sz w:val="24"/>
          <w:szCs w:val="24"/>
        </w:rPr>
        <w:t>210</w:t>
      </w:r>
      <w:r w:rsidRPr="00FE0A3E" w:rsidR="00C64A2A">
        <w:rPr>
          <w:rFonts w:eastAsia="Calibri"/>
          <w:sz w:val="24"/>
          <w:szCs w:val="24"/>
        </w:rPr>
        <w:t xml:space="preserve"> </w:t>
      </w:r>
      <w:r w:rsidR="00A5715F">
        <w:rPr>
          <w:rFonts w:eastAsia="Calibri"/>
          <w:sz w:val="24"/>
          <w:szCs w:val="24"/>
        </w:rPr>
        <w:t>establishment</w:t>
      </w:r>
      <w:r w:rsidRPr="00FE0A3E">
        <w:rPr>
          <w:rFonts w:eastAsia="Calibri"/>
          <w:sz w:val="24"/>
          <w:szCs w:val="24"/>
        </w:rPr>
        <w:t xml:space="preserve">s (affected </w:t>
      </w:r>
      <w:r w:rsidR="00A5715F">
        <w:rPr>
          <w:rFonts w:eastAsia="Calibri"/>
          <w:sz w:val="24"/>
          <w:szCs w:val="24"/>
        </w:rPr>
        <w:t>establishment</w:t>
      </w:r>
      <w:r w:rsidRPr="00FE0A3E">
        <w:rPr>
          <w:rFonts w:eastAsia="Calibri"/>
          <w:sz w:val="24"/>
          <w:szCs w:val="24"/>
        </w:rPr>
        <w:t>s with 1-99 workers) will use an outside fire response organization.  A supervisor will perform this activity.</w:t>
      </w:r>
    </w:p>
    <w:p w:rsidRPr="00FE0A3E" w:rsidR="00FE0A3E" w:rsidP="00FE0A3E" w:rsidRDefault="00FE0A3E" w14:paraId="02AE694A" w14:textId="77777777">
      <w:pPr>
        <w:rPr>
          <w:rFonts w:eastAsia="Calibri"/>
          <w:sz w:val="24"/>
          <w:szCs w:val="24"/>
        </w:rPr>
      </w:pPr>
    </w:p>
    <w:p w:rsidRPr="00FE0A3E" w:rsidR="00FE0A3E" w:rsidP="00FE0A3E" w:rsidRDefault="00FE0A3E" w14:paraId="7809E504" w14:textId="77777777">
      <w:pPr>
        <w:rPr>
          <w:rFonts w:eastAsia="Calibri"/>
          <w:sz w:val="24"/>
          <w:szCs w:val="24"/>
        </w:rPr>
      </w:pPr>
      <w:r w:rsidRPr="00FE0A3E">
        <w:rPr>
          <w:rFonts w:eastAsia="Calibri"/>
          <w:sz w:val="24"/>
          <w:szCs w:val="24"/>
        </w:rPr>
        <w:lastRenderedPageBreak/>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4C3496">
        <w:rPr>
          <w:rFonts w:eastAsia="Calibri"/>
          <w:sz w:val="24"/>
          <w:szCs w:val="24"/>
        </w:rPr>
        <w:t>210</w:t>
      </w:r>
      <w:r w:rsidRPr="00FE0A3E" w:rsidR="00C64A2A">
        <w:rPr>
          <w:rFonts w:eastAsia="Calibri"/>
          <w:sz w:val="24"/>
          <w:szCs w:val="24"/>
        </w:rPr>
        <w:t xml:space="preserve"> </w:t>
      </w:r>
      <w:r w:rsidRPr="00FE0A3E">
        <w:rPr>
          <w:rFonts w:eastAsia="Calibri"/>
          <w:sz w:val="24"/>
          <w:szCs w:val="24"/>
        </w:rPr>
        <w:t xml:space="preserve">employers x </w:t>
      </w:r>
      <w:r w:rsidR="00865DF3">
        <w:rPr>
          <w:rFonts w:eastAsia="Calibri"/>
          <w:sz w:val="24"/>
          <w:szCs w:val="24"/>
        </w:rPr>
        <w:t>10/60</w:t>
      </w:r>
      <w:r w:rsidRPr="00FE0A3E">
        <w:rPr>
          <w:rFonts w:eastAsia="Calibri"/>
          <w:sz w:val="24"/>
          <w:szCs w:val="24"/>
        </w:rPr>
        <w:t xml:space="preserve"> hour = </w:t>
      </w:r>
      <w:r w:rsidR="00865DF3">
        <w:rPr>
          <w:rFonts w:eastAsia="Calibri"/>
          <w:sz w:val="24"/>
          <w:szCs w:val="24"/>
        </w:rPr>
        <w:t>35</w:t>
      </w:r>
      <w:r w:rsidRPr="00FE0A3E" w:rsidR="00C64A2A">
        <w:rPr>
          <w:rFonts w:eastAsia="Calibri"/>
          <w:sz w:val="24"/>
          <w:szCs w:val="24"/>
        </w:rPr>
        <w:t xml:space="preserve"> </w:t>
      </w:r>
      <w:r w:rsidRPr="00FE0A3E">
        <w:rPr>
          <w:rFonts w:eastAsia="Calibri"/>
          <w:sz w:val="24"/>
          <w:szCs w:val="24"/>
        </w:rPr>
        <w:t>hours</w:t>
      </w:r>
    </w:p>
    <w:p w:rsidRPr="00FE0A3E" w:rsidR="00FE0A3E" w:rsidP="00FE0A3E" w:rsidRDefault="00FE0A3E" w14:paraId="2EA3BFF2" w14:textId="77777777">
      <w:pPr>
        <w:rPr>
          <w:rFonts w:eastAsia="Calibri"/>
          <w:sz w:val="24"/>
          <w:szCs w:val="24"/>
        </w:rPr>
      </w:pPr>
    </w:p>
    <w:p w:rsidRPr="00FE0A3E" w:rsidR="00FE0A3E" w:rsidP="00FE0A3E" w:rsidRDefault="00FE0A3E" w14:paraId="5B076A46" w14:textId="77777777">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865DF3">
        <w:rPr>
          <w:rFonts w:eastAsia="Calibri"/>
          <w:sz w:val="24"/>
          <w:szCs w:val="24"/>
        </w:rPr>
        <w:t>35</w:t>
      </w:r>
      <w:r w:rsidRPr="00FE0A3E" w:rsidR="00C64A2A">
        <w:rPr>
          <w:rFonts w:eastAsia="Calibri"/>
          <w:sz w:val="24"/>
          <w:szCs w:val="24"/>
        </w:rPr>
        <w:t xml:space="preserve"> </w:t>
      </w:r>
      <w:r w:rsidRPr="00FE0A3E">
        <w:rPr>
          <w:rFonts w:eastAsia="Calibri"/>
          <w:sz w:val="24"/>
          <w:szCs w:val="24"/>
        </w:rPr>
        <w:t>burden hours x $</w:t>
      </w:r>
      <w:r w:rsidR="00FF6C51">
        <w:rPr>
          <w:rFonts w:eastAsia="Calibri"/>
          <w:sz w:val="24"/>
          <w:szCs w:val="24"/>
        </w:rPr>
        <w:t>49.07</w:t>
      </w:r>
      <w:r w:rsidRPr="00FE0A3E">
        <w:rPr>
          <w:rFonts w:eastAsia="Calibri"/>
          <w:sz w:val="24"/>
          <w:szCs w:val="24"/>
        </w:rPr>
        <w:t xml:space="preserve"> = $</w:t>
      </w:r>
      <w:r w:rsidR="00865DF3">
        <w:rPr>
          <w:rFonts w:eastAsia="Calibri"/>
          <w:sz w:val="24"/>
          <w:szCs w:val="24"/>
        </w:rPr>
        <w:t>1,717.45</w:t>
      </w:r>
    </w:p>
    <w:p w:rsidRPr="00FE0A3E" w:rsidR="00FE0A3E" w:rsidP="00FE0A3E" w:rsidRDefault="00FE0A3E" w14:paraId="4684E495" w14:textId="77777777">
      <w:pPr>
        <w:rPr>
          <w:rFonts w:eastAsia="Calibri"/>
          <w:sz w:val="24"/>
          <w:szCs w:val="24"/>
        </w:rPr>
      </w:pPr>
    </w:p>
    <w:p w:rsidRPr="00FE0A3E" w:rsidR="00FE0A3E" w:rsidP="00FE0A3E" w:rsidRDefault="00FE0A3E" w14:paraId="73420A35" w14:textId="77777777">
      <w:pPr>
        <w:numPr>
          <w:ilvl w:val="0"/>
          <w:numId w:val="16"/>
        </w:numPr>
        <w:spacing w:after="200" w:line="276" w:lineRule="auto"/>
        <w:contextualSpacing/>
        <w:rPr>
          <w:rFonts w:eastAsia="Calibri"/>
          <w:b/>
          <w:sz w:val="24"/>
          <w:szCs w:val="24"/>
        </w:rPr>
      </w:pPr>
      <w:r w:rsidRPr="00FE0A3E">
        <w:rPr>
          <w:rFonts w:eastAsia="Calibri"/>
          <w:b/>
          <w:sz w:val="24"/>
          <w:szCs w:val="24"/>
        </w:rPr>
        <w:t>Section 1915.507 – Landside Fire Protection Systems</w:t>
      </w:r>
    </w:p>
    <w:p w:rsidRPr="00FE0A3E" w:rsidR="00FE0A3E" w:rsidP="00FE0A3E" w:rsidRDefault="00FE0A3E" w14:paraId="478E8A8A" w14:textId="77777777">
      <w:pPr>
        <w:rPr>
          <w:rFonts w:eastAsia="Calibri"/>
          <w:b/>
          <w:sz w:val="24"/>
          <w:szCs w:val="24"/>
        </w:rPr>
      </w:pPr>
    </w:p>
    <w:p w:rsidRPr="00FE0A3E" w:rsidR="00FE0A3E" w:rsidP="00FE0A3E" w:rsidRDefault="00FE0A3E" w14:paraId="4265B091" w14:textId="77777777">
      <w:pPr>
        <w:rPr>
          <w:rFonts w:eastAsia="Calibri"/>
          <w:sz w:val="24"/>
          <w:szCs w:val="24"/>
        </w:rPr>
      </w:pPr>
      <w:r w:rsidRPr="00FE0A3E">
        <w:rPr>
          <w:rFonts w:eastAsia="Calibri"/>
          <w:sz w:val="24"/>
          <w:szCs w:val="24"/>
        </w:rPr>
        <w:t>Paragraph (c)(2) requires employers to notify workers when fixed extinguishing systems are not working.  No burden is calculated for this information collection activity because it is considered normal and customary to notify workers of situations that may affect their safety.</w:t>
      </w:r>
    </w:p>
    <w:p w:rsidRPr="00FE0A3E" w:rsidR="00FE0A3E" w:rsidP="00FE0A3E" w:rsidRDefault="00FE0A3E" w14:paraId="52337BBF" w14:textId="77777777">
      <w:pPr>
        <w:rPr>
          <w:rFonts w:eastAsia="Calibri"/>
          <w:sz w:val="24"/>
          <w:szCs w:val="24"/>
        </w:rPr>
      </w:pPr>
    </w:p>
    <w:p w:rsidRPr="00FE0A3E" w:rsidR="00FE0A3E" w:rsidP="00FE0A3E" w:rsidRDefault="00FE0A3E" w14:paraId="1C1F3CC2" w14:textId="77777777">
      <w:pPr>
        <w:rPr>
          <w:rFonts w:eastAsia="Calibri"/>
          <w:sz w:val="24"/>
          <w:szCs w:val="24"/>
        </w:rPr>
      </w:pPr>
      <w:r w:rsidRPr="00FE0A3E">
        <w:rPr>
          <w:rFonts w:eastAsia="Calibri"/>
          <w:sz w:val="24"/>
          <w:szCs w:val="24"/>
        </w:rPr>
        <w:t xml:space="preserve">Paragraph (c)(5) requires employers to post hazard warning signs and caution signs at both the entrance to and inside of areas protected by certain types of fixed extinguishing systems.  OSHA estimates that there would be few situations (once in each of the </w:t>
      </w:r>
      <w:r w:rsidR="00F811A7">
        <w:rPr>
          <w:rFonts w:eastAsia="Calibri"/>
          <w:sz w:val="24"/>
          <w:szCs w:val="24"/>
        </w:rPr>
        <w:t>168</w:t>
      </w:r>
      <w:r w:rsidRPr="00FE0A3E">
        <w:rPr>
          <w:rFonts w:eastAsia="Calibri"/>
          <w:sz w:val="24"/>
          <w:szCs w:val="24"/>
        </w:rPr>
        <w:t xml:space="preserve"> shipyards per year) where an employer would have to post hazard warning signs.  </w:t>
      </w:r>
      <w:r w:rsidR="00F5644F">
        <w:rPr>
          <w:rFonts w:eastAsia="Calibri"/>
          <w:sz w:val="24"/>
          <w:szCs w:val="24"/>
        </w:rPr>
        <w:t>Also</w:t>
      </w:r>
      <w:r w:rsidRPr="00FE0A3E">
        <w:rPr>
          <w:rFonts w:eastAsia="Calibri"/>
          <w:sz w:val="24"/>
          <w:szCs w:val="24"/>
        </w:rPr>
        <w:t>, it would be a usual and customary business practice for employers to have warning and caution signs readily available for posting.  OSHA estimates it takes about 5 minutes (</w:t>
      </w:r>
      <w:r w:rsidR="00325B23">
        <w:rPr>
          <w:rFonts w:eastAsia="Calibri"/>
          <w:sz w:val="24"/>
          <w:szCs w:val="24"/>
        </w:rPr>
        <w:t>5/60</w:t>
      </w:r>
      <w:r w:rsidRPr="00FE0A3E">
        <w:rPr>
          <w:rFonts w:eastAsia="Calibri"/>
          <w:sz w:val="24"/>
          <w:szCs w:val="24"/>
        </w:rPr>
        <w:t xml:space="preserve"> hour) to post signs.  The posting activity will be a one-time burden unless a sign becomes damaged and needs to be replaced.  OSHA estimates that each shipyard may have one instance per year where the signs initially posted will need to be replaced.  A production worker would perform this task.</w:t>
      </w:r>
    </w:p>
    <w:p w:rsidRPr="00FE0A3E" w:rsidR="00FE0A3E" w:rsidP="00FE0A3E" w:rsidRDefault="00FE0A3E" w14:paraId="756AA74E" w14:textId="77777777">
      <w:pPr>
        <w:rPr>
          <w:rFonts w:eastAsia="Calibri"/>
          <w:sz w:val="24"/>
          <w:szCs w:val="24"/>
        </w:rPr>
      </w:pPr>
    </w:p>
    <w:p w:rsidRPr="00FE0A3E" w:rsidR="00FE0A3E" w:rsidP="00FE0A3E" w:rsidRDefault="00FE0A3E" w14:paraId="17A14A75"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600993">
        <w:rPr>
          <w:rFonts w:eastAsia="Calibri"/>
          <w:sz w:val="24"/>
          <w:szCs w:val="24"/>
        </w:rPr>
        <w:t>168</w:t>
      </w:r>
      <w:r w:rsidRPr="00FE0A3E" w:rsidR="00C64A2A">
        <w:rPr>
          <w:rFonts w:eastAsia="Calibri"/>
          <w:sz w:val="24"/>
          <w:szCs w:val="24"/>
        </w:rPr>
        <w:t xml:space="preserve"> </w:t>
      </w:r>
      <w:r w:rsidRPr="00FE0A3E">
        <w:rPr>
          <w:rFonts w:eastAsia="Calibri"/>
          <w:sz w:val="24"/>
          <w:szCs w:val="24"/>
        </w:rPr>
        <w:t xml:space="preserve">shipyard x </w:t>
      </w:r>
      <w:r w:rsidR="00A509CD">
        <w:rPr>
          <w:rFonts w:eastAsia="Calibri"/>
          <w:sz w:val="24"/>
          <w:szCs w:val="24"/>
        </w:rPr>
        <w:t>5/60</w:t>
      </w:r>
      <w:r w:rsidRPr="00FE0A3E">
        <w:rPr>
          <w:rFonts w:eastAsia="Calibri"/>
          <w:sz w:val="24"/>
          <w:szCs w:val="24"/>
        </w:rPr>
        <w:t xml:space="preserve"> hour = </w:t>
      </w:r>
      <w:r w:rsidR="00C64A2A">
        <w:rPr>
          <w:rFonts w:eastAsia="Calibri"/>
          <w:sz w:val="24"/>
          <w:szCs w:val="24"/>
        </w:rPr>
        <w:t>14</w:t>
      </w:r>
      <w:r w:rsidRPr="00FE0A3E" w:rsidR="00C64A2A">
        <w:rPr>
          <w:rFonts w:eastAsia="Calibri"/>
          <w:sz w:val="24"/>
          <w:szCs w:val="24"/>
        </w:rPr>
        <w:t xml:space="preserve"> </w:t>
      </w:r>
      <w:r w:rsidRPr="00FE0A3E">
        <w:rPr>
          <w:rFonts w:eastAsia="Calibri"/>
          <w:sz w:val="24"/>
          <w:szCs w:val="24"/>
        </w:rPr>
        <w:t>hours (replacement posting)</w:t>
      </w:r>
    </w:p>
    <w:p w:rsidRPr="00FE0A3E" w:rsidR="00FE0A3E" w:rsidP="00FE0A3E" w:rsidRDefault="00FE0A3E" w14:paraId="21B22C5E" w14:textId="77777777">
      <w:pPr>
        <w:rPr>
          <w:rFonts w:eastAsia="Calibri"/>
          <w:sz w:val="24"/>
          <w:szCs w:val="24"/>
        </w:rPr>
      </w:pPr>
    </w:p>
    <w:p w:rsidRPr="00FE0A3E" w:rsidR="00FE0A3E" w:rsidP="00FE0A3E" w:rsidRDefault="00FE0A3E" w14:paraId="4B5CDF06" w14:textId="6A994CC4">
      <w:pPr>
        <w:rPr>
          <w:rFonts w:eastAsia="Calibri"/>
          <w:sz w:val="24"/>
          <w:szCs w:val="24"/>
        </w:rPr>
      </w:pPr>
      <w:r w:rsidRPr="00FE0A3E">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C64A2A">
        <w:rPr>
          <w:rFonts w:eastAsia="Calibri"/>
          <w:sz w:val="24"/>
          <w:szCs w:val="24"/>
        </w:rPr>
        <w:t>14</w:t>
      </w:r>
      <w:r w:rsidRPr="00FE0A3E" w:rsidR="00C64A2A">
        <w:rPr>
          <w:rFonts w:eastAsia="Calibri"/>
          <w:sz w:val="24"/>
          <w:szCs w:val="24"/>
        </w:rPr>
        <w:t xml:space="preserve"> </w:t>
      </w:r>
      <w:r w:rsidRPr="00FE0A3E">
        <w:rPr>
          <w:rFonts w:eastAsia="Calibri"/>
          <w:sz w:val="24"/>
          <w:szCs w:val="24"/>
        </w:rPr>
        <w:t>burden hours x $</w:t>
      </w:r>
      <w:r w:rsidR="00B962C4">
        <w:rPr>
          <w:rFonts w:eastAsia="Calibri"/>
          <w:sz w:val="24"/>
          <w:szCs w:val="24"/>
        </w:rPr>
        <w:t>35.26</w:t>
      </w:r>
      <w:r w:rsidRPr="00FE0A3E">
        <w:rPr>
          <w:rFonts w:eastAsia="Calibri"/>
          <w:sz w:val="24"/>
          <w:szCs w:val="24"/>
        </w:rPr>
        <w:t xml:space="preserve"> = $</w:t>
      </w:r>
      <w:r w:rsidR="00681E76">
        <w:rPr>
          <w:rFonts w:eastAsia="Calibri"/>
          <w:sz w:val="24"/>
          <w:szCs w:val="24"/>
        </w:rPr>
        <w:t>$493.64</w:t>
      </w:r>
    </w:p>
    <w:p w:rsidRPr="00FE0A3E" w:rsidR="00FE0A3E" w:rsidP="00FE0A3E" w:rsidRDefault="00FE0A3E" w14:paraId="44E4D0F5" w14:textId="77777777">
      <w:pPr>
        <w:rPr>
          <w:rFonts w:eastAsia="Calibri"/>
          <w:sz w:val="24"/>
          <w:szCs w:val="24"/>
        </w:rPr>
      </w:pPr>
    </w:p>
    <w:p w:rsidRPr="00FE0A3E" w:rsidR="00FE0A3E" w:rsidP="00FE0A3E" w:rsidRDefault="00FE0A3E" w14:paraId="19311070" w14:textId="77777777">
      <w:pPr>
        <w:numPr>
          <w:ilvl w:val="0"/>
          <w:numId w:val="16"/>
        </w:numPr>
        <w:spacing w:after="200" w:line="276" w:lineRule="auto"/>
        <w:contextualSpacing/>
        <w:rPr>
          <w:rFonts w:eastAsia="Calibri"/>
          <w:b/>
          <w:sz w:val="24"/>
          <w:szCs w:val="24"/>
        </w:rPr>
      </w:pPr>
      <w:r w:rsidRPr="00FE0A3E">
        <w:rPr>
          <w:rFonts w:eastAsia="Calibri"/>
          <w:b/>
          <w:sz w:val="24"/>
          <w:szCs w:val="24"/>
        </w:rPr>
        <w:lastRenderedPageBreak/>
        <w:t>Section 1915.508 – Training</w:t>
      </w:r>
    </w:p>
    <w:p w:rsidRPr="00FE0A3E" w:rsidR="00FE0A3E" w:rsidP="00FE0A3E" w:rsidRDefault="00FE0A3E" w14:paraId="0A504C77" w14:textId="77777777">
      <w:pPr>
        <w:rPr>
          <w:rFonts w:eastAsia="Calibri"/>
          <w:b/>
          <w:sz w:val="24"/>
          <w:szCs w:val="24"/>
        </w:rPr>
      </w:pPr>
    </w:p>
    <w:p w:rsidRPr="00FE0A3E" w:rsidR="00FE0A3E" w:rsidP="00FE0A3E" w:rsidRDefault="00FE0A3E" w14:paraId="4592386A" w14:textId="77777777">
      <w:pPr>
        <w:rPr>
          <w:rFonts w:eastAsia="Calibri"/>
          <w:sz w:val="24"/>
          <w:szCs w:val="24"/>
        </w:rPr>
      </w:pPr>
      <w:r w:rsidRPr="00FE0A3E">
        <w:rPr>
          <w:rFonts w:eastAsia="Calibri"/>
          <w:sz w:val="24"/>
          <w:szCs w:val="24"/>
        </w:rPr>
        <w:t>Paragraph (d)(1) requires employers to have a written training policy; paragraph (d)(2) requires employers to keep written standard operating procedures.  OSHA believes a supervisor has prepared the written training policy and is maintaining the standard operating procedures.  OSHA estimates it will take 1 minute (</w:t>
      </w:r>
      <w:r w:rsidR="00A5002A">
        <w:rPr>
          <w:rFonts w:eastAsia="Calibri"/>
          <w:sz w:val="24"/>
          <w:szCs w:val="24"/>
        </w:rPr>
        <w:t>1/60</w:t>
      </w:r>
      <w:r w:rsidRPr="00FE0A3E">
        <w:rPr>
          <w:rFonts w:eastAsia="Calibri"/>
          <w:sz w:val="24"/>
          <w:szCs w:val="24"/>
        </w:rPr>
        <w:t xml:space="preserve"> hour) for the training plan and 1 minute (</w:t>
      </w:r>
      <w:r w:rsidR="00A5002A">
        <w:rPr>
          <w:rFonts w:eastAsia="Calibri"/>
          <w:sz w:val="24"/>
          <w:szCs w:val="24"/>
        </w:rPr>
        <w:t>1/60</w:t>
      </w:r>
      <w:r w:rsidRPr="00FE0A3E">
        <w:rPr>
          <w:rFonts w:eastAsia="Calibri"/>
          <w:sz w:val="24"/>
          <w:szCs w:val="24"/>
        </w:rPr>
        <w:t xml:space="preserve"> hour) for the standard operations procedures for a total of 2 minutes (</w:t>
      </w:r>
      <w:r w:rsidR="00A5002A">
        <w:rPr>
          <w:rFonts w:eastAsia="Calibri"/>
          <w:sz w:val="24"/>
          <w:szCs w:val="24"/>
        </w:rPr>
        <w:t>2/60</w:t>
      </w:r>
      <w:r w:rsidRPr="00FE0A3E">
        <w:rPr>
          <w:rFonts w:eastAsia="Calibri"/>
          <w:sz w:val="24"/>
          <w:szCs w:val="24"/>
        </w:rPr>
        <w:t xml:space="preserve"> hour).  Thus, </w:t>
      </w:r>
      <w:r w:rsidR="00F5644F">
        <w:rPr>
          <w:rFonts w:eastAsia="Calibri"/>
          <w:sz w:val="24"/>
          <w:szCs w:val="24"/>
        </w:rPr>
        <w:t>estimated burdens are</w:t>
      </w:r>
    </w:p>
    <w:p w:rsidRPr="00FE0A3E" w:rsidR="00FE0A3E" w:rsidP="00FE0A3E" w:rsidRDefault="00FE0A3E" w14:paraId="158B036A" w14:textId="77777777">
      <w:pPr>
        <w:rPr>
          <w:rFonts w:eastAsia="Calibri"/>
          <w:sz w:val="24"/>
          <w:szCs w:val="24"/>
        </w:rPr>
      </w:pPr>
    </w:p>
    <w:p w:rsidRPr="00FE0A3E" w:rsidR="00FE0A3E" w:rsidP="00B42088" w:rsidRDefault="00FE0A3E" w14:paraId="110EC93C" w14:textId="77777777">
      <w:pPr>
        <w:ind w:left="288" w:firstLine="288"/>
        <w:rPr>
          <w:rFonts w:eastAsia="Calibri"/>
          <w:sz w:val="24"/>
          <w:szCs w:val="24"/>
        </w:rPr>
      </w:pPr>
      <w:r w:rsidRPr="00B42088">
        <w:rPr>
          <w:rFonts w:eastAsia="Calibri"/>
          <w:b/>
          <w:sz w:val="24"/>
          <w:szCs w:val="24"/>
        </w:rPr>
        <w:t>Burden hours</w:t>
      </w:r>
      <w:r w:rsidRPr="00FE0A3E">
        <w:rPr>
          <w:rFonts w:eastAsia="Calibri"/>
          <w:sz w:val="24"/>
          <w:szCs w:val="24"/>
        </w:rPr>
        <w:t>:</w:t>
      </w:r>
      <w:r w:rsidR="00AA1A0D">
        <w:rPr>
          <w:rFonts w:eastAsia="Calibri"/>
          <w:sz w:val="24"/>
          <w:szCs w:val="24"/>
        </w:rPr>
        <w:tab/>
      </w:r>
      <w:r w:rsidR="004C3496">
        <w:rPr>
          <w:rFonts w:eastAsia="Calibri"/>
          <w:sz w:val="24"/>
          <w:szCs w:val="24"/>
        </w:rPr>
        <w:t>253</w:t>
      </w:r>
      <w:r w:rsidRPr="00FE0A3E" w:rsidR="00C64A2A">
        <w:rPr>
          <w:rFonts w:eastAsia="Calibri"/>
          <w:sz w:val="24"/>
          <w:szCs w:val="24"/>
        </w:rPr>
        <w:t xml:space="preserve"> </w:t>
      </w:r>
      <w:r w:rsidRPr="00FE0A3E">
        <w:rPr>
          <w:rFonts w:eastAsia="Calibri"/>
          <w:sz w:val="24"/>
          <w:szCs w:val="24"/>
        </w:rPr>
        <w:t xml:space="preserve">employers x </w:t>
      </w:r>
      <w:r w:rsidR="00A5002A">
        <w:rPr>
          <w:rFonts w:eastAsia="Calibri"/>
          <w:sz w:val="24"/>
          <w:szCs w:val="24"/>
        </w:rPr>
        <w:t>2/60</w:t>
      </w:r>
      <w:r w:rsidRPr="00FE0A3E">
        <w:rPr>
          <w:rFonts w:eastAsia="Calibri"/>
          <w:sz w:val="24"/>
          <w:szCs w:val="24"/>
        </w:rPr>
        <w:t xml:space="preserve"> = </w:t>
      </w:r>
      <w:r w:rsidR="00A5002A">
        <w:rPr>
          <w:rFonts w:eastAsia="Calibri"/>
          <w:sz w:val="24"/>
          <w:szCs w:val="24"/>
        </w:rPr>
        <w:t>8.43</w:t>
      </w:r>
    </w:p>
    <w:p w:rsidRPr="00FE0A3E" w:rsidR="00FE0A3E" w:rsidP="00FE0A3E" w:rsidRDefault="00FE0A3E" w14:paraId="7F4AC076" w14:textId="77777777">
      <w:pPr>
        <w:ind w:left="2880"/>
        <w:rPr>
          <w:rFonts w:eastAsia="Calibri"/>
          <w:sz w:val="24"/>
          <w:szCs w:val="24"/>
        </w:rPr>
      </w:pPr>
    </w:p>
    <w:p w:rsidRPr="00FE0A3E" w:rsidR="00FE0A3E" w:rsidP="00FE0A3E" w:rsidRDefault="00FE0A3E" w14:paraId="71C65B83" w14:textId="77777777">
      <w:pPr>
        <w:rPr>
          <w:rFonts w:eastAsia="Calibri"/>
          <w:sz w:val="24"/>
          <w:szCs w:val="24"/>
        </w:rPr>
      </w:pPr>
      <w:r w:rsidRPr="00FE0A3E">
        <w:rPr>
          <w:rFonts w:eastAsia="Calibri"/>
          <w:sz w:val="24"/>
          <w:szCs w:val="24"/>
        </w:rPr>
        <w:tab/>
      </w:r>
      <w:r w:rsidR="00C87128">
        <w:rPr>
          <w:rFonts w:eastAsia="Calibri"/>
          <w:sz w:val="24"/>
          <w:szCs w:val="24"/>
        </w:rPr>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A5002A">
        <w:rPr>
          <w:rFonts w:eastAsia="Calibri"/>
          <w:sz w:val="24"/>
          <w:szCs w:val="24"/>
        </w:rPr>
        <w:t>8.43</w:t>
      </w:r>
      <w:r w:rsidRPr="00FE0A3E">
        <w:rPr>
          <w:rFonts w:eastAsia="Calibri"/>
          <w:sz w:val="24"/>
          <w:szCs w:val="24"/>
        </w:rPr>
        <w:t xml:space="preserve"> x $</w:t>
      </w:r>
      <w:r w:rsidR="00FF6C51">
        <w:rPr>
          <w:rFonts w:eastAsia="Calibri"/>
          <w:sz w:val="24"/>
          <w:szCs w:val="24"/>
        </w:rPr>
        <w:t>49.07</w:t>
      </w:r>
      <w:r w:rsidRPr="00FE0A3E">
        <w:rPr>
          <w:rFonts w:eastAsia="Calibri"/>
          <w:sz w:val="24"/>
          <w:szCs w:val="24"/>
        </w:rPr>
        <w:t xml:space="preserve"> = $</w:t>
      </w:r>
      <w:r w:rsidR="00A5002A">
        <w:rPr>
          <w:rFonts w:eastAsia="Calibri"/>
          <w:sz w:val="24"/>
          <w:szCs w:val="24"/>
        </w:rPr>
        <w:t>413.66</w:t>
      </w:r>
    </w:p>
    <w:p w:rsidRPr="00FE0A3E" w:rsidR="00FE0A3E" w:rsidP="00FE0A3E" w:rsidRDefault="00FE0A3E" w14:paraId="61B1991D" w14:textId="77777777">
      <w:pPr>
        <w:rPr>
          <w:rFonts w:eastAsia="Calibri"/>
          <w:sz w:val="24"/>
          <w:szCs w:val="24"/>
        </w:rPr>
      </w:pPr>
    </w:p>
    <w:p w:rsidRPr="00FE0A3E" w:rsidR="00FE0A3E" w:rsidP="00FE0A3E" w:rsidRDefault="00FE0A3E" w14:paraId="754BD65B" w14:textId="77777777">
      <w:pPr>
        <w:rPr>
          <w:rFonts w:eastAsia="Calibri"/>
          <w:sz w:val="24"/>
          <w:szCs w:val="24"/>
        </w:rPr>
      </w:pPr>
      <w:r w:rsidRPr="00FE0A3E">
        <w:rPr>
          <w:rFonts w:eastAsia="Calibri"/>
          <w:sz w:val="24"/>
          <w:szCs w:val="24"/>
        </w:rPr>
        <w:t>Paragraph (f) requires the employer to keep a record of the training.  The record must include the worker’s name; the trainer’s name; the type of training; the dates of training.  The employer must keep the training record for one year or until replaced, whichever is shortest.  OSHA estimates that it will take 3 minutes (</w:t>
      </w:r>
      <w:r w:rsidR="00A509CD">
        <w:rPr>
          <w:rFonts w:eastAsia="Calibri"/>
          <w:sz w:val="24"/>
          <w:szCs w:val="24"/>
        </w:rPr>
        <w:t>3/60</w:t>
      </w:r>
      <w:r w:rsidRPr="00FE0A3E">
        <w:rPr>
          <w:rFonts w:eastAsia="Calibri"/>
          <w:sz w:val="24"/>
          <w:szCs w:val="24"/>
        </w:rPr>
        <w:t xml:space="preserve"> hours) to generate and maintain the training record.  Every worker will receive some type of training under this standard each year and at least once a year thereafter.  </w:t>
      </w:r>
      <w:r w:rsidR="00F5644F">
        <w:rPr>
          <w:rFonts w:eastAsia="Calibri"/>
          <w:sz w:val="24"/>
          <w:szCs w:val="24"/>
        </w:rPr>
        <w:t>Also</w:t>
      </w:r>
      <w:r w:rsidRPr="00FE0A3E">
        <w:rPr>
          <w:rFonts w:eastAsia="Calibri"/>
          <w:sz w:val="24"/>
          <w:szCs w:val="24"/>
        </w:rPr>
        <w:t>, fire response workers (</w:t>
      </w:r>
      <w:r w:rsidR="00E876E6">
        <w:rPr>
          <w:rFonts w:eastAsia="Calibri"/>
          <w:sz w:val="24"/>
          <w:szCs w:val="24"/>
        </w:rPr>
        <w:t>8,197</w:t>
      </w:r>
      <w:r w:rsidRPr="00FE0A3E">
        <w:rPr>
          <w:rFonts w:eastAsia="Calibri"/>
          <w:sz w:val="24"/>
          <w:szCs w:val="24"/>
        </w:rPr>
        <w:t>) are trained quarterly beginning in the second year on additional training elements.</w:t>
      </w:r>
    </w:p>
    <w:p w:rsidRPr="00FE0A3E" w:rsidR="00FE0A3E" w:rsidP="00FE0A3E" w:rsidRDefault="00FE0A3E" w14:paraId="796B65AE" w14:textId="77777777">
      <w:pPr>
        <w:rPr>
          <w:rFonts w:eastAsia="Calibri"/>
          <w:sz w:val="24"/>
          <w:szCs w:val="24"/>
        </w:rPr>
      </w:pPr>
    </w:p>
    <w:p w:rsidRPr="00FE0A3E" w:rsidR="00FE0A3E" w:rsidP="00FE0A3E" w:rsidRDefault="00FE0A3E" w14:paraId="2828B188" w14:textId="77777777">
      <w:pPr>
        <w:rPr>
          <w:rFonts w:eastAsia="Calibri"/>
          <w:sz w:val="24"/>
          <w:szCs w:val="24"/>
        </w:rPr>
      </w:pPr>
      <w:r w:rsidRPr="00FE0A3E">
        <w:rPr>
          <w:rFonts w:eastAsia="Calibri"/>
          <w:sz w:val="24"/>
          <w:szCs w:val="24"/>
        </w:rPr>
        <w:tab/>
      </w:r>
      <w:r w:rsidRPr="00B42088">
        <w:rPr>
          <w:rFonts w:eastAsia="Calibri"/>
          <w:b/>
          <w:sz w:val="24"/>
          <w:szCs w:val="24"/>
        </w:rPr>
        <w:t>Burden hours</w:t>
      </w:r>
      <w:r w:rsidRPr="00FE0A3E">
        <w:rPr>
          <w:rFonts w:eastAsia="Calibri"/>
          <w:sz w:val="24"/>
          <w:szCs w:val="24"/>
        </w:rPr>
        <w:t>:</w:t>
      </w:r>
      <w:r w:rsidRPr="00FE0A3E">
        <w:rPr>
          <w:rFonts w:eastAsia="Calibri"/>
          <w:sz w:val="24"/>
          <w:szCs w:val="24"/>
        </w:rPr>
        <w:tab/>
      </w:r>
      <w:r w:rsidRPr="00FE0A3E">
        <w:rPr>
          <w:rFonts w:eastAsia="Calibri"/>
          <w:sz w:val="24"/>
          <w:szCs w:val="24"/>
        </w:rPr>
        <w:tab/>
      </w:r>
      <w:r w:rsidR="008979DD">
        <w:rPr>
          <w:rFonts w:eastAsia="Calibri"/>
          <w:sz w:val="24"/>
          <w:szCs w:val="24"/>
        </w:rPr>
        <w:t>99,963</w:t>
      </w:r>
      <w:r w:rsidRPr="00FE0A3E">
        <w:rPr>
          <w:rFonts w:eastAsia="Calibri"/>
          <w:sz w:val="24"/>
          <w:szCs w:val="24"/>
        </w:rPr>
        <w:t xml:space="preserve"> workers x </w:t>
      </w:r>
      <w:r w:rsidR="00A509CD">
        <w:rPr>
          <w:rFonts w:eastAsia="Calibri"/>
          <w:sz w:val="24"/>
          <w:szCs w:val="24"/>
        </w:rPr>
        <w:t>3/60</w:t>
      </w:r>
      <w:r w:rsidRPr="00FE0A3E">
        <w:rPr>
          <w:rFonts w:eastAsia="Calibri"/>
          <w:sz w:val="24"/>
          <w:szCs w:val="24"/>
        </w:rPr>
        <w:t xml:space="preserve"> hour = </w:t>
      </w:r>
      <w:r w:rsidR="00E876E6">
        <w:rPr>
          <w:rFonts w:eastAsia="Calibri"/>
          <w:sz w:val="24"/>
          <w:szCs w:val="24"/>
        </w:rPr>
        <w:t>4,998.15</w:t>
      </w:r>
      <w:r w:rsidRPr="00FE0A3E">
        <w:rPr>
          <w:rFonts w:eastAsia="Calibri"/>
          <w:sz w:val="24"/>
          <w:szCs w:val="24"/>
        </w:rPr>
        <w:t xml:space="preserve"> hours</w:t>
      </w:r>
    </w:p>
    <w:p w:rsidRPr="00FE0A3E" w:rsidR="00FE0A3E" w:rsidP="00FE0A3E" w:rsidRDefault="00FE0A3E" w14:paraId="3C2F88D8" w14:textId="77777777">
      <w:pPr>
        <w:rPr>
          <w:rFonts w:eastAsia="Calibri"/>
          <w:sz w:val="24"/>
          <w:szCs w:val="24"/>
        </w:rPr>
      </w:pPr>
    </w:p>
    <w:p w:rsidRPr="00FE0A3E" w:rsidR="00FE0A3E" w:rsidP="00D0409C" w:rsidRDefault="00E876E6" w14:paraId="06A1A987" w14:textId="77777777">
      <w:pPr>
        <w:ind w:left="4176" w:hanging="2160"/>
        <w:rPr>
          <w:rFonts w:eastAsia="Calibri"/>
          <w:sz w:val="24"/>
          <w:szCs w:val="24"/>
        </w:rPr>
      </w:pPr>
      <w:r>
        <w:rPr>
          <w:rFonts w:eastAsia="Calibri"/>
          <w:sz w:val="24"/>
          <w:szCs w:val="24"/>
        </w:rPr>
        <w:t>8,197</w:t>
      </w:r>
      <w:r w:rsidRPr="00FE0A3E" w:rsidR="00FE0A3E">
        <w:rPr>
          <w:rFonts w:eastAsia="Calibri"/>
          <w:sz w:val="24"/>
          <w:szCs w:val="24"/>
        </w:rPr>
        <w:t xml:space="preserve"> fire response workers x 4 times a year x </w:t>
      </w:r>
      <w:r w:rsidR="00A509CD">
        <w:rPr>
          <w:rFonts w:eastAsia="Calibri"/>
          <w:sz w:val="24"/>
          <w:szCs w:val="24"/>
        </w:rPr>
        <w:t>3/60</w:t>
      </w:r>
      <w:r w:rsidRPr="00FE0A3E" w:rsidR="00FE0A3E">
        <w:rPr>
          <w:rFonts w:eastAsia="Calibri"/>
          <w:sz w:val="24"/>
          <w:szCs w:val="24"/>
        </w:rPr>
        <w:t xml:space="preserve"> hour = </w:t>
      </w:r>
      <w:r>
        <w:rPr>
          <w:rFonts w:eastAsia="Calibri"/>
          <w:sz w:val="24"/>
          <w:szCs w:val="24"/>
        </w:rPr>
        <w:t>1,639.4</w:t>
      </w:r>
      <w:r w:rsidRPr="00FE0A3E" w:rsidR="00FE0A3E">
        <w:rPr>
          <w:rFonts w:eastAsia="Calibri"/>
          <w:sz w:val="24"/>
          <w:szCs w:val="24"/>
        </w:rPr>
        <w:t xml:space="preserve"> hours</w:t>
      </w:r>
    </w:p>
    <w:p w:rsidRPr="00FE0A3E" w:rsidR="00FE0A3E" w:rsidP="00FE0A3E" w:rsidRDefault="00FE0A3E" w14:paraId="02F15878" w14:textId="77777777">
      <w:pPr>
        <w:rPr>
          <w:rFonts w:eastAsia="Calibri"/>
          <w:sz w:val="24"/>
          <w:szCs w:val="24"/>
        </w:rPr>
      </w:pPr>
    </w:p>
    <w:p w:rsidRPr="00FE0A3E" w:rsidR="00FE0A3E" w:rsidP="00FE0A3E" w:rsidRDefault="00FE0A3E" w14:paraId="7FDB9E73" w14:textId="77777777">
      <w:pPr>
        <w:rPr>
          <w:rFonts w:eastAsia="Calibri"/>
          <w:sz w:val="24"/>
          <w:szCs w:val="24"/>
        </w:rPr>
      </w:pPr>
      <w:r w:rsidRPr="00FE0A3E">
        <w:rPr>
          <w:rFonts w:eastAsia="Calibri"/>
          <w:sz w:val="24"/>
          <w:szCs w:val="24"/>
        </w:rPr>
        <w:lastRenderedPageBreak/>
        <w:tab/>
      </w:r>
      <w:r w:rsidRPr="00B42088">
        <w:rPr>
          <w:rFonts w:eastAsia="Calibri"/>
          <w:b/>
          <w:sz w:val="24"/>
          <w:szCs w:val="24"/>
        </w:rPr>
        <w:t>Cost</w:t>
      </w:r>
      <w:r w:rsidRPr="00FE0A3E">
        <w:rPr>
          <w:rFonts w:eastAsia="Calibri"/>
          <w:sz w:val="24"/>
          <w:szCs w:val="24"/>
        </w:rPr>
        <w:t>:</w:t>
      </w:r>
      <w:r w:rsidRPr="00FE0A3E">
        <w:rPr>
          <w:rFonts w:eastAsia="Calibri"/>
          <w:sz w:val="24"/>
          <w:szCs w:val="24"/>
        </w:rPr>
        <w:tab/>
      </w:r>
      <w:r w:rsidRPr="00FE0A3E">
        <w:rPr>
          <w:rFonts w:eastAsia="Calibri"/>
          <w:sz w:val="24"/>
          <w:szCs w:val="24"/>
        </w:rPr>
        <w:tab/>
      </w:r>
      <w:r w:rsidRPr="00FE0A3E">
        <w:rPr>
          <w:rFonts w:eastAsia="Calibri"/>
          <w:sz w:val="24"/>
          <w:szCs w:val="24"/>
        </w:rPr>
        <w:tab/>
      </w:r>
      <w:r w:rsidR="00E876E6">
        <w:rPr>
          <w:rFonts w:eastAsia="Calibri"/>
          <w:sz w:val="24"/>
          <w:szCs w:val="24"/>
        </w:rPr>
        <w:t>6,637.55</w:t>
      </w:r>
      <w:r w:rsidRPr="00FE0A3E">
        <w:rPr>
          <w:rFonts w:eastAsia="Calibri"/>
          <w:sz w:val="24"/>
          <w:szCs w:val="24"/>
        </w:rPr>
        <w:t xml:space="preserve"> burden hours x $</w:t>
      </w:r>
      <w:r w:rsidR="00FF6C51">
        <w:rPr>
          <w:rFonts w:eastAsia="Calibri"/>
          <w:sz w:val="24"/>
          <w:szCs w:val="24"/>
        </w:rPr>
        <w:t>49.07</w:t>
      </w:r>
      <w:r w:rsidRPr="00FE0A3E">
        <w:rPr>
          <w:rFonts w:eastAsia="Calibri"/>
          <w:sz w:val="24"/>
          <w:szCs w:val="24"/>
        </w:rPr>
        <w:t xml:space="preserve"> = $</w:t>
      </w:r>
      <w:r w:rsidR="00E876E6">
        <w:rPr>
          <w:rFonts w:eastAsia="Calibri"/>
          <w:sz w:val="24"/>
          <w:szCs w:val="24"/>
        </w:rPr>
        <w:t>325,704.58</w:t>
      </w:r>
    </w:p>
    <w:p w:rsidRPr="00FE0A3E" w:rsidR="00FE0A3E" w:rsidP="00FE0A3E" w:rsidRDefault="00FE0A3E" w14:paraId="275A9E16" w14:textId="77777777">
      <w:pPr>
        <w:rPr>
          <w:rFonts w:eastAsia="Calibri"/>
          <w:sz w:val="24"/>
          <w:szCs w:val="24"/>
        </w:rPr>
      </w:pPr>
    </w:p>
    <w:p w:rsidR="00427D81" w:rsidP="00154C2A" w:rsidRDefault="00427D81" w14:paraId="5A6F8995" w14:textId="77777777">
      <w:pPr>
        <w:pStyle w:val="Response"/>
      </w:pPr>
    </w:p>
    <w:p w:rsidR="00427D81" w:rsidP="00154C2A" w:rsidRDefault="00427D81" w14:paraId="03FDFFEF" w14:textId="77777777">
      <w:pPr>
        <w:pStyle w:val="Response"/>
      </w:pPr>
    </w:p>
    <w:p w:rsidR="00427D81" w:rsidP="00154C2A" w:rsidRDefault="00427D81" w14:paraId="42502F64" w14:textId="77777777">
      <w:pPr>
        <w:pStyle w:val="Response"/>
      </w:pPr>
    </w:p>
    <w:p w:rsidR="00427D81" w:rsidP="00154C2A" w:rsidRDefault="00427D81" w14:paraId="1936F8AE" w14:textId="77777777">
      <w:pPr>
        <w:pStyle w:val="Response"/>
        <w:sectPr w:rsidR="00427D81" w:rsidSect="00AD0DDA">
          <w:headerReference w:type="even" r:id="rId11"/>
          <w:headerReference w:type="default" r:id="rId12"/>
          <w:footerReference w:type="default" r:id="rId13"/>
          <w:pgSz w:w="12240" w:h="15840"/>
          <w:pgMar w:top="1440" w:right="1440" w:bottom="1440" w:left="1440" w:header="720" w:footer="720" w:gutter="0"/>
          <w:cols w:space="720"/>
          <w:docGrid w:linePitch="360"/>
        </w:sectPr>
      </w:pPr>
    </w:p>
    <w:p w:rsidR="00427D81" w:rsidP="00154C2A" w:rsidRDefault="00427D81" w14:paraId="6CEEED85" w14:textId="77777777">
      <w:pPr>
        <w:pStyle w:val="Response"/>
      </w:pPr>
    </w:p>
    <w:p w:rsidR="007C548F" w:rsidP="00154C2A" w:rsidRDefault="007C548F" w14:paraId="251AFE01" w14:textId="77777777">
      <w:pPr>
        <w:pStyle w:val="Response"/>
        <w:rPr>
          <w:b/>
        </w:rPr>
      </w:pPr>
      <w:r w:rsidRPr="00B42088">
        <w:rPr>
          <w:b/>
        </w:rPr>
        <w:t>Table 3 – Summary of the Burden Hours and C</w:t>
      </w:r>
      <w:r w:rsidRPr="00B42088" w:rsidR="00DE08DF">
        <w:rPr>
          <w:b/>
        </w:rPr>
        <w:t xml:space="preserve">ost of </w:t>
      </w:r>
      <w:r w:rsidRPr="00B42088">
        <w:rPr>
          <w:b/>
        </w:rPr>
        <w:t>Respondent</w:t>
      </w:r>
      <w:r w:rsidRPr="00B42088" w:rsidR="00DE08DF">
        <w:rPr>
          <w:b/>
        </w:rPr>
        <w:t xml:space="preserve"> per Response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228"/>
        <w:gridCol w:w="1335"/>
        <w:gridCol w:w="1402"/>
        <w:gridCol w:w="1228"/>
        <w:gridCol w:w="1145"/>
        <w:gridCol w:w="1036"/>
        <w:gridCol w:w="1043"/>
        <w:gridCol w:w="968"/>
        <w:gridCol w:w="1225"/>
      </w:tblGrid>
      <w:tr w:rsidRPr="00CA77CD" w:rsidR="000A31BB" w:rsidTr="003C27DC" w14:paraId="2E908C66" w14:textId="77777777">
        <w:trPr>
          <w:tblHeader/>
        </w:trPr>
        <w:tc>
          <w:tcPr>
            <w:tcW w:w="2565" w:type="dxa"/>
            <w:shd w:val="clear" w:color="auto" w:fill="9CC2E5"/>
            <w:vAlign w:val="center"/>
          </w:tcPr>
          <w:p w:rsidRPr="00B42088" w:rsidR="00427D81" w:rsidP="00CA77CD" w:rsidRDefault="00427D81" w14:paraId="178F3B6A" w14:textId="77777777">
            <w:pPr>
              <w:pStyle w:val="Response"/>
              <w:jc w:val="center"/>
              <w:rPr>
                <w:b/>
                <w:sz w:val="20"/>
                <w:szCs w:val="20"/>
              </w:rPr>
            </w:pPr>
            <w:r w:rsidRPr="00B42088">
              <w:rPr>
                <w:b/>
                <w:sz w:val="20"/>
                <w:szCs w:val="20"/>
              </w:rPr>
              <w:t>Information Collection Requirements</w:t>
            </w:r>
          </w:p>
        </w:tc>
        <w:tc>
          <w:tcPr>
            <w:tcW w:w="1224" w:type="dxa"/>
            <w:shd w:val="clear" w:color="auto" w:fill="9CC2E5"/>
            <w:vAlign w:val="center"/>
          </w:tcPr>
          <w:p w:rsidRPr="00B42088" w:rsidR="00427D81" w:rsidP="006646CD" w:rsidRDefault="00427D81" w14:paraId="6CE71D2F" w14:textId="305F28FF">
            <w:pPr>
              <w:pStyle w:val="Response"/>
              <w:jc w:val="center"/>
              <w:rPr>
                <w:b/>
                <w:sz w:val="20"/>
                <w:szCs w:val="20"/>
              </w:rPr>
            </w:pPr>
            <w:r w:rsidRPr="00B42088">
              <w:rPr>
                <w:b/>
                <w:sz w:val="20"/>
                <w:szCs w:val="20"/>
              </w:rPr>
              <w:t xml:space="preserve">Type of Respondent </w:t>
            </w:r>
          </w:p>
        </w:tc>
        <w:tc>
          <w:tcPr>
            <w:tcW w:w="1249" w:type="dxa"/>
            <w:shd w:val="clear" w:color="auto" w:fill="9CC2E5"/>
            <w:vAlign w:val="center"/>
          </w:tcPr>
          <w:p w:rsidRPr="00B42088" w:rsidR="00427D81" w:rsidP="00B42088" w:rsidRDefault="00E470BE" w14:paraId="79577F71" w14:textId="77777777">
            <w:pPr>
              <w:pStyle w:val="Response"/>
              <w:jc w:val="center"/>
              <w:rPr>
                <w:b/>
                <w:sz w:val="20"/>
                <w:szCs w:val="20"/>
              </w:rPr>
            </w:pPr>
            <w:r w:rsidRPr="00B42088">
              <w:rPr>
                <w:b/>
                <w:sz w:val="20"/>
                <w:szCs w:val="20"/>
              </w:rPr>
              <w:t>Occupation</w:t>
            </w:r>
            <w:r w:rsidR="009248F2">
              <w:rPr>
                <w:rStyle w:val="FootnoteReference"/>
                <w:b/>
                <w:sz w:val="20"/>
                <w:szCs w:val="20"/>
              </w:rPr>
              <w:footnoteReference w:id="12"/>
            </w:r>
          </w:p>
        </w:tc>
        <w:tc>
          <w:tcPr>
            <w:tcW w:w="1439" w:type="dxa"/>
            <w:shd w:val="clear" w:color="auto" w:fill="9CC2E5"/>
            <w:vAlign w:val="center"/>
          </w:tcPr>
          <w:p w:rsidRPr="00B42088" w:rsidR="00427D81" w:rsidP="00CA77CD" w:rsidRDefault="00427D81" w14:paraId="2CC11D7E" w14:textId="77777777">
            <w:pPr>
              <w:pStyle w:val="Response"/>
              <w:jc w:val="center"/>
              <w:rPr>
                <w:b/>
                <w:sz w:val="20"/>
                <w:szCs w:val="20"/>
              </w:rPr>
            </w:pPr>
            <w:r w:rsidRPr="00B42088">
              <w:rPr>
                <w:b/>
                <w:sz w:val="20"/>
                <w:szCs w:val="20"/>
              </w:rPr>
              <w:t>No. of Respondents</w:t>
            </w:r>
          </w:p>
        </w:tc>
        <w:tc>
          <w:tcPr>
            <w:tcW w:w="1201" w:type="dxa"/>
            <w:shd w:val="clear" w:color="auto" w:fill="9CC2E5"/>
            <w:vAlign w:val="center"/>
          </w:tcPr>
          <w:p w:rsidRPr="00B42088" w:rsidR="00427D81" w:rsidP="00CA77CD" w:rsidRDefault="00427D81" w14:paraId="079545F7" w14:textId="77777777">
            <w:pPr>
              <w:spacing w:line="276" w:lineRule="auto"/>
              <w:jc w:val="center"/>
              <w:rPr>
                <w:rFonts w:eastAsia="Calibri"/>
                <w:b/>
              </w:rPr>
            </w:pPr>
          </w:p>
          <w:p w:rsidRPr="00B42088" w:rsidR="00427D81" w:rsidP="00CA77CD" w:rsidRDefault="0068138A" w14:paraId="04A9CA62" w14:textId="0F9B86A8">
            <w:pPr>
              <w:spacing w:line="276" w:lineRule="auto"/>
              <w:jc w:val="center"/>
              <w:rPr>
                <w:rFonts w:eastAsia="Calibri"/>
                <w:b/>
              </w:rPr>
            </w:pPr>
            <w:r>
              <w:rPr>
                <w:rFonts w:eastAsia="Calibri"/>
                <w:b/>
              </w:rPr>
              <w:t xml:space="preserve">Number of </w:t>
            </w:r>
            <w:r w:rsidR="006646CD">
              <w:rPr>
                <w:rFonts w:eastAsia="Calibri"/>
                <w:b/>
              </w:rPr>
              <w:t>Respon</w:t>
            </w:r>
            <w:r w:rsidR="001F6BEC">
              <w:rPr>
                <w:rFonts w:eastAsia="Calibri"/>
                <w:b/>
              </w:rPr>
              <w:t>ses</w:t>
            </w:r>
            <w:r>
              <w:rPr>
                <w:rFonts w:eastAsia="Calibri"/>
                <w:b/>
              </w:rPr>
              <w:t xml:space="preserve"> per Respon</w:t>
            </w:r>
            <w:r w:rsidR="001F6BEC">
              <w:rPr>
                <w:rFonts w:eastAsia="Calibri"/>
                <w:b/>
              </w:rPr>
              <w:t>dent</w:t>
            </w:r>
            <w:r>
              <w:rPr>
                <w:rFonts w:eastAsia="Calibri"/>
                <w:b/>
              </w:rPr>
              <w:t xml:space="preserve">  </w:t>
            </w:r>
          </w:p>
          <w:p w:rsidRPr="00B42088" w:rsidR="00427D81" w:rsidP="00CA77CD" w:rsidRDefault="00427D81" w14:paraId="00C5C72E" w14:textId="77777777">
            <w:pPr>
              <w:pStyle w:val="Response"/>
              <w:jc w:val="center"/>
              <w:rPr>
                <w:b/>
                <w:sz w:val="20"/>
                <w:szCs w:val="20"/>
              </w:rPr>
            </w:pPr>
          </w:p>
        </w:tc>
        <w:tc>
          <w:tcPr>
            <w:tcW w:w="1164" w:type="dxa"/>
            <w:shd w:val="clear" w:color="auto" w:fill="9CC2E5"/>
            <w:vAlign w:val="center"/>
          </w:tcPr>
          <w:p w:rsidRPr="00B42088" w:rsidR="00427D81" w:rsidP="006646CD" w:rsidRDefault="0068138A" w14:paraId="3E76DE51" w14:textId="710E59E0">
            <w:pPr>
              <w:pStyle w:val="Response"/>
              <w:jc w:val="center"/>
              <w:rPr>
                <w:b/>
                <w:sz w:val="20"/>
                <w:szCs w:val="20"/>
              </w:rPr>
            </w:pPr>
            <w:r>
              <w:rPr>
                <w:b/>
                <w:sz w:val="20"/>
                <w:szCs w:val="20"/>
              </w:rPr>
              <w:t xml:space="preserve">Total  Responses </w:t>
            </w:r>
          </w:p>
        </w:tc>
        <w:tc>
          <w:tcPr>
            <w:tcW w:w="1043" w:type="dxa"/>
            <w:shd w:val="clear" w:color="auto" w:fill="9CC2E5"/>
            <w:vAlign w:val="center"/>
          </w:tcPr>
          <w:p w:rsidRPr="00B42088" w:rsidR="00427D81" w:rsidP="003C27DC" w:rsidRDefault="006646CD" w14:paraId="713BA284" w14:textId="677D1DFD">
            <w:pPr>
              <w:pStyle w:val="Response"/>
              <w:jc w:val="center"/>
              <w:rPr>
                <w:b/>
                <w:sz w:val="20"/>
                <w:szCs w:val="20"/>
              </w:rPr>
            </w:pPr>
            <w:r>
              <w:rPr>
                <w:b/>
                <w:sz w:val="20"/>
                <w:szCs w:val="20"/>
              </w:rPr>
              <w:t xml:space="preserve"> Time</w:t>
            </w:r>
            <w:r w:rsidR="003C27DC">
              <w:rPr>
                <w:b/>
                <w:sz w:val="20"/>
                <w:szCs w:val="20"/>
              </w:rPr>
              <w:t xml:space="preserve"> per Response (Hours</w:t>
            </w:r>
            <w:r w:rsidR="0068138A">
              <w:rPr>
                <w:b/>
                <w:sz w:val="20"/>
                <w:szCs w:val="20"/>
              </w:rPr>
              <w:t xml:space="preserve">) </w:t>
            </w:r>
          </w:p>
        </w:tc>
        <w:tc>
          <w:tcPr>
            <w:tcW w:w="1054" w:type="dxa"/>
            <w:shd w:val="clear" w:color="auto" w:fill="9CC2E5"/>
            <w:vAlign w:val="center"/>
          </w:tcPr>
          <w:p w:rsidRPr="00B42088" w:rsidR="00427D81" w:rsidP="006646CD" w:rsidRDefault="0068138A" w14:paraId="17D68623" w14:textId="6A59C6A7">
            <w:pPr>
              <w:pStyle w:val="Response"/>
              <w:jc w:val="center"/>
              <w:rPr>
                <w:b/>
                <w:sz w:val="20"/>
                <w:szCs w:val="20"/>
              </w:rPr>
            </w:pPr>
            <w:r>
              <w:rPr>
                <w:b/>
                <w:sz w:val="20"/>
                <w:szCs w:val="20"/>
              </w:rPr>
              <w:t xml:space="preserve"> </w:t>
            </w:r>
            <w:r w:rsidRPr="00B42088" w:rsidR="00427D81">
              <w:rPr>
                <w:b/>
                <w:sz w:val="20"/>
                <w:szCs w:val="20"/>
              </w:rPr>
              <w:t>Burden Hours</w:t>
            </w:r>
          </w:p>
        </w:tc>
        <w:tc>
          <w:tcPr>
            <w:tcW w:w="1009" w:type="dxa"/>
            <w:shd w:val="clear" w:color="auto" w:fill="9CC2E5"/>
            <w:vAlign w:val="center"/>
          </w:tcPr>
          <w:p w:rsidRPr="00B42088" w:rsidR="00427D81" w:rsidP="00CA77CD" w:rsidRDefault="006646CD" w14:paraId="2C0D930B" w14:textId="0B1FA001">
            <w:pPr>
              <w:spacing w:line="276" w:lineRule="auto"/>
              <w:jc w:val="center"/>
              <w:rPr>
                <w:rFonts w:eastAsia="Calibri"/>
                <w:b/>
              </w:rPr>
            </w:pPr>
            <w:r>
              <w:rPr>
                <w:rFonts w:eastAsia="Calibri"/>
                <w:b/>
              </w:rPr>
              <w:t>Loaded</w:t>
            </w:r>
            <w:r w:rsidR="0068138A">
              <w:rPr>
                <w:rFonts w:eastAsia="Calibri"/>
                <w:b/>
              </w:rPr>
              <w:t xml:space="preserve"> </w:t>
            </w:r>
            <w:r w:rsidRPr="00B42088" w:rsidR="00427D81">
              <w:rPr>
                <w:rFonts w:eastAsia="Calibri"/>
                <w:b/>
              </w:rPr>
              <w:t>Hourly</w:t>
            </w:r>
          </w:p>
          <w:p w:rsidRPr="00B42088" w:rsidR="00427D81" w:rsidP="00CA77CD" w:rsidRDefault="00427D81" w14:paraId="1FCEE471" w14:textId="77777777">
            <w:pPr>
              <w:pStyle w:val="Response"/>
              <w:jc w:val="center"/>
              <w:rPr>
                <w:b/>
                <w:sz w:val="20"/>
                <w:szCs w:val="20"/>
              </w:rPr>
            </w:pPr>
            <w:r w:rsidRPr="00B42088">
              <w:rPr>
                <w:b/>
                <w:sz w:val="20"/>
                <w:szCs w:val="20"/>
              </w:rPr>
              <w:t>Wage</w:t>
            </w:r>
          </w:p>
        </w:tc>
        <w:tc>
          <w:tcPr>
            <w:tcW w:w="1228" w:type="dxa"/>
            <w:shd w:val="clear" w:color="auto" w:fill="9CC2E5"/>
            <w:vAlign w:val="center"/>
          </w:tcPr>
          <w:p w:rsidRPr="00B42088" w:rsidR="00427D81" w:rsidP="006646CD" w:rsidRDefault="0068138A" w14:paraId="5F1E758D" w14:textId="129B523D">
            <w:pPr>
              <w:pStyle w:val="Response"/>
              <w:jc w:val="center"/>
              <w:rPr>
                <w:b/>
                <w:sz w:val="20"/>
                <w:szCs w:val="20"/>
              </w:rPr>
            </w:pPr>
            <w:r>
              <w:rPr>
                <w:b/>
                <w:sz w:val="20"/>
                <w:szCs w:val="20"/>
              </w:rPr>
              <w:t xml:space="preserve"> </w:t>
            </w:r>
            <w:r w:rsidRPr="00B42088" w:rsidR="00427D81">
              <w:rPr>
                <w:b/>
                <w:sz w:val="20"/>
                <w:szCs w:val="20"/>
              </w:rPr>
              <w:t xml:space="preserve">Cost  </w:t>
            </w:r>
          </w:p>
        </w:tc>
      </w:tr>
      <w:tr w:rsidRPr="00CA77CD" w:rsidR="000A31BB" w:rsidTr="005C110A" w14:paraId="7A8B59D6" w14:textId="77777777">
        <w:tc>
          <w:tcPr>
            <w:tcW w:w="2565" w:type="dxa"/>
            <w:shd w:val="clear" w:color="auto" w:fill="auto"/>
          </w:tcPr>
          <w:p w:rsidRPr="00B42088" w:rsidR="003A4854" w:rsidP="003A4854" w:rsidRDefault="003A4854" w14:paraId="7A66E74A" w14:textId="77777777">
            <w:pPr>
              <w:pStyle w:val="Response"/>
              <w:rPr>
                <w:b/>
                <w:sz w:val="20"/>
                <w:szCs w:val="20"/>
              </w:rPr>
            </w:pPr>
            <w:r w:rsidRPr="00B42088">
              <w:rPr>
                <w:sz w:val="20"/>
                <w:szCs w:val="20"/>
              </w:rPr>
              <w:t>1. General Provisions – Inform Contractors About the Fire Safety Plan (1915.501(d)(1)(i))</w:t>
            </w:r>
          </w:p>
        </w:tc>
        <w:tc>
          <w:tcPr>
            <w:tcW w:w="1224" w:type="dxa"/>
            <w:shd w:val="clear" w:color="auto" w:fill="auto"/>
            <w:vAlign w:val="bottom"/>
          </w:tcPr>
          <w:p w:rsidRPr="00B42088" w:rsidR="003A4854" w:rsidP="003A4854" w:rsidRDefault="003A4854" w14:paraId="58C3F19A" w14:textId="77777777">
            <w:pPr>
              <w:pStyle w:val="Response"/>
              <w:rPr>
                <w:b/>
                <w:sz w:val="20"/>
                <w:szCs w:val="20"/>
              </w:rPr>
            </w:pPr>
            <w:r w:rsidRPr="00B42088">
              <w:rPr>
                <w:sz w:val="20"/>
                <w:szCs w:val="20"/>
              </w:rPr>
              <w:t>Annual</w:t>
            </w:r>
          </w:p>
        </w:tc>
        <w:tc>
          <w:tcPr>
            <w:tcW w:w="1249" w:type="dxa"/>
            <w:shd w:val="clear" w:color="auto" w:fill="auto"/>
            <w:vAlign w:val="bottom"/>
          </w:tcPr>
          <w:p w:rsidRPr="000B4863" w:rsidR="003A4854" w:rsidP="003A4854" w:rsidRDefault="000B4863" w14:paraId="70187430" w14:textId="77777777">
            <w:pPr>
              <w:pStyle w:val="Response"/>
              <w:rPr>
                <w:sz w:val="20"/>
                <w:szCs w:val="20"/>
              </w:rPr>
            </w:pPr>
            <w:r>
              <w:rPr>
                <w:sz w:val="20"/>
                <w:szCs w:val="20"/>
              </w:rPr>
              <w:t>Supervisor</w:t>
            </w:r>
          </w:p>
        </w:tc>
        <w:tc>
          <w:tcPr>
            <w:tcW w:w="1439" w:type="dxa"/>
            <w:shd w:val="clear" w:color="auto" w:fill="auto"/>
            <w:vAlign w:val="bottom"/>
          </w:tcPr>
          <w:p w:rsidRPr="00B42088" w:rsidR="003A4854" w:rsidP="003A4854" w:rsidRDefault="003A4854" w14:paraId="752E4E12" w14:textId="77777777">
            <w:pPr>
              <w:pStyle w:val="Response"/>
              <w:rPr>
                <w:b/>
                <w:sz w:val="20"/>
                <w:szCs w:val="20"/>
              </w:rPr>
            </w:pPr>
            <w:r w:rsidRPr="00B42088">
              <w:rPr>
                <w:sz w:val="20"/>
                <w:szCs w:val="20"/>
              </w:rPr>
              <w:t>168</w:t>
            </w:r>
          </w:p>
        </w:tc>
        <w:tc>
          <w:tcPr>
            <w:tcW w:w="1201" w:type="dxa"/>
            <w:shd w:val="clear" w:color="auto" w:fill="auto"/>
            <w:vAlign w:val="bottom"/>
          </w:tcPr>
          <w:p w:rsidRPr="00B42088" w:rsidR="003A4854" w:rsidP="003A4854" w:rsidRDefault="003A4854" w14:paraId="0C75F377" w14:textId="77777777">
            <w:pPr>
              <w:pStyle w:val="Response"/>
              <w:rPr>
                <w:b/>
                <w:sz w:val="20"/>
                <w:szCs w:val="20"/>
              </w:rPr>
            </w:pPr>
            <w:r w:rsidRPr="00B42088">
              <w:rPr>
                <w:sz w:val="20"/>
                <w:szCs w:val="20"/>
              </w:rPr>
              <w:t>4</w:t>
            </w:r>
          </w:p>
        </w:tc>
        <w:tc>
          <w:tcPr>
            <w:tcW w:w="1164" w:type="dxa"/>
            <w:shd w:val="clear" w:color="auto" w:fill="auto"/>
            <w:vAlign w:val="bottom"/>
          </w:tcPr>
          <w:p w:rsidRPr="00B42088" w:rsidR="003A4854" w:rsidP="003A4854" w:rsidRDefault="003A4854" w14:paraId="2409D780" w14:textId="77777777">
            <w:pPr>
              <w:pStyle w:val="Response"/>
              <w:rPr>
                <w:b/>
                <w:sz w:val="20"/>
                <w:szCs w:val="20"/>
              </w:rPr>
            </w:pPr>
            <w:r w:rsidRPr="00B42088">
              <w:rPr>
                <w:sz w:val="20"/>
                <w:szCs w:val="20"/>
              </w:rPr>
              <w:t>672</w:t>
            </w:r>
          </w:p>
        </w:tc>
        <w:tc>
          <w:tcPr>
            <w:tcW w:w="1043" w:type="dxa"/>
            <w:shd w:val="clear" w:color="auto" w:fill="auto"/>
            <w:vAlign w:val="bottom"/>
          </w:tcPr>
          <w:p w:rsidRPr="00B42088" w:rsidR="003A4854" w:rsidP="003A4854" w:rsidRDefault="00AF3B6B" w14:paraId="289D16FA" w14:textId="77777777">
            <w:pPr>
              <w:pStyle w:val="Response"/>
              <w:rPr>
                <w:b/>
                <w:sz w:val="20"/>
                <w:szCs w:val="20"/>
              </w:rPr>
            </w:pPr>
            <w:r w:rsidRPr="00B42088">
              <w:rPr>
                <w:sz w:val="20"/>
                <w:szCs w:val="20"/>
              </w:rPr>
              <w:t>30/60</w:t>
            </w:r>
          </w:p>
        </w:tc>
        <w:tc>
          <w:tcPr>
            <w:tcW w:w="1054" w:type="dxa"/>
            <w:shd w:val="clear" w:color="auto" w:fill="auto"/>
            <w:vAlign w:val="bottom"/>
          </w:tcPr>
          <w:p w:rsidRPr="00B42088" w:rsidR="003A4854" w:rsidP="003A4854" w:rsidRDefault="003A4854" w14:paraId="2D87479E" w14:textId="77777777">
            <w:pPr>
              <w:pStyle w:val="Response"/>
              <w:rPr>
                <w:b/>
                <w:sz w:val="20"/>
                <w:szCs w:val="20"/>
              </w:rPr>
            </w:pPr>
            <w:r w:rsidRPr="00B42088">
              <w:rPr>
                <w:sz w:val="20"/>
                <w:szCs w:val="20"/>
              </w:rPr>
              <w:t>336</w:t>
            </w:r>
          </w:p>
        </w:tc>
        <w:tc>
          <w:tcPr>
            <w:tcW w:w="1009" w:type="dxa"/>
            <w:shd w:val="clear" w:color="auto" w:fill="auto"/>
            <w:vAlign w:val="bottom"/>
          </w:tcPr>
          <w:p w:rsidRPr="00B42088" w:rsidR="003A4854" w:rsidP="003A4854" w:rsidRDefault="003A4854" w14:paraId="39D34739" w14:textId="77777777">
            <w:pPr>
              <w:pStyle w:val="Response"/>
              <w:rPr>
                <w:b/>
                <w:sz w:val="20"/>
                <w:szCs w:val="20"/>
              </w:rPr>
            </w:pPr>
            <w:r w:rsidRPr="00B42088">
              <w:rPr>
                <w:sz w:val="20"/>
                <w:szCs w:val="20"/>
              </w:rPr>
              <w:t xml:space="preserve">$49.07 </w:t>
            </w:r>
          </w:p>
        </w:tc>
        <w:tc>
          <w:tcPr>
            <w:tcW w:w="1228" w:type="dxa"/>
            <w:shd w:val="clear" w:color="auto" w:fill="auto"/>
            <w:vAlign w:val="bottom"/>
          </w:tcPr>
          <w:p w:rsidRPr="00B42088" w:rsidR="003A4854" w:rsidP="003A4854" w:rsidRDefault="003A4854" w14:paraId="796032D7" w14:textId="77777777">
            <w:pPr>
              <w:pStyle w:val="Response"/>
              <w:rPr>
                <w:b/>
                <w:sz w:val="20"/>
                <w:szCs w:val="20"/>
              </w:rPr>
            </w:pPr>
            <w:r w:rsidRPr="00B42088">
              <w:rPr>
                <w:sz w:val="20"/>
                <w:szCs w:val="20"/>
              </w:rPr>
              <w:t xml:space="preserve">$16,487.52 </w:t>
            </w:r>
          </w:p>
        </w:tc>
      </w:tr>
      <w:tr w:rsidRPr="00CA77CD" w:rsidR="000A31BB" w:rsidTr="005C110A" w14:paraId="212A4F7B" w14:textId="77777777">
        <w:tc>
          <w:tcPr>
            <w:tcW w:w="2565" w:type="dxa"/>
            <w:shd w:val="clear" w:color="auto" w:fill="DEEAF6"/>
            <w:vAlign w:val="bottom"/>
          </w:tcPr>
          <w:p w:rsidRPr="00B42088" w:rsidR="00B27A47" w:rsidP="00B27A47" w:rsidRDefault="00B27A47" w14:paraId="4F027122" w14:textId="77777777">
            <w:pPr>
              <w:pStyle w:val="Response"/>
              <w:rPr>
                <w:sz w:val="20"/>
                <w:szCs w:val="20"/>
              </w:rPr>
            </w:pPr>
            <w:r w:rsidRPr="00C47BB8">
              <w:rPr>
                <w:b/>
                <w:bCs/>
                <w:sz w:val="20"/>
                <w:szCs w:val="20"/>
              </w:rPr>
              <w:t>Subtotals</w:t>
            </w:r>
          </w:p>
        </w:tc>
        <w:tc>
          <w:tcPr>
            <w:tcW w:w="1224" w:type="dxa"/>
            <w:shd w:val="clear" w:color="auto" w:fill="DEEAF6"/>
            <w:vAlign w:val="bottom"/>
          </w:tcPr>
          <w:p w:rsidRPr="00B42088" w:rsidR="00B27A47" w:rsidP="00B27A47" w:rsidRDefault="00B27A47" w14:paraId="2BBB1213" w14:textId="77777777">
            <w:pPr>
              <w:pStyle w:val="Response"/>
              <w:rPr>
                <w:sz w:val="20"/>
                <w:szCs w:val="20"/>
              </w:rPr>
            </w:pPr>
          </w:p>
        </w:tc>
        <w:tc>
          <w:tcPr>
            <w:tcW w:w="1249" w:type="dxa"/>
            <w:shd w:val="clear" w:color="auto" w:fill="DEEAF6"/>
            <w:vAlign w:val="bottom"/>
          </w:tcPr>
          <w:p w:rsidRPr="00B42088" w:rsidR="00B27A47" w:rsidP="00B27A47" w:rsidRDefault="00B27A47" w14:paraId="42B12BE2" w14:textId="77777777">
            <w:pPr>
              <w:pStyle w:val="Response"/>
              <w:rPr>
                <w:sz w:val="20"/>
                <w:szCs w:val="20"/>
              </w:rPr>
            </w:pPr>
          </w:p>
        </w:tc>
        <w:tc>
          <w:tcPr>
            <w:tcW w:w="1439" w:type="dxa"/>
            <w:shd w:val="clear" w:color="auto" w:fill="DEEAF6"/>
            <w:vAlign w:val="bottom"/>
          </w:tcPr>
          <w:p w:rsidRPr="00B42088" w:rsidR="00B27A47" w:rsidP="00B27A47" w:rsidRDefault="00B27A47" w14:paraId="21ED53CC" w14:textId="77777777">
            <w:pPr>
              <w:pStyle w:val="Response"/>
              <w:rPr>
                <w:sz w:val="20"/>
                <w:szCs w:val="20"/>
              </w:rPr>
            </w:pPr>
          </w:p>
        </w:tc>
        <w:tc>
          <w:tcPr>
            <w:tcW w:w="1201" w:type="dxa"/>
            <w:shd w:val="clear" w:color="auto" w:fill="DEEAF6"/>
            <w:vAlign w:val="bottom"/>
          </w:tcPr>
          <w:p w:rsidRPr="00B42088" w:rsidR="00B27A47" w:rsidP="00B27A47" w:rsidRDefault="00B27A47" w14:paraId="28B472A8" w14:textId="77777777">
            <w:pPr>
              <w:pStyle w:val="Response"/>
              <w:rPr>
                <w:sz w:val="20"/>
                <w:szCs w:val="20"/>
              </w:rPr>
            </w:pPr>
          </w:p>
        </w:tc>
        <w:tc>
          <w:tcPr>
            <w:tcW w:w="1164" w:type="dxa"/>
            <w:shd w:val="clear" w:color="auto" w:fill="DEEAF6"/>
            <w:vAlign w:val="bottom"/>
          </w:tcPr>
          <w:p w:rsidRPr="00B42088" w:rsidR="00B27A47" w:rsidP="00B27A47" w:rsidRDefault="00B27A47" w14:paraId="2D9F5DB1" w14:textId="77777777">
            <w:pPr>
              <w:pStyle w:val="Response"/>
              <w:rPr>
                <w:b/>
                <w:sz w:val="20"/>
                <w:szCs w:val="20"/>
              </w:rPr>
            </w:pPr>
            <w:r w:rsidRPr="00B42088">
              <w:rPr>
                <w:b/>
                <w:sz w:val="20"/>
                <w:szCs w:val="20"/>
              </w:rPr>
              <w:t>672</w:t>
            </w:r>
          </w:p>
        </w:tc>
        <w:tc>
          <w:tcPr>
            <w:tcW w:w="1043" w:type="dxa"/>
            <w:shd w:val="clear" w:color="auto" w:fill="DEEAF6"/>
            <w:vAlign w:val="bottom"/>
          </w:tcPr>
          <w:p w:rsidRPr="00B42088" w:rsidR="00B27A47" w:rsidP="00B27A47" w:rsidRDefault="00B27A47" w14:paraId="55DA0DCA" w14:textId="77777777">
            <w:pPr>
              <w:pStyle w:val="Response"/>
              <w:rPr>
                <w:b/>
                <w:sz w:val="20"/>
                <w:szCs w:val="20"/>
              </w:rPr>
            </w:pPr>
          </w:p>
        </w:tc>
        <w:tc>
          <w:tcPr>
            <w:tcW w:w="1054" w:type="dxa"/>
            <w:shd w:val="clear" w:color="auto" w:fill="DEEAF6"/>
            <w:vAlign w:val="bottom"/>
          </w:tcPr>
          <w:p w:rsidRPr="00B42088" w:rsidR="00B27A47" w:rsidP="00B27A47" w:rsidRDefault="00B27A47" w14:paraId="294FEAF5" w14:textId="77777777">
            <w:pPr>
              <w:pStyle w:val="Response"/>
              <w:rPr>
                <w:b/>
                <w:sz w:val="20"/>
                <w:szCs w:val="20"/>
              </w:rPr>
            </w:pPr>
            <w:r w:rsidRPr="00B42088">
              <w:rPr>
                <w:b/>
                <w:sz w:val="20"/>
                <w:szCs w:val="20"/>
              </w:rPr>
              <w:t>336</w:t>
            </w:r>
          </w:p>
        </w:tc>
        <w:tc>
          <w:tcPr>
            <w:tcW w:w="1009" w:type="dxa"/>
            <w:shd w:val="clear" w:color="auto" w:fill="DEEAF6"/>
            <w:vAlign w:val="bottom"/>
          </w:tcPr>
          <w:p w:rsidRPr="00B42088" w:rsidR="00B27A47" w:rsidP="00B27A47" w:rsidRDefault="00B27A47" w14:paraId="79F5740B" w14:textId="77777777">
            <w:pPr>
              <w:pStyle w:val="Response"/>
              <w:rPr>
                <w:b/>
                <w:sz w:val="20"/>
                <w:szCs w:val="20"/>
              </w:rPr>
            </w:pPr>
            <w:r w:rsidRPr="00B42088">
              <w:rPr>
                <w:b/>
                <w:sz w:val="20"/>
                <w:szCs w:val="20"/>
              </w:rPr>
              <w:t xml:space="preserve">$49.07 </w:t>
            </w:r>
          </w:p>
        </w:tc>
        <w:tc>
          <w:tcPr>
            <w:tcW w:w="1228" w:type="dxa"/>
            <w:shd w:val="clear" w:color="auto" w:fill="DEEAF6"/>
            <w:vAlign w:val="bottom"/>
          </w:tcPr>
          <w:p w:rsidRPr="00B42088" w:rsidR="00B27A47" w:rsidP="00B27A47" w:rsidRDefault="00B27A47" w14:paraId="5871CF4B" w14:textId="77777777">
            <w:pPr>
              <w:pStyle w:val="Response"/>
              <w:rPr>
                <w:b/>
                <w:sz w:val="20"/>
                <w:szCs w:val="20"/>
              </w:rPr>
            </w:pPr>
            <w:r w:rsidRPr="00B42088">
              <w:rPr>
                <w:b/>
                <w:sz w:val="20"/>
                <w:szCs w:val="20"/>
              </w:rPr>
              <w:t xml:space="preserve">$16,487.52 </w:t>
            </w:r>
          </w:p>
        </w:tc>
      </w:tr>
      <w:tr w:rsidRPr="00CA77CD" w:rsidR="000A31BB" w:rsidTr="005C110A" w14:paraId="1674323A" w14:textId="77777777">
        <w:tc>
          <w:tcPr>
            <w:tcW w:w="2565" w:type="dxa"/>
            <w:shd w:val="clear" w:color="auto" w:fill="auto"/>
            <w:vAlign w:val="center"/>
          </w:tcPr>
          <w:p w:rsidRPr="00B42088" w:rsidR="00B27A47" w:rsidP="00B27A47" w:rsidRDefault="00B27A47" w14:paraId="6F37F65A" w14:textId="77777777">
            <w:pPr>
              <w:pStyle w:val="Response"/>
              <w:rPr>
                <w:b/>
                <w:sz w:val="20"/>
                <w:szCs w:val="20"/>
              </w:rPr>
            </w:pPr>
            <w:r w:rsidRPr="00B42088">
              <w:rPr>
                <w:sz w:val="20"/>
                <w:szCs w:val="20"/>
              </w:rPr>
              <w:t xml:space="preserve">2. Develop </w:t>
            </w:r>
            <w:r w:rsidR="00F5644F">
              <w:rPr>
                <w:sz w:val="20"/>
                <w:szCs w:val="20"/>
              </w:rPr>
              <w:t xml:space="preserve">a </w:t>
            </w:r>
            <w:r w:rsidRPr="00B42088">
              <w:rPr>
                <w:sz w:val="20"/>
                <w:szCs w:val="20"/>
              </w:rPr>
              <w:t>Fire Safety Plan (1915.502(a))</w:t>
            </w:r>
          </w:p>
        </w:tc>
        <w:tc>
          <w:tcPr>
            <w:tcW w:w="1224" w:type="dxa"/>
            <w:shd w:val="clear" w:color="auto" w:fill="auto"/>
            <w:vAlign w:val="bottom"/>
          </w:tcPr>
          <w:p w:rsidRPr="00B42088" w:rsidR="00B27A47" w:rsidP="00B27A47" w:rsidRDefault="00B27A47" w14:paraId="50F2BE46"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B27A47" w:rsidP="000B4863" w:rsidRDefault="00B27A47" w14:paraId="0B7A6CB5" w14:textId="77777777">
            <w:pPr>
              <w:pStyle w:val="Response"/>
              <w:rPr>
                <w:b/>
                <w:sz w:val="20"/>
                <w:szCs w:val="20"/>
              </w:rPr>
            </w:pPr>
            <w:r w:rsidRPr="00B42088">
              <w:rPr>
                <w:sz w:val="20"/>
                <w:szCs w:val="20"/>
              </w:rPr>
              <w:t> </w:t>
            </w:r>
            <w:r w:rsidR="000B4863">
              <w:rPr>
                <w:sz w:val="20"/>
                <w:szCs w:val="20"/>
              </w:rPr>
              <w:t>Manager</w:t>
            </w:r>
          </w:p>
        </w:tc>
        <w:tc>
          <w:tcPr>
            <w:tcW w:w="1439" w:type="dxa"/>
            <w:shd w:val="clear" w:color="auto" w:fill="auto"/>
            <w:vAlign w:val="bottom"/>
          </w:tcPr>
          <w:p w:rsidRPr="00B42088" w:rsidR="00B27A47" w:rsidP="00B27A47" w:rsidRDefault="00B27A47" w14:paraId="72A91718" w14:textId="77777777">
            <w:pPr>
              <w:pStyle w:val="Response"/>
              <w:rPr>
                <w:b/>
                <w:sz w:val="20"/>
                <w:szCs w:val="20"/>
              </w:rPr>
            </w:pPr>
            <w:r w:rsidRPr="00B42088">
              <w:rPr>
                <w:sz w:val="20"/>
                <w:szCs w:val="20"/>
              </w:rPr>
              <w:t>210</w:t>
            </w:r>
          </w:p>
        </w:tc>
        <w:tc>
          <w:tcPr>
            <w:tcW w:w="1201" w:type="dxa"/>
            <w:shd w:val="clear" w:color="auto" w:fill="auto"/>
            <w:vAlign w:val="bottom"/>
          </w:tcPr>
          <w:p w:rsidRPr="00B42088" w:rsidR="00B27A47" w:rsidP="005756B3" w:rsidRDefault="000D5D12" w14:paraId="5BE7EE86" w14:textId="24E6429D">
            <w:pPr>
              <w:pStyle w:val="Response"/>
              <w:rPr>
                <w:b/>
                <w:sz w:val="20"/>
                <w:szCs w:val="20"/>
              </w:rPr>
            </w:pPr>
            <w:r>
              <w:rPr>
                <w:sz w:val="20"/>
                <w:szCs w:val="20"/>
              </w:rPr>
              <w:t>0.1</w:t>
            </w:r>
          </w:p>
        </w:tc>
        <w:tc>
          <w:tcPr>
            <w:tcW w:w="1164" w:type="dxa"/>
            <w:shd w:val="clear" w:color="auto" w:fill="auto"/>
            <w:vAlign w:val="bottom"/>
          </w:tcPr>
          <w:p w:rsidRPr="00B42088" w:rsidR="00B27A47" w:rsidP="00B27A47" w:rsidRDefault="00B27A47" w14:paraId="6BB67FCA" w14:textId="77777777">
            <w:pPr>
              <w:pStyle w:val="Response"/>
              <w:rPr>
                <w:b/>
                <w:sz w:val="20"/>
                <w:szCs w:val="20"/>
              </w:rPr>
            </w:pPr>
            <w:r w:rsidRPr="00B42088">
              <w:rPr>
                <w:sz w:val="20"/>
                <w:szCs w:val="20"/>
              </w:rPr>
              <w:t>21</w:t>
            </w:r>
          </w:p>
        </w:tc>
        <w:tc>
          <w:tcPr>
            <w:tcW w:w="1043" w:type="dxa"/>
            <w:shd w:val="clear" w:color="auto" w:fill="auto"/>
            <w:vAlign w:val="bottom"/>
          </w:tcPr>
          <w:p w:rsidRPr="00B42088" w:rsidR="00B27A47" w:rsidP="00B27A47" w:rsidRDefault="00B27A47" w14:paraId="535164EA" w14:textId="77777777">
            <w:pPr>
              <w:pStyle w:val="Response"/>
              <w:rPr>
                <w:b/>
                <w:sz w:val="20"/>
                <w:szCs w:val="20"/>
              </w:rPr>
            </w:pPr>
            <w:r w:rsidRPr="00B42088">
              <w:rPr>
                <w:sz w:val="20"/>
                <w:szCs w:val="20"/>
              </w:rPr>
              <w:t>4</w:t>
            </w:r>
          </w:p>
        </w:tc>
        <w:tc>
          <w:tcPr>
            <w:tcW w:w="1054" w:type="dxa"/>
            <w:shd w:val="clear" w:color="auto" w:fill="auto"/>
            <w:vAlign w:val="bottom"/>
          </w:tcPr>
          <w:p w:rsidRPr="00B42088" w:rsidR="00B27A47" w:rsidP="00B27A47" w:rsidRDefault="00B27A47" w14:paraId="74993AA6" w14:textId="77777777">
            <w:pPr>
              <w:pStyle w:val="Response"/>
              <w:rPr>
                <w:b/>
                <w:sz w:val="20"/>
                <w:szCs w:val="20"/>
              </w:rPr>
            </w:pPr>
            <w:r w:rsidRPr="00B42088">
              <w:rPr>
                <w:sz w:val="20"/>
                <w:szCs w:val="20"/>
              </w:rPr>
              <w:t>84</w:t>
            </w:r>
          </w:p>
        </w:tc>
        <w:tc>
          <w:tcPr>
            <w:tcW w:w="1009" w:type="dxa"/>
            <w:shd w:val="clear" w:color="auto" w:fill="auto"/>
            <w:vAlign w:val="bottom"/>
          </w:tcPr>
          <w:p w:rsidRPr="00B42088" w:rsidR="00B27A47" w:rsidP="00B27A47" w:rsidRDefault="00B27A47" w14:paraId="356BE3BF" w14:textId="77777777">
            <w:pPr>
              <w:pStyle w:val="Response"/>
              <w:rPr>
                <w:b/>
                <w:sz w:val="20"/>
                <w:szCs w:val="20"/>
              </w:rPr>
            </w:pPr>
            <w:r w:rsidRPr="00B42088">
              <w:rPr>
                <w:sz w:val="20"/>
                <w:szCs w:val="20"/>
              </w:rPr>
              <w:t> </w:t>
            </w:r>
          </w:p>
        </w:tc>
        <w:tc>
          <w:tcPr>
            <w:tcW w:w="1228" w:type="dxa"/>
            <w:shd w:val="clear" w:color="auto" w:fill="auto"/>
            <w:vAlign w:val="bottom"/>
          </w:tcPr>
          <w:p w:rsidRPr="00B42088" w:rsidR="00B27A47" w:rsidP="00B27A47" w:rsidRDefault="00B27A47" w14:paraId="070CF087" w14:textId="77777777">
            <w:pPr>
              <w:pStyle w:val="Response"/>
              <w:rPr>
                <w:b/>
                <w:sz w:val="20"/>
                <w:szCs w:val="20"/>
              </w:rPr>
            </w:pPr>
            <w:r w:rsidRPr="00B42088">
              <w:rPr>
                <w:sz w:val="20"/>
                <w:szCs w:val="20"/>
              </w:rPr>
              <w:t> </w:t>
            </w:r>
          </w:p>
        </w:tc>
      </w:tr>
      <w:tr w:rsidRPr="00CA77CD" w:rsidR="000A31BB" w:rsidTr="005C110A" w14:paraId="3C857568" w14:textId="77777777">
        <w:tc>
          <w:tcPr>
            <w:tcW w:w="2565" w:type="dxa"/>
            <w:shd w:val="clear" w:color="auto" w:fill="auto"/>
            <w:vAlign w:val="bottom"/>
          </w:tcPr>
          <w:p w:rsidRPr="00B42088" w:rsidR="000B4863" w:rsidP="000B4863" w:rsidRDefault="000B4863" w14:paraId="02B7A3FB"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5A1A7D8B"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0B4863" w:rsidP="000B4863" w:rsidRDefault="000B4863" w14:paraId="454F2187"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07C61555" w14:textId="77777777">
            <w:pPr>
              <w:pStyle w:val="Response"/>
              <w:rPr>
                <w:b/>
                <w:sz w:val="20"/>
                <w:szCs w:val="20"/>
              </w:rPr>
            </w:pPr>
            <w:r w:rsidRPr="00B42088">
              <w:rPr>
                <w:sz w:val="20"/>
                <w:szCs w:val="20"/>
              </w:rPr>
              <w:t>20</w:t>
            </w:r>
          </w:p>
        </w:tc>
        <w:tc>
          <w:tcPr>
            <w:tcW w:w="1201" w:type="dxa"/>
            <w:shd w:val="clear" w:color="auto" w:fill="auto"/>
            <w:vAlign w:val="bottom"/>
          </w:tcPr>
          <w:p w:rsidRPr="00B42088" w:rsidR="000B4863" w:rsidP="000D5D12" w:rsidRDefault="000D5D12" w14:paraId="552D16D3" w14:textId="10BC30FC">
            <w:pPr>
              <w:pStyle w:val="Response"/>
              <w:rPr>
                <w:b/>
                <w:sz w:val="20"/>
                <w:szCs w:val="20"/>
              </w:rPr>
            </w:pPr>
            <w:r>
              <w:rPr>
                <w:sz w:val="20"/>
                <w:szCs w:val="20"/>
              </w:rPr>
              <w:t>0.1</w:t>
            </w:r>
          </w:p>
        </w:tc>
        <w:tc>
          <w:tcPr>
            <w:tcW w:w="1164" w:type="dxa"/>
            <w:shd w:val="clear" w:color="auto" w:fill="auto"/>
            <w:vAlign w:val="bottom"/>
          </w:tcPr>
          <w:p w:rsidRPr="00B42088" w:rsidR="000B4863" w:rsidP="000B4863" w:rsidRDefault="000B4863" w14:paraId="3DD1784A" w14:textId="77777777">
            <w:pPr>
              <w:pStyle w:val="Response"/>
              <w:rPr>
                <w:b/>
                <w:sz w:val="20"/>
                <w:szCs w:val="20"/>
              </w:rPr>
            </w:pPr>
            <w:r w:rsidRPr="00B42088">
              <w:rPr>
                <w:sz w:val="20"/>
                <w:szCs w:val="20"/>
              </w:rPr>
              <w:t>2</w:t>
            </w:r>
          </w:p>
        </w:tc>
        <w:tc>
          <w:tcPr>
            <w:tcW w:w="1043" w:type="dxa"/>
            <w:shd w:val="clear" w:color="auto" w:fill="auto"/>
            <w:vAlign w:val="bottom"/>
          </w:tcPr>
          <w:p w:rsidRPr="00B42088" w:rsidR="000B4863" w:rsidP="000B4863" w:rsidRDefault="000B4863" w14:paraId="28008E58" w14:textId="77777777">
            <w:pPr>
              <w:pStyle w:val="Response"/>
              <w:rPr>
                <w:b/>
                <w:sz w:val="20"/>
                <w:szCs w:val="20"/>
              </w:rPr>
            </w:pPr>
            <w:r w:rsidRPr="00B42088">
              <w:rPr>
                <w:sz w:val="20"/>
                <w:szCs w:val="20"/>
              </w:rPr>
              <w:t>6</w:t>
            </w:r>
          </w:p>
        </w:tc>
        <w:tc>
          <w:tcPr>
            <w:tcW w:w="1054" w:type="dxa"/>
            <w:shd w:val="clear" w:color="auto" w:fill="auto"/>
            <w:vAlign w:val="bottom"/>
          </w:tcPr>
          <w:p w:rsidRPr="00B42088" w:rsidR="000B4863" w:rsidP="000B4863" w:rsidRDefault="000B4863" w14:paraId="3861892E" w14:textId="77777777">
            <w:pPr>
              <w:pStyle w:val="Response"/>
              <w:rPr>
                <w:b/>
                <w:sz w:val="20"/>
                <w:szCs w:val="20"/>
              </w:rPr>
            </w:pPr>
            <w:r w:rsidRPr="00B42088">
              <w:rPr>
                <w:sz w:val="20"/>
                <w:szCs w:val="20"/>
              </w:rPr>
              <w:t>12</w:t>
            </w:r>
          </w:p>
        </w:tc>
        <w:tc>
          <w:tcPr>
            <w:tcW w:w="1009" w:type="dxa"/>
            <w:shd w:val="clear" w:color="auto" w:fill="auto"/>
            <w:vAlign w:val="bottom"/>
          </w:tcPr>
          <w:p w:rsidRPr="00B42088" w:rsidR="000B4863" w:rsidP="000B4863" w:rsidRDefault="000B4863" w14:paraId="10D880EE" w14:textId="77777777">
            <w:pPr>
              <w:pStyle w:val="Response"/>
              <w:rPr>
                <w:b/>
                <w:sz w:val="20"/>
                <w:szCs w:val="20"/>
              </w:rPr>
            </w:pPr>
          </w:p>
        </w:tc>
        <w:tc>
          <w:tcPr>
            <w:tcW w:w="1228" w:type="dxa"/>
            <w:shd w:val="clear" w:color="auto" w:fill="auto"/>
            <w:vAlign w:val="bottom"/>
          </w:tcPr>
          <w:p w:rsidRPr="00B42088" w:rsidR="000B4863" w:rsidP="000B4863" w:rsidRDefault="000B4863" w14:paraId="5CD6EE6B" w14:textId="77777777">
            <w:pPr>
              <w:pStyle w:val="Response"/>
              <w:rPr>
                <w:b/>
                <w:sz w:val="20"/>
                <w:szCs w:val="20"/>
              </w:rPr>
            </w:pPr>
          </w:p>
        </w:tc>
      </w:tr>
      <w:tr w:rsidRPr="00CA77CD" w:rsidR="000A31BB" w:rsidTr="005C110A" w14:paraId="70D3302B" w14:textId="77777777">
        <w:tc>
          <w:tcPr>
            <w:tcW w:w="2565" w:type="dxa"/>
            <w:shd w:val="clear" w:color="auto" w:fill="auto"/>
            <w:vAlign w:val="bottom"/>
          </w:tcPr>
          <w:p w:rsidRPr="00B42088" w:rsidR="000B4863" w:rsidP="000B4863" w:rsidRDefault="000B4863" w14:paraId="66F5FE41"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0627FDE6"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0B4863" w:rsidP="000B4863" w:rsidRDefault="000B4863" w14:paraId="474424D0"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1C452B9D" w14:textId="77777777">
            <w:pPr>
              <w:pStyle w:val="Response"/>
              <w:rPr>
                <w:b/>
                <w:sz w:val="20"/>
                <w:szCs w:val="20"/>
              </w:rPr>
            </w:pPr>
            <w:r w:rsidRPr="00B42088">
              <w:rPr>
                <w:sz w:val="20"/>
                <w:szCs w:val="20"/>
              </w:rPr>
              <w:t>23</w:t>
            </w:r>
          </w:p>
        </w:tc>
        <w:tc>
          <w:tcPr>
            <w:tcW w:w="1201" w:type="dxa"/>
            <w:shd w:val="clear" w:color="auto" w:fill="auto"/>
            <w:vAlign w:val="bottom"/>
          </w:tcPr>
          <w:p w:rsidRPr="00B42088" w:rsidR="000B4863" w:rsidP="000B4863" w:rsidRDefault="000D5D12" w14:paraId="24A6D6AA" w14:textId="7135C6E8">
            <w:pPr>
              <w:pStyle w:val="Response"/>
              <w:rPr>
                <w:b/>
                <w:sz w:val="20"/>
                <w:szCs w:val="20"/>
              </w:rPr>
            </w:pPr>
            <w:r>
              <w:rPr>
                <w:sz w:val="20"/>
                <w:szCs w:val="20"/>
              </w:rPr>
              <w:t>0.1</w:t>
            </w:r>
          </w:p>
        </w:tc>
        <w:tc>
          <w:tcPr>
            <w:tcW w:w="1164" w:type="dxa"/>
            <w:shd w:val="clear" w:color="auto" w:fill="auto"/>
            <w:vAlign w:val="bottom"/>
          </w:tcPr>
          <w:p w:rsidRPr="00B42088" w:rsidR="000B4863" w:rsidP="000B4863" w:rsidRDefault="000B4863" w14:paraId="2F860D2D" w14:textId="77777777">
            <w:pPr>
              <w:pStyle w:val="Response"/>
              <w:rPr>
                <w:b/>
                <w:sz w:val="20"/>
                <w:szCs w:val="20"/>
              </w:rPr>
            </w:pPr>
            <w:r w:rsidRPr="00B42088">
              <w:rPr>
                <w:sz w:val="20"/>
                <w:szCs w:val="20"/>
              </w:rPr>
              <w:t>2.3</w:t>
            </w:r>
          </w:p>
        </w:tc>
        <w:tc>
          <w:tcPr>
            <w:tcW w:w="1043" w:type="dxa"/>
            <w:shd w:val="clear" w:color="auto" w:fill="auto"/>
            <w:vAlign w:val="bottom"/>
          </w:tcPr>
          <w:p w:rsidRPr="00B42088" w:rsidR="000B4863" w:rsidP="000B4863" w:rsidRDefault="000B4863" w14:paraId="44B453E2" w14:textId="77777777">
            <w:pPr>
              <w:pStyle w:val="Response"/>
              <w:rPr>
                <w:b/>
                <w:sz w:val="20"/>
                <w:szCs w:val="20"/>
              </w:rPr>
            </w:pPr>
            <w:r w:rsidRPr="00B42088">
              <w:rPr>
                <w:sz w:val="20"/>
                <w:szCs w:val="20"/>
              </w:rPr>
              <w:t>12</w:t>
            </w:r>
          </w:p>
        </w:tc>
        <w:tc>
          <w:tcPr>
            <w:tcW w:w="1054" w:type="dxa"/>
            <w:shd w:val="clear" w:color="auto" w:fill="auto"/>
            <w:vAlign w:val="bottom"/>
          </w:tcPr>
          <w:p w:rsidRPr="00B42088" w:rsidR="000B4863" w:rsidP="000B4863" w:rsidRDefault="000B4863" w14:paraId="5502EB74" w14:textId="77777777">
            <w:pPr>
              <w:pStyle w:val="Response"/>
              <w:rPr>
                <w:b/>
                <w:sz w:val="20"/>
                <w:szCs w:val="20"/>
              </w:rPr>
            </w:pPr>
            <w:r w:rsidRPr="00B42088">
              <w:rPr>
                <w:sz w:val="20"/>
                <w:szCs w:val="20"/>
              </w:rPr>
              <w:t>27.6</w:t>
            </w:r>
          </w:p>
        </w:tc>
        <w:tc>
          <w:tcPr>
            <w:tcW w:w="1009" w:type="dxa"/>
            <w:shd w:val="clear" w:color="auto" w:fill="auto"/>
            <w:vAlign w:val="bottom"/>
          </w:tcPr>
          <w:p w:rsidRPr="00B42088" w:rsidR="000B4863" w:rsidP="000B4863" w:rsidRDefault="000B4863" w14:paraId="6C0F9F9F" w14:textId="77777777">
            <w:pPr>
              <w:pStyle w:val="Response"/>
              <w:rPr>
                <w:b/>
                <w:sz w:val="20"/>
                <w:szCs w:val="20"/>
              </w:rPr>
            </w:pPr>
          </w:p>
        </w:tc>
        <w:tc>
          <w:tcPr>
            <w:tcW w:w="1228" w:type="dxa"/>
            <w:shd w:val="clear" w:color="auto" w:fill="auto"/>
            <w:vAlign w:val="bottom"/>
          </w:tcPr>
          <w:p w:rsidRPr="00B42088" w:rsidR="000B4863" w:rsidP="000B4863" w:rsidRDefault="000B4863" w14:paraId="2E6B98D7" w14:textId="77777777">
            <w:pPr>
              <w:pStyle w:val="Response"/>
              <w:rPr>
                <w:b/>
                <w:sz w:val="20"/>
                <w:szCs w:val="20"/>
              </w:rPr>
            </w:pPr>
          </w:p>
        </w:tc>
      </w:tr>
      <w:tr w:rsidRPr="00CA77CD" w:rsidR="000A31BB" w:rsidTr="005C110A" w14:paraId="2AA9133F" w14:textId="77777777">
        <w:tc>
          <w:tcPr>
            <w:tcW w:w="2565" w:type="dxa"/>
            <w:shd w:val="clear" w:color="auto" w:fill="DEEAF6"/>
            <w:vAlign w:val="bottom"/>
          </w:tcPr>
          <w:p w:rsidRPr="00B42088" w:rsidR="000B4863" w:rsidP="000B4863" w:rsidRDefault="000B4863" w14:paraId="70EBC712"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0B4863" w:rsidP="000B4863" w:rsidRDefault="000B4863" w14:paraId="2040FBA5" w14:textId="77777777">
            <w:pPr>
              <w:pStyle w:val="Response"/>
              <w:rPr>
                <w:b/>
                <w:sz w:val="20"/>
                <w:szCs w:val="20"/>
              </w:rPr>
            </w:pPr>
            <w:r w:rsidRPr="00B42088">
              <w:rPr>
                <w:sz w:val="20"/>
                <w:szCs w:val="20"/>
              </w:rPr>
              <w:t> </w:t>
            </w:r>
          </w:p>
        </w:tc>
        <w:tc>
          <w:tcPr>
            <w:tcW w:w="1249" w:type="dxa"/>
            <w:shd w:val="clear" w:color="auto" w:fill="DEEAF6"/>
            <w:vAlign w:val="bottom"/>
          </w:tcPr>
          <w:p w:rsidRPr="00B42088" w:rsidR="000B4863" w:rsidP="000B4863" w:rsidRDefault="000B4863" w14:paraId="7802B763" w14:textId="77777777">
            <w:pPr>
              <w:pStyle w:val="Response"/>
              <w:rPr>
                <w:b/>
                <w:sz w:val="20"/>
                <w:szCs w:val="20"/>
              </w:rPr>
            </w:pPr>
            <w:r w:rsidRPr="00B42088">
              <w:rPr>
                <w:sz w:val="20"/>
                <w:szCs w:val="20"/>
              </w:rPr>
              <w:t> </w:t>
            </w:r>
          </w:p>
        </w:tc>
        <w:tc>
          <w:tcPr>
            <w:tcW w:w="1439" w:type="dxa"/>
            <w:shd w:val="clear" w:color="auto" w:fill="DEEAF6"/>
            <w:vAlign w:val="bottom"/>
          </w:tcPr>
          <w:p w:rsidRPr="00B42088" w:rsidR="000B4863" w:rsidP="000B4863" w:rsidRDefault="000B4863" w14:paraId="1B4257FD" w14:textId="77777777">
            <w:pPr>
              <w:pStyle w:val="Response"/>
              <w:rPr>
                <w:b/>
                <w:sz w:val="20"/>
                <w:szCs w:val="20"/>
              </w:rPr>
            </w:pPr>
          </w:p>
        </w:tc>
        <w:tc>
          <w:tcPr>
            <w:tcW w:w="1201" w:type="dxa"/>
            <w:shd w:val="clear" w:color="auto" w:fill="DEEAF6"/>
            <w:vAlign w:val="bottom"/>
          </w:tcPr>
          <w:p w:rsidRPr="00B42088" w:rsidR="000B4863" w:rsidP="000B4863" w:rsidRDefault="000B4863" w14:paraId="5B3644AC"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0B4863" w:rsidP="000B4863" w:rsidRDefault="000B4863" w14:paraId="4BF56A6D" w14:textId="77777777">
            <w:pPr>
              <w:pStyle w:val="Response"/>
              <w:rPr>
                <w:b/>
                <w:sz w:val="20"/>
                <w:szCs w:val="20"/>
              </w:rPr>
            </w:pPr>
            <w:r w:rsidRPr="00B42088">
              <w:rPr>
                <w:b/>
                <w:bCs/>
                <w:sz w:val="20"/>
                <w:szCs w:val="20"/>
              </w:rPr>
              <w:t>25.3</w:t>
            </w:r>
          </w:p>
        </w:tc>
        <w:tc>
          <w:tcPr>
            <w:tcW w:w="1043" w:type="dxa"/>
            <w:shd w:val="clear" w:color="auto" w:fill="DEEAF6"/>
            <w:vAlign w:val="bottom"/>
          </w:tcPr>
          <w:p w:rsidRPr="00B42088" w:rsidR="000B4863" w:rsidP="000B4863" w:rsidRDefault="000B4863" w14:paraId="2100BFAD"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0B4863" w:rsidP="000B4863" w:rsidRDefault="000B4863" w14:paraId="34C60ECA" w14:textId="77777777">
            <w:pPr>
              <w:pStyle w:val="Response"/>
              <w:rPr>
                <w:b/>
                <w:sz w:val="20"/>
                <w:szCs w:val="20"/>
              </w:rPr>
            </w:pPr>
            <w:r w:rsidRPr="00B42088">
              <w:rPr>
                <w:b/>
                <w:bCs/>
                <w:sz w:val="20"/>
                <w:szCs w:val="20"/>
              </w:rPr>
              <w:t>123.6</w:t>
            </w:r>
          </w:p>
        </w:tc>
        <w:tc>
          <w:tcPr>
            <w:tcW w:w="1009" w:type="dxa"/>
            <w:shd w:val="clear" w:color="auto" w:fill="DEEAF6"/>
            <w:vAlign w:val="bottom"/>
          </w:tcPr>
          <w:p w:rsidRPr="00B42088" w:rsidR="000B4863" w:rsidP="000B4863" w:rsidRDefault="000B4863" w14:paraId="2D32250A"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0B4863" w:rsidP="000B4863" w:rsidRDefault="000B4863" w14:paraId="77C3B94F" w14:textId="77777777">
            <w:pPr>
              <w:pStyle w:val="Response"/>
              <w:rPr>
                <w:b/>
                <w:sz w:val="20"/>
                <w:szCs w:val="20"/>
              </w:rPr>
            </w:pPr>
            <w:r>
              <w:rPr>
                <w:b/>
                <w:bCs/>
                <w:sz w:val="20"/>
                <w:szCs w:val="20"/>
              </w:rPr>
              <w:t>$</w:t>
            </w:r>
            <w:r w:rsidRPr="00B42088">
              <w:rPr>
                <w:b/>
                <w:bCs/>
                <w:sz w:val="20"/>
                <w:szCs w:val="20"/>
              </w:rPr>
              <w:t>6,962.39</w:t>
            </w:r>
          </w:p>
        </w:tc>
      </w:tr>
      <w:tr w:rsidRPr="00CA77CD" w:rsidR="000A31BB" w:rsidTr="005C110A" w14:paraId="29B03AD6" w14:textId="77777777">
        <w:tc>
          <w:tcPr>
            <w:tcW w:w="2565" w:type="dxa"/>
            <w:shd w:val="clear" w:color="auto" w:fill="auto"/>
            <w:vAlign w:val="bottom"/>
          </w:tcPr>
          <w:p w:rsidRPr="00B42088" w:rsidR="000B4863" w:rsidP="000B4863" w:rsidRDefault="000B4863" w14:paraId="335421FE"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3DA8D967"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11A90CE0"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1D5FB9A8" w14:textId="77777777">
            <w:pPr>
              <w:pStyle w:val="Response"/>
              <w:rPr>
                <w:b/>
                <w:sz w:val="20"/>
                <w:szCs w:val="20"/>
              </w:rPr>
            </w:pPr>
            <w:r w:rsidRPr="00B42088">
              <w:rPr>
                <w:sz w:val="20"/>
                <w:szCs w:val="20"/>
              </w:rPr>
              <w:t>210</w:t>
            </w:r>
          </w:p>
        </w:tc>
        <w:tc>
          <w:tcPr>
            <w:tcW w:w="1201" w:type="dxa"/>
            <w:shd w:val="clear" w:color="auto" w:fill="auto"/>
            <w:vAlign w:val="bottom"/>
          </w:tcPr>
          <w:p w:rsidRPr="00B42088" w:rsidR="000B4863" w:rsidP="000B4863" w:rsidRDefault="000B4863" w14:paraId="7C62120F" w14:textId="77777777">
            <w:pPr>
              <w:pStyle w:val="Response"/>
              <w:rPr>
                <w:b/>
                <w:sz w:val="20"/>
                <w:szCs w:val="20"/>
              </w:rPr>
            </w:pPr>
            <w:r w:rsidRPr="00B42088">
              <w:rPr>
                <w:sz w:val="20"/>
                <w:szCs w:val="20"/>
              </w:rPr>
              <w:t>0.9</w:t>
            </w:r>
          </w:p>
        </w:tc>
        <w:tc>
          <w:tcPr>
            <w:tcW w:w="1164" w:type="dxa"/>
            <w:shd w:val="clear" w:color="auto" w:fill="auto"/>
            <w:vAlign w:val="bottom"/>
          </w:tcPr>
          <w:p w:rsidRPr="00B42088" w:rsidR="000B4863" w:rsidP="000B4863" w:rsidRDefault="000B4863" w14:paraId="595BB3D9" w14:textId="77777777">
            <w:pPr>
              <w:pStyle w:val="Response"/>
              <w:rPr>
                <w:b/>
                <w:sz w:val="20"/>
                <w:szCs w:val="20"/>
              </w:rPr>
            </w:pPr>
            <w:r w:rsidRPr="00B42088">
              <w:rPr>
                <w:sz w:val="20"/>
                <w:szCs w:val="20"/>
              </w:rPr>
              <w:t>189</w:t>
            </w:r>
          </w:p>
        </w:tc>
        <w:tc>
          <w:tcPr>
            <w:tcW w:w="1043" w:type="dxa"/>
            <w:shd w:val="clear" w:color="auto" w:fill="auto"/>
            <w:vAlign w:val="bottom"/>
          </w:tcPr>
          <w:p w:rsidRPr="00B42088" w:rsidR="000B4863" w:rsidP="000B4863" w:rsidRDefault="000B4863" w14:paraId="2E0F62FA" w14:textId="77777777">
            <w:pPr>
              <w:pStyle w:val="Response"/>
              <w:rPr>
                <w:b/>
                <w:sz w:val="20"/>
                <w:szCs w:val="20"/>
              </w:rPr>
            </w:pPr>
            <w:r w:rsidRPr="00B42088">
              <w:rPr>
                <w:sz w:val="20"/>
                <w:szCs w:val="20"/>
              </w:rPr>
              <w:t>2</w:t>
            </w:r>
          </w:p>
        </w:tc>
        <w:tc>
          <w:tcPr>
            <w:tcW w:w="1054" w:type="dxa"/>
            <w:shd w:val="clear" w:color="auto" w:fill="auto"/>
            <w:vAlign w:val="bottom"/>
          </w:tcPr>
          <w:p w:rsidRPr="00B42088" w:rsidR="000B4863" w:rsidP="000B4863" w:rsidRDefault="000B4863" w14:paraId="1F54CDD0" w14:textId="77777777">
            <w:pPr>
              <w:pStyle w:val="Response"/>
              <w:rPr>
                <w:b/>
                <w:sz w:val="20"/>
                <w:szCs w:val="20"/>
              </w:rPr>
            </w:pPr>
            <w:r w:rsidRPr="00B42088">
              <w:rPr>
                <w:sz w:val="20"/>
                <w:szCs w:val="20"/>
              </w:rPr>
              <w:t>378</w:t>
            </w:r>
          </w:p>
        </w:tc>
        <w:tc>
          <w:tcPr>
            <w:tcW w:w="1009" w:type="dxa"/>
            <w:shd w:val="clear" w:color="auto" w:fill="auto"/>
            <w:vAlign w:val="bottom"/>
          </w:tcPr>
          <w:p w:rsidRPr="00B42088" w:rsidR="000B4863" w:rsidP="000B4863" w:rsidRDefault="000B4863" w14:paraId="136878DC" w14:textId="77777777">
            <w:pPr>
              <w:pStyle w:val="Response"/>
              <w:rPr>
                <w:b/>
                <w:sz w:val="20"/>
                <w:szCs w:val="20"/>
              </w:rPr>
            </w:pPr>
          </w:p>
        </w:tc>
        <w:tc>
          <w:tcPr>
            <w:tcW w:w="1228" w:type="dxa"/>
            <w:shd w:val="clear" w:color="auto" w:fill="auto"/>
            <w:vAlign w:val="bottom"/>
          </w:tcPr>
          <w:p w:rsidRPr="00B42088" w:rsidR="000B4863" w:rsidP="000B4863" w:rsidRDefault="000B4863" w14:paraId="29F150A9" w14:textId="77777777">
            <w:pPr>
              <w:pStyle w:val="Response"/>
              <w:rPr>
                <w:b/>
                <w:sz w:val="20"/>
                <w:szCs w:val="20"/>
              </w:rPr>
            </w:pPr>
          </w:p>
        </w:tc>
      </w:tr>
      <w:tr w:rsidRPr="00CA77CD" w:rsidR="000A31BB" w:rsidTr="005C110A" w14:paraId="78D91E09" w14:textId="77777777">
        <w:tc>
          <w:tcPr>
            <w:tcW w:w="2565" w:type="dxa"/>
            <w:shd w:val="clear" w:color="auto" w:fill="auto"/>
            <w:vAlign w:val="bottom"/>
          </w:tcPr>
          <w:p w:rsidRPr="00B42088" w:rsidR="000B4863" w:rsidP="000B4863" w:rsidRDefault="000B4863" w14:paraId="68CDFC9B"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4160B07B"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355F4749"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233E84E0" w14:textId="77777777">
            <w:pPr>
              <w:pStyle w:val="Response"/>
              <w:rPr>
                <w:b/>
                <w:sz w:val="20"/>
                <w:szCs w:val="20"/>
              </w:rPr>
            </w:pPr>
            <w:r w:rsidRPr="00B42088">
              <w:rPr>
                <w:sz w:val="20"/>
                <w:szCs w:val="20"/>
              </w:rPr>
              <w:t>20</w:t>
            </w:r>
          </w:p>
        </w:tc>
        <w:tc>
          <w:tcPr>
            <w:tcW w:w="1201" w:type="dxa"/>
            <w:shd w:val="clear" w:color="auto" w:fill="auto"/>
            <w:vAlign w:val="bottom"/>
          </w:tcPr>
          <w:p w:rsidRPr="00B42088" w:rsidR="000B4863" w:rsidP="000B4863" w:rsidRDefault="000B4863" w14:paraId="307C588C" w14:textId="77777777">
            <w:pPr>
              <w:pStyle w:val="Response"/>
              <w:rPr>
                <w:b/>
                <w:sz w:val="20"/>
                <w:szCs w:val="20"/>
              </w:rPr>
            </w:pPr>
            <w:r w:rsidRPr="00B42088">
              <w:rPr>
                <w:sz w:val="20"/>
                <w:szCs w:val="20"/>
              </w:rPr>
              <w:t>0.9</w:t>
            </w:r>
          </w:p>
        </w:tc>
        <w:tc>
          <w:tcPr>
            <w:tcW w:w="1164" w:type="dxa"/>
            <w:shd w:val="clear" w:color="auto" w:fill="auto"/>
            <w:vAlign w:val="bottom"/>
          </w:tcPr>
          <w:p w:rsidRPr="00B42088" w:rsidR="000B4863" w:rsidP="000B4863" w:rsidRDefault="000B4863" w14:paraId="2D5DBE2A" w14:textId="77777777">
            <w:pPr>
              <w:pStyle w:val="Response"/>
              <w:rPr>
                <w:b/>
                <w:sz w:val="20"/>
                <w:szCs w:val="20"/>
              </w:rPr>
            </w:pPr>
            <w:r w:rsidRPr="00B42088">
              <w:rPr>
                <w:sz w:val="20"/>
                <w:szCs w:val="20"/>
              </w:rPr>
              <w:t>18</w:t>
            </w:r>
          </w:p>
        </w:tc>
        <w:tc>
          <w:tcPr>
            <w:tcW w:w="1043" w:type="dxa"/>
            <w:shd w:val="clear" w:color="auto" w:fill="auto"/>
            <w:vAlign w:val="bottom"/>
          </w:tcPr>
          <w:p w:rsidRPr="00B42088" w:rsidR="000B4863" w:rsidP="000B4863" w:rsidRDefault="000B4863" w14:paraId="005519CB" w14:textId="77777777">
            <w:pPr>
              <w:pStyle w:val="Response"/>
              <w:rPr>
                <w:b/>
                <w:sz w:val="20"/>
                <w:szCs w:val="20"/>
              </w:rPr>
            </w:pPr>
            <w:r w:rsidRPr="00B42088">
              <w:rPr>
                <w:sz w:val="20"/>
                <w:szCs w:val="20"/>
              </w:rPr>
              <w:t>3</w:t>
            </w:r>
          </w:p>
        </w:tc>
        <w:tc>
          <w:tcPr>
            <w:tcW w:w="1054" w:type="dxa"/>
            <w:shd w:val="clear" w:color="auto" w:fill="auto"/>
            <w:vAlign w:val="bottom"/>
          </w:tcPr>
          <w:p w:rsidRPr="00B42088" w:rsidR="000B4863" w:rsidP="000B4863" w:rsidRDefault="000B4863" w14:paraId="5BCB2DA0" w14:textId="77777777">
            <w:pPr>
              <w:pStyle w:val="Response"/>
              <w:rPr>
                <w:b/>
                <w:sz w:val="20"/>
                <w:szCs w:val="20"/>
              </w:rPr>
            </w:pPr>
            <w:r w:rsidRPr="00B42088">
              <w:rPr>
                <w:sz w:val="20"/>
                <w:szCs w:val="20"/>
              </w:rPr>
              <w:t>54</w:t>
            </w:r>
          </w:p>
        </w:tc>
        <w:tc>
          <w:tcPr>
            <w:tcW w:w="1009" w:type="dxa"/>
            <w:shd w:val="clear" w:color="auto" w:fill="auto"/>
            <w:vAlign w:val="bottom"/>
          </w:tcPr>
          <w:p w:rsidRPr="00B42088" w:rsidR="000B4863" w:rsidP="000B4863" w:rsidRDefault="000B4863" w14:paraId="1CA24BC3" w14:textId="77777777">
            <w:pPr>
              <w:pStyle w:val="Response"/>
              <w:rPr>
                <w:b/>
                <w:sz w:val="20"/>
                <w:szCs w:val="20"/>
              </w:rPr>
            </w:pPr>
          </w:p>
        </w:tc>
        <w:tc>
          <w:tcPr>
            <w:tcW w:w="1228" w:type="dxa"/>
            <w:shd w:val="clear" w:color="auto" w:fill="auto"/>
            <w:vAlign w:val="bottom"/>
          </w:tcPr>
          <w:p w:rsidRPr="00B42088" w:rsidR="000B4863" w:rsidP="000B4863" w:rsidRDefault="000B4863" w14:paraId="19414AA3" w14:textId="77777777">
            <w:pPr>
              <w:pStyle w:val="Response"/>
              <w:rPr>
                <w:b/>
                <w:sz w:val="20"/>
                <w:szCs w:val="20"/>
              </w:rPr>
            </w:pPr>
          </w:p>
        </w:tc>
      </w:tr>
      <w:tr w:rsidRPr="00CA77CD" w:rsidR="000A31BB" w:rsidTr="005C110A" w14:paraId="6DCB075D" w14:textId="77777777">
        <w:tc>
          <w:tcPr>
            <w:tcW w:w="2565" w:type="dxa"/>
            <w:shd w:val="clear" w:color="auto" w:fill="auto"/>
            <w:vAlign w:val="bottom"/>
          </w:tcPr>
          <w:p w:rsidRPr="00B42088" w:rsidR="000B4863" w:rsidP="000B4863" w:rsidRDefault="000B4863" w14:paraId="3C6242C5"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20A85104"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7438CAEF"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41CE33C7" w14:textId="77777777">
            <w:pPr>
              <w:pStyle w:val="Response"/>
              <w:rPr>
                <w:b/>
                <w:sz w:val="20"/>
                <w:szCs w:val="20"/>
              </w:rPr>
            </w:pPr>
            <w:r w:rsidRPr="00B42088">
              <w:rPr>
                <w:sz w:val="20"/>
                <w:szCs w:val="20"/>
              </w:rPr>
              <w:t>23</w:t>
            </w:r>
          </w:p>
        </w:tc>
        <w:tc>
          <w:tcPr>
            <w:tcW w:w="1201" w:type="dxa"/>
            <w:shd w:val="clear" w:color="auto" w:fill="auto"/>
            <w:vAlign w:val="bottom"/>
          </w:tcPr>
          <w:p w:rsidRPr="00B42088" w:rsidR="000B4863" w:rsidP="000B4863" w:rsidRDefault="000B4863" w14:paraId="1EA52400" w14:textId="77777777">
            <w:pPr>
              <w:pStyle w:val="Response"/>
              <w:rPr>
                <w:b/>
                <w:sz w:val="20"/>
                <w:szCs w:val="20"/>
              </w:rPr>
            </w:pPr>
            <w:r w:rsidRPr="00B42088">
              <w:rPr>
                <w:sz w:val="20"/>
                <w:szCs w:val="20"/>
              </w:rPr>
              <w:t>0.9</w:t>
            </w:r>
          </w:p>
        </w:tc>
        <w:tc>
          <w:tcPr>
            <w:tcW w:w="1164" w:type="dxa"/>
            <w:shd w:val="clear" w:color="auto" w:fill="auto"/>
            <w:vAlign w:val="bottom"/>
          </w:tcPr>
          <w:p w:rsidRPr="00B42088" w:rsidR="000B4863" w:rsidP="000B4863" w:rsidRDefault="000B4863" w14:paraId="4062CB26" w14:textId="77777777">
            <w:pPr>
              <w:pStyle w:val="Response"/>
              <w:rPr>
                <w:b/>
                <w:sz w:val="20"/>
                <w:szCs w:val="20"/>
              </w:rPr>
            </w:pPr>
            <w:r w:rsidRPr="00B42088">
              <w:rPr>
                <w:sz w:val="20"/>
                <w:szCs w:val="20"/>
              </w:rPr>
              <w:t>20.7</w:t>
            </w:r>
          </w:p>
        </w:tc>
        <w:tc>
          <w:tcPr>
            <w:tcW w:w="1043" w:type="dxa"/>
            <w:shd w:val="clear" w:color="auto" w:fill="auto"/>
            <w:vAlign w:val="bottom"/>
          </w:tcPr>
          <w:p w:rsidRPr="00B42088" w:rsidR="000B4863" w:rsidP="000B4863" w:rsidRDefault="000B4863" w14:paraId="29183EA8" w14:textId="77777777">
            <w:pPr>
              <w:pStyle w:val="Response"/>
              <w:rPr>
                <w:b/>
                <w:sz w:val="20"/>
                <w:szCs w:val="20"/>
              </w:rPr>
            </w:pPr>
            <w:r w:rsidRPr="00B42088">
              <w:rPr>
                <w:sz w:val="20"/>
                <w:szCs w:val="20"/>
              </w:rPr>
              <w:t>6</w:t>
            </w:r>
          </w:p>
        </w:tc>
        <w:tc>
          <w:tcPr>
            <w:tcW w:w="1054" w:type="dxa"/>
            <w:shd w:val="clear" w:color="auto" w:fill="auto"/>
            <w:vAlign w:val="bottom"/>
          </w:tcPr>
          <w:p w:rsidRPr="00B42088" w:rsidR="000B4863" w:rsidP="000B4863" w:rsidRDefault="000B4863" w14:paraId="2228824F" w14:textId="77777777">
            <w:pPr>
              <w:pStyle w:val="Response"/>
              <w:rPr>
                <w:b/>
                <w:sz w:val="20"/>
                <w:szCs w:val="20"/>
              </w:rPr>
            </w:pPr>
            <w:r w:rsidRPr="00B42088">
              <w:rPr>
                <w:sz w:val="20"/>
                <w:szCs w:val="20"/>
              </w:rPr>
              <w:t>124.2</w:t>
            </w:r>
          </w:p>
        </w:tc>
        <w:tc>
          <w:tcPr>
            <w:tcW w:w="1009" w:type="dxa"/>
            <w:shd w:val="clear" w:color="auto" w:fill="auto"/>
            <w:vAlign w:val="bottom"/>
          </w:tcPr>
          <w:p w:rsidRPr="00B42088" w:rsidR="000B4863" w:rsidP="000B4863" w:rsidRDefault="000B4863" w14:paraId="071BCAEC" w14:textId="77777777">
            <w:pPr>
              <w:pStyle w:val="Response"/>
              <w:rPr>
                <w:b/>
                <w:sz w:val="20"/>
                <w:szCs w:val="20"/>
              </w:rPr>
            </w:pPr>
          </w:p>
        </w:tc>
        <w:tc>
          <w:tcPr>
            <w:tcW w:w="1228" w:type="dxa"/>
            <w:shd w:val="clear" w:color="auto" w:fill="auto"/>
            <w:vAlign w:val="bottom"/>
          </w:tcPr>
          <w:p w:rsidRPr="00B42088" w:rsidR="000B4863" w:rsidP="000B4863" w:rsidRDefault="000B4863" w14:paraId="50447861" w14:textId="77777777">
            <w:pPr>
              <w:pStyle w:val="Response"/>
              <w:rPr>
                <w:b/>
                <w:sz w:val="20"/>
                <w:szCs w:val="20"/>
              </w:rPr>
            </w:pPr>
          </w:p>
        </w:tc>
      </w:tr>
      <w:tr w:rsidRPr="00CA77CD" w:rsidR="000A31BB" w:rsidTr="005C110A" w14:paraId="10530A4D" w14:textId="77777777">
        <w:tc>
          <w:tcPr>
            <w:tcW w:w="2565" w:type="dxa"/>
            <w:shd w:val="clear" w:color="auto" w:fill="DEEAF6"/>
            <w:vAlign w:val="bottom"/>
          </w:tcPr>
          <w:p w:rsidRPr="00B42088" w:rsidR="000B4863" w:rsidP="000B4863" w:rsidRDefault="000B4863" w14:paraId="20E66ABB"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0B4863" w:rsidP="000B4863" w:rsidRDefault="000B4863" w14:paraId="429949CC" w14:textId="77777777">
            <w:pPr>
              <w:pStyle w:val="Response"/>
              <w:rPr>
                <w:b/>
                <w:sz w:val="20"/>
                <w:szCs w:val="20"/>
              </w:rPr>
            </w:pPr>
            <w:r w:rsidRPr="00B42088">
              <w:rPr>
                <w:sz w:val="20"/>
                <w:szCs w:val="20"/>
              </w:rPr>
              <w:t> </w:t>
            </w:r>
          </w:p>
        </w:tc>
        <w:tc>
          <w:tcPr>
            <w:tcW w:w="1249" w:type="dxa"/>
            <w:shd w:val="clear" w:color="auto" w:fill="DEEAF6"/>
            <w:vAlign w:val="bottom"/>
          </w:tcPr>
          <w:p w:rsidRPr="00B42088" w:rsidR="000B4863" w:rsidP="000B4863" w:rsidRDefault="000B4863" w14:paraId="0DB0E3FD" w14:textId="77777777">
            <w:pPr>
              <w:pStyle w:val="Response"/>
              <w:rPr>
                <w:b/>
                <w:sz w:val="20"/>
                <w:szCs w:val="20"/>
              </w:rPr>
            </w:pPr>
            <w:r w:rsidRPr="00B42088">
              <w:rPr>
                <w:sz w:val="20"/>
                <w:szCs w:val="20"/>
              </w:rPr>
              <w:t> </w:t>
            </w:r>
          </w:p>
        </w:tc>
        <w:tc>
          <w:tcPr>
            <w:tcW w:w="1439" w:type="dxa"/>
            <w:shd w:val="clear" w:color="auto" w:fill="DEEAF6"/>
            <w:vAlign w:val="bottom"/>
          </w:tcPr>
          <w:p w:rsidRPr="00B42088" w:rsidR="000B4863" w:rsidP="000B4863" w:rsidRDefault="000B4863" w14:paraId="56272252" w14:textId="77777777">
            <w:pPr>
              <w:pStyle w:val="Response"/>
              <w:rPr>
                <w:b/>
                <w:sz w:val="20"/>
                <w:szCs w:val="20"/>
              </w:rPr>
            </w:pPr>
          </w:p>
        </w:tc>
        <w:tc>
          <w:tcPr>
            <w:tcW w:w="1201" w:type="dxa"/>
            <w:shd w:val="clear" w:color="auto" w:fill="DEEAF6"/>
            <w:vAlign w:val="bottom"/>
          </w:tcPr>
          <w:p w:rsidRPr="00B42088" w:rsidR="000B4863" w:rsidP="000B4863" w:rsidRDefault="000B4863" w14:paraId="365C9395"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0B4863" w:rsidP="000B4863" w:rsidRDefault="000B4863" w14:paraId="18969545" w14:textId="77777777">
            <w:pPr>
              <w:pStyle w:val="Response"/>
              <w:rPr>
                <w:b/>
                <w:sz w:val="20"/>
                <w:szCs w:val="20"/>
              </w:rPr>
            </w:pPr>
            <w:r w:rsidRPr="00B42088">
              <w:rPr>
                <w:b/>
                <w:bCs/>
                <w:sz w:val="20"/>
                <w:szCs w:val="20"/>
              </w:rPr>
              <w:t>278.3</w:t>
            </w:r>
          </w:p>
        </w:tc>
        <w:tc>
          <w:tcPr>
            <w:tcW w:w="1043" w:type="dxa"/>
            <w:shd w:val="clear" w:color="auto" w:fill="DEEAF6"/>
            <w:vAlign w:val="bottom"/>
          </w:tcPr>
          <w:p w:rsidRPr="00B42088" w:rsidR="000B4863" w:rsidP="000B4863" w:rsidRDefault="000B4863" w14:paraId="63E93F3F"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0B4863" w:rsidP="000B4863" w:rsidRDefault="000B4863" w14:paraId="062C4329" w14:textId="77777777">
            <w:pPr>
              <w:pStyle w:val="Response"/>
              <w:rPr>
                <w:b/>
                <w:sz w:val="20"/>
                <w:szCs w:val="20"/>
              </w:rPr>
            </w:pPr>
            <w:r w:rsidRPr="00B42088">
              <w:rPr>
                <w:b/>
                <w:bCs/>
                <w:sz w:val="20"/>
                <w:szCs w:val="20"/>
              </w:rPr>
              <w:t>556.2</w:t>
            </w:r>
          </w:p>
        </w:tc>
        <w:tc>
          <w:tcPr>
            <w:tcW w:w="1009" w:type="dxa"/>
            <w:shd w:val="clear" w:color="auto" w:fill="DEEAF6"/>
            <w:vAlign w:val="bottom"/>
          </w:tcPr>
          <w:p w:rsidRPr="00B42088" w:rsidR="000B4863" w:rsidP="000B4863" w:rsidRDefault="000B4863" w14:paraId="6B192541"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0B4863" w:rsidP="000B4863" w:rsidRDefault="000B4863" w14:paraId="3EB712A5" w14:textId="77777777">
            <w:pPr>
              <w:pStyle w:val="Response"/>
              <w:rPr>
                <w:b/>
                <w:sz w:val="20"/>
                <w:szCs w:val="20"/>
              </w:rPr>
            </w:pPr>
            <w:r w:rsidRPr="00B42088">
              <w:rPr>
                <w:b/>
                <w:bCs/>
                <w:sz w:val="20"/>
                <w:szCs w:val="20"/>
              </w:rPr>
              <w:t>31,330.75</w:t>
            </w:r>
          </w:p>
        </w:tc>
      </w:tr>
      <w:tr w:rsidRPr="00CA77CD" w:rsidR="000A31BB" w:rsidTr="005C110A" w14:paraId="5D641104" w14:textId="77777777">
        <w:tc>
          <w:tcPr>
            <w:tcW w:w="2565" w:type="dxa"/>
            <w:shd w:val="clear" w:color="auto" w:fill="auto"/>
            <w:vAlign w:val="center"/>
          </w:tcPr>
          <w:p w:rsidRPr="00B42088" w:rsidR="000B4863" w:rsidP="000B4863" w:rsidRDefault="000B4863" w14:paraId="5CBEF4F4" w14:textId="77777777">
            <w:pPr>
              <w:pStyle w:val="Response"/>
              <w:rPr>
                <w:b/>
                <w:sz w:val="20"/>
                <w:szCs w:val="20"/>
              </w:rPr>
            </w:pPr>
            <w:r w:rsidRPr="00B42088">
              <w:rPr>
                <w:sz w:val="20"/>
                <w:szCs w:val="20"/>
              </w:rPr>
              <w:t>3. Review Fire Safety Plan w/Workers (1915.502(c))</w:t>
            </w:r>
          </w:p>
        </w:tc>
        <w:tc>
          <w:tcPr>
            <w:tcW w:w="1224" w:type="dxa"/>
            <w:shd w:val="clear" w:color="auto" w:fill="auto"/>
            <w:vAlign w:val="bottom"/>
          </w:tcPr>
          <w:p w:rsidRPr="00B42088" w:rsidR="000B4863" w:rsidP="000B4863" w:rsidRDefault="000B4863" w14:paraId="24C80B56"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29679BCA"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06D05B0B" w14:textId="77777777">
            <w:pPr>
              <w:pStyle w:val="Response"/>
              <w:rPr>
                <w:b/>
                <w:sz w:val="20"/>
                <w:szCs w:val="20"/>
              </w:rPr>
            </w:pPr>
            <w:r w:rsidRPr="00B42088">
              <w:rPr>
                <w:sz w:val="20"/>
                <w:szCs w:val="20"/>
              </w:rPr>
              <w:t>253</w:t>
            </w:r>
          </w:p>
        </w:tc>
        <w:tc>
          <w:tcPr>
            <w:tcW w:w="1201" w:type="dxa"/>
            <w:shd w:val="clear" w:color="auto" w:fill="auto"/>
            <w:vAlign w:val="bottom"/>
          </w:tcPr>
          <w:p w:rsidRPr="00B42088" w:rsidR="000B4863" w:rsidP="000B4863" w:rsidRDefault="000B4863" w14:paraId="0241737E"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23F8489F" w14:textId="77777777">
            <w:pPr>
              <w:pStyle w:val="Response"/>
              <w:rPr>
                <w:b/>
                <w:sz w:val="20"/>
                <w:szCs w:val="20"/>
              </w:rPr>
            </w:pPr>
            <w:r w:rsidRPr="00B42088">
              <w:rPr>
                <w:sz w:val="20"/>
                <w:szCs w:val="20"/>
              </w:rPr>
              <w:t>253</w:t>
            </w:r>
          </w:p>
        </w:tc>
        <w:tc>
          <w:tcPr>
            <w:tcW w:w="1043" w:type="dxa"/>
            <w:shd w:val="clear" w:color="auto" w:fill="auto"/>
            <w:vAlign w:val="bottom"/>
          </w:tcPr>
          <w:p w:rsidRPr="00B42088" w:rsidR="000B4863" w:rsidP="000B4863" w:rsidRDefault="000B4863" w14:paraId="0706B6D0" w14:textId="77777777">
            <w:pPr>
              <w:pStyle w:val="Response"/>
              <w:rPr>
                <w:b/>
                <w:sz w:val="20"/>
                <w:szCs w:val="20"/>
              </w:rPr>
            </w:pPr>
            <w:r>
              <w:rPr>
                <w:sz w:val="20"/>
                <w:szCs w:val="20"/>
              </w:rPr>
              <w:t>15/60</w:t>
            </w:r>
          </w:p>
        </w:tc>
        <w:tc>
          <w:tcPr>
            <w:tcW w:w="1054" w:type="dxa"/>
            <w:shd w:val="clear" w:color="auto" w:fill="auto"/>
            <w:vAlign w:val="bottom"/>
          </w:tcPr>
          <w:p w:rsidRPr="00B42088" w:rsidR="000B4863" w:rsidP="000B4863" w:rsidRDefault="000B4863" w14:paraId="279FF2C6" w14:textId="77777777">
            <w:pPr>
              <w:pStyle w:val="Response"/>
              <w:rPr>
                <w:b/>
                <w:sz w:val="20"/>
                <w:szCs w:val="20"/>
              </w:rPr>
            </w:pPr>
            <w:r w:rsidRPr="00B42088">
              <w:rPr>
                <w:sz w:val="20"/>
                <w:szCs w:val="20"/>
              </w:rPr>
              <w:t>63.25</w:t>
            </w:r>
          </w:p>
        </w:tc>
        <w:tc>
          <w:tcPr>
            <w:tcW w:w="1009" w:type="dxa"/>
            <w:shd w:val="clear" w:color="auto" w:fill="auto"/>
            <w:vAlign w:val="bottom"/>
          </w:tcPr>
          <w:p w:rsidRPr="00B42088" w:rsidR="000B4863" w:rsidP="000B4863" w:rsidRDefault="000B4863" w14:paraId="3E316C06" w14:textId="77777777">
            <w:pPr>
              <w:pStyle w:val="Response"/>
              <w:rPr>
                <w:b/>
                <w:sz w:val="20"/>
                <w:szCs w:val="20"/>
              </w:rPr>
            </w:pPr>
            <w:r w:rsidRPr="00B42088">
              <w:rPr>
                <w:sz w:val="20"/>
                <w:szCs w:val="20"/>
              </w:rPr>
              <w:t> </w:t>
            </w:r>
          </w:p>
        </w:tc>
        <w:tc>
          <w:tcPr>
            <w:tcW w:w="1228" w:type="dxa"/>
            <w:shd w:val="clear" w:color="auto" w:fill="auto"/>
            <w:vAlign w:val="bottom"/>
          </w:tcPr>
          <w:p w:rsidRPr="00B42088" w:rsidR="000B4863" w:rsidP="000B4863" w:rsidRDefault="000B4863" w14:paraId="0909F0B5" w14:textId="77777777">
            <w:pPr>
              <w:pStyle w:val="Response"/>
              <w:rPr>
                <w:b/>
                <w:sz w:val="20"/>
                <w:szCs w:val="20"/>
              </w:rPr>
            </w:pPr>
            <w:r w:rsidRPr="00B42088">
              <w:rPr>
                <w:sz w:val="20"/>
                <w:szCs w:val="20"/>
              </w:rPr>
              <w:t> </w:t>
            </w:r>
          </w:p>
        </w:tc>
      </w:tr>
      <w:tr w:rsidRPr="00CA77CD" w:rsidR="000A31BB" w:rsidTr="005C110A" w14:paraId="42ACCB70" w14:textId="77777777">
        <w:tc>
          <w:tcPr>
            <w:tcW w:w="2565" w:type="dxa"/>
            <w:shd w:val="clear" w:color="auto" w:fill="auto"/>
            <w:vAlign w:val="bottom"/>
          </w:tcPr>
          <w:p w:rsidRPr="00B42088" w:rsidR="000B4863" w:rsidP="000B4863" w:rsidRDefault="000B4863" w14:paraId="62EDA84F"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525EC114"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18220910"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6CC27AC2" w14:textId="77777777">
            <w:pPr>
              <w:pStyle w:val="Response"/>
              <w:rPr>
                <w:b/>
                <w:sz w:val="20"/>
                <w:szCs w:val="20"/>
              </w:rPr>
            </w:pPr>
            <w:r w:rsidRPr="00B42088">
              <w:rPr>
                <w:sz w:val="20"/>
                <w:szCs w:val="20"/>
              </w:rPr>
              <w:t>23,991</w:t>
            </w:r>
          </w:p>
        </w:tc>
        <w:tc>
          <w:tcPr>
            <w:tcW w:w="1201" w:type="dxa"/>
            <w:shd w:val="clear" w:color="auto" w:fill="auto"/>
            <w:vAlign w:val="bottom"/>
          </w:tcPr>
          <w:p w:rsidRPr="00B42088" w:rsidR="000B4863" w:rsidP="000B4863" w:rsidRDefault="000B4863" w14:paraId="7BEC5D68"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35C86594" w14:textId="77777777">
            <w:pPr>
              <w:pStyle w:val="Response"/>
              <w:rPr>
                <w:b/>
                <w:sz w:val="20"/>
                <w:szCs w:val="20"/>
              </w:rPr>
            </w:pPr>
            <w:r w:rsidRPr="00B42088">
              <w:rPr>
                <w:sz w:val="20"/>
                <w:szCs w:val="20"/>
              </w:rPr>
              <w:t>23,991</w:t>
            </w:r>
          </w:p>
        </w:tc>
        <w:tc>
          <w:tcPr>
            <w:tcW w:w="1043" w:type="dxa"/>
            <w:shd w:val="clear" w:color="auto" w:fill="auto"/>
            <w:vAlign w:val="bottom"/>
          </w:tcPr>
          <w:p w:rsidRPr="00B42088" w:rsidR="000B4863" w:rsidP="000B4863" w:rsidRDefault="000B4863" w14:paraId="63EDAFE9" w14:textId="77777777">
            <w:pPr>
              <w:pStyle w:val="Response"/>
              <w:rPr>
                <w:b/>
                <w:sz w:val="20"/>
                <w:szCs w:val="20"/>
              </w:rPr>
            </w:pPr>
            <w:r w:rsidRPr="00B42088">
              <w:rPr>
                <w:sz w:val="20"/>
                <w:szCs w:val="20"/>
              </w:rPr>
              <w:t>15/60</w:t>
            </w:r>
          </w:p>
        </w:tc>
        <w:tc>
          <w:tcPr>
            <w:tcW w:w="1054" w:type="dxa"/>
            <w:shd w:val="clear" w:color="auto" w:fill="auto"/>
            <w:vAlign w:val="bottom"/>
          </w:tcPr>
          <w:p w:rsidRPr="00B42088" w:rsidR="000B4863" w:rsidP="000B4863" w:rsidRDefault="000B4863" w14:paraId="308272FC" w14:textId="77777777">
            <w:pPr>
              <w:pStyle w:val="Response"/>
              <w:rPr>
                <w:b/>
                <w:sz w:val="20"/>
                <w:szCs w:val="20"/>
              </w:rPr>
            </w:pPr>
            <w:r w:rsidRPr="00B42088">
              <w:rPr>
                <w:sz w:val="20"/>
                <w:szCs w:val="20"/>
              </w:rPr>
              <w:t>5,997.75</w:t>
            </w:r>
          </w:p>
        </w:tc>
        <w:tc>
          <w:tcPr>
            <w:tcW w:w="1009" w:type="dxa"/>
            <w:shd w:val="clear" w:color="auto" w:fill="auto"/>
            <w:vAlign w:val="bottom"/>
          </w:tcPr>
          <w:p w:rsidRPr="00B42088" w:rsidR="000B4863" w:rsidP="000B4863" w:rsidRDefault="000B4863" w14:paraId="1781F242" w14:textId="77777777">
            <w:pPr>
              <w:pStyle w:val="Response"/>
              <w:rPr>
                <w:b/>
                <w:sz w:val="20"/>
                <w:szCs w:val="20"/>
              </w:rPr>
            </w:pPr>
          </w:p>
        </w:tc>
        <w:tc>
          <w:tcPr>
            <w:tcW w:w="1228" w:type="dxa"/>
            <w:shd w:val="clear" w:color="auto" w:fill="auto"/>
            <w:vAlign w:val="bottom"/>
          </w:tcPr>
          <w:p w:rsidRPr="00B42088" w:rsidR="000B4863" w:rsidP="000B4863" w:rsidRDefault="000B4863" w14:paraId="6F37971B" w14:textId="77777777">
            <w:pPr>
              <w:pStyle w:val="Response"/>
              <w:rPr>
                <w:b/>
                <w:sz w:val="20"/>
                <w:szCs w:val="20"/>
              </w:rPr>
            </w:pPr>
          </w:p>
        </w:tc>
      </w:tr>
      <w:tr w:rsidRPr="00CA77CD" w:rsidR="000A31BB" w:rsidTr="005C110A" w14:paraId="4E255024" w14:textId="77777777">
        <w:tc>
          <w:tcPr>
            <w:tcW w:w="2565" w:type="dxa"/>
            <w:shd w:val="clear" w:color="auto" w:fill="auto"/>
            <w:vAlign w:val="bottom"/>
          </w:tcPr>
          <w:p w:rsidRPr="00B42088" w:rsidR="000B4863" w:rsidP="000B4863" w:rsidRDefault="000B4863" w14:paraId="7A055F6D"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3B2ACD56"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74143614"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0B4863" w:rsidP="000B4863" w:rsidRDefault="000B4863" w14:paraId="466B954D" w14:textId="77777777">
            <w:pPr>
              <w:pStyle w:val="Response"/>
              <w:rPr>
                <w:b/>
                <w:sz w:val="20"/>
                <w:szCs w:val="20"/>
              </w:rPr>
            </w:pPr>
            <w:r w:rsidRPr="00B42088">
              <w:rPr>
                <w:sz w:val="20"/>
                <w:szCs w:val="20"/>
              </w:rPr>
              <w:t>3</w:t>
            </w:r>
          </w:p>
        </w:tc>
        <w:tc>
          <w:tcPr>
            <w:tcW w:w="1201" w:type="dxa"/>
            <w:shd w:val="clear" w:color="auto" w:fill="auto"/>
            <w:vAlign w:val="bottom"/>
          </w:tcPr>
          <w:p w:rsidRPr="00B42088" w:rsidR="000B4863" w:rsidP="000B4863" w:rsidRDefault="000B4863" w14:paraId="284B8484"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742771C0" w14:textId="77777777">
            <w:pPr>
              <w:pStyle w:val="Response"/>
              <w:rPr>
                <w:b/>
                <w:sz w:val="20"/>
                <w:szCs w:val="20"/>
              </w:rPr>
            </w:pPr>
            <w:r w:rsidRPr="00B42088">
              <w:rPr>
                <w:sz w:val="20"/>
                <w:szCs w:val="20"/>
              </w:rPr>
              <w:t>3</w:t>
            </w:r>
          </w:p>
        </w:tc>
        <w:tc>
          <w:tcPr>
            <w:tcW w:w="1043" w:type="dxa"/>
            <w:shd w:val="clear" w:color="auto" w:fill="auto"/>
            <w:vAlign w:val="bottom"/>
          </w:tcPr>
          <w:p w:rsidRPr="00B42088" w:rsidR="000B4863" w:rsidP="000B4863" w:rsidRDefault="000B4863" w14:paraId="2843BCA0" w14:textId="77777777">
            <w:pPr>
              <w:pStyle w:val="Response"/>
              <w:rPr>
                <w:b/>
                <w:sz w:val="20"/>
                <w:szCs w:val="20"/>
              </w:rPr>
            </w:pPr>
            <w:r>
              <w:rPr>
                <w:sz w:val="20"/>
                <w:szCs w:val="20"/>
              </w:rPr>
              <w:t>15/60</w:t>
            </w:r>
          </w:p>
        </w:tc>
        <w:tc>
          <w:tcPr>
            <w:tcW w:w="1054" w:type="dxa"/>
            <w:shd w:val="clear" w:color="auto" w:fill="auto"/>
            <w:vAlign w:val="bottom"/>
          </w:tcPr>
          <w:p w:rsidRPr="00B42088" w:rsidR="000B4863" w:rsidP="000B4863" w:rsidRDefault="000B4863" w14:paraId="49A812ED" w14:textId="77777777">
            <w:pPr>
              <w:pStyle w:val="Response"/>
              <w:rPr>
                <w:b/>
                <w:sz w:val="20"/>
                <w:szCs w:val="20"/>
              </w:rPr>
            </w:pPr>
            <w:r w:rsidRPr="00B42088">
              <w:rPr>
                <w:sz w:val="20"/>
                <w:szCs w:val="20"/>
              </w:rPr>
              <w:t>0.75</w:t>
            </w:r>
          </w:p>
        </w:tc>
        <w:tc>
          <w:tcPr>
            <w:tcW w:w="1009" w:type="dxa"/>
            <w:shd w:val="clear" w:color="auto" w:fill="auto"/>
            <w:vAlign w:val="bottom"/>
          </w:tcPr>
          <w:p w:rsidRPr="00B42088" w:rsidR="000B4863" w:rsidP="000B4863" w:rsidRDefault="000B4863" w14:paraId="4FEAEEE8" w14:textId="77777777">
            <w:pPr>
              <w:pStyle w:val="Response"/>
              <w:rPr>
                <w:b/>
                <w:sz w:val="20"/>
                <w:szCs w:val="20"/>
              </w:rPr>
            </w:pPr>
          </w:p>
        </w:tc>
        <w:tc>
          <w:tcPr>
            <w:tcW w:w="1228" w:type="dxa"/>
            <w:shd w:val="clear" w:color="auto" w:fill="auto"/>
            <w:vAlign w:val="bottom"/>
          </w:tcPr>
          <w:p w:rsidRPr="00B42088" w:rsidR="000B4863" w:rsidP="000B4863" w:rsidRDefault="000B4863" w14:paraId="02DC07D6" w14:textId="77777777">
            <w:pPr>
              <w:pStyle w:val="Response"/>
              <w:rPr>
                <w:b/>
                <w:sz w:val="20"/>
                <w:szCs w:val="20"/>
              </w:rPr>
            </w:pPr>
          </w:p>
        </w:tc>
      </w:tr>
      <w:tr w:rsidRPr="00CA77CD" w:rsidR="000A31BB" w:rsidTr="005C110A" w14:paraId="7578B826" w14:textId="77777777">
        <w:tc>
          <w:tcPr>
            <w:tcW w:w="2565" w:type="dxa"/>
            <w:shd w:val="clear" w:color="auto" w:fill="DEEAF6"/>
            <w:vAlign w:val="bottom"/>
          </w:tcPr>
          <w:p w:rsidRPr="00B42088" w:rsidR="000B4863" w:rsidP="000B4863" w:rsidRDefault="000B4863" w14:paraId="08806627"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0B4863" w:rsidP="000B4863" w:rsidRDefault="000B4863" w14:paraId="40DB8DF5"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0B4863" w:rsidP="000B4863" w:rsidRDefault="000B4863" w14:paraId="41E1B4CA"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0B4863" w:rsidP="000B4863" w:rsidRDefault="000B4863" w14:paraId="0AE1797C" w14:textId="77777777">
            <w:pPr>
              <w:pStyle w:val="Response"/>
              <w:rPr>
                <w:b/>
                <w:sz w:val="20"/>
                <w:szCs w:val="20"/>
              </w:rPr>
            </w:pPr>
          </w:p>
        </w:tc>
        <w:tc>
          <w:tcPr>
            <w:tcW w:w="1201" w:type="dxa"/>
            <w:shd w:val="clear" w:color="auto" w:fill="DEEAF6"/>
            <w:vAlign w:val="bottom"/>
          </w:tcPr>
          <w:p w:rsidRPr="00B42088" w:rsidR="000B4863" w:rsidP="000B4863" w:rsidRDefault="000B4863" w14:paraId="06FE4432"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0B4863" w:rsidP="000B4863" w:rsidRDefault="000B4863" w14:paraId="638AE3D7" w14:textId="77777777">
            <w:pPr>
              <w:pStyle w:val="Response"/>
              <w:rPr>
                <w:b/>
                <w:sz w:val="20"/>
                <w:szCs w:val="20"/>
              </w:rPr>
            </w:pPr>
            <w:r w:rsidRPr="00B42088">
              <w:rPr>
                <w:b/>
                <w:bCs/>
                <w:sz w:val="20"/>
                <w:szCs w:val="20"/>
              </w:rPr>
              <w:t>24</w:t>
            </w:r>
            <w:r>
              <w:rPr>
                <w:b/>
                <w:bCs/>
                <w:sz w:val="20"/>
                <w:szCs w:val="20"/>
              </w:rPr>
              <w:t>,</w:t>
            </w:r>
            <w:r w:rsidRPr="00B42088">
              <w:rPr>
                <w:b/>
                <w:bCs/>
                <w:sz w:val="20"/>
                <w:szCs w:val="20"/>
              </w:rPr>
              <w:t>247</w:t>
            </w:r>
          </w:p>
        </w:tc>
        <w:tc>
          <w:tcPr>
            <w:tcW w:w="1043" w:type="dxa"/>
            <w:shd w:val="clear" w:color="auto" w:fill="DEEAF6"/>
            <w:vAlign w:val="bottom"/>
          </w:tcPr>
          <w:p w:rsidRPr="00B42088" w:rsidR="000B4863" w:rsidP="000B4863" w:rsidRDefault="000B4863" w14:paraId="6253995A"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0B4863" w:rsidP="000B4863" w:rsidRDefault="000B4863" w14:paraId="3C2F0144" w14:textId="77777777">
            <w:pPr>
              <w:pStyle w:val="Response"/>
              <w:rPr>
                <w:b/>
                <w:sz w:val="20"/>
                <w:szCs w:val="20"/>
              </w:rPr>
            </w:pPr>
            <w:r w:rsidRPr="00B42088">
              <w:rPr>
                <w:b/>
                <w:bCs/>
                <w:sz w:val="20"/>
                <w:szCs w:val="20"/>
              </w:rPr>
              <w:t>6,311.75</w:t>
            </w:r>
          </w:p>
        </w:tc>
        <w:tc>
          <w:tcPr>
            <w:tcW w:w="1009" w:type="dxa"/>
            <w:shd w:val="clear" w:color="auto" w:fill="DEEAF6"/>
            <w:vAlign w:val="bottom"/>
          </w:tcPr>
          <w:p w:rsidRPr="00B42088" w:rsidR="000B4863" w:rsidP="000B4863" w:rsidRDefault="000B4863" w14:paraId="725052EF"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0B4863" w:rsidP="000B4863" w:rsidRDefault="000B4863" w14:paraId="0E8A94BC" w14:textId="77777777">
            <w:pPr>
              <w:pStyle w:val="Response"/>
              <w:rPr>
                <w:b/>
                <w:sz w:val="20"/>
                <w:szCs w:val="20"/>
              </w:rPr>
            </w:pPr>
            <w:r w:rsidRPr="00B42088">
              <w:rPr>
                <w:b/>
                <w:bCs/>
                <w:sz w:val="20"/>
                <w:szCs w:val="20"/>
              </w:rPr>
              <w:t xml:space="preserve">$355,540.88 </w:t>
            </w:r>
          </w:p>
        </w:tc>
      </w:tr>
      <w:tr w:rsidRPr="00CA77CD" w:rsidR="000A31BB" w:rsidTr="005C110A" w14:paraId="1AA3D038" w14:textId="77777777">
        <w:tc>
          <w:tcPr>
            <w:tcW w:w="2565" w:type="dxa"/>
            <w:shd w:val="clear" w:color="auto" w:fill="auto"/>
            <w:vAlign w:val="center"/>
          </w:tcPr>
          <w:p w:rsidRPr="00B42088" w:rsidR="000B4863" w:rsidP="000B4863" w:rsidRDefault="000B4863" w14:paraId="333D916D" w14:textId="77777777">
            <w:pPr>
              <w:pStyle w:val="Response"/>
              <w:rPr>
                <w:b/>
                <w:sz w:val="20"/>
                <w:szCs w:val="20"/>
              </w:rPr>
            </w:pPr>
            <w:r w:rsidRPr="00B42088">
              <w:rPr>
                <w:sz w:val="20"/>
                <w:szCs w:val="20"/>
              </w:rPr>
              <w:t>4. Post Fire Safety Plan (1915.502(d)(1))</w:t>
            </w:r>
          </w:p>
        </w:tc>
        <w:tc>
          <w:tcPr>
            <w:tcW w:w="1224" w:type="dxa"/>
            <w:shd w:val="clear" w:color="auto" w:fill="auto"/>
            <w:vAlign w:val="bottom"/>
          </w:tcPr>
          <w:p w:rsidRPr="00B42088" w:rsidR="000B4863" w:rsidP="000B4863" w:rsidRDefault="000B4863" w14:paraId="5C00D3BE" w14:textId="77777777">
            <w:pPr>
              <w:pStyle w:val="Response"/>
              <w:rPr>
                <w:b/>
                <w:sz w:val="20"/>
                <w:szCs w:val="20"/>
              </w:rPr>
            </w:pPr>
            <w:r w:rsidRPr="00B42088">
              <w:rPr>
                <w:sz w:val="20"/>
                <w:szCs w:val="20"/>
              </w:rPr>
              <w:t> </w:t>
            </w:r>
          </w:p>
        </w:tc>
        <w:tc>
          <w:tcPr>
            <w:tcW w:w="1249" w:type="dxa"/>
            <w:shd w:val="clear" w:color="auto" w:fill="auto"/>
            <w:vAlign w:val="bottom"/>
          </w:tcPr>
          <w:p w:rsidRPr="00B42088" w:rsidR="000B4863" w:rsidP="000B4863" w:rsidRDefault="000B4863" w14:paraId="26C8155D" w14:textId="77777777">
            <w:pPr>
              <w:pStyle w:val="Response"/>
              <w:rPr>
                <w:b/>
                <w:sz w:val="20"/>
                <w:szCs w:val="20"/>
              </w:rPr>
            </w:pPr>
            <w:r w:rsidRPr="00B42088">
              <w:rPr>
                <w:sz w:val="20"/>
                <w:szCs w:val="20"/>
              </w:rPr>
              <w:t> </w:t>
            </w:r>
            <w:r>
              <w:rPr>
                <w:sz w:val="20"/>
                <w:szCs w:val="20"/>
              </w:rPr>
              <w:t>Supervisor</w:t>
            </w:r>
          </w:p>
        </w:tc>
        <w:tc>
          <w:tcPr>
            <w:tcW w:w="1439" w:type="dxa"/>
            <w:shd w:val="clear" w:color="auto" w:fill="auto"/>
            <w:vAlign w:val="bottom"/>
          </w:tcPr>
          <w:p w:rsidRPr="00B42088" w:rsidR="000B4863" w:rsidP="000B4863" w:rsidRDefault="000B4863" w14:paraId="64E8557E" w14:textId="77777777">
            <w:pPr>
              <w:pStyle w:val="Response"/>
              <w:rPr>
                <w:b/>
                <w:sz w:val="20"/>
                <w:szCs w:val="20"/>
              </w:rPr>
            </w:pPr>
            <w:r w:rsidRPr="00B42088">
              <w:rPr>
                <w:sz w:val="20"/>
                <w:szCs w:val="20"/>
              </w:rPr>
              <w:t>253</w:t>
            </w:r>
          </w:p>
        </w:tc>
        <w:tc>
          <w:tcPr>
            <w:tcW w:w="1201" w:type="dxa"/>
            <w:shd w:val="clear" w:color="auto" w:fill="auto"/>
            <w:vAlign w:val="bottom"/>
          </w:tcPr>
          <w:p w:rsidRPr="00B42088" w:rsidR="000B4863" w:rsidP="000B4863" w:rsidRDefault="000B4863" w14:paraId="4024B244"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5AD7BF55" w14:textId="77777777">
            <w:pPr>
              <w:pStyle w:val="Response"/>
              <w:rPr>
                <w:b/>
                <w:sz w:val="20"/>
                <w:szCs w:val="20"/>
              </w:rPr>
            </w:pPr>
            <w:r w:rsidRPr="00B42088">
              <w:rPr>
                <w:sz w:val="20"/>
                <w:szCs w:val="20"/>
              </w:rPr>
              <w:t>253</w:t>
            </w:r>
          </w:p>
        </w:tc>
        <w:tc>
          <w:tcPr>
            <w:tcW w:w="1043" w:type="dxa"/>
            <w:shd w:val="clear" w:color="auto" w:fill="auto"/>
            <w:vAlign w:val="bottom"/>
          </w:tcPr>
          <w:p w:rsidRPr="00B42088" w:rsidR="000B4863" w:rsidP="000B4863" w:rsidRDefault="000B4863" w14:paraId="21D3F78C" w14:textId="77777777">
            <w:pPr>
              <w:pStyle w:val="Response"/>
              <w:rPr>
                <w:b/>
                <w:sz w:val="20"/>
                <w:szCs w:val="20"/>
              </w:rPr>
            </w:pPr>
            <w:r>
              <w:rPr>
                <w:sz w:val="20"/>
                <w:szCs w:val="20"/>
              </w:rPr>
              <w:t>5/60</w:t>
            </w:r>
          </w:p>
        </w:tc>
        <w:tc>
          <w:tcPr>
            <w:tcW w:w="1054" w:type="dxa"/>
            <w:shd w:val="clear" w:color="auto" w:fill="auto"/>
            <w:vAlign w:val="bottom"/>
          </w:tcPr>
          <w:p w:rsidRPr="00B42088" w:rsidR="000B4863" w:rsidP="000B4863" w:rsidRDefault="000B4863" w14:paraId="5BCC7D44" w14:textId="77777777">
            <w:pPr>
              <w:pStyle w:val="Response"/>
              <w:rPr>
                <w:b/>
                <w:sz w:val="20"/>
                <w:szCs w:val="20"/>
              </w:rPr>
            </w:pPr>
            <w:r w:rsidRPr="00B42088">
              <w:rPr>
                <w:sz w:val="20"/>
                <w:szCs w:val="20"/>
              </w:rPr>
              <w:t>21.08</w:t>
            </w:r>
          </w:p>
        </w:tc>
        <w:tc>
          <w:tcPr>
            <w:tcW w:w="1009" w:type="dxa"/>
            <w:shd w:val="clear" w:color="auto" w:fill="auto"/>
            <w:vAlign w:val="bottom"/>
          </w:tcPr>
          <w:p w:rsidRPr="00B42088" w:rsidR="000B4863" w:rsidP="000B4863" w:rsidRDefault="000B4863" w14:paraId="4EEE7783" w14:textId="77777777">
            <w:pPr>
              <w:pStyle w:val="Response"/>
              <w:rPr>
                <w:b/>
                <w:sz w:val="20"/>
                <w:szCs w:val="20"/>
              </w:rPr>
            </w:pPr>
            <w:r w:rsidRPr="00B42088">
              <w:rPr>
                <w:sz w:val="20"/>
                <w:szCs w:val="20"/>
              </w:rPr>
              <w:t xml:space="preserve">$49.07 </w:t>
            </w:r>
          </w:p>
        </w:tc>
        <w:tc>
          <w:tcPr>
            <w:tcW w:w="1228" w:type="dxa"/>
            <w:shd w:val="clear" w:color="auto" w:fill="auto"/>
            <w:vAlign w:val="bottom"/>
          </w:tcPr>
          <w:p w:rsidRPr="00B42088" w:rsidR="000B4863" w:rsidP="00131877" w:rsidRDefault="000B4863" w14:paraId="2D6BC651" w14:textId="77777777">
            <w:pPr>
              <w:pStyle w:val="Response"/>
              <w:rPr>
                <w:b/>
                <w:sz w:val="20"/>
                <w:szCs w:val="20"/>
              </w:rPr>
            </w:pPr>
            <w:r w:rsidRPr="00B42088">
              <w:rPr>
                <w:sz w:val="20"/>
                <w:szCs w:val="20"/>
              </w:rPr>
              <w:t>$1,034.</w:t>
            </w:r>
            <w:r w:rsidR="00131877">
              <w:rPr>
                <w:sz w:val="20"/>
                <w:szCs w:val="20"/>
              </w:rPr>
              <w:t>40</w:t>
            </w:r>
            <w:r w:rsidRPr="00B42088" w:rsidR="00131877">
              <w:rPr>
                <w:sz w:val="20"/>
                <w:szCs w:val="20"/>
              </w:rPr>
              <w:t xml:space="preserve"> </w:t>
            </w:r>
          </w:p>
        </w:tc>
      </w:tr>
      <w:tr w:rsidRPr="00CA77CD" w:rsidR="000A31BB" w:rsidTr="005C110A" w14:paraId="7DC3B4A4" w14:textId="77777777">
        <w:tc>
          <w:tcPr>
            <w:tcW w:w="2565" w:type="dxa"/>
            <w:shd w:val="clear" w:color="auto" w:fill="DEEAF6"/>
            <w:vAlign w:val="center"/>
          </w:tcPr>
          <w:p w:rsidRPr="00B42088" w:rsidR="000B4863" w:rsidP="000B4863" w:rsidRDefault="000B4863" w14:paraId="1977B010" w14:textId="77777777">
            <w:pPr>
              <w:pStyle w:val="Response"/>
              <w:rPr>
                <w:b/>
                <w:sz w:val="20"/>
                <w:szCs w:val="20"/>
              </w:rPr>
            </w:pPr>
            <w:r w:rsidRPr="00B42088">
              <w:rPr>
                <w:b/>
                <w:sz w:val="20"/>
                <w:szCs w:val="20"/>
              </w:rPr>
              <w:t>Subtotals</w:t>
            </w:r>
          </w:p>
        </w:tc>
        <w:tc>
          <w:tcPr>
            <w:tcW w:w="1224" w:type="dxa"/>
            <w:shd w:val="clear" w:color="auto" w:fill="DEEAF6"/>
            <w:vAlign w:val="bottom"/>
          </w:tcPr>
          <w:p w:rsidRPr="00B42088" w:rsidR="000B4863" w:rsidP="000B4863" w:rsidRDefault="000B4863" w14:paraId="1FAA26BD" w14:textId="77777777">
            <w:pPr>
              <w:pStyle w:val="Response"/>
              <w:rPr>
                <w:b/>
                <w:sz w:val="20"/>
                <w:szCs w:val="20"/>
              </w:rPr>
            </w:pPr>
          </w:p>
        </w:tc>
        <w:tc>
          <w:tcPr>
            <w:tcW w:w="1249" w:type="dxa"/>
            <w:shd w:val="clear" w:color="auto" w:fill="DEEAF6"/>
            <w:vAlign w:val="bottom"/>
          </w:tcPr>
          <w:p w:rsidRPr="00B42088" w:rsidR="000B4863" w:rsidP="000B4863" w:rsidRDefault="000B4863" w14:paraId="5D9CDABA" w14:textId="77777777">
            <w:pPr>
              <w:pStyle w:val="Response"/>
              <w:rPr>
                <w:b/>
                <w:sz w:val="20"/>
                <w:szCs w:val="20"/>
              </w:rPr>
            </w:pPr>
          </w:p>
        </w:tc>
        <w:tc>
          <w:tcPr>
            <w:tcW w:w="1439" w:type="dxa"/>
            <w:shd w:val="clear" w:color="auto" w:fill="DEEAF6"/>
            <w:vAlign w:val="bottom"/>
          </w:tcPr>
          <w:p w:rsidRPr="00B42088" w:rsidR="000B4863" w:rsidP="000B4863" w:rsidRDefault="000B4863" w14:paraId="65800901" w14:textId="77777777">
            <w:pPr>
              <w:pStyle w:val="Response"/>
              <w:rPr>
                <w:b/>
                <w:sz w:val="20"/>
                <w:szCs w:val="20"/>
              </w:rPr>
            </w:pPr>
          </w:p>
        </w:tc>
        <w:tc>
          <w:tcPr>
            <w:tcW w:w="1201" w:type="dxa"/>
            <w:shd w:val="clear" w:color="auto" w:fill="DEEAF6"/>
            <w:vAlign w:val="bottom"/>
          </w:tcPr>
          <w:p w:rsidRPr="00B42088" w:rsidR="000B4863" w:rsidP="000B4863" w:rsidRDefault="000B4863" w14:paraId="7BE659BB" w14:textId="77777777">
            <w:pPr>
              <w:pStyle w:val="Response"/>
              <w:rPr>
                <w:b/>
                <w:sz w:val="20"/>
                <w:szCs w:val="20"/>
              </w:rPr>
            </w:pPr>
          </w:p>
        </w:tc>
        <w:tc>
          <w:tcPr>
            <w:tcW w:w="1164" w:type="dxa"/>
            <w:shd w:val="clear" w:color="auto" w:fill="DEEAF6"/>
            <w:vAlign w:val="bottom"/>
          </w:tcPr>
          <w:p w:rsidRPr="00B42088" w:rsidR="000B4863" w:rsidP="000B4863" w:rsidRDefault="000B4863" w14:paraId="4F0D4A20" w14:textId="77777777">
            <w:pPr>
              <w:pStyle w:val="Response"/>
              <w:rPr>
                <w:b/>
                <w:sz w:val="20"/>
                <w:szCs w:val="20"/>
              </w:rPr>
            </w:pPr>
            <w:r w:rsidRPr="00B42088">
              <w:rPr>
                <w:b/>
                <w:sz w:val="20"/>
                <w:szCs w:val="20"/>
              </w:rPr>
              <w:t>253</w:t>
            </w:r>
          </w:p>
        </w:tc>
        <w:tc>
          <w:tcPr>
            <w:tcW w:w="1043" w:type="dxa"/>
            <w:shd w:val="clear" w:color="auto" w:fill="DEEAF6"/>
            <w:vAlign w:val="bottom"/>
          </w:tcPr>
          <w:p w:rsidRPr="00B42088" w:rsidR="000B4863" w:rsidP="000B4863" w:rsidRDefault="000B4863" w14:paraId="4BE19CBE" w14:textId="77777777">
            <w:pPr>
              <w:pStyle w:val="Response"/>
              <w:rPr>
                <w:b/>
                <w:sz w:val="20"/>
                <w:szCs w:val="20"/>
              </w:rPr>
            </w:pPr>
          </w:p>
        </w:tc>
        <w:tc>
          <w:tcPr>
            <w:tcW w:w="1054" w:type="dxa"/>
            <w:shd w:val="clear" w:color="auto" w:fill="DEEAF6"/>
            <w:vAlign w:val="bottom"/>
          </w:tcPr>
          <w:p w:rsidRPr="00B42088" w:rsidR="000B4863" w:rsidP="000B4863" w:rsidRDefault="000B4863" w14:paraId="29470D2D" w14:textId="77777777">
            <w:pPr>
              <w:pStyle w:val="Response"/>
              <w:rPr>
                <w:b/>
                <w:sz w:val="20"/>
                <w:szCs w:val="20"/>
              </w:rPr>
            </w:pPr>
            <w:r w:rsidRPr="00B42088">
              <w:rPr>
                <w:b/>
                <w:sz w:val="20"/>
                <w:szCs w:val="20"/>
              </w:rPr>
              <w:t>21.08</w:t>
            </w:r>
          </w:p>
        </w:tc>
        <w:tc>
          <w:tcPr>
            <w:tcW w:w="1009" w:type="dxa"/>
            <w:shd w:val="clear" w:color="auto" w:fill="DEEAF6"/>
            <w:vAlign w:val="bottom"/>
          </w:tcPr>
          <w:p w:rsidRPr="00B42088" w:rsidR="000B4863" w:rsidP="000B4863" w:rsidRDefault="000B4863" w14:paraId="25D13D42" w14:textId="77777777">
            <w:pPr>
              <w:pStyle w:val="Response"/>
              <w:rPr>
                <w:b/>
                <w:sz w:val="20"/>
                <w:szCs w:val="20"/>
              </w:rPr>
            </w:pPr>
            <w:r w:rsidRPr="00B42088">
              <w:rPr>
                <w:b/>
                <w:sz w:val="20"/>
                <w:szCs w:val="20"/>
              </w:rPr>
              <w:t xml:space="preserve">$49.07 </w:t>
            </w:r>
          </w:p>
        </w:tc>
        <w:tc>
          <w:tcPr>
            <w:tcW w:w="1228" w:type="dxa"/>
            <w:shd w:val="clear" w:color="auto" w:fill="DEEAF6"/>
            <w:vAlign w:val="bottom"/>
          </w:tcPr>
          <w:p w:rsidRPr="00B42088" w:rsidR="000B4863" w:rsidP="002554D3" w:rsidRDefault="000B4863" w14:paraId="6727D282" w14:textId="77777777">
            <w:pPr>
              <w:pStyle w:val="Response"/>
              <w:rPr>
                <w:b/>
                <w:sz w:val="20"/>
                <w:szCs w:val="20"/>
              </w:rPr>
            </w:pPr>
            <w:r w:rsidRPr="00B42088">
              <w:rPr>
                <w:b/>
                <w:sz w:val="20"/>
                <w:szCs w:val="20"/>
              </w:rPr>
              <w:t>$1,034.</w:t>
            </w:r>
            <w:r w:rsidR="002554D3">
              <w:rPr>
                <w:b/>
                <w:sz w:val="20"/>
                <w:szCs w:val="20"/>
              </w:rPr>
              <w:t>40</w:t>
            </w:r>
          </w:p>
        </w:tc>
      </w:tr>
      <w:tr w:rsidRPr="00CA77CD" w:rsidR="000A31BB" w:rsidTr="005C110A" w14:paraId="186B1822" w14:textId="77777777">
        <w:tc>
          <w:tcPr>
            <w:tcW w:w="2565" w:type="dxa"/>
            <w:shd w:val="clear" w:color="auto" w:fill="auto"/>
            <w:vAlign w:val="center"/>
          </w:tcPr>
          <w:p w:rsidRPr="00B42088" w:rsidR="000B4863" w:rsidP="000B4863" w:rsidRDefault="000B4863" w14:paraId="57F5FB9A" w14:textId="77777777">
            <w:pPr>
              <w:pStyle w:val="Response"/>
              <w:rPr>
                <w:b/>
                <w:sz w:val="20"/>
                <w:szCs w:val="20"/>
              </w:rPr>
            </w:pPr>
            <w:r w:rsidRPr="00B42088">
              <w:rPr>
                <w:sz w:val="20"/>
                <w:szCs w:val="20"/>
              </w:rPr>
              <w:t>5. Certification Record of Review of FSP (1915.502(d)(3))</w:t>
            </w:r>
          </w:p>
        </w:tc>
        <w:tc>
          <w:tcPr>
            <w:tcW w:w="1224" w:type="dxa"/>
            <w:shd w:val="clear" w:color="auto" w:fill="auto"/>
            <w:vAlign w:val="bottom"/>
          </w:tcPr>
          <w:p w:rsidRPr="00B42088" w:rsidR="000B4863" w:rsidP="000B4863" w:rsidRDefault="000B4863" w14:paraId="12C21EE3"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0B4863" w:rsidP="000B4863" w:rsidRDefault="000B4863" w14:paraId="3C279912" w14:textId="77777777">
            <w:pPr>
              <w:pStyle w:val="Response"/>
              <w:rPr>
                <w:b/>
                <w:sz w:val="20"/>
                <w:szCs w:val="20"/>
              </w:rPr>
            </w:pPr>
            <w:r>
              <w:rPr>
                <w:sz w:val="20"/>
                <w:szCs w:val="20"/>
              </w:rPr>
              <w:t>Supervisor</w:t>
            </w:r>
          </w:p>
        </w:tc>
        <w:tc>
          <w:tcPr>
            <w:tcW w:w="1439" w:type="dxa"/>
            <w:shd w:val="clear" w:color="auto" w:fill="auto"/>
            <w:vAlign w:val="bottom"/>
          </w:tcPr>
          <w:p w:rsidRPr="00B42088" w:rsidR="000B4863" w:rsidP="000B4863" w:rsidRDefault="000B4863" w14:paraId="562820A1" w14:textId="77777777">
            <w:pPr>
              <w:pStyle w:val="Response"/>
              <w:rPr>
                <w:b/>
                <w:sz w:val="20"/>
                <w:szCs w:val="20"/>
              </w:rPr>
            </w:pPr>
            <w:r w:rsidRPr="00B42088">
              <w:rPr>
                <w:sz w:val="20"/>
                <w:szCs w:val="20"/>
              </w:rPr>
              <w:t>253</w:t>
            </w:r>
          </w:p>
        </w:tc>
        <w:tc>
          <w:tcPr>
            <w:tcW w:w="1201" w:type="dxa"/>
            <w:shd w:val="clear" w:color="auto" w:fill="auto"/>
            <w:vAlign w:val="bottom"/>
          </w:tcPr>
          <w:p w:rsidRPr="00B42088" w:rsidR="000B4863" w:rsidP="000B4863" w:rsidRDefault="000B4863" w14:paraId="5C789934"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199A3C21" w14:textId="77777777">
            <w:pPr>
              <w:pStyle w:val="Response"/>
              <w:rPr>
                <w:b/>
                <w:sz w:val="20"/>
                <w:szCs w:val="20"/>
              </w:rPr>
            </w:pPr>
            <w:r w:rsidRPr="00B42088">
              <w:rPr>
                <w:sz w:val="20"/>
                <w:szCs w:val="20"/>
              </w:rPr>
              <w:t>253</w:t>
            </w:r>
          </w:p>
        </w:tc>
        <w:tc>
          <w:tcPr>
            <w:tcW w:w="1043" w:type="dxa"/>
            <w:shd w:val="clear" w:color="auto" w:fill="auto"/>
            <w:vAlign w:val="bottom"/>
          </w:tcPr>
          <w:p w:rsidRPr="00B42088" w:rsidR="000B4863" w:rsidP="000B4863" w:rsidRDefault="000B4863" w14:paraId="4D018877" w14:textId="77777777">
            <w:pPr>
              <w:pStyle w:val="Response"/>
              <w:rPr>
                <w:b/>
                <w:sz w:val="20"/>
                <w:szCs w:val="20"/>
              </w:rPr>
            </w:pPr>
            <w:r w:rsidRPr="00B42088">
              <w:rPr>
                <w:sz w:val="20"/>
                <w:szCs w:val="20"/>
              </w:rPr>
              <w:t>3/60</w:t>
            </w:r>
          </w:p>
        </w:tc>
        <w:tc>
          <w:tcPr>
            <w:tcW w:w="1054" w:type="dxa"/>
            <w:shd w:val="clear" w:color="auto" w:fill="auto"/>
            <w:vAlign w:val="bottom"/>
          </w:tcPr>
          <w:p w:rsidRPr="00B42088" w:rsidR="000B4863" w:rsidP="000B4863" w:rsidRDefault="000B4863" w14:paraId="4EDD2C33" w14:textId="77777777">
            <w:pPr>
              <w:pStyle w:val="Response"/>
              <w:rPr>
                <w:b/>
                <w:sz w:val="20"/>
                <w:szCs w:val="20"/>
              </w:rPr>
            </w:pPr>
            <w:r w:rsidRPr="00B42088">
              <w:rPr>
                <w:sz w:val="20"/>
                <w:szCs w:val="20"/>
              </w:rPr>
              <w:t>12.65</w:t>
            </w:r>
          </w:p>
        </w:tc>
        <w:tc>
          <w:tcPr>
            <w:tcW w:w="1009" w:type="dxa"/>
            <w:shd w:val="clear" w:color="auto" w:fill="auto"/>
            <w:vAlign w:val="bottom"/>
          </w:tcPr>
          <w:p w:rsidRPr="00B42088" w:rsidR="000B4863" w:rsidP="000B4863" w:rsidRDefault="000B4863" w14:paraId="15F57ABE" w14:textId="77777777">
            <w:pPr>
              <w:pStyle w:val="Response"/>
              <w:rPr>
                <w:b/>
                <w:sz w:val="20"/>
                <w:szCs w:val="20"/>
              </w:rPr>
            </w:pPr>
            <w:r w:rsidRPr="00B42088">
              <w:rPr>
                <w:sz w:val="20"/>
                <w:szCs w:val="20"/>
              </w:rPr>
              <w:t> </w:t>
            </w:r>
          </w:p>
        </w:tc>
        <w:tc>
          <w:tcPr>
            <w:tcW w:w="1228" w:type="dxa"/>
            <w:shd w:val="clear" w:color="auto" w:fill="auto"/>
            <w:vAlign w:val="bottom"/>
          </w:tcPr>
          <w:p w:rsidRPr="00B42088" w:rsidR="000B4863" w:rsidP="000B4863" w:rsidRDefault="000B4863" w14:paraId="0572992D" w14:textId="77777777">
            <w:pPr>
              <w:pStyle w:val="Response"/>
              <w:rPr>
                <w:b/>
                <w:sz w:val="20"/>
                <w:szCs w:val="20"/>
              </w:rPr>
            </w:pPr>
            <w:r w:rsidRPr="00B42088">
              <w:rPr>
                <w:sz w:val="20"/>
                <w:szCs w:val="20"/>
              </w:rPr>
              <w:t> </w:t>
            </w:r>
          </w:p>
        </w:tc>
      </w:tr>
      <w:tr w:rsidRPr="00CA77CD" w:rsidR="000A31BB" w:rsidTr="005C110A" w14:paraId="5AD4E998" w14:textId="77777777">
        <w:tc>
          <w:tcPr>
            <w:tcW w:w="2565" w:type="dxa"/>
            <w:shd w:val="clear" w:color="auto" w:fill="auto"/>
            <w:vAlign w:val="bottom"/>
          </w:tcPr>
          <w:p w:rsidRPr="00B42088" w:rsidR="000B4863" w:rsidP="000B4863" w:rsidRDefault="000B4863" w14:paraId="5F89A073"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3DDD3C49" w14:textId="77777777">
            <w:pPr>
              <w:pStyle w:val="Response"/>
              <w:rPr>
                <w:b/>
                <w:sz w:val="20"/>
                <w:szCs w:val="20"/>
              </w:rPr>
            </w:pPr>
            <w:r w:rsidRPr="00B42088">
              <w:rPr>
                <w:sz w:val="20"/>
                <w:szCs w:val="20"/>
              </w:rPr>
              <w:t>Annual</w:t>
            </w:r>
          </w:p>
        </w:tc>
        <w:tc>
          <w:tcPr>
            <w:tcW w:w="1249" w:type="dxa"/>
            <w:shd w:val="clear" w:color="auto" w:fill="auto"/>
            <w:vAlign w:val="bottom"/>
          </w:tcPr>
          <w:p w:rsidRPr="009248F2" w:rsidR="000B4863" w:rsidP="009248F2" w:rsidRDefault="009248F2" w14:paraId="6B5E948F" w14:textId="77777777">
            <w:pPr>
              <w:pStyle w:val="Response"/>
              <w:rPr>
                <w:sz w:val="20"/>
                <w:szCs w:val="20"/>
              </w:rPr>
            </w:pPr>
            <w:r>
              <w:rPr>
                <w:sz w:val="20"/>
                <w:szCs w:val="20"/>
              </w:rPr>
              <w:t>Supervisor</w:t>
            </w:r>
          </w:p>
        </w:tc>
        <w:tc>
          <w:tcPr>
            <w:tcW w:w="1439" w:type="dxa"/>
            <w:shd w:val="clear" w:color="auto" w:fill="auto"/>
            <w:vAlign w:val="bottom"/>
          </w:tcPr>
          <w:p w:rsidRPr="00B42088" w:rsidR="000B4863" w:rsidP="000B4863" w:rsidRDefault="000B4863" w14:paraId="26761C33" w14:textId="77777777">
            <w:pPr>
              <w:pStyle w:val="Response"/>
              <w:rPr>
                <w:b/>
                <w:sz w:val="20"/>
                <w:szCs w:val="20"/>
              </w:rPr>
            </w:pPr>
            <w:r w:rsidRPr="00B42088">
              <w:rPr>
                <w:sz w:val="20"/>
                <w:szCs w:val="20"/>
              </w:rPr>
              <w:t>24,991</w:t>
            </w:r>
          </w:p>
        </w:tc>
        <w:tc>
          <w:tcPr>
            <w:tcW w:w="1201" w:type="dxa"/>
            <w:shd w:val="clear" w:color="auto" w:fill="auto"/>
            <w:vAlign w:val="bottom"/>
          </w:tcPr>
          <w:p w:rsidRPr="00B42088" w:rsidR="000B4863" w:rsidP="000B4863" w:rsidRDefault="000B4863" w14:paraId="1C2499E2"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43304646" w14:textId="77777777">
            <w:pPr>
              <w:pStyle w:val="Response"/>
              <w:rPr>
                <w:b/>
                <w:sz w:val="20"/>
                <w:szCs w:val="20"/>
              </w:rPr>
            </w:pPr>
            <w:r w:rsidRPr="00B42088">
              <w:rPr>
                <w:sz w:val="20"/>
                <w:szCs w:val="20"/>
              </w:rPr>
              <w:t>24,991</w:t>
            </w:r>
          </w:p>
        </w:tc>
        <w:tc>
          <w:tcPr>
            <w:tcW w:w="1043" w:type="dxa"/>
            <w:shd w:val="clear" w:color="auto" w:fill="auto"/>
            <w:vAlign w:val="bottom"/>
          </w:tcPr>
          <w:p w:rsidRPr="00B42088" w:rsidR="000B4863" w:rsidP="000B4863" w:rsidRDefault="000B4863" w14:paraId="2E04B6BC" w14:textId="77777777">
            <w:pPr>
              <w:pStyle w:val="Response"/>
              <w:rPr>
                <w:b/>
                <w:sz w:val="20"/>
                <w:szCs w:val="20"/>
              </w:rPr>
            </w:pPr>
            <w:r w:rsidRPr="00B42088">
              <w:rPr>
                <w:sz w:val="20"/>
                <w:szCs w:val="20"/>
              </w:rPr>
              <w:t>3/60</w:t>
            </w:r>
          </w:p>
        </w:tc>
        <w:tc>
          <w:tcPr>
            <w:tcW w:w="1054" w:type="dxa"/>
            <w:shd w:val="clear" w:color="auto" w:fill="auto"/>
            <w:vAlign w:val="bottom"/>
          </w:tcPr>
          <w:p w:rsidRPr="00B42088" w:rsidR="000B4863" w:rsidP="000B4863" w:rsidRDefault="000B4863" w14:paraId="05E312D5" w14:textId="77777777">
            <w:pPr>
              <w:pStyle w:val="Response"/>
              <w:rPr>
                <w:b/>
                <w:sz w:val="20"/>
                <w:szCs w:val="20"/>
              </w:rPr>
            </w:pPr>
            <w:r w:rsidRPr="00B42088">
              <w:rPr>
                <w:sz w:val="20"/>
                <w:szCs w:val="20"/>
              </w:rPr>
              <w:t>1,249.55</w:t>
            </w:r>
          </w:p>
        </w:tc>
        <w:tc>
          <w:tcPr>
            <w:tcW w:w="1009" w:type="dxa"/>
            <w:shd w:val="clear" w:color="auto" w:fill="auto"/>
            <w:vAlign w:val="bottom"/>
          </w:tcPr>
          <w:p w:rsidRPr="00B42088" w:rsidR="000B4863" w:rsidP="000B4863" w:rsidRDefault="000B4863" w14:paraId="73562242" w14:textId="77777777">
            <w:pPr>
              <w:pStyle w:val="Response"/>
              <w:rPr>
                <w:b/>
                <w:sz w:val="20"/>
                <w:szCs w:val="20"/>
              </w:rPr>
            </w:pPr>
          </w:p>
        </w:tc>
        <w:tc>
          <w:tcPr>
            <w:tcW w:w="1228" w:type="dxa"/>
            <w:shd w:val="clear" w:color="auto" w:fill="auto"/>
            <w:vAlign w:val="bottom"/>
          </w:tcPr>
          <w:p w:rsidRPr="00B42088" w:rsidR="000B4863" w:rsidP="000B4863" w:rsidRDefault="000B4863" w14:paraId="4A6D369C" w14:textId="77777777">
            <w:pPr>
              <w:pStyle w:val="Response"/>
              <w:rPr>
                <w:b/>
                <w:sz w:val="20"/>
                <w:szCs w:val="20"/>
              </w:rPr>
            </w:pPr>
          </w:p>
        </w:tc>
      </w:tr>
      <w:tr w:rsidRPr="00CA77CD" w:rsidR="000A31BB" w:rsidTr="005C110A" w14:paraId="5D01632C" w14:textId="77777777">
        <w:tc>
          <w:tcPr>
            <w:tcW w:w="2565" w:type="dxa"/>
            <w:shd w:val="clear" w:color="auto" w:fill="auto"/>
            <w:vAlign w:val="bottom"/>
          </w:tcPr>
          <w:p w:rsidRPr="00B42088" w:rsidR="000B4863" w:rsidP="000B4863" w:rsidRDefault="000B4863" w14:paraId="35124DC7" w14:textId="77777777">
            <w:pPr>
              <w:pStyle w:val="Response"/>
              <w:rPr>
                <w:b/>
                <w:sz w:val="20"/>
                <w:szCs w:val="20"/>
              </w:rPr>
            </w:pPr>
            <w:r w:rsidRPr="00B42088">
              <w:rPr>
                <w:sz w:val="20"/>
                <w:szCs w:val="20"/>
              </w:rPr>
              <w:t> </w:t>
            </w:r>
          </w:p>
        </w:tc>
        <w:tc>
          <w:tcPr>
            <w:tcW w:w="1224" w:type="dxa"/>
            <w:shd w:val="clear" w:color="auto" w:fill="auto"/>
            <w:vAlign w:val="bottom"/>
          </w:tcPr>
          <w:p w:rsidRPr="00B42088" w:rsidR="000B4863" w:rsidP="000B4863" w:rsidRDefault="000B4863" w14:paraId="1A3E91CE" w14:textId="77777777">
            <w:pPr>
              <w:pStyle w:val="Response"/>
              <w:rPr>
                <w:b/>
                <w:sz w:val="20"/>
                <w:szCs w:val="20"/>
              </w:rPr>
            </w:pPr>
            <w:r w:rsidRPr="00B42088">
              <w:rPr>
                <w:sz w:val="20"/>
                <w:szCs w:val="20"/>
              </w:rPr>
              <w:t>Annual</w:t>
            </w:r>
          </w:p>
        </w:tc>
        <w:tc>
          <w:tcPr>
            <w:tcW w:w="1249" w:type="dxa"/>
            <w:shd w:val="clear" w:color="auto" w:fill="auto"/>
            <w:vAlign w:val="bottom"/>
          </w:tcPr>
          <w:p w:rsidRPr="009248F2" w:rsidR="000B4863" w:rsidP="000B4863" w:rsidRDefault="009248F2" w14:paraId="6D6C3C63" w14:textId="77777777">
            <w:pPr>
              <w:pStyle w:val="Response"/>
              <w:rPr>
                <w:sz w:val="20"/>
                <w:szCs w:val="20"/>
              </w:rPr>
            </w:pPr>
            <w:r w:rsidRPr="009248F2">
              <w:rPr>
                <w:sz w:val="20"/>
                <w:szCs w:val="20"/>
              </w:rPr>
              <w:t>Supervisor</w:t>
            </w:r>
          </w:p>
        </w:tc>
        <w:tc>
          <w:tcPr>
            <w:tcW w:w="1439" w:type="dxa"/>
            <w:shd w:val="clear" w:color="auto" w:fill="auto"/>
            <w:vAlign w:val="bottom"/>
          </w:tcPr>
          <w:p w:rsidRPr="00B42088" w:rsidR="000B4863" w:rsidP="000B4863" w:rsidRDefault="000B4863" w14:paraId="6C5596C7" w14:textId="77777777">
            <w:pPr>
              <w:pStyle w:val="Response"/>
              <w:rPr>
                <w:b/>
                <w:sz w:val="20"/>
                <w:szCs w:val="20"/>
              </w:rPr>
            </w:pPr>
            <w:r w:rsidRPr="00B42088">
              <w:rPr>
                <w:sz w:val="20"/>
                <w:szCs w:val="20"/>
              </w:rPr>
              <w:t>10</w:t>
            </w:r>
          </w:p>
        </w:tc>
        <w:tc>
          <w:tcPr>
            <w:tcW w:w="1201" w:type="dxa"/>
            <w:shd w:val="clear" w:color="auto" w:fill="auto"/>
            <w:vAlign w:val="bottom"/>
          </w:tcPr>
          <w:p w:rsidRPr="00B42088" w:rsidR="000B4863" w:rsidP="000B4863" w:rsidRDefault="000B4863" w14:paraId="2A863107"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7913A032" w14:textId="77777777">
            <w:pPr>
              <w:pStyle w:val="Response"/>
              <w:rPr>
                <w:b/>
                <w:sz w:val="20"/>
                <w:szCs w:val="20"/>
              </w:rPr>
            </w:pPr>
            <w:r w:rsidRPr="00B42088">
              <w:rPr>
                <w:sz w:val="20"/>
                <w:szCs w:val="20"/>
              </w:rPr>
              <w:t>10</w:t>
            </w:r>
          </w:p>
        </w:tc>
        <w:tc>
          <w:tcPr>
            <w:tcW w:w="1043" w:type="dxa"/>
            <w:shd w:val="clear" w:color="auto" w:fill="auto"/>
            <w:vAlign w:val="bottom"/>
          </w:tcPr>
          <w:p w:rsidRPr="00B42088" w:rsidR="000B4863" w:rsidP="000B4863" w:rsidRDefault="000B4863" w14:paraId="00F5A963" w14:textId="77777777">
            <w:pPr>
              <w:pStyle w:val="Response"/>
              <w:rPr>
                <w:b/>
                <w:sz w:val="20"/>
                <w:szCs w:val="20"/>
              </w:rPr>
            </w:pPr>
            <w:r w:rsidRPr="00B42088">
              <w:rPr>
                <w:sz w:val="20"/>
                <w:szCs w:val="20"/>
              </w:rPr>
              <w:t>3/60</w:t>
            </w:r>
          </w:p>
        </w:tc>
        <w:tc>
          <w:tcPr>
            <w:tcW w:w="1054" w:type="dxa"/>
            <w:shd w:val="clear" w:color="auto" w:fill="auto"/>
            <w:vAlign w:val="bottom"/>
          </w:tcPr>
          <w:p w:rsidRPr="00B42088" w:rsidR="000B4863" w:rsidP="000B4863" w:rsidRDefault="000B4863" w14:paraId="6B6FDAF5" w14:textId="77777777">
            <w:pPr>
              <w:pStyle w:val="Response"/>
              <w:rPr>
                <w:b/>
                <w:sz w:val="20"/>
                <w:szCs w:val="20"/>
              </w:rPr>
            </w:pPr>
            <w:r w:rsidRPr="00B42088">
              <w:rPr>
                <w:sz w:val="20"/>
                <w:szCs w:val="20"/>
              </w:rPr>
              <w:t>0.5</w:t>
            </w:r>
          </w:p>
        </w:tc>
        <w:tc>
          <w:tcPr>
            <w:tcW w:w="1009" w:type="dxa"/>
            <w:shd w:val="clear" w:color="auto" w:fill="auto"/>
            <w:vAlign w:val="bottom"/>
          </w:tcPr>
          <w:p w:rsidRPr="00B42088" w:rsidR="000B4863" w:rsidP="000B4863" w:rsidRDefault="000B4863" w14:paraId="3D2FD859" w14:textId="77777777">
            <w:pPr>
              <w:pStyle w:val="Response"/>
              <w:rPr>
                <w:b/>
                <w:sz w:val="20"/>
                <w:szCs w:val="20"/>
              </w:rPr>
            </w:pPr>
          </w:p>
        </w:tc>
        <w:tc>
          <w:tcPr>
            <w:tcW w:w="1228" w:type="dxa"/>
            <w:shd w:val="clear" w:color="auto" w:fill="auto"/>
            <w:vAlign w:val="bottom"/>
          </w:tcPr>
          <w:p w:rsidRPr="00B42088" w:rsidR="000B4863" w:rsidP="000B4863" w:rsidRDefault="000B4863" w14:paraId="6F8BB08F" w14:textId="77777777">
            <w:pPr>
              <w:pStyle w:val="Response"/>
              <w:rPr>
                <w:b/>
                <w:sz w:val="20"/>
                <w:szCs w:val="20"/>
              </w:rPr>
            </w:pPr>
          </w:p>
        </w:tc>
      </w:tr>
      <w:tr w:rsidRPr="00CA77CD" w:rsidR="000A31BB" w:rsidTr="005C110A" w14:paraId="124C7E21" w14:textId="77777777">
        <w:tc>
          <w:tcPr>
            <w:tcW w:w="2565" w:type="dxa"/>
            <w:shd w:val="clear" w:color="auto" w:fill="DEEAF6"/>
            <w:vAlign w:val="bottom"/>
          </w:tcPr>
          <w:p w:rsidRPr="00B42088" w:rsidR="000B4863" w:rsidP="000B4863" w:rsidRDefault="000B4863" w14:paraId="19466754"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0B4863" w:rsidP="000B4863" w:rsidRDefault="000B4863" w14:paraId="3CF6BAE9"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0B4863" w:rsidP="000B4863" w:rsidRDefault="000B4863" w14:paraId="606D5BBA"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0B4863" w:rsidP="000B4863" w:rsidRDefault="000B4863" w14:paraId="5E64DBAA" w14:textId="77777777">
            <w:pPr>
              <w:pStyle w:val="Response"/>
              <w:rPr>
                <w:b/>
                <w:sz w:val="20"/>
                <w:szCs w:val="20"/>
              </w:rPr>
            </w:pPr>
          </w:p>
        </w:tc>
        <w:tc>
          <w:tcPr>
            <w:tcW w:w="1201" w:type="dxa"/>
            <w:shd w:val="clear" w:color="auto" w:fill="DEEAF6"/>
            <w:vAlign w:val="bottom"/>
          </w:tcPr>
          <w:p w:rsidRPr="00B42088" w:rsidR="000B4863" w:rsidP="000B4863" w:rsidRDefault="000B4863" w14:paraId="5E4BF494"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0B4863" w:rsidP="000B4863" w:rsidRDefault="000B4863" w14:paraId="22F2BA38" w14:textId="77777777">
            <w:pPr>
              <w:pStyle w:val="Response"/>
              <w:rPr>
                <w:b/>
                <w:sz w:val="20"/>
                <w:szCs w:val="20"/>
              </w:rPr>
            </w:pPr>
            <w:r w:rsidRPr="00B42088">
              <w:rPr>
                <w:b/>
                <w:bCs/>
                <w:sz w:val="20"/>
                <w:szCs w:val="20"/>
              </w:rPr>
              <w:t>25</w:t>
            </w:r>
            <w:r>
              <w:rPr>
                <w:b/>
                <w:bCs/>
                <w:sz w:val="20"/>
                <w:szCs w:val="20"/>
              </w:rPr>
              <w:t>,</w:t>
            </w:r>
            <w:r w:rsidRPr="00B42088">
              <w:rPr>
                <w:b/>
                <w:bCs/>
                <w:sz w:val="20"/>
                <w:szCs w:val="20"/>
              </w:rPr>
              <w:t>254</w:t>
            </w:r>
          </w:p>
        </w:tc>
        <w:tc>
          <w:tcPr>
            <w:tcW w:w="1043" w:type="dxa"/>
            <w:shd w:val="clear" w:color="auto" w:fill="DEEAF6"/>
            <w:vAlign w:val="bottom"/>
          </w:tcPr>
          <w:p w:rsidRPr="00B42088" w:rsidR="000B4863" w:rsidP="000B4863" w:rsidRDefault="000B4863" w14:paraId="54DEB1C3"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0B4863" w:rsidP="000B4863" w:rsidRDefault="000B4863" w14:paraId="7E566140" w14:textId="77777777">
            <w:pPr>
              <w:pStyle w:val="Response"/>
              <w:rPr>
                <w:b/>
                <w:sz w:val="20"/>
                <w:szCs w:val="20"/>
              </w:rPr>
            </w:pPr>
            <w:r w:rsidRPr="00B42088">
              <w:rPr>
                <w:b/>
                <w:bCs/>
                <w:sz w:val="20"/>
                <w:szCs w:val="20"/>
              </w:rPr>
              <w:t>1,262.70</w:t>
            </w:r>
          </w:p>
        </w:tc>
        <w:tc>
          <w:tcPr>
            <w:tcW w:w="1009" w:type="dxa"/>
            <w:shd w:val="clear" w:color="auto" w:fill="DEEAF6"/>
            <w:vAlign w:val="bottom"/>
          </w:tcPr>
          <w:p w:rsidRPr="00B42088" w:rsidR="000B4863" w:rsidP="000B4863" w:rsidRDefault="000B4863" w14:paraId="52DDC52B" w14:textId="77777777">
            <w:pPr>
              <w:pStyle w:val="Response"/>
              <w:rPr>
                <w:b/>
                <w:sz w:val="20"/>
                <w:szCs w:val="20"/>
              </w:rPr>
            </w:pPr>
            <w:r w:rsidRPr="00B42088">
              <w:rPr>
                <w:b/>
                <w:bCs/>
                <w:sz w:val="20"/>
                <w:szCs w:val="20"/>
              </w:rPr>
              <w:t xml:space="preserve">$49.07 </w:t>
            </w:r>
          </w:p>
        </w:tc>
        <w:tc>
          <w:tcPr>
            <w:tcW w:w="1228" w:type="dxa"/>
            <w:shd w:val="clear" w:color="auto" w:fill="DEEAF6"/>
            <w:vAlign w:val="bottom"/>
          </w:tcPr>
          <w:p w:rsidRPr="00B42088" w:rsidR="000B4863" w:rsidP="000B4863" w:rsidRDefault="000B4863" w14:paraId="20E1D246" w14:textId="77777777">
            <w:pPr>
              <w:pStyle w:val="Response"/>
              <w:rPr>
                <w:b/>
                <w:sz w:val="20"/>
                <w:szCs w:val="20"/>
              </w:rPr>
            </w:pPr>
            <w:r w:rsidRPr="00B42088">
              <w:rPr>
                <w:b/>
                <w:bCs/>
                <w:sz w:val="20"/>
                <w:szCs w:val="20"/>
              </w:rPr>
              <w:t xml:space="preserve">$61,960.69 </w:t>
            </w:r>
          </w:p>
        </w:tc>
      </w:tr>
      <w:tr w:rsidRPr="00CA77CD" w:rsidR="000A31BB" w:rsidTr="005C110A" w14:paraId="53906486" w14:textId="77777777">
        <w:tc>
          <w:tcPr>
            <w:tcW w:w="2565" w:type="dxa"/>
            <w:shd w:val="clear" w:color="auto" w:fill="auto"/>
            <w:vAlign w:val="center"/>
          </w:tcPr>
          <w:p w:rsidRPr="00B42088" w:rsidR="000B4863" w:rsidP="000B4863" w:rsidRDefault="000B4863" w14:paraId="1B8F8265" w14:textId="77777777">
            <w:pPr>
              <w:pStyle w:val="Response"/>
              <w:rPr>
                <w:b/>
                <w:sz w:val="20"/>
                <w:szCs w:val="20"/>
              </w:rPr>
            </w:pPr>
            <w:r w:rsidRPr="00B42088">
              <w:rPr>
                <w:sz w:val="20"/>
                <w:szCs w:val="20"/>
              </w:rPr>
              <w:t xml:space="preserve">6. Give Fire Safety Plan to Outside Fire Response </w:t>
            </w:r>
            <w:r w:rsidRPr="00B42088">
              <w:rPr>
                <w:sz w:val="20"/>
                <w:szCs w:val="20"/>
              </w:rPr>
              <w:lastRenderedPageBreak/>
              <w:t>Organization (1915.502(d)(4))</w:t>
            </w:r>
          </w:p>
        </w:tc>
        <w:tc>
          <w:tcPr>
            <w:tcW w:w="1224" w:type="dxa"/>
            <w:shd w:val="clear" w:color="auto" w:fill="auto"/>
            <w:vAlign w:val="bottom"/>
          </w:tcPr>
          <w:p w:rsidRPr="00B42088" w:rsidR="000B4863" w:rsidP="000B4863" w:rsidRDefault="000B4863" w14:paraId="6B8A1E54" w14:textId="77777777">
            <w:pPr>
              <w:pStyle w:val="Response"/>
              <w:rPr>
                <w:b/>
                <w:sz w:val="20"/>
                <w:szCs w:val="20"/>
              </w:rPr>
            </w:pPr>
            <w:r w:rsidRPr="00B42088">
              <w:rPr>
                <w:sz w:val="20"/>
                <w:szCs w:val="20"/>
              </w:rPr>
              <w:lastRenderedPageBreak/>
              <w:t> </w:t>
            </w:r>
          </w:p>
        </w:tc>
        <w:tc>
          <w:tcPr>
            <w:tcW w:w="1249" w:type="dxa"/>
            <w:shd w:val="clear" w:color="auto" w:fill="auto"/>
            <w:vAlign w:val="bottom"/>
          </w:tcPr>
          <w:p w:rsidRPr="00B42088" w:rsidR="000B4863" w:rsidP="000B4863" w:rsidRDefault="000B4863" w14:paraId="2CBA5ADA" w14:textId="77777777">
            <w:pPr>
              <w:pStyle w:val="Response"/>
              <w:rPr>
                <w:b/>
                <w:sz w:val="20"/>
                <w:szCs w:val="20"/>
              </w:rPr>
            </w:pPr>
            <w:r w:rsidRPr="00B42088">
              <w:rPr>
                <w:sz w:val="20"/>
                <w:szCs w:val="20"/>
              </w:rPr>
              <w:t> </w:t>
            </w:r>
            <w:r w:rsidR="009248F2">
              <w:rPr>
                <w:sz w:val="20"/>
                <w:szCs w:val="20"/>
              </w:rPr>
              <w:t>Supervisor</w:t>
            </w:r>
          </w:p>
        </w:tc>
        <w:tc>
          <w:tcPr>
            <w:tcW w:w="1439" w:type="dxa"/>
            <w:shd w:val="clear" w:color="auto" w:fill="auto"/>
            <w:vAlign w:val="bottom"/>
          </w:tcPr>
          <w:p w:rsidRPr="00B42088" w:rsidR="000B4863" w:rsidP="000B4863" w:rsidRDefault="000B4863" w14:paraId="043C2B0D" w14:textId="77777777">
            <w:pPr>
              <w:pStyle w:val="Response"/>
              <w:rPr>
                <w:b/>
                <w:sz w:val="20"/>
                <w:szCs w:val="20"/>
              </w:rPr>
            </w:pPr>
            <w:r w:rsidRPr="00B42088">
              <w:rPr>
                <w:sz w:val="20"/>
                <w:szCs w:val="20"/>
              </w:rPr>
              <w:t>253</w:t>
            </w:r>
          </w:p>
        </w:tc>
        <w:tc>
          <w:tcPr>
            <w:tcW w:w="1201" w:type="dxa"/>
            <w:shd w:val="clear" w:color="auto" w:fill="auto"/>
            <w:vAlign w:val="bottom"/>
          </w:tcPr>
          <w:p w:rsidRPr="00B42088" w:rsidR="000B4863" w:rsidP="000B4863" w:rsidRDefault="000B4863" w14:paraId="134C3AA3" w14:textId="77777777">
            <w:pPr>
              <w:pStyle w:val="Response"/>
              <w:rPr>
                <w:b/>
                <w:sz w:val="20"/>
                <w:szCs w:val="20"/>
              </w:rPr>
            </w:pPr>
            <w:r w:rsidRPr="00B42088">
              <w:rPr>
                <w:sz w:val="20"/>
                <w:szCs w:val="20"/>
              </w:rPr>
              <w:t>1</w:t>
            </w:r>
          </w:p>
        </w:tc>
        <w:tc>
          <w:tcPr>
            <w:tcW w:w="1164" w:type="dxa"/>
            <w:shd w:val="clear" w:color="auto" w:fill="auto"/>
            <w:vAlign w:val="bottom"/>
          </w:tcPr>
          <w:p w:rsidRPr="00B42088" w:rsidR="000B4863" w:rsidP="000B4863" w:rsidRDefault="000B4863" w14:paraId="6E72396E" w14:textId="77777777">
            <w:pPr>
              <w:pStyle w:val="Response"/>
              <w:rPr>
                <w:b/>
                <w:sz w:val="20"/>
                <w:szCs w:val="20"/>
              </w:rPr>
            </w:pPr>
            <w:r w:rsidRPr="00B42088">
              <w:rPr>
                <w:sz w:val="20"/>
                <w:szCs w:val="20"/>
              </w:rPr>
              <w:t>253</w:t>
            </w:r>
          </w:p>
        </w:tc>
        <w:tc>
          <w:tcPr>
            <w:tcW w:w="1043" w:type="dxa"/>
            <w:shd w:val="clear" w:color="auto" w:fill="auto"/>
            <w:vAlign w:val="bottom"/>
          </w:tcPr>
          <w:p w:rsidRPr="00B42088" w:rsidR="000B4863" w:rsidP="000B4863" w:rsidRDefault="000B4863" w14:paraId="2F123656" w14:textId="77777777">
            <w:pPr>
              <w:pStyle w:val="Response"/>
              <w:rPr>
                <w:b/>
                <w:sz w:val="20"/>
                <w:szCs w:val="20"/>
              </w:rPr>
            </w:pPr>
            <w:r>
              <w:rPr>
                <w:sz w:val="20"/>
                <w:szCs w:val="20"/>
              </w:rPr>
              <w:t>10/60</w:t>
            </w:r>
          </w:p>
        </w:tc>
        <w:tc>
          <w:tcPr>
            <w:tcW w:w="1054" w:type="dxa"/>
            <w:shd w:val="clear" w:color="auto" w:fill="auto"/>
            <w:vAlign w:val="bottom"/>
          </w:tcPr>
          <w:p w:rsidRPr="00B42088" w:rsidR="000B4863" w:rsidP="000B4863" w:rsidRDefault="000B4863" w14:paraId="68BB4101" w14:textId="77777777">
            <w:pPr>
              <w:pStyle w:val="Response"/>
              <w:rPr>
                <w:b/>
                <w:sz w:val="20"/>
                <w:szCs w:val="20"/>
              </w:rPr>
            </w:pPr>
            <w:r w:rsidRPr="00B42088">
              <w:rPr>
                <w:sz w:val="20"/>
                <w:szCs w:val="20"/>
              </w:rPr>
              <w:t>42.17</w:t>
            </w:r>
          </w:p>
        </w:tc>
        <w:tc>
          <w:tcPr>
            <w:tcW w:w="1009" w:type="dxa"/>
            <w:shd w:val="clear" w:color="auto" w:fill="auto"/>
            <w:vAlign w:val="bottom"/>
          </w:tcPr>
          <w:p w:rsidRPr="00B42088" w:rsidR="000B4863" w:rsidP="000B4863" w:rsidRDefault="000B4863" w14:paraId="72B9B34E" w14:textId="77777777">
            <w:pPr>
              <w:pStyle w:val="Response"/>
              <w:rPr>
                <w:b/>
                <w:sz w:val="20"/>
                <w:szCs w:val="20"/>
              </w:rPr>
            </w:pPr>
            <w:r w:rsidRPr="00B42088">
              <w:rPr>
                <w:sz w:val="20"/>
                <w:szCs w:val="20"/>
              </w:rPr>
              <w:t xml:space="preserve">$49.07 </w:t>
            </w:r>
          </w:p>
        </w:tc>
        <w:tc>
          <w:tcPr>
            <w:tcW w:w="1228" w:type="dxa"/>
            <w:shd w:val="clear" w:color="auto" w:fill="auto"/>
            <w:vAlign w:val="bottom"/>
          </w:tcPr>
          <w:p w:rsidRPr="00B42088" w:rsidR="000B4863" w:rsidP="000B4863" w:rsidRDefault="000B4863" w14:paraId="59209F69" w14:textId="77777777">
            <w:pPr>
              <w:pStyle w:val="Response"/>
              <w:rPr>
                <w:b/>
                <w:sz w:val="20"/>
                <w:szCs w:val="20"/>
              </w:rPr>
            </w:pPr>
            <w:r w:rsidRPr="00B42088">
              <w:rPr>
                <w:sz w:val="20"/>
                <w:szCs w:val="20"/>
              </w:rPr>
              <w:t xml:space="preserve">$2,069.28 </w:t>
            </w:r>
          </w:p>
        </w:tc>
      </w:tr>
      <w:tr w:rsidRPr="00B42088" w:rsidR="000A31BB" w:rsidTr="005C110A" w14:paraId="68E40EB4" w14:textId="77777777">
        <w:tc>
          <w:tcPr>
            <w:tcW w:w="2565" w:type="dxa"/>
            <w:shd w:val="clear" w:color="auto" w:fill="DEEAF6"/>
            <w:vAlign w:val="center"/>
          </w:tcPr>
          <w:p w:rsidRPr="00B42088" w:rsidR="000B4863" w:rsidP="000B4863" w:rsidRDefault="000B4863" w14:paraId="656D394D" w14:textId="77777777">
            <w:pPr>
              <w:pStyle w:val="Response"/>
              <w:rPr>
                <w:b/>
                <w:sz w:val="20"/>
                <w:szCs w:val="20"/>
              </w:rPr>
            </w:pPr>
            <w:r>
              <w:rPr>
                <w:b/>
                <w:sz w:val="20"/>
                <w:szCs w:val="20"/>
              </w:rPr>
              <w:t>Subtotals</w:t>
            </w:r>
          </w:p>
        </w:tc>
        <w:tc>
          <w:tcPr>
            <w:tcW w:w="1224" w:type="dxa"/>
            <w:shd w:val="clear" w:color="auto" w:fill="DEEAF6"/>
            <w:vAlign w:val="bottom"/>
          </w:tcPr>
          <w:p w:rsidRPr="00B42088" w:rsidR="000B4863" w:rsidP="000B4863" w:rsidRDefault="000B4863" w14:paraId="2A3C29E6" w14:textId="77777777">
            <w:pPr>
              <w:pStyle w:val="Response"/>
              <w:rPr>
                <w:b/>
                <w:sz w:val="20"/>
                <w:szCs w:val="20"/>
              </w:rPr>
            </w:pPr>
          </w:p>
        </w:tc>
        <w:tc>
          <w:tcPr>
            <w:tcW w:w="1249" w:type="dxa"/>
            <w:shd w:val="clear" w:color="auto" w:fill="DEEAF6"/>
            <w:vAlign w:val="bottom"/>
          </w:tcPr>
          <w:p w:rsidRPr="00B42088" w:rsidR="000B4863" w:rsidP="000B4863" w:rsidRDefault="000B4863" w14:paraId="612017BF" w14:textId="77777777">
            <w:pPr>
              <w:pStyle w:val="Response"/>
              <w:rPr>
                <w:b/>
                <w:sz w:val="20"/>
                <w:szCs w:val="20"/>
              </w:rPr>
            </w:pPr>
          </w:p>
        </w:tc>
        <w:tc>
          <w:tcPr>
            <w:tcW w:w="1439" w:type="dxa"/>
            <w:shd w:val="clear" w:color="auto" w:fill="DEEAF6"/>
            <w:vAlign w:val="bottom"/>
          </w:tcPr>
          <w:p w:rsidRPr="00B42088" w:rsidR="000B4863" w:rsidP="000B4863" w:rsidRDefault="000B4863" w14:paraId="273BE742" w14:textId="77777777">
            <w:pPr>
              <w:pStyle w:val="Response"/>
              <w:rPr>
                <w:b/>
                <w:sz w:val="20"/>
                <w:szCs w:val="20"/>
              </w:rPr>
            </w:pPr>
          </w:p>
        </w:tc>
        <w:tc>
          <w:tcPr>
            <w:tcW w:w="1201" w:type="dxa"/>
            <w:shd w:val="clear" w:color="auto" w:fill="DEEAF6"/>
            <w:vAlign w:val="bottom"/>
          </w:tcPr>
          <w:p w:rsidRPr="00B42088" w:rsidR="000B4863" w:rsidP="000B4863" w:rsidRDefault="000B4863" w14:paraId="4023A5E5" w14:textId="77777777">
            <w:pPr>
              <w:pStyle w:val="Response"/>
              <w:rPr>
                <w:b/>
                <w:sz w:val="20"/>
                <w:szCs w:val="20"/>
              </w:rPr>
            </w:pPr>
          </w:p>
        </w:tc>
        <w:tc>
          <w:tcPr>
            <w:tcW w:w="1164" w:type="dxa"/>
            <w:shd w:val="clear" w:color="auto" w:fill="DEEAF6"/>
            <w:vAlign w:val="bottom"/>
          </w:tcPr>
          <w:p w:rsidRPr="00B42088" w:rsidR="000B4863" w:rsidP="000B4863" w:rsidRDefault="000B4863" w14:paraId="32A010A4" w14:textId="77777777">
            <w:pPr>
              <w:pStyle w:val="Response"/>
              <w:rPr>
                <w:b/>
                <w:sz w:val="20"/>
                <w:szCs w:val="20"/>
              </w:rPr>
            </w:pPr>
            <w:r>
              <w:rPr>
                <w:b/>
                <w:sz w:val="20"/>
                <w:szCs w:val="20"/>
              </w:rPr>
              <w:t>253</w:t>
            </w:r>
          </w:p>
        </w:tc>
        <w:tc>
          <w:tcPr>
            <w:tcW w:w="1043" w:type="dxa"/>
            <w:shd w:val="clear" w:color="auto" w:fill="DEEAF6"/>
            <w:vAlign w:val="bottom"/>
          </w:tcPr>
          <w:p w:rsidRPr="00B42088" w:rsidR="000B4863" w:rsidP="000B4863" w:rsidRDefault="000B4863" w14:paraId="41AB443C" w14:textId="77777777">
            <w:pPr>
              <w:pStyle w:val="Response"/>
              <w:rPr>
                <w:b/>
                <w:sz w:val="20"/>
                <w:szCs w:val="20"/>
              </w:rPr>
            </w:pPr>
          </w:p>
        </w:tc>
        <w:tc>
          <w:tcPr>
            <w:tcW w:w="1054" w:type="dxa"/>
            <w:shd w:val="clear" w:color="auto" w:fill="DEEAF6"/>
            <w:vAlign w:val="bottom"/>
          </w:tcPr>
          <w:p w:rsidRPr="00B42088" w:rsidR="000B4863" w:rsidP="000B4863" w:rsidRDefault="000B4863" w14:paraId="626597C6" w14:textId="77777777">
            <w:pPr>
              <w:pStyle w:val="Response"/>
              <w:rPr>
                <w:b/>
                <w:sz w:val="20"/>
                <w:szCs w:val="20"/>
              </w:rPr>
            </w:pPr>
            <w:r w:rsidRPr="00B42088">
              <w:rPr>
                <w:b/>
                <w:sz w:val="20"/>
                <w:szCs w:val="20"/>
              </w:rPr>
              <w:t>42.17</w:t>
            </w:r>
          </w:p>
        </w:tc>
        <w:tc>
          <w:tcPr>
            <w:tcW w:w="1009" w:type="dxa"/>
            <w:shd w:val="clear" w:color="auto" w:fill="DEEAF6"/>
            <w:vAlign w:val="bottom"/>
          </w:tcPr>
          <w:p w:rsidRPr="00B42088" w:rsidR="000B4863" w:rsidP="000B4863" w:rsidRDefault="000B4863" w14:paraId="6E7C68EF" w14:textId="77777777">
            <w:pPr>
              <w:pStyle w:val="Response"/>
              <w:rPr>
                <w:b/>
                <w:sz w:val="20"/>
                <w:szCs w:val="20"/>
              </w:rPr>
            </w:pPr>
            <w:r w:rsidRPr="00B42088">
              <w:rPr>
                <w:b/>
                <w:sz w:val="20"/>
                <w:szCs w:val="20"/>
              </w:rPr>
              <w:t xml:space="preserve">$49.07 </w:t>
            </w:r>
          </w:p>
        </w:tc>
        <w:tc>
          <w:tcPr>
            <w:tcW w:w="1228" w:type="dxa"/>
            <w:shd w:val="clear" w:color="auto" w:fill="DEEAF6"/>
            <w:vAlign w:val="bottom"/>
          </w:tcPr>
          <w:p w:rsidRPr="00B42088" w:rsidR="000B4863" w:rsidP="000B4863" w:rsidRDefault="000B4863" w14:paraId="35D28925" w14:textId="77777777">
            <w:pPr>
              <w:pStyle w:val="Response"/>
              <w:rPr>
                <w:b/>
                <w:sz w:val="20"/>
                <w:szCs w:val="20"/>
              </w:rPr>
            </w:pPr>
            <w:r w:rsidRPr="00B42088">
              <w:rPr>
                <w:b/>
                <w:sz w:val="20"/>
                <w:szCs w:val="20"/>
              </w:rPr>
              <w:t xml:space="preserve">$2,069.28 </w:t>
            </w:r>
          </w:p>
        </w:tc>
      </w:tr>
      <w:tr w:rsidRPr="00CA77CD" w:rsidR="000A31BB" w:rsidTr="005C110A" w14:paraId="7323BA5E" w14:textId="77777777">
        <w:tc>
          <w:tcPr>
            <w:tcW w:w="2565" w:type="dxa"/>
            <w:shd w:val="clear" w:color="auto" w:fill="auto"/>
            <w:vAlign w:val="center"/>
          </w:tcPr>
          <w:p w:rsidRPr="00B42088" w:rsidR="000B4863" w:rsidP="000B4863" w:rsidRDefault="000B4863" w14:paraId="10150D6C" w14:textId="77777777">
            <w:pPr>
              <w:pStyle w:val="Response"/>
              <w:rPr>
                <w:b/>
                <w:sz w:val="20"/>
                <w:szCs w:val="20"/>
              </w:rPr>
            </w:pPr>
            <w:r w:rsidRPr="00B42088">
              <w:rPr>
                <w:sz w:val="20"/>
                <w:szCs w:val="20"/>
              </w:rPr>
              <w:t>7. Fire Watch Policy (1915.504(a))</w:t>
            </w:r>
          </w:p>
        </w:tc>
        <w:tc>
          <w:tcPr>
            <w:tcW w:w="1224" w:type="dxa"/>
            <w:shd w:val="clear" w:color="auto" w:fill="auto"/>
            <w:vAlign w:val="bottom"/>
          </w:tcPr>
          <w:p w:rsidRPr="00B42088" w:rsidR="000B4863" w:rsidP="000B4863" w:rsidRDefault="000B4863" w14:paraId="12B0AFA5"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0B4863" w:rsidP="000B4863" w:rsidRDefault="000B4863" w14:paraId="1F4F0464" w14:textId="77777777">
            <w:pPr>
              <w:pStyle w:val="Response"/>
              <w:rPr>
                <w:b/>
                <w:sz w:val="20"/>
                <w:szCs w:val="20"/>
              </w:rPr>
            </w:pPr>
            <w:r w:rsidRPr="00B42088">
              <w:rPr>
                <w:sz w:val="20"/>
                <w:szCs w:val="20"/>
              </w:rPr>
              <w:t> </w:t>
            </w:r>
            <w:r w:rsidR="009248F2">
              <w:rPr>
                <w:sz w:val="20"/>
                <w:szCs w:val="20"/>
              </w:rPr>
              <w:t>Manager</w:t>
            </w:r>
          </w:p>
        </w:tc>
        <w:tc>
          <w:tcPr>
            <w:tcW w:w="1439" w:type="dxa"/>
            <w:shd w:val="clear" w:color="auto" w:fill="auto"/>
            <w:vAlign w:val="bottom"/>
          </w:tcPr>
          <w:p w:rsidRPr="00B42088" w:rsidR="000B4863" w:rsidP="000B4863" w:rsidRDefault="000B4863" w14:paraId="356833B1" w14:textId="77777777">
            <w:pPr>
              <w:pStyle w:val="Response"/>
              <w:rPr>
                <w:b/>
                <w:sz w:val="20"/>
                <w:szCs w:val="20"/>
              </w:rPr>
            </w:pPr>
            <w:r w:rsidRPr="00B42088">
              <w:rPr>
                <w:sz w:val="20"/>
                <w:szCs w:val="20"/>
              </w:rPr>
              <w:t>210</w:t>
            </w:r>
          </w:p>
        </w:tc>
        <w:tc>
          <w:tcPr>
            <w:tcW w:w="1201" w:type="dxa"/>
            <w:shd w:val="clear" w:color="auto" w:fill="auto"/>
            <w:vAlign w:val="bottom"/>
          </w:tcPr>
          <w:p w:rsidRPr="00B42088" w:rsidR="000B4863" w:rsidP="000B4863" w:rsidRDefault="000B4863" w14:paraId="7993CC16" w14:textId="77777777">
            <w:pPr>
              <w:pStyle w:val="Response"/>
              <w:rPr>
                <w:b/>
                <w:sz w:val="20"/>
                <w:szCs w:val="20"/>
              </w:rPr>
            </w:pPr>
            <w:r w:rsidRPr="00B42088">
              <w:rPr>
                <w:sz w:val="20"/>
                <w:szCs w:val="20"/>
              </w:rPr>
              <w:t>0.1</w:t>
            </w:r>
          </w:p>
        </w:tc>
        <w:tc>
          <w:tcPr>
            <w:tcW w:w="1164" w:type="dxa"/>
            <w:shd w:val="clear" w:color="auto" w:fill="auto"/>
            <w:vAlign w:val="bottom"/>
          </w:tcPr>
          <w:p w:rsidRPr="00B42088" w:rsidR="000B4863" w:rsidP="000B4863" w:rsidRDefault="000B4863" w14:paraId="36097070" w14:textId="77777777">
            <w:pPr>
              <w:pStyle w:val="Response"/>
              <w:rPr>
                <w:b/>
                <w:sz w:val="20"/>
                <w:szCs w:val="20"/>
              </w:rPr>
            </w:pPr>
            <w:r w:rsidRPr="00B42088">
              <w:rPr>
                <w:sz w:val="20"/>
                <w:szCs w:val="20"/>
              </w:rPr>
              <w:t>21</w:t>
            </w:r>
          </w:p>
        </w:tc>
        <w:tc>
          <w:tcPr>
            <w:tcW w:w="1043" w:type="dxa"/>
            <w:shd w:val="clear" w:color="auto" w:fill="auto"/>
            <w:vAlign w:val="bottom"/>
          </w:tcPr>
          <w:p w:rsidRPr="00B42088" w:rsidR="000B4863" w:rsidP="000B4863" w:rsidRDefault="000B4863" w14:paraId="232B49B0" w14:textId="77777777">
            <w:pPr>
              <w:pStyle w:val="Response"/>
              <w:rPr>
                <w:b/>
                <w:sz w:val="20"/>
                <w:szCs w:val="20"/>
              </w:rPr>
            </w:pPr>
            <w:r w:rsidRPr="00B42088">
              <w:rPr>
                <w:sz w:val="20"/>
                <w:szCs w:val="20"/>
              </w:rPr>
              <w:t>4</w:t>
            </w:r>
          </w:p>
        </w:tc>
        <w:tc>
          <w:tcPr>
            <w:tcW w:w="1054" w:type="dxa"/>
            <w:shd w:val="clear" w:color="auto" w:fill="auto"/>
            <w:vAlign w:val="bottom"/>
          </w:tcPr>
          <w:p w:rsidRPr="00B42088" w:rsidR="000B4863" w:rsidP="000B4863" w:rsidRDefault="000B4863" w14:paraId="4EB6A5FA" w14:textId="77777777">
            <w:pPr>
              <w:pStyle w:val="Response"/>
              <w:rPr>
                <w:b/>
                <w:sz w:val="20"/>
                <w:szCs w:val="20"/>
              </w:rPr>
            </w:pPr>
            <w:r w:rsidRPr="00B42088">
              <w:rPr>
                <w:sz w:val="20"/>
                <w:szCs w:val="20"/>
              </w:rPr>
              <w:t>84</w:t>
            </w:r>
          </w:p>
        </w:tc>
        <w:tc>
          <w:tcPr>
            <w:tcW w:w="1009" w:type="dxa"/>
            <w:shd w:val="clear" w:color="auto" w:fill="auto"/>
            <w:vAlign w:val="bottom"/>
          </w:tcPr>
          <w:p w:rsidRPr="00B42088" w:rsidR="000B4863" w:rsidP="000B4863" w:rsidRDefault="000B4863" w14:paraId="500A34C5" w14:textId="77777777">
            <w:pPr>
              <w:pStyle w:val="Response"/>
              <w:rPr>
                <w:b/>
                <w:sz w:val="20"/>
                <w:szCs w:val="20"/>
              </w:rPr>
            </w:pPr>
            <w:r w:rsidRPr="00B42088">
              <w:rPr>
                <w:sz w:val="20"/>
                <w:szCs w:val="20"/>
              </w:rPr>
              <w:t> </w:t>
            </w:r>
          </w:p>
        </w:tc>
        <w:tc>
          <w:tcPr>
            <w:tcW w:w="1228" w:type="dxa"/>
            <w:shd w:val="clear" w:color="auto" w:fill="auto"/>
            <w:vAlign w:val="bottom"/>
          </w:tcPr>
          <w:p w:rsidRPr="00B42088" w:rsidR="000B4863" w:rsidP="000B4863" w:rsidRDefault="000B4863" w14:paraId="32975850" w14:textId="77777777">
            <w:pPr>
              <w:pStyle w:val="Response"/>
              <w:rPr>
                <w:b/>
                <w:sz w:val="20"/>
                <w:szCs w:val="20"/>
              </w:rPr>
            </w:pPr>
            <w:r w:rsidRPr="00B42088">
              <w:rPr>
                <w:sz w:val="20"/>
                <w:szCs w:val="20"/>
              </w:rPr>
              <w:t> </w:t>
            </w:r>
          </w:p>
        </w:tc>
      </w:tr>
      <w:tr w:rsidRPr="00CA77CD" w:rsidR="000A31BB" w:rsidTr="005C110A" w14:paraId="7ED350B1" w14:textId="77777777">
        <w:tc>
          <w:tcPr>
            <w:tcW w:w="2565" w:type="dxa"/>
            <w:shd w:val="clear" w:color="auto" w:fill="auto"/>
            <w:vAlign w:val="bottom"/>
          </w:tcPr>
          <w:p w:rsidRPr="00B42088" w:rsidR="009248F2" w:rsidP="009248F2" w:rsidRDefault="009248F2" w14:paraId="3CB1A907"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06AE3535"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9248F2" w:rsidP="009248F2" w:rsidRDefault="009248F2" w14:paraId="643BE68D"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6908A72E" w14:textId="77777777">
            <w:pPr>
              <w:pStyle w:val="Response"/>
              <w:rPr>
                <w:b/>
                <w:sz w:val="20"/>
                <w:szCs w:val="20"/>
              </w:rPr>
            </w:pPr>
            <w:r w:rsidRPr="00B42088">
              <w:rPr>
                <w:sz w:val="20"/>
                <w:szCs w:val="20"/>
              </w:rPr>
              <w:t>23</w:t>
            </w:r>
          </w:p>
        </w:tc>
        <w:tc>
          <w:tcPr>
            <w:tcW w:w="1201" w:type="dxa"/>
            <w:shd w:val="clear" w:color="auto" w:fill="auto"/>
            <w:vAlign w:val="bottom"/>
          </w:tcPr>
          <w:p w:rsidRPr="00B42088" w:rsidR="009248F2" w:rsidP="009248F2" w:rsidRDefault="009248F2" w14:paraId="0C028880" w14:textId="77777777">
            <w:pPr>
              <w:pStyle w:val="Response"/>
              <w:rPr>
                <w:b/>
                <w:sz w:val="20"/>
                <w:szCs w:val="20"/>
              </w:rPr>
            </w:pPr>
            <w:r w:rsidRPr="00B42088">
              <w:rPr>
                <w:sz w:val="20"/>
                <w:szCs w:val="20"/>
              </w:rPr>
              <w:t>0.1</w:t>
            </w:r>
          </w:p>
        </w:tc>
        <w:tc>
          <w:tcPr>
            <w:tcW w:w="1164" w:type="dxa"/>
            <w:shd w:val="clear" w:color="auto" w:fill="auto"/>
            <w:vAlign w:val="bottom"/>
          </w:tcPr>
          <w:p w:rsidRPr="00B42088" w:rsidR="009248F2" w:rsidP="009248F2" w:rsidRDefault="009248F2" w14:paraId="583B427B" w14:textId="77777777">
            <w:pPr>
              <w:pStyle w:val="Response"/>
              <w:rPr>
                <w:b/>
                <w:sz w:val="20"/>
                <w:szCs w:val="20"/>
              </w:rPr>
            </w:pPr>
            <w:r w:rsidRPr="00B42088">
              <w:rPr>
                <w:sz w:val="20"/>
                <w:szCs w:val="20"/>
              </w:rPr>
              <w:t>2.3</w:t>
            </w:r>
          </w:p>
        </w:tc>
        <w:tc>
          <w:tcPr>
            <w:tcW w:w="1043" w:type="dxa"/>
            <w:shd w:val="clear" w:color="auto" w:fill="auto"/>
            <w:vAlign w:val="bottom"/>
          </w:tcPr>
          <w:p w:rsidRPr="00B42088" w:rsidR="009248F2" w:rsidP="009248F2" w:rsidRDefault="009248F2" w14:paraId="74725A6C" w14:textId="77777777">
            <w:pPr>
              <w:pStyle w:val="Response"/>
              <w:rPr>
                <w:b/>
                <w:sz w:val="20"/>
                <w:szCs w:val="20"/>
              </w:rPr>
            </w:pPr>
            <w:r w:rsidRPr="00B42088">
              <w:rPr>
                <w:sz w:val="20"/>
                <w:szCs w:val="20"/>
              </w:rPr>
              <w:t>6</w:t>
            </w:r>
          </w:p>
        </w:tc>
        <w:tc>
          <w:tcPr>
            <w:tcW w:w="1054" w:type="dxa"/>
            <w:shd w:val="clear" w:color="auto" w:fill="auto"/>
            <w:vAlign w:val="bottom"/>
          </w:tcPr>
          <w:p w:rsidRPr="00B42088" w:rsidR="009248F2" w:rsidP="009248F2" w:rsidRDefault="009248F2" w14:paraId="6203D718" w14:textId="77777777">
            <w:pPr>
              <w:pStyle w:val="Response"/>
              <w:rPr>
                <w:b/>
                <w:sz w:val="20"/>
                <w:szCs w:val="20"/>
              </w:rPr>
            </w:pPr>
            <w:r w:rsidRPr="00B42088">
              <w:rPr>
                <w:sz w:val="20"/>
                <w:szCs w:val="20"/>
              </w:rPr>
              <w:t>12</w:t>
            </w:r>
          </w:p>
        </w:tc>
        <w:tc>
          <w:tcPr>
            <w:tcW w:w="1009" w:type="dxa"/>
            <w:shd w:val="clear" w:color="auto" w:fill="auto"/>
            <w:vAlign w:val="bottom"/>
          </w:tcPr>
          <w:p w:rsidRPr="00B42088" w:rsidR="009248F2" w:rsidP="009248F2" w:rsidRDefault="009248F2" w14:paraId="485FA948" w14:textId="77777777">
            <w:pPr>
              <w:pStyle w:val="Response"/>
              <w:rPr>
                <w:b/>
                <w:sz w:val="20"/>
                <w:szCs w:val="20"/>
              </w:rPr>
            </w:pPr>
          </w:p>
        </w:tc>
        <w:tc>
          <w:tcPr>
            <w:tcW w:w="1228" w:type="dxa"/>
            <w:shd w:val="clear" w:color="auto" w:fill="auto"/>
            <w:vAlign w:val="bottom"/>
          </w:tcPr>
          <w:p w:rsidRPr="00B42088" w:rsidR="009248F2" w:rsidP="009248F2" w:rsidRDefault="009248F2" w14:paraId="18EE08C6" w14:textId="77777777">
            <w:pPr>
              <w:pStyle w:val="Response"/>
              <w:rPr>
                <w:b/>
                <w:sz w:val="20"/>
                <w:szCs w:val="20"/>
              </w:rPr>
            </w:pPr>
          </w:p>
        </w:tc>
      </w:tr>
      <w:tr w:rsidRPr="00CA77CD" w:rsidR="000A31BB" w:rsidTr="005C110A" w14:paraId="2DD5310B" w14:textId="77777777">
        <w:tc>
          <w:tcPr>
            <w:tcW w:w="2565" w:type="dxa"/>
            <w:shd w:val="clear" w:color="auto" w:fill="auto"/>
            <w:vAlign w:val="bottom"/>
          </w:tcPr>
          <w:p w:rsidRPr="00B42088" w:rsidR="009248F2" w:rsidP="009248F2" w:rsidRDefault="009248F2" w14:paraId="0BCBA26C"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1E22B020"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9248F2" w:rsidP="009248F2" w:rsidRDefault="009248F2" w14:paraId="33CB7984"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20019825" w14:textId="77777777">
            <w:pPr>
              <w:pStyle w:val="Response"/>
              <w:rPr>
                <w:b/>
                <w:sz w:val="20"/>
                <w:szCs w:val="20"/>
              </w:rPr>
            </w:pPr>
            <w:r w:rsidRPr="00B42088">
              <w:rPr>
                <w:sz w:val="20"/>
                <w:szCs w:val="20"/>
              </w:rPr>
              <w:t>20</w:t>
            </w:r>
          </w:p>
        </w:tc>
        <w:tc>
          <w:tcPr>
            <w:tcW w:w="1201" w:type="dxa"/>
            <w:shd w:val="clear" w:color="auto" w:fill="auto"/>
            <w:vAlign w:val="bottom"/>
          </w:tcPr>
          <w:p w:rsidRPr="00B42088" w:rsidR="009248F2" w:rsidP="009248F2" w:rsidRDefault="009248F2" w14:paraId="78367916" w14:textId="77777777">
            <w:pPr>
              <w:pStyle w:val="Response"/>
              <w:rPr>
                <w:b/>
                <w:sz w:val="20"/>
                <w:szCs w:val="20"/>
              </w:rPr>
            </w:pPr>
            <w:r w:rsidRPr="00B42088">
              <w:rPr>
                <w:sz w:val="20"/>
                <w:szCs w:val="20"/>
              </w:rPr>
              <w:t>0.1</w:t>
            </w:r>
          </w:p>
        </w:tc>
        <w:tc>
          <w:tcPr>
            <w:tcW w:w="1164" w:type="dxa"/>
            <w:shd w:val="clear" w:color="auto" w:fill="auto"/>
            <w:vAlign w:val="bottom"/>
          </w:tcPr>
          <w:p w:rsidRPr="00B42088" w:rsidR="009248F2" w:rsidP="009248F2" w:rsidRDefault="009248F2" w14:paraId="5CD0434B" w14:textId="77777777">
            <w:pPr>
              <w:pStyle w:val="Response"/>
              <w:rPr>
                <w:b/>
                <w:sz w:val="20"/>
                <w:szCs w:val="20"/>
              </w:rPr>
            </w:pPr>
            <w:r w:rsidRPr="00B42088">
              <w:rPr>
                <w:sz w:val="20"/>
                <w:szCs w:val="20"/>
              </w:rPr>
              <w:t>2</w:t>
            </w:r>
          </w:p>
        </w:tc>
        <w:tc>
          <w:tcPr>
            <w:tcW w:w="1043" w:type="dxa"/>
            <w:shd w:val="clear" w:color="auto" w:fill="auto"/>
            <w:vAlign w:val="bottom"/>
          </w:tcPr>
          <w:p w:rsidRPr="00B42088" w:rsidR="009248F2" w:rsidP="009248F2" w:rsidRDefault="009248F2" w14:paraId="3CB2694A" w14:textId="77777777">
            <w:pPr>
              <w:pStyle w:val="Response"/>
              <w:rPr>
                <w:b/>
                <w:sz w:val="20"/>
                <w:szCs w:val="20"/>
              </w:rPr>
            </w:pPr>
            <w:r w:rsidRPr="00B42088">
              <w:rPr>
                <w:sz w:val="20"/>
                <w:szCs w:val="20"/>
              </w:rPr>
              <w:t>12</w:t>
            </w:r>
          </w:p>
        </w:tc>
        <w:tc>
          <w:tcPr>
            <w:tcW w:w="1054" w:type="dxa"/>
            <w:shd w:val="clear" w:color="auto" w:fill="auto"/>
            <w:vAlign w:val="bottom"/>
          </w:tcPr>
          <w:p w:rsidRPr="00B42088" w:rsidR="009248F2" w:rsidP="009248F2" w:rsidRDefault="009248F2" w14:paraId="237E1BF1" w14:textId="77777777">
            <w:pPr>
              <w:pStyle w:val="Response"/>
              <w:rPr>
                <w:b/>
                <w:sz w:val="20"/>
                <w:szCs w:val="20"/>
              </w:rPr>
            </w:pPr>
            <w:r w:rsidRPr="00B42088">
              <w:rPr>
                <w:sz w:val="20"/>
                <w:szCs w:val="20"/>
              </w:rPr>
              <w:t>27.6</w:t>
            </w:r>
          </w:p>
        </w:tc>
        <w:tc>
          <w:tcPr>
            <w:tcW w:w="1009" w:type="dxa"/>
            <w:shd w:val="clear" w:color="auto" w:fill="auto"/>
            <w:vAlign w:val="bottom"/>
          </w:tcPr>
          <w:p w:rsidRPr="00B42088" w:rsidR="009248F2" w:rsidP="009248F2" w:rsidRDefault="009248F2" w14:paraId="3802C125" w14:textId="77777777">
            <w:pPr>
              <w:pStyle w:val="Response"/>
              <w:rPr>
                <w:b/>
                <w:sz w:val="20"/>
                <w:szCs w:val="20"/>
              </w:rPr>
            </w:pPr>
          </w:p>
        </w:tc>
        <w:tc>
          <w:tcPr>
            <w:tcW w:w="1228" w:type="dxa"/>
            <w:shd w:val="clear" w:color="auto" w:fill="auto"/>
            <w:vAlign w:val="bottom"/>
          </w:tcPr>
          <w:p w:rsidRPr="00B42088" w:rsidR="009248F2" w:rsidP="009248F2" w:rsidRDefault="009248F2" w14:paraId="5CB8850D" w14:textId="77777777">
            <w:pPr>
              <w:pStyle w:val="Response"/>
              <w:rPr>
                <w:b/>
                <w:sz w:val="20"/>
                <w:szCs w:val="20"/>
              </w:rPr>
            </w:pPr>
          </w:p>
        </w:tc>
      </w:tr>
      <w:tr w:rsidRPr="00CA77CD" w:rsidR="000A31BB" w:rsidTr="005C110A" w14:paraId="51C290C4" w14:textId="77777777">
        <w:tc>
          <w:tcPr>
            <w:tcW w:w="2565" w:type="dxa"/>
            <w:shd w:val="clear" w:color="auto" w:fill="DEEAF6"/>
            <w:vAlign w:val="bottom"/>
          </w:tcPr>
          <w:p w:rsidRPr="00B42088" w:rsidR="000B4863" w:rsidP="000B4863" w:rsidRDefault="000B4863" w14:paraId="66C74D5C"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0B4863" w:rsidP="000B4863" w:rsidRDefault="000B4863" w14:paraId="06EF9E83"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0B4863" w:rsidP="000B4863" w:rsidRDefault="000B4863" w14:paraId="31A0C422"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0B4863" w:rsidP="000B4863" w:rsidRDefault="000B4863" w14:paraId="7F911D32" w14:textId="77777777">
            <w:pPr>
              <w:pStyle w:val="Response"/>
              <w:rPr>
                <w:b/>
                <w:sz w:val="20"/>
                <w:szCs w:val="20"/>
              </w:rPr>
            </w:pPr>
          </w:p>
        </w:tc>
        <w:tc>
          <w:tcPr>
            <w:tcW w:w="1201" w:type="dxa"/>
            <w:shd w:val="clear" w:color="auto" w:fill="DEEAF6"/>
            <w:vAlign w:val="bottom"/>
          </w:tcPr>
          <w:p w:rsidRPr="00B42088" w:rsidR="000B4863" w:rsidP="000B4863" w:rsidRDefault="000B4863" w14:paraId="7D1A06FD"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0B4863" w:rsidP="000B4863" w:rsidRDefault="000B4863" w14:paraId="6A8B139D" w14:textId="77777777">
            <w:pPr>
              <w:pStyle w:val="Response"/>
              <w:rPr>
                <w:b/>
                <w:sz w:val="20"/>
                <w:szCs w:val="20"/>
              </w:rPr>
            </w:pPr>
            <w:r w:rsidRPr="00B42088">
              <w:rPr>
                <w:b/>
                <w:bCs/>
                <w:sz w:val="20"/>
                <w:szCs w:val="20"/>
              </w:rPr>
              <w:t>25.3</w:t>
            </w:r>
          </w:p>
        </w:tc>
        <w:tc>
          <w:tcPr>
            <w:tcW w:w="1043" w:type="dxa"/>
            <w:shd w:val="clear" w:color="auto" w:fill="DEEAF6"/>
            <w:vAlign w:val="bottom"/>
          </w:tcPr>
          <w:p w:rsidRPr="00B42088" w:rsidR="000B4863" w:rsidP="000B4863" w:rsidRDefault="000B4863" w14:paraId="747C6A0A"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0B4863" w:rsidP="000B4863" w:rsidRDefault="000B4863" w14:paraId="63FCF313" w14:textId="77777777">
            <w:pPr>
              <w:pStyle w:val="Response"/>
              <w:rPr>
                <w:b/>
                <w:sz w:val="20"/>
                <w:szCs w:val="20"/>
              </w:rPr>
            </w:pPr>
            <w:r w:rsidRPr="00B42088">
              <w:rPr>
                <w:b/>
                <w:bCs/>
                <w:sz w:val="20"/>
                <w:szCs w:val="20"/>
              </w:rPr>
              <w:t>123.6</w:t>
            </w:r>
          </w:p>
        </w:tc>
        <w:tc>
          <w:tcPr>
            <w:tcW w:w="1009" w:type="dxa"/>
            <w:shd w:val="clear" w:color="auto" w:fill="DEEAF6"/>
            <w:vAlign w:val="bottom"/>
          </w:tcPr>
          <w:p w:rsidRPr="00B42088" w:rsidR="000B4863" w:rsidP="000B4863" w:rsidRDefault="000B4863" w14:paraId="7A05FA0A"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0B4863" w:rsidP="000B4863" w:rsidRDefault="000B4863" w14:paraId="52563F2D" w14:textId="77777777">
            <w:pPr>
              <w:pStyle w:val="Response"/>
              <w:rPr>
                <w:b/>
                <w:sz w:val="20"/>
                <w:szCs w:val="20"/>
              </w:rPr>
            </w:pPr>
            <w:r w:rsidRPr="00B42088">
              <w:rPr>
                <w:b/>
                <w:bCs/>
                <w:sz w:val="20"/>
                <w:szCs w:val="20"/>
              </w:rPr>
              <w:t xml:space="preserve">$6,962.39 </w:t>
            </w:r>
          </w:p>
        </w:tc>
      </w:tr>
      <w:tr w:rsidRPr="00CA77CD" w:rsidR="000A31BB" w:rsidTr="005C110A" w14:paraId="58B16C67" w14:textId="77777777">
        <w:tc>
          <w:tcPr>
            <w:tcW w:w="2565" w:type="dxa"/>
            <w:shd w:val="clear" w:color="auto" w:fill="auto"/>
            <w:vAlign w:val="bottom"/>
          </w:tcPr>
          <w:p w:rsidRPr="00B42088" w:rsidR="009248F2" w:rsidP="009248F2" w:rsidRDefault="009248F2" w14:paraId="30388CDD"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0480D614"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5DA15DEF"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129D7B29" w14:textId="77777777">
            <w:pPr>
              <w:pStyle w:val="Response"/>
              <w:rPr>
                <w:b/>
                <w:sz w:val="20"/>
                <w:szCs w:val="20"/>
              </w:rPr>
            </w:pPr>
            <w:r w:rsidRPr="00B42088">
              <w:rPr>
                <w:sz w:val="20"/>
                <w:szCs w:val="20"/>
              </w:rPr>
              <w:t>210</w:t>
            </w:r>
          </w:p>
        </w:tc>
        <w:tc>
          <w:tcPr>
            <w:tcW w:w="1201" w:type="dxa"/>
            <w:shd w:val="clear" w:color="auto" w:fill="auto"/>
            <w:vAlign w:val="bottom"/>
          </w:tcPr>
          <w:p w:rsidRPr="00B42088" w:rsidR="009248F2" w:rsidP="009248F2" w:rsidRDefault="009248F2" w14:paraId="3E8A857F" w14:textId="77777777">
            <w:pPr>
              <w:pStyle w:val="Response"/>
              <w:rPr>
                <w:b/>
                <w:sz w:val="20"/>
                <w:szCs w:val="20"/>
              </w:rPr>
            </w:pPr>
            <w:r w:rsidRPr="00B42088">
              <w:rPr>
                <w:sz w:val="20"/>
                <w:szCs w:val="20"/>
              </w:rPr>
              <w:t>0.9</w:t>
            </w:r>
          </w:p>
        </w:tc>
        <w:tc>
          <w:tcPr>
            <w:tcW w:w="1164" w:type="dxa"/>
            <w:shd w:val="clear" w:color="auto" w:fill="auto"/>
            <w:vAlign w:val="bottom"/>
          </w:tcPr>
          <w:p w:rsidRPr="00B42088" w:rsidR="009248F2" w:rsidP="009248F2" w:rsidRDefault="009248F2" w14:paraId="63303C6A" w14:textId="77777777">
            <w:pPr>
              <w:pStyle w:val="Response"/>
              <w:rPr>
                <w:b/>
                <w:sz w:val="20"/>
                <w:szCs w:val="20"/>
              </w:rPr>
            </w:pPr>
            <w:r w:rsidRPr="00B42088">
              <w:rPr>
                <w:sz w:val="20"/>
                <w:szCs w:val="20"/>
              </w:rPr>
              <w:t>189</w:t>
            </w:r>
          </w:p>
        </w:tc>
        <w:tc>
          <w:tcPr>
            <w:tcW w:w="1043" w:type="dxa"/>
            <w:shd w:val="clear" w:color="auto" w:fill="auto"/>
            <w:vAlign w:val="bottom"/>
          </w:tcPr>
          <w:p w:rsidRPr="00B42088" w:rsidR="009248F2" w:rsidP="009248F2" w:rsidRDefault="009248F2" w14:paraId="4C8AA232" w14:textId="77777777">
            <w:pPr>
              <w:pStyle w:val="Response"/>
              <w:rPr>
                <w:b/>
                <w:sz w:val="20"/>
                <w:szCs w:val="20"/>
              </w:rPr>
            </w:pPr>
            <w:r w:rsidRPr="00B42088">
              <w:rPr>
                <w:sz w:val="20"/>
                <w:szCs w:val="20"/>
              </w:rPr>
              <w:t>2</w:t>
            </w:r>
          </w:p>
        </w:tc>
        <w:tc>
          <w:tcPr>
            <w:tcW w:w="1054" w:type="dxa"/>
            <w:shd w:val="clear" w:color="auto" w:fill="auto"/>
            <w:vAlign w:val="bottom"/>
          </w:tcPr>
          <w:p w:rsidRPr="00B42088" w:rsidR="009248F2" w:rsidP="009248F2" w:rsidRDefault="009248F2" w14:paraId="7D7D4362" w14:textId="77777777">
            <w:pPr>
              <w:pStyle w:val="Response"/>
              <w:rPr>
                <w:b/>
                <w:sz w:val="20"/>
                <w:szCs w:val="20"/>
              </w:rPr>
            </w:pPr>
            <w:r w:rsidRPr="00B42088">
              <w:rPr>
                <w:sz w:val="20"/>
                <w:szCs w:val="20"/>
              </w:rPr>
              <w:t>378</w:t>
            </w:r>
          </w:p>
        </w:tc>
        <w:tc>
          <w:tcPr>
            <w:tcW w:w="1009" w:type="dxa"/>
            <w:shd w:val="clear" w:color="auto" w:fill="auto"/>
            <w:vAlign w:val="bottom"/>
          </w:tcPr>
          <w:p w:rsidRPr="00B42088" w:rsidR="009248F2" w:rsidP="009248F2" w:rsidRDefault="009248F2" w14:paraId="498F0408" w14:textId="77777777">
            <w:pPr>
              <w:pStyle w:val="Response"/>
              <w:rPr>
                <w:b/>
                <w:sz w:val="20"/>
                <w:szCs w:val="20"/>
              </w:rPr>
            </w:pPr>
          </w:p>
        </w:tc>
        <w:tc>
          <w:tcPr>
            <w:tcW w:w="1228" w:type="dxa"/>
            <w:shd w:val="clear" w:color="auto" w:fill="auto"/>
            <w:vAlign w:val="bottom"/>
          </w:tcPr>
          <w:p w:rsidRPr="00B42088" w:rsidR="009248F2" w:rsidP="009248F2" w:rsidRDefault="009248F2" w14:paraId="0E9A8372" w14:textId="77777777">
            <w:pPr>
              <w:pStyle w:val="Response"/>
              <w:rPr>
                <w:b/>
                <w:sz w:val="20"/>
                <w:szCs w:val="20"/>
              </w:rPr>
            </w:pPr>
          </w:p>
        </w:tc>
      </w:tr>
      <w:tr w:rsidRPr="00CA77CD" w:rsidR="000A31BB" w:rsidTr="005C110A" w14:paraId="7E4F2749" w14:textId="77777777">
        <w:tc>
          <w:tcPr>
            <w:tcW w:w="2565" w:type="dxa"/>
            <w:shd w:val="clear" w:color="auto" w:fill="auto"/>
            <w:vAlign w:val="bottom"/>
          </w:tcPr>
          <w:p w:rsidRPr="00B42088" w:rsidR="009248F2" w:rsidP="009248F2" w:rsidRDefault="009248F2" w14:paraId="299889E7"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5BEF3EA1"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04428CEB"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0824D277" w14:textId="77777777">
            <w:pPr>
              <w:pStyle w:val="Response"/>
              <w:rPr>
                <w:b/>
                <w:sz w:val="20"/>
                <w:szCs w:val="20"/>
              </w:rPr>
            </w:pPr>
            <w:r w:rsidRPr="00B42088">
              <w:rPr>
                <w:sz w:val="20"/>
                <w:szCs w:val="20"/>
              </w:rPr>
              <w:t>23</w:t>
            </w:r>
          </w:p>
        </w:tc>
        <w:tc>
          <w:tcPr>
            <w:tcW w:w="1201" w:type="dxa"/>
            <w:shd w:val="clear" w:color="auto" w:fill="auto"/>
            <w:vAlign w:val="bottom"/>
          </w:tcPr>
          <w:p w:rsidRPr="00B42088" w:rsidR="009248F2" w:rsidP="009248F2" w:rsidRDefault="009248F2" w14:paraId="07AAD076" w14:textId="77777777">
            <w:pPr>
              <w:pStyle w:val="Response"/>
              <w:rPr>
                <w:b/>
                <w:sz w:val="20"/>
                <w:szCs w:val="20"/>
              </w:rPr>
            </w:pPr>
            <w:r w:rsidRPr="00B42088">
              <w:rPr>
                <w:sz w:val="20"/>
                <w:szCs w:val="20"/>
              </w:rPr>
              <w:t>0.9</w:t>
            </w:r>
          </w:p>
        </w:tc>
        <w:tc>
          <w:tcPr>
            <w:tcW w:w="1164" w:type="dxa"/>
            <w:shd w:val="clear" w:color="auto" w:fill="auto"/>
            <w:vAlign w:val="bottom"/>
          </w:tcPr>
          <w:p w:rsidRPr="00B42088" w:rsidR="009248F2" w:rsidP="009248F2" w:rsidRDefault="009248F2" w14:paraId="3F0BFF4E" w14:textId="77777777">
            <w:pPr>
              <w:pStyle w:val="Response"/>
              <w:rPr>
                <w:b/>
                <w:sz w:val="20"/>
                <w:szCs w:val="20"/>
              </w:rPr>
            </w:pPr>
            <w:r w:rsidRPr="00B42088">
              <w:rPr>
                <w:sz w:val="20"/>
                <w:szCs w:val="20"/>
              </w:rPr>
              <w:t>20.7</w:t>
            </w:r>
          </w:p>
        </w:tc>
        <w:tc>
          <w:tcPr>
            <w:tcW w:w="1043" w:type="dxa"/>
            <w:shd w:val="clear" w:color="auto" w:fill="auto"/>
            <w:vAlign w:val="bottom"/>
          </w:tcPr>
          <w:p w:rsidRPr="00B42088" w:rsidR="009248F2" w:rsidP="009248F2" w:rsidRDefault="009248F2" w14:paraId="4A4E3544" w14:textId="77777777">
            <w:pPr>
              <w:pStyle w:val="Response"/>
              <w:rPr>
                <w:b/>
                <w:sz w:val="20"/>
                <w:szCs w:val="20"/>
              </w:rPr>
            </w:pPr>
            <w:r w:rsidRPr="00B42088">
              <w:rPr>
                <w:sz w:val="20"/>
                <w:szCs w:val="20"/>
              </w:rPr>
              <w:t>3</w:t>
            </w:r>
          </w:p>
        </w:tc>
        <w:tc>
          <w:tcPr>
            <w:tcW w:w="1054" w:type="dxa"/>
            <w:shd w:val="clear" w:color="auto" w:fill="auto"/>
            <w:vAlign w:val="bottom"/>
          </w:tcPr>
          <w:p w:rsidRPr="00B42088" w:rsidR="009248F2" w:rsidP="009248F2" w:rsidRDefault="009248F2" w14:paraId="355E5B0E" w14:textId="77777777">
            <w:pPr>
              <w:pStyle w:val="Response"/>
              <w:rPr>
                <w:b/>
                <w:sz w:val="20"/>
                <w:szCs w:val="20"/>
              </w:rPr>
            </w:pPr>
            <w:r w:rsidRPr="00B42088">
              <w:rPr>
                <w:sz w:val="20"/>
                <w:szCs w:val="20"/>
              </w:rPr>
              <w:t>54</w:t>
            </w:r>
          </w:p>
        </w:tc>
        <w:tc>
          <w:tcPr>
            <w:tcW w:w="1009" w:type="dxa"/>
            <w:shd w:val="clear" w:color="auto" w:fill="auto"/>
            <w:vAlign w:val="bottom"/>
          </w:tcPr>
          <w:p w:rsidRPr="00B42088" w:rsidR="009248F2" w:rsidP="009248F2" w:rsidRDefault="009248F2" w14:paraId="7FD7EA65" w14:textId="77777777">
            <w:pPr>
              <w:pStyle w:val="Response"/>
              <w:rPr>
                <w:b/>
                <w:sz w:val="20"/>
                <w:szCs w:val="20"/>
              </w:rPr>
            </w:pPr>
          </w:p>
        </w:tc>
        <w:tc>
          <w:tcPr>
            <w:tcW w:w="1228" w:type="dxa"/>
            <w:shd w:val="clear" w:color="auto" w:fill="auto"/>
            <w:vAlign w:val="bottom"/>
          </w:tcPr>
          <w:p w:rsidRPr="00B42088" w:rsidR="009248F2" w:rsidP="009248F2" w:rsidRDefault="009248F2" w14:paraId="19481B61" w14:textId="77777777">
            <w:pPr>
              <w:pStyle w:val="Response"/>
              <w:rPr>
                <w:b/>
                <w:sz w:val="20"/>
                <w:szCs w:val="20"/>
              </w:rPr>
            </w:pPr>
          </w:p>
        </w:tc>
      </w:tr>
      <w:tr w:rsidRPr="00CA77CD" w:rsidR="000A31BB" w:rsidTr="005C110A" w14:paraId="03812796" w14:textId="77777777">
        <w:tc>
          <w:tcPr>
            <w:tcW w:w="2565" w:type="dxa"/>
            <w:shd w:val="clear" w:color="auto" w:fill="auto"/>
            <w:vAlign w:val="bottom"/>
          </w:tcPr>
          <w:p w:rsidRPr="00B42088" w:rsidR="009248F2" w:rsidP="009248F2" w:rsidRDefault="009248F2" w14:paraId="3DA30D90"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334C1279"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086D788A"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6AB5EBAB" w14:textId="77777777">
            <w:pPr>
              <w:pStyle w:val="Response"/>
              <w:rPr>
                <w:b/>
                <w:sz w:val="20"/>
                <w:szCs w:val="20"/>
              </w:rPr>
            </w:pPr>
            <w:r w:rsidRPr="00B42088">
              <w:rPr>
                <w:sz w:val="20"/>
                <w:szCs w:val="20"/>
              </w:rPr>
              <w:t>20</w:t>
            </w:r>
          </w:p>
        </w:tc>
        <w:tc>
          <w:tcPr>
            <w:tcW w:w="1201" w:type="dxa"/>
            <w:shd w:val="clear" w:color="auto" w:fill="auto"/>
            <w:vAlign w:val="bottom"/>
          </w:tcPr>
          <w:p w:rsidRPr="00B42088" w:rsidR="009248F2" w:rsidP="009248F2" w:rsidRDefault="009248F2" w14:paraId="601EFF66" w14:textId="77777777">
            <w:pPr>
              <w:pStyle w:val="Response"/>
              <w:rPr>
                <w:b/>
                <w:sz w:val="20"/>
                <w:szCs w:val="20"/>
              </w:rPr>
            </w:pPr>
            <w:r w:rsidRPr="00B42088">
              <w:rPr>
                <w:sz w:val="20"/>
                <w:szCs w:val="20"/>
              </w:rPr>
              <w:t>0.9</w:t>
            </w:r>
          </w:p>
        </w:tc>
        <w:tc>
          <w:tcPr>
            <w:tcW w:w="1164" w:type="dxa"/>
            <w:shd w:val="clear" w:color="auto" w:fill="auto"/>
            <w:vAlign w:val="bottom"/>
          </w:tcPr>
          <w:p w:rsidRPr="00B42088" w:rsidR="009248F2" w:rsidP="009248F2" w:rsidRDefault="009248F2" w14:paraId="2038C4B2" w14:textId="77777777">
            <w:pPr>
              <w:pStyle w:val="Response"/>
              <w:rPr>
                <w:b/>
                <w:sz w:val="20"/>
                <w:szCs w:val="20"/>
              </w:rPr>
            </w:pPr>
            <w:r w:rsidRPr="00B42088">
              <w:rPr>
                <w:sz w:val="20"/>
                <w:szCs w:val="20"/>
              </w:rPr>
              <w:t>18</w:t>
            </w:r>
          </w:p>
        </w:tc>
        <w:tc>
          <w:tcPr>
            <w:tcW w:w="1043" w:type="dxa"/>
            <w:shd w:val="clear" w:color="auto" w:fill="auto"/>
            <w:vAlign w:val="bottom"/>
          </w:tcPr>
          <w:p w:rsidRPr="00B42088" w:rsidR="009248F2" w:rsidP="009248F2" w:rsidRDefault="009248F2" w14:paraId="3CDEB5EF" w14:textId="77777777">
            <w:pPr>
              <w:pStyle w:val="Response"/>
              <w:rPr>
                <w:b/>
                <w:sz w:val="20"/>
                <w:szCs w:val="20"/>
              </w:rPr>
            </w:pPr>
            <w:r w:rsidRPr="00B42088">
              <w:rPr>
                <w:sz w:val="20"/>
                <w:szCs w:val="20"/>
              </w:rPr>
              <w:t>6</w:t>
            </w:r>
          </w:p>
        </w:tc>
        <w:tc>
          <w:tcPr>
            <w:tcW w:w="1054" w:type="dxa"/>
            <w:shd w:val="clear" w:color="auto" w:fill="auto"/>
            <w:vAlign w:val="bottom"/>
          </w:tcPr>
          <w:p w:rsidRPr="00B42088" w:rsidR="009248F2" w:rsidP="009248F2" w:rsidRDefault="009248F2" w14:paraId="46F6606D" w14:textId="77777777">
            <w:pPr>
              <w:pStyle w:val="Response"/>
              <w:rPr>
                <w:b/>
                <w:sz w:val="20"/>
                <w:szCs w:val="20"/>
              </w:rPr>
            </w:pPr>
            <w:r w:rsidRPr="00B42088">
              <w:rPr>
                <w:sz w:val="20"/>
                <w:szCs w:val="20"/>
              </w:rPr>
              <w:t>124.2</w:t>
            </w:r>
          </w:p>
        </w:tc>
        <w:tc>
          <w:tcPr>
            <w:tcW w:w="1009" w:type="dxa"/>
            <w:shd w:val="clear" w:color="auto" w:fill="auto"/>
            <w:vAlign w:val="bottom"/>
          </w:tcPr>
          <w:p w:rsidRPr="00B42088" w:rsidR="009248F2" w:rsidP="009248F2" w:rsidRDefault="009248F2" w14:paraId="74DDFDD3" w14:textId="77777777">
            <w:pPr>
              <w:pStyle w:val="Response"/>
              <w:rPr>
                <w:b/>
                <w:sz w:val="20"/>
                <w:szCs w:val="20"/>
              </w:rPr>
            </w:pPr>
          </w:p>
        </w:tc>
        <w:tc>
          <w:tcPr>
            <w:tcW w:w="1228" w:type="dxa"/>
            <w:shd w:val="clear" w:color="auto" w:fill="auto"/>
            <w:vAlign w:val="bottom"/>
          </w:tcPr>
          <w:p w:rsidRPr="00B42088" w:rsidR="009248F2" w:rsidP="009248F2" w:rsidRDefault="009248F2" w14:paraId="035F8BC1" w14:textId="77777777">
            <w:pPr>
              <w:pStyle w:val="Response"/>
              <w:rPr>
                <w:b/>
                <w:sz w:val="20"/>
                <w:szCs w:val="20"/>
              </w:rPr>
            </w:pPr>
          </w:p>
        </w:tc>
      </w:tr>
      <w:tr w:rsidRPr="00CA77CD" w:rsidR="000A31BB" w:rsidTr="005C110A" w14:paraId="01FDD97E" w14:textId="77777777">
        <w:tc>
          <w:tcPr>
            <w:tcW w:w="2565" w:type="dxa"/>
            <w:shd w:val="clear" w:color="auto" w:fill="DEEAF6"/>
            <w:vAlign w:val="bottom"/>
          </w:tcPr>
          <w:p w:rsidRPr="00B42088" w:rsidR="009248F2" w:rsidP="009248F2" w:rsidRDefault="009248F2" w14:paraId="0CD84903"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9248F2" w:rsidP="009248F2" w:rsidRDefault="009248F2" w14:paraId="6075AF4F"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9248F2" w:rsidP="009248F2" w:rsidRDefault="009248F2" w14:paraId="1DD364E2"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9248F2" w:rsidP="009248F2" w:rsidRDefault="009248F2" w14:paraId="51D1FD41" w14:textId="77777777">
            <w:pPr>
              <w:pStyle w:val="Response"/>
              <w:rPr>
                <w:b/>
                <w:sz w:val="20"/>
                <w:szCs w:val="20"/>
              </w:rPr>
            </w:pPr>
            <w:r w:rsidRPr="00B42088">
              <w:rPr>
                <w:b/>
                <w:bCs/>
                <w:sz w:val="20"/>
                <w:szCs w:val="20"/>
              </w:rPr>
              <w:t>253</w:t>
            </w:r>
          </w:p>
        </w:tc>
        <w:tc>
          <w:tcPr>
            <w:tcW w:w="1201" w:type="dxa"/>
            <w:shd w:val="clear" w:color="auto" w:fill="DEEAF6"/>
            <w:vAlign w:val="bottom"/>
          </w:tcPr>
          <w:p w:rsidRPr="00B42088" w:rsidR="009248F2" w:rsidP="009248F2" w:rsidRDefault="009248F2" w14:paraId="7FED8791"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9248F2" w:rsidP="009248F2" w:rsidRDefault="009248F2" w14:paraId="5676C787" w14:textId="77777777">
            <w:pPr>
              <w:pStyle w:val="Response"/>
              <w:rPr>
                <w:b/>
                <w:sz w:val="20"/>
                <w:szCs w:val="20"/>
              </w:rPr>
            </w:pPr>
            <w:r w:rsidRPr="00B42088">
              <w:rPr>
                <w:b/>
                <w:bCs/>
                <w:sz w:val="20"/>
                <w:szCs w:val="20"/>
              </w:rPr>
              <w:t>278.3</w:t>
            </w:r>
          </w:p>
        </w:tc>
        <w:tc>
          <w:tcPr>
            <w:tcW w:w="1043" w:type="dxa"/>
            <w:shd w:val="clear" w:color="auto" w:fill="DEEAF6"/>
            <w:vAlign w:val="bottom"/>
          </w:tcPr>
          <w:p w:rsidRPr="00B42088" w:rsidR="009248F2" w:rsidP="009248F2" w:rsidRDefault="009248F2" w14:paraId="25D157A4"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9248F2" w:rsidP="009248F2" w:rsidRDefault="009248F2" w14:paraId="6B1C00FF" w14:textId="77777777">
            <w:pPr>
              <w:pStyle w:val="Response"/>
              <w:rPr>
                <w:b/>
                <w:sz w:val="20"/>
                <w:szCs w:val="20"/>
              </w:rPr>
            </w:pPr>
            <w:r w:rsidRPr="00B42088">
              <w:rPr>
                <w:b/>
                <w:bCs/>
                <w:sz w:val="20"/>
                <w:szCs w:val="20"/>
              </w:rPr>
              <w:t>556.2</w:t>
            </w:r>
          </w:p>
        </w:tc>
        <w:tc>
          <w:tcPr>
            <w:tcW w:w="1009" w:type="dxa"/>
            <w:shd w:val="clear" w:color="auto" w:fill="DEEAF6"/>
            <w:vAlign w:val="bottom"/>
          </w:tcPr>
          <w:p w:rsidRPr="00B42088" w:rsidR="009248F2" w:rsidP="009248F2" w:rsidRDefault="009248F2" w14:paraId="2C5F2F59"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9248F2" w:rsidP="009248F2" w:rsidRDefault="009248F2" w14:paraId="5AA834C9" w14:textId="77777777">
            <w:pPr>
              <w:pStyle w:val="Response"/>
              <w:rPr>
                <w:b/>
                <w:sz w:val="20"/>
                <w:szCs w:val="20"/>
              </w:rPr>
            </w:pPr>
            <w:r w:rsidRPr="00B42088">
              <w:rPr>
                <w:b/>
                <w:bCs/>
                <w:sz w:val="20"/>
                <w:szCs w:val="20"/>
              </w:rPr>
              <w:t xml:space="preserve">$31,330.75 </w:t>
            </w:r>
          </w:p>
        </w:tc>
      </w:tr>
      <w:tr w:rsidRPr="00CA77CD" w:rsidR="000A31BB" w:rsidTr="005C110A" w14:paraId="6EF9F9AE" w14:textId="77777777">
        <w:tc>
          <w:tcPr>
            <w:tcW w:w="2565" w:type="dxa"/>
            <w:shd w:val="clear" w:color="auto" w:fill="auto"/>
            <w:vAlign w:val="center"/>
          </w:tcPr>
          <w:p w:rsidRPr="00B42088" w:rsidR="009248F2" w:rsidP="009248F2" w:rsidRDefault="009248F2" w14:paraId="028D5B6B" w14:textId="77777777">
            <w:pPr>
              <w:pStyle w:val="Response"/>
              <w:rPr>
                <w:b/>
                <w:sz w:val="20"/>
                <w:szCs w:val="20"/>
              </w:rPr>
            </w:pPr>
            <w:r w:rsidRPr="00B42088">
              <w:rPr>
                <w:sz w:val="20"/>
                <w:szCs w:val="20"/>
              </w:rPr>
              <w:t>8. Fire Response Policies (1915.505(a)(2)(i) and (ii))</w:t>
            </w:r>
          </w:p>
        </w:tc>
        <w:tc>
          <w:tcPr>
            <w:tcW w:w="1224" w:type="dxa"/>
            <w:shd w:val="clear" w:color="auto" w:fill="auto"/>
            <w:vAlign w:val="bottom"/>
          </w:tcPr>
          <w:p w:rsidRPr="00B42088" w:rsidR="009248F2" w:rsidP="009248F2" w:rsidRDefault="009248F2" w14:paraId="03F8C489"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9248F2" w:rsidP="009248F2" w:rsidRDefault="009248F2" w14:paraId="799869C5"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671E9101" w14:textId="77777777">
            <w:pPr>
              <w:pStyle w:val="Response"/>
              <w:rPr>
                <w:b/>
                <w:sz w:val="20"/>
                <w:szCs w:val="20"/>
              </w:rPr>
            </w:pPr>
            <w:r w:rsidRPr="00B42088">
              <w:rPr>
                <w:sz w:val="20"/>
                <w:szCs w:val="20"/>
              </w:rPr>
              <w:t>210</w:t>
            </w:r>
          </w:p>
        </w:tc>
        <w:tc>
          <w:tcPr>
            <w:tcW w:w="1201" w:type="dxa"/>
            <w:shd w:val="clear" w:color="auto" w:fill="auto"/>
            <w:vAlign w:val="bottom"/>
          </w:tcPr>
          <w:p w:rsidRPr="00B42088" w:rsidR="009248F2" w:rsidP="009248F2" w:rsidRDefault="009248F2" w14:paraId="1AADCFD2" w14:textId="77777777">
            <w:pPr>
              <w:pStyle w:val="Response"/>
              <w:rPr>
                <w:b/>
                <w:sz w:val="20"/>
                <w:szCs w:val="20"/>
              </w:rPr>
            </w:pPr>
            <w:r w:rsidRPr="00B42088">
              <w:rPr>
                <w:sz w:val="20"/>
                <w:szCs w:val="20"/>
              </w:rPr>
              <w:t>0.1</w:t>
            </w:r>
          </w:p>
        </w:tc>
        <w:tc>
          <w:tcPr>
            <w:tcW w:w="1164" w:type="dxa"/>
            <w:shd w:val="clear" w:color="auto" w:fill="auto"/>
            <w:vAlign w:val="bottom"/>
          </w:tcPr>
          <w:p w:rsidRPr="00B42088" w:rsidR="009248F2" w:rsidP="009248F2" w:rsidRDefault="009248F2" w14:paraId="190A79D1" w14:textId="77777777">
            <w:pPr>
              <w:pStyle w:val="Response"/>
              <w:rPr>
                <w:b/>
                <w:sz w:val="20"/>
                <w:szCs w:val="20"/>
              </w:rPr>
            </w:pPr>
            <w:r w:rsidRPr="00B42088">
              <w:rPr>
                <w:sz w:val="20"/>
                <w:szCs w:val="20"/>
              </w:rPr>
              <w:t>21</w:t>
            </w:r>
          </w:p>
        </w:tc>
        <w:tc>
          <w:tcPr>
            <w:tcW w:w="1043" w:type="dxa"/>
            <w:shd w:val="clear" w:color="auto" w:fill="auto"/>
            <w:vAlign w:val="bottom"/>
          </w:tcPr>
          <w:p w:rsidRPr="00B42088" w:rsidR="009248F2" w:rsidP="009248F2" w:rsidRDefault="009248F2" w14:paraId="41F00830" w14:textId="77777777">
            <w:pPr>
              <w:pStyle w:val="Response"/>
              <w:rPr>
                <w:b/>
                <w:sz w:val="20"/>
                <w:szCs w:val="20"/>
              </w:rPr>
            </w:pPr>
            <w:r w:rsidRPr="00B42088">
              <w:rPr>
                <w:sz w:val="20"/>
                <w:szCs w:val="20"/>
              </w:rPr>
              <w:t>1</w:t>
            </w:r>
          </w:p>
        </w:tc>
        <w:tc>
          <w:tcPr>
            <w:tcW w:w="1054" w:type="dxa"/>
            <w:shd w:val="clear" w:color="auto" w:fill="auto"/>
            <w:vAlign w:val="bottom"/>
          </w:tcPr>
          <w:p w:rsidRPr="00B42088" w:rsidR="009248F2" w:rsidP="009248F2" w:rsidRDefault="009248F2" w14:paraId="3076FB4C" w14:textId="77777777">
            <w:pPr>
              <w:pStyle w:val="Response"/>
              <w:rPr>
                <w:b/>
                <w:sz w:val="20"/>
                <w:szCs w:val="20"/>
              </w:rPr>
            </w:pPr>
            <w:r w:rsidRPr="00B42088">
              <w:rPr>
                <w:sz w:val="20"/>
                <w:szCs w:val="20"/>
              </w:rPr>
              <w:t>21</w:t>
            </w:r>
          </w:p>
        </w:tc>
        <w:tc>
          <w:tcPr>
            <w:tcW w:w="1009" w:type="dxa"/>
            <w:shd w:val="clear" w:color="auto" w:fill="auto"/>
            <w:vAlign w:val="bottom"/>
          </w:tcPr>
          <w:p w:rsidRPr="00B42088" w:rsidR="009248F2" w:rsidP="009248F2" w:rsidRDefault="009248F2" w14:paraId="5F934EA0" w14:textId="77777777">
            <w:pPr>
              <w:pStyle w:val="Response"/>
              <w:rPr>
                <w:b/>
                <w:sz w:val="20"/>
                <w:szCs w:val="20"/>
              </w:rPr>
            </w:pPr>
            <w:r w:rsidRPr="00B42088">
              <w:rPr>
                <w:sz w:val="20"/>
                <w:szCs w:val="20"/>
              </w:rPr>
              <w:t> </w:t>
            </w:r>
          </w:p>
        </w:tc>
        <w:tc>
          <w:tcPr>
            <w:tcW w:w="1228" w:type="dxa"/>
            <w:shd w:val="clear" w:color="auto" w:fill="auto"/>
            <w:vAlign w:val="bottom"/>
          </w:tcPr>
          <w:p w:rsidRPr="00B42088" w:rsidR="009248F2" w:rsidP="009248F2" w:rsidRDefault="009248F2" w14:paraId="313C3CEC" w14:textId="77777777">
            <w:pPr>
              <w:pStyle w:val="Response"/>
              <w:rPr>
                <w:b/>
                <w:sz w:val="20"/>
                <w:szCs w:val="20"/>
              </w:rPr>
            </w:pPr>
            <w:r w:rsidRPr="00B42088">
              <w:rPr>
                <w:sz w:val="20"/>
                <w:szCs w:val="20"/>
              </w:rPr>
              <w:t> </w:t>
            </w:r>
          </w:p>
        </w:tc>
      </w:tr>
      <w:tr w:rsidRPr="00CA77CD" w:rsidR="000A31BB" w:rsidTr="005C110A" w14:paraId="666B7BD2" w14:textId="77777777">
        <w:tc>
          <w:tcPr>
            <w:tcW w:w="2565" w:type="dxa"/>
            <w:shd w:val="clear" w:color="auto" w:fill="auto"/>
            <w:vAlign w:val="bottom"/>
          </w:tcPr>
          <w:p w:rsidRPr="00B42088" w:rsidR="009248F2" w:rsidP="009248F2" w:rsidRDefault="009248F2" w14:paraId="06EC8126"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3A2348E0"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9248F2" w:rsidP="009248F2" w:rsidRDefault="009248F2" w14:paraId="76AF8A72"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475F25C9" w14:textId="77777777">
            <w:pPr>
              <w:pStyle w:val="Response"/>
              <w:rPr>
                <w:b/>
                <w:sz w:val="20"/>
                <w:szCs w:val="20"/>
              </w:rPr>
            </w:pPr>
            <w:r w:rsidRPr="00B42088">
              <w:rPr>
                <w:sz w:val="20"/>
                <w:szCs w:val="20"/>
              </w:rPr>
              <w:t>23</w:t>
            </w:r>
          </w:p>
        </w:tc>
        <w:tc>
          <w:tcPr>
            <w:tcW w:w="1201" w:type="dxa"/>
            <w:shd w:val="clear" w:color="auto" w:fill="auto"/>
            <w:vAlign w:val="bottom"/>
          </w:tcPr>
          <w:p w:rsidRPr="00B42088" w:rsidR="009248F2" w:rsidP="009248F2" w:rsidRDefault="009248F2" w14:paraId="283958ED" w14:textId="77777777">
            <w:pPr>
              <w:pStyle w:val="Response"/>
              <w:rPr>
                <w:b/>
                <w:sz w:val="20"/>
                <w:szCs w:val="20"/>
              </w:rPr>
            </w:pPr>
            <w:r w:rsidRPr="00B42088">
              <w:rPr>
                <w:sz w:val="20"/>
                <w:szCs w:val="20"/>
              </w:rPr>
              <w:t>0.1</w:t>
            </w:r>
          </w:p>
        </w:tc>
        <w:tc>
          <w:tcPr>
            <w:tcW w:w="1164" w:type="dxa"/>
            <w:shd w:val="clear" w:color="auto" w:fill="auto"/>
            <w:vAlign w:val="bottom"/>
          </w:tcPr>
          <w:p w:rsidRPr="00B42088" w:rsidR="009248F2" w:rsidP="009248F2" w:rsidRDefault="009248F2" w14:paraId="3B154BD2" w14:textId="77777777">
            <w:pPr>
              <w:pStyle w:val="Response"/>
              <w:rPr>
                <w:b/>
                <w:sz w:val="20"/>
                <w:szCs w:val="20"/>
              </w:rPr>
            </w:pPr>
            <w:r w:rsidRPr="00B42088">
              <w:rPr>
                <w:sz w:val="20"/>
                <w:szCs w:val="20"/>
              </w:rPr>
              <w:t>2.3</w:t>
            </w:r>
          </w:p>
        </w:tc>
        <w:tc>
          <w:tcPr>
            <w:tcW w:w="1043" w:type="dxa"/>
            <w:shd w:val="clear" w:color="auto" w:fill="auto"/>
            <w:vAlign w:val="bottom"/>
          </w:tcPr>
          <w:p w:rsidRPr="00B42088" w:rsidR="009248F2" w:rsidP="009248F2" w:rsidRDefault="009248F2" w14:paraId="3B0A9B52" w14:textId="77777777">
            <w:pPr>
              <w:pStyle w:val="Response"/>
              <w:rPr>
                <w:b/>
                <w:sz w:val="20"/>
                <w:szCs w:val="20"/>
              </w:rPr>
            </w:pPr>
            <w:r w:rsidRPr="00B42088">
              <w:rPr>
                <w:sz w:val="20"/>
                <w:szCs w:val="20"/>
              </w:rPr>
              <w:t>6</w:t>
            </w:r>
          </w:p>
        </w:tc>
        <w:tc>
          <w:tcPr>
            <w:tcW w:w="1054" w:type="dxa"/>
            <w:shd w:val="clear" w:color="auto" w:fill="auto"/>
            <w:vAlign w:val="bottom"/>
          </w:tcPr>
          <w:p w:rsidRPr="00B42088" w:rsidR="009248F2" w:rsidP="009248F2" w:rsidRDefault="009248F2" w14:paraId="20F55F13" w14:textId="77777777">
            <w:pPr>
              <w:pStyle w:val="Response"/>
              <w:rPr>
                <w:b/>
                <w:sz w:val="20"/>
                <w:szCs w:val="20"/>
              </w:rPr>
            </w:pPr>
            <w:r w:rsidRPr="00B42088">
              <w:rPr>
                <w:sz w:val="20"/>
                <w:szCs w:val="20"/>
              </w:rPr>
              <w:t>12</w:t>
            </w:r>
          </w:p>
        </w:tc>
        <w:tc>
          <w:tcPr>
            <w:tcW w:w="1009" w:type="dxa"/>
            <w:shd w:val="clear" w:color="auto" w:fill="auto"/>
            <w:vAlign w:val="bottom"/>
          </w:tcPr>
          <w:p w:rsidRPr="00B42088" w:rsidR="009248F2" w:rsidP="009248F2" w:rsidRDefault="009248F2" w14:paraId="004D1DEB" w14:textId="77777777">
            <w:pPr>
              <w:pStyle w:val="Response"/>
              <w:rPr>
                <w:b/>
                <w:sz w:val="20"/>
                <w:szCs w:val="20"/>
              </w:rPr>
            </w:pPr>
          </w:p>
        </w:tc>
        <w:tc>
          <w:tcPr>
            <w:tcW w:w="1228" w:type="dxa"/>
            <w:shd w:val="clear" w:color="auto" w:fill="auto"/>
            <w:vAlign w:val="bottom"/>
          </w:tcPr>
          <w:p w:rsidRPr="00B42088" w:rsidR="009248F2" w:rsidP="009248F2" w:rsidRDefault="009248F2" w14:paraId="298174D3" w14:textId="77777777">
            <w:pPr>
              <w:pStyle w:val="Response"/>
              <w:rPr>
                <w:b/>
                <w:sz w:val="20"/>
                <w:szCs w:val="20"/>
              </w:rPr>
            </w:pPr>
          </w:p>
        </w:tc>
      </w:tr>
      <w:tr w:rsidRPr="00CA77CD" w:rsidR="000A31BB" w:rsidTr="005C110A" w14:paraId="50A12E7C" w14:textId="77777777">
        <w:tc>
          <w:tcPr>
            <w:tcW w:w="2565" w:type="dxa"/>
            <w:shd w:val="clear" w:color="auto" w:fill="auto"/>
            <w:vAlign w:val="bottom"/>
          </w:tcPr>
          <w:p w:rsidRPr="00B42088" w:rsidR="009248F2" w:rsidP="009248F2" w:rsidRDefault="009248F2" w14:paraId="447A2638"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1D1900A5" w14:textId="77777777">
            <w:pPr>
              <w:pStyle w:val="Response"/>
              <w:rPr>
                <w:b/>
                <w:sz w:val="20"/>
                <w:szCs w:val="20"/>
              </w:rPr>
            </w:pPr>
            <w:r w:rsidRPr="00B42088">
              <w:rPr>
                <w:sz w:val="20"/>
                <w:szCs w:val="20"/>
              </w:rPr>
              <w:t>First time</w:t>
            </w:r>
          </w:p>
        </w:tc>
        <w:tc>
          <w:tcPr>
            <w:tcW w:w="1249" w:type="dxa"/>
            <w:shd w:val="clear" w:color="auto" w:fill="auto"/>
            <w:vAlign w:val="bottom"/>
          </w:tcPr>
          <w:p w:rsidRPr="00B42088" w:rsidR="009248F2" w:rsidP="009248F2" w:rsidRDefault="009248F2" w14:paraId="633A8CA9"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58331D9D" w14:textId="77777777">
            <w:pPr>
              <w:pStyle w:val="Response"/>
              <w:rPr>
                <w:b/>
                <w:sz w:val="20"/>
                <w:szCs w:val="20"/>
              </w:rPr>
            </w:pPr>
            <w:r w:rsidRPr="00B42088">
              <w:rPr>
                <w:sz w:val="20"/>
                <w:szCs w:val="20"/>
              </w:rPr>
              <w:t>20</w:t>
            </w:r>
          </w:p>
        </w:tc>
        <w:tc>
          <w:tcPr>
            <w:tcW w:w="1201" w:type="dxa"/>
            <w:shd w:val="clear" w:color="auto" w:fill="auto"/>
            <w:vAlign w:val="bottom"/>
          </w:tcPr>
          <w:p w:rsidRPr="00B42088" w:rsidR="009248F2" w:rsidP="009248F2" w:rsidRDefault="009248F2" w14:paraId="3C03F14B" w14:textId="77777777">
            <w:pPr>
              <w:pStyle w:val="Response"/>
              <w:rPr>
                <w:b/>
                <w:sz w:val="20"/>
                <w:szCs w:val="20"/>
              </w:rPr>
            </w:pPr>
            <w:r w:rsidRPr="00B42088">
              <w:rPr>
                <w:sz w:val="20"/>
                <w:szCs w:val="20"/>
              </w:rPr>
              <w:t>0.1</w:t>
            </w:r>
          </w:p>
        </w:tc>
        <w:tc>
          <w:tcPr>
            <w:tcW w:w="1164" w:type="dxa"/>
            <w:shd w:val="clear" w:color="auto" w:fill="auto"/>
            <w:vAlign w:val="bottom"/>
          </w:tcPr>
          <w:p w:rsidRPr="00B42088" w:rsidR="009248F2" w:rsidP="009248F2" w:rsidRDefault="009248F2" w14:paraId="7E4C9B3D" w14:textId="77777777">
            <w:pPr>
              <w:pStyle w:val="Response"/>
              <w:rPr>
                <w:b/>
                <w:sz w:val="20"/>
                <w:szCs w:val="20"/>
              </w:rPr>
            </w:pPr>
            <w:r w:rsidRPr="00B42088">
              <w:rPr>
                <w:sz w:val="20"/>
                <w:szCs w:val="20"/>
              </w:rPr>
              <w:t>2</w:t>
            </w:r>
          </w:p>
        </w:tc>
        <w:tc>
          <w:tcPr>
            <w:tcW w:w="1043" w:type="dxa"/>
            <w:shd w:val="clear" w:color="auto" w:fill="auto"/>
            <w:vAlign w:val="bottom"/>
          </w:tcPr>
          <w:p w:rsidRPr="00B42088" w:rsidR="009248F2" w:rsidP="009248F2" w:rsidRDefault="009248F2" w14:paraId="5BEC80EC" w14:textId="77777777">
            <w:pPr>
              <w:pStyle w:val="Response"/>
              <w:rPr>
                <w:b/>
                <w:sz w:val="20"/>
                <w:szCs w:val="20"/>
              </w:rPr>
            </w:pPr>
            <w:r w:rsidRPr="00B42088">
              <w:rPr>
                <w:sz w:val="20"/>
                <w:szCs w:val="20"/>
              </w:rPr>
              <w:t>12</w:t>
            </w:r>
          </w:p>
        </w:tc>
        <w:tc>
          <w:tcPr>
            <w:tcW w:w="1054" w:type="dxa"/>
            <w:shd w:val="clear" w:color="auto" w:fill="auto"/>
            <w:vAlign w:val="bottom"/>
          </w:tcPr>
          <w:p w:rsidRPr="00B42088" w:rsidR="009248F2" w:rsidP="009248F2" w:rsidRDefault="009248F2" w14:paraId="1B1AD10D" w14:textId="77777777">
            <w:pPr>
              <w:pStyle w:val="Response"/>
              <w:rPr>
                <w:b/>
                <w:sz w:val="20"/>
                <w:szCs w:val="20"/>
              </w:rPr>
            </w:pPr>
            <w:r w:rsidRPr="00B42088">
              <w:rPr>
                <w:sz w:val="20"/>
                <w:szCs w:val="20"/>
              </w:rPr>
              <w:t>27.6</w:t>
            </w:r>
          </w:p>
        </w:tc>
        <w:tc>
          <w:tcPr>
            <w:tcW w:w="1009" w:type="dxa"/>
            <w:shd w:val="clear" w:color="auto" w:fill="auto"/>
            <w:vAlign w:val="bottom"/>
          </w:tcPr>
          <w:p w:rsidRPr="00B42088" w:rsidR="009248F2" w:rsidP="009248F2" w:rsidRDefault="009248F2" w14:paraId="6ED2A81A" w14:textId="77777777">
            <w:pPr>
              <w:pStyle w:val="Response"/>
              <w:rPr>
                <w:b/>
                <w:sz w:val="20"/>
                <w:szCs w:val="20"/>
              </w:rPr>
            </w:pPr>
          </w:p>
        </w:tc>
        <w:tc>
          <w:tcPr>
            <w:tcW w:w="1228" w:type="dxa"/>
            <w:shd w:val="clear" w:color="auto" w:fill="auto"/>
            <w:vAlign w:val="bottom"/>
          </w:tcPr>
          <w:p w:rsidRPr="00B42088" w:rsidR="009248F2" w:rsidP="009248F2" w:rsidRDefault="009248F2" w14:paraId="2287D91F" w14:textId="77777777">
            <w:pPr>
              <w:pStyle w:val="Response"/>
              <w:rPr>
                <w:b/>
                <w:sz w:val="20"/>
                <w:szCs w:val="20"/>
              </w:rPr>
            </w:pPr>
          </w:p>
        </w:tc>
      </w:tr>
      <w:tr w:rsidRPr="00CA77CD" w:rsidR="000A31BB" w:rsidTr="005C110A" w14:paraId="466153D7" w14:textId="77777777">
        <w:tc>
          <w:tcPr>
            <w:tcW w:w="2565" w:type="dxa"/>
            <w:shd w:val="clear" w:color="auto" w:fill="DEEAF6"/>
            <w:vAlign w:val="bottom"/>
          </w:tcPr>
          <w:p w:rsidRPr="00B42088" w:rsidR="009248F2" w:rsidP="009248F2" w:rsidRDefault="009248F2" w14:paraId="52813C0A"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9248F2" w:rsidP="009248F2" w:rsidRDefault="009248F2" w14:paraId="42E9222D"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9248F2" w:rsidP="009248F2" w:rsidRDefault="009248F2" w14:paraId="04D0EA53"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9248F2" w:rsidP="009248F2" w:rsidRDefault="009248F2" w14:paraId="5DBA1AB0" w14:textId="77777777">
            <w:pPr>
              <w:pStyle w:val="Response"/>
              <w:rPr>
                <w:b/>
                <w:sz w:val="20"/>
                <w:szCs w:val="20"/>
              </w:rPr>
            </w:pPr>
          </w:p>
        </w:tc>
        <w:tc>
          <w:tcPr>
            <w:tcW w:w="1201" w:type="dxa"/>
            <w:shd w:val="clear" w:color="auto" w:fill="DEEAF6"/>
            <w:vAlign w:val="bottom"/>
          </w:tcPr>
          <w:p w:rsidRPr="00B42088" w:rsidR="009248F2" w:rsidP="009248F2" w:rsidRDefault="009248F2" w14:paraId="479EB60B"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9248F2" w:rsidP="009248F2" w:rsidRDefault="009248F2" w14:paraId="2EBA9140" w14:textId="77777777">
            <w:pPr>
              <w:pStyle w:val="Response"/>
              <w:rPr>
                <w:b/>
                <w:sz w:val="20"/>
                <w:szCs w:val="20"/>
              </w:rPr>
            </w:pPr>
            <w:r w:rsidRPr="00B42088">
              <w:rPr>
                <w:b/>
                <w:bCs/>
                <w:sz w:val="20"/>
                <w:szCs w:val="20"/>
              </w:rPr>
              <w:t>25.3</w:t>
            </w:r>
          </w:p>
        </w:tc>
        <w:tc>
          <w:tcPr>
            <w:tcW w:w="1043" w:type="dxa"/>
            <w:shd w:val="clear" w:color="auto" w:fill="DEEAF6"/>
            <w:vAlign w:val="bottom"/>
          </w:tcPr>
          <w:p w:rsidRPr="00B42088" w:rsidR="009248F2" w:rsidP="009248F2" w:rsidRDefault="009248F2" w14:paraId="46630224"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9248F2" w:rsidP="009248F2" w:rsidRDefault="009248F2" w14:paraId="5F55FA44" w14:textId="77777777">
            <w:pPr>
              <w:pStyle w:val="Response"/>
              <w:rPr>
                <w:b/>
                <w:sz w:val="20"/>
                <w:szCs w:val="20"/>
              </w:rPr>
            </w:pPr>
            <w:r w:rsidRPr="00B42088">
              <w:rPr>
                <w:b/>
                <w:bCs/>
                <w:sz w:val="20"/>
                <w:szCs w:val="20"/>
              </w:rPr>
              <w:t>60.6</w:t>
            </w:r>
          </w:p>
        </w:tc>
        <w:tc>
          <w:tcPr>
            <w:tcW w:w="1009" w:type="dxa"/>
            <w:shd w:val="clear" w:color="auto" w:fill="DEEAF6"/>
            <w:vAlign w:val="bottom"/>
          </w:tcPr>
          <w:p w:rsidRPr="00B42088" w:rsidR="009248F2" w:rsidP="009248F2" w:rsidRDefault="009248F2" w14:paraId="006EDEB8"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9248F2" w:rsidP="009248F2" w:rsidRDefault="009248F2" w14:paraId="3862EE6B" w14:textId="77777777">
            <w:pPr>
              <w:pStyle w:val="Response"/>
              <w:rPr>
                <w:b/>
                <w:sz w:val="20"/>
                <w:szCs w:val="20"/>
              </w:rPr>
            </w:pPr>
            <w:r w:rsidRPr="00B42088">
              <w:rPr>
                <w:b/>
                <w:bCs/>
                <w:sz w:val="20"/>
                <w:szCs w:val="20"/>
              </w:rPr>
              <w:t xml:space="preserve">$3,413.60 </w:t>
            </w:r>
          </w:p>
        </w:tc>
      </w:tr>
      <w:tr w:rsidRPr="00CA77CD" w:rsidR="000A31BB" w:rsidTr="005C110A" w14:paraId="56A5D420" w14:textId="77777777">
        <w:tc>
          <w:tcPr>
            <w:tcW w:w="2565" w:type="dxa"/>
            <w:shd w:val="clear" w:color="auto" w:fill="auto"/>
            <w:vAlign w:val="bottom"/>
          </w:tcPr>
          <w:p w:rsidRPr="00B42088" w:rsidR="009248F2" w:rsidP="009248F2" w:rsidRDefault="009248F2" w14:paraId="1EDA43A9"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36627B18"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7B19133E"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0C043553" w14:textId="77777777">
            <w:pPr>
              <w:pStyle w:val="Response"/>
              <w:rPr>
                <w:b/>
                <w:sz w:val="20"/>
                <w:szCs w:val="20"/>
              </w:rPr>
            </w:pPr>
            <w:r w:rsidRPr="00B42088">
              <w:rPr>
                <w:sz w:val="20"/>
                <w:szCs w:val="20"/>
              </w:rPr>
              <w:t>210</w:t>
            </w:r>
          </w:p>
        </w:tc>
        <w:tc>
          <w:tcPr>
            <w:tcW w:w="1201" w:type="dxa"/>
            <w:shd w:val="clear" w:color="auto" w:fill="auto"/>
            <w:vAlign w:val="bottom"/>
          </w:tcPr>
          <w:p w:rsidRPr="00B42088" w:rsidR="009248F2" w:rsidP="009248F2" w:rsidRDefault="009248F2" w14:paraId="187E781D" w14:textId="77777777">
            <w:pPr>
              <w:pStyle w:val="Response"/>
              <w:rPr>
                <w:b/>
                <w:sz w:val="20"/>
                <w:szCs w:val="20"/>
              </w:rPr>
            </w:pPr>
            <w:r w:rsidRPr="00B42088">
              <w:rPr>
                <w:sz w:val="20"/>
                <w:szCs w:val="20"/>
              </w:rPr>
              <w:t>0.9</w:t>
            </w:r>
          </w:p>
        </w:tc>
        <w:tc>
          <w:tcPr>
            <w:tcW w:w="1164" w:type="dxa"/>
            <w:shd w:val="clear" w:color="auto" w:fill="auto"/>
            <w:vAlign w:val="bottom"/>
          </w:tcPr>
          <w:p w:rsidRPr="00B42088" w:rsidR="009248F2" w:rsidP="009248F2" w:rsidRDefault="009248F2" w14:paraId="46D2A489" w14:textId="77777777">
            <w:pPr>
              <w:pStyle w:val="Response"/>
              <w:rPr>
                <w:b/>
                <w:sz w:val="20"/>
                <w:szCs w:val="20"/>
              </w:rPr>
            </w:pPr>
            <w:r w:rsidRPr="00B42088">
              <w:rPr>
                <w:sz w:val="20"/>
                <w:szCs w:val="20"/>
              </w:rPr>
              <w:t>189</w:t>
            </w:r>
          </w:p>
        </w:tc>
        <w:tc>
          <w:tcPr>
            <w:tcW w:w="1043" w:type="dxa"/>
            <w:shd w:val="clear" w:color="auto" w:fill="auto"/>
            <w:vAlign w:val="bottom"/>
          </w:tcPr>
          <w:p w:rsidRPr="00B42088" w:rsidR="009248F2" w:rsidP="009248F2" w:rsidRDefault="009248F2" w14:paraId="19FEF7DC" w14:textId="77777777">
            <w:pPr>
              <w:pStyle w:val="Response"/>
              <w:rPr>
                <w:b/>
                <w:sz w:val="20"/>
                <w:szCs w:val="20"/>
              </w:rPr>
            </w:pPr>
            <w:r w:rsidRPr="00B42088">
              <w:rPr>
                <w:sz w:val="20"/>
                <w:szCs w:val="20"/>
              </w:rPr>
              <w:t>1</w:t>
            </w:r>
          </w:p>
        </w:tc>
        <w:tc>
          <w:tcPr>
            <w:tcW w:w="1054" w:type="dxa"/>
            <w:shd w:val="clear" w:color="auto" w:fill="auto"/>
            <w:vAlign w:val="bottom"/>
          </w:tcPr>
          <w:p w:rsidRPr="00B42088" w:rsidR="009248F2" w:rsidP="009248F2" w:rsidRDefault="009248F2" w14:paraId="65776F76" w14:textId="77777777">
            <w:pPr>
              <w:pStyle w:val="Response"/>
              <w:rPr>
                <w:b/>
                <w:sz w:val="20"/>
                <w:szCs w:val="20"/>
              </w:rPr>
            </w:pPr>
            <w:r w:rsidRPr="00B42088">
              <w:rPr>
                <w:sz w:val="20"/>
                <w:szCs w:val="20"/>
              </w:rPr>
              <w:t>189</w:t>
            </w:r>
          </w:p>
        </w:tc>
        <w:tc>
          <w:tcPr>
            <w:tcW w:w="1009" w:type="dxa"/>
            <w:shd w:val="clear" w:color="auto" w:fill="auto"/>
            <w:vAlign w:val="bottom"/>
          </w:tcPr>
          <w:p w:rsidRPr="00B42088" w:rsidR="009248F2" w:rsidP="009248F2" w:rsidRDefault="009248F2" w14:paraId="31FBF914" w14:textId="77777777">
            <w:pPr>
              <w:pStyle w:val="Response"/>
              <w:rPr>
                <w:b/>
                <w:sz w:val="20"/>
                <w:szCs w:val="20"/>
              </w:rPr>
            </w:pPr>
          </w:p>
        </w:tc>
        <w:tc>
          <w:tcPr>
            <w:tcW w:w="1228" w:type="dxa"/>
            <w:shd w:val="clear" w:color="auto" w:fill="auto"/>
            <w:vAlign w:val="bottom"/>
          </w:tcPr>
          <w:p w:rsidRPr="00B42088" w:rsidR="009248F2" w:rsidP="009248F2" w:rsidRDefault="009248F2" w14:paraId="2A8F4DBB" w14:textId="77777777">
            <w:pPr>
              <w:pStyle w:val="Response"/>
              <w:rPr>
                <w:b/>
                <w:sz w:val="20"/>
                <w:szCs w:val="20"/>
              </w:rPr>
            </w:pPr>
          </w:p>
        </w:tc>
      </w:tr>
      <w:tr w:rsidRPr="00CA77CD" w:rsidR="000A31BB" w:rsidTr="005C110A" w14:paraId="20ED6FDF" w14:textId="77777777">
        <w:tc>
          <w:tcPr>
            <w:tcW w:w="2565" w:type="dxa"/>
            <w:shd w:val="clear" w:color="auto" w:fill="auto"/>
            <w:vAlign w:val="bottom"/>
          </w:tcPr>
          <w:p w:rsidRPr="00B42088" w:rsidR="009248F2" w:rsidP="009248F2" w:rsidRDefault="009248F2" w14:paraId="32C7BD9F"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33C2491D"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3F7BBAE5"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08BDC979" w14:textId="77777777">
            <w:pPr>
              <w:pStyle w:val="Response"/>
              <w:rPr>
                <w:b/>
                <w:sz w:val="20"/>
                <w:szCs w:val="20"/>
              </w:rPr>
            </w:pPr>
            <w:r w:rsidRPr="00B42088">
              <w:rPr>
                <w:sz w:val="20"/>
                <w:szCs w:val="20"/>
              </w:rPr>
              <w:t>23</w:t>
            </w:r>
          </w:p>
        </w:tc>
        <w:tc>
          <w:tcPr>
            <w:tcW w:w="1201" w:type="dxa"/>
            <w:shd w:val="clear" w:color="auto" w:fill="auto"/>
            <w:vAlign w:val="bottom"/>
          </w:tcPr>
          <w:p w:rsidRPr="00B42088" w:rsidR="009248F2" w:rsidP="009248F2" w:rsidRDefault="009248F2" w14:paraId="73E6D81B" w14:textId="77777777">
            <w:pPr>
              <w:pStyle w:val="Response"/>
              <w:rPr>
                <w:b/>
                <w:sz w:val="20"/>
                <w:szCs w:val="20"/>
              </w:rPr>
            </w:pPr>
            <w:r w:rsidRPr="00B42088">
              <w:rPr>
                <w:sz w:val="20"/>
                <w:szCs w:val="20"/>
              </w:rPr>
              <w:t>0.9</w:t>
            </w:r>
          </w:p>
        </w:tc>
        <w:tc>
          <w:tcPr>
            <w:tcW w:w="1164" w:type="dxa"/>
            <w:shd w:val="clear" w:color="auto" w:fill="auto"/>
            <w:vAlign w:val="bottom"/>
          </w:tcPr>
          <w:p w:rsidRPr="00B42088" w:rsidR="009248F2" w:rsidP="009248F2" w:rsidRDefault="009248F2" w14:paraId="79FD8A01" w14:textId="77777777">
            <w:pPr>
              <w:pStyle w:val="Response"/>
              <w:rPr>
                <w:b/>
                <w:sz w:val="20"/>
                <w:szCs w:val="20"/>
              </w:rPr>
            </w:pPr>
            <w:r w:rsidRPr="00B42088">
              <w:rPr>
                <w:sz w:val="20"/>
                <w:szCs w:val="20"/>
              </w:rPr>
              <w:t>20.7</w:t>
            </w:r>
          </w:p>
        </w:tc>
        <w:tc>
          <w:tcPr>
            <w:tcW w:w="1043" w:type="dxa"/>
            <w:shd w:val="clear" w:color="auto" w:fill="auto"/>
            <w:vAlign w:val="bottom"/>
          </w:tcPr>
          <w:p w:rsidRPr="00B42088" w:rsidR="009248F2" w:rsidP="009248F2" w:rsidRDefault="009248F2" w14:paraId="0EA42E7E" w14:textId="77777777">
            <w:pPr>
              <w:pStyle w:val="Response"/>
              <w:rPr>
                <w:b/>
                <w:sz w:val="20"/>
                <w:szCs w:val="20"/>
              </w:rPr>
            </w:pPr>
            <w:r w:rsidRPr="00B42088">
              <w:rPr>
                <w:sz w:val="20"/>
                <w:szCs w:val="20"/>
              </w:rPr>
              <w:t>3</w:t>
            </w:r>
          </w:p>
        </w:tc>
        <w:tc>
          <w:tcPr>
            <w:tcW w:w="1054" w:type="dxa"/>
            <w:shd w:val="clear" w:color="auto" w:fill="auto"/>
            <w:vAlign w:val="bottom"/>
          </w:tcPr>
          <w:p w:rsidRPr="00B42088" w:rsidR="009248F2" w:rsidP="009248F2" w:rsidRDefault="009248F2" w14:paraId="4B98616D" w14:textId="77777777">
            <w:pPr>
              <w:pStyle w:val="Response"/>
              <w:rPr>
                <w:b/>
                <w:sz w:val="20"/>
                <w:szCs w:val="20"/>
              </w:rPr>
            </w:pPr>
            <w:r w:rsidRPr="00B42088">
              <w:rPr>
                <w:sz w:val="20"/>
                <w:szCs w:val="20"/>
              </w:rPr>
              <w:t>54</w:t>
            </w:r>
          </w:p>
        </w:tc>
        <w:tc>
          <w:tcPr>
            <w:tcW w:w="1009" w:type="dxa"/>
            <w:shd w:val="clear" w:color="auto" w:fill="auto"/>
            <w:vAlign w:val="bottom"/>
          </w:tcPr>
          <w:p w:rsidRPr="00B42088" w:rsidR="009248F2" w:rsidP="009248F2" w:rsidRDefault="009248F2" w14:paraId="2FDE81A5" w14:textId="77777777">
            <w:pPr>
              <w:pStyle w:val="Response"/>
              <w:rPr>
                <w:b/>
                <w:sz w:val="20"/>
                <w:szCs w:val="20"/>
              </w:rPr>
            </w:pPr>
          </w:p>
        </w:tc>
        <w:tc>
          <w:tcPr>
            <w:tcW w:w="1228" w:type="dxa"/>
            <w:shd w:val="clear" w:color="auto" w:fill="auto"/>
            <w:vAlign w:val="bottom"/>
          </w:tcPr>
          <w:p w:rsidRPr="00B42088" w:rsidR="009248F2" w:rsidP="009248F2" w:rsidRDefault="009248F2" w14:paraId="062051C4" w14:textId="77777777">
            <w:pPr>
              <w:pStyle w:val="Response"/>
              <w:rPr>
                <w:b/>
                <w:sz w:val="20"/>
                <w:szCs w:val="20"/>
              </w:rPr>
            </w:pPr>
          </w:p>
        </w:tc>
      </w:tr>
      <w:tr w:rsidRPr="00CA77CD" w:rsidR="000A31BB" w:rsidTr="005C110A" w14:paraId="1AAA8B8F" w14:textId="77777777">
        <w:tc>
          <w:tcPr>
            <w:tcW w:w="2565" w:type="dxa"/>
            <w:shd w:val="clear" w:color="auto" w:fill="auto"/>
            <w:vAlign w:val="bottom"/>
          </w:tcPr>
          <w:p w:rsidRPr="00B42088" w:rsidR="009248F2" w:rsidP="009248F2" w:rsidRDefault="009248F2" w14:paraId="4FE9832B"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4C59FB90"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33148F37" w14:textId="77777777">
            <w:pPr>
              <w:pStyle w:val="Response"/>
              <w:rPr>
                <w:b/>
                <w:sz w:val="20"/>
                <w:szCs w:val="20"/>
              </w:rPr>
            </w:pPr>
            <w:r w:rsidRPr="00B42088">
              <w:rPr>
                <w:sz w:val="20"/>
                <w:szCs w:val="20"/>
              </w:rPr>
              <w:t> </w:t>
            </w:r>
            <w:r>
              <w:rPr>
                <w:sz w:val="20"/>
                <w:szCs w:val="20"/>
              </w:rPr>
              <w:t>Manager</w:t>
            </w:r>
          </w:p>
        </w:tc>
        <w:tc>
          <w:tcPr>
            <w:tcW w:w="1439" w:type="dxa"/>
            <w:shd w:val="clear" w:color="auto" w:fill="auto"/>
            <w:vAlign w:val="bottom"/>
          </w:tcPr>
          <w:p w:rsidRPr="00B42088" w:rsidR="009248F2" w:rsidP="009248F2" w:rsidRDefault="009248F2" w14:paraId="36C70AE5" w14:textId="77777777">
            <w:pPr>
              <w:pStyle w:val="Response"/>
              <w:rPr>
                <w:b/>
                <w:sz w:val="20"/>
                <w:szCs w:val="20"/>
              </w:rPr>
            </w:pPr>
            <w:r w:rsidRPr="00B42088">
              <w:rPr>
                <w:sz w:val="20"/>
                <w:szCs w:val="20"/>
              </w:rPr>
              <w:t>20</w:t>
            </w:r>
          </w:p>
        </w:tc>
        <w:tc>
          <w:tcPr>
            <w:tcW w:w="1201" w:type="dxa"/>
            <w:shd w:val="clear" w:color="auto" w:fill="auto"/>
            <w:vAlign w:val="bottom"/>
          </w:tcPr>
          <w:p w:rsidRPr="00B42088" w:rsidR="009248F2" w:rsidP="009248F2" w:rsidRDefault="009248F2" w14:paraId="0CF9CBD6" w14:textId="77777777">
            <w:pPr>
              <w:pStyle w:val="Response"/>
              <w:rPr>
                <w:b/>
                <w:sz w:val="20"/>
                <w:szCs w:val="20"/>
              </w:rPr>
            </w:pPr>
            <w:r w:rsidRPr="00B42088">
              <w:rPr>
                <w:sz w:val="20"/>
                <w:szCs w:val="20"/>
              </w:rPr>
              <w:t>0.9</w:t>
            </w:r>
          </w:p>
        </w:tc>
        <w:tc>
          <w:tcPr>
            <w:tcW w:w="1164" w:type="dxa"/>
            <w:shd w:val="clear" w:color="auto" w:fill="auto"/>
            <w:vAlign w:val="bottom"/>
          </w:tcPr>
          <w:p w:rsidRPr="00B42088" w:rsidR="009248F2" w:rsidP="009248F2" w:rsidRDefault="009248F2" w14:paraId="660D7FA5" w14:textId="77777777">
            <w:pPr>
              <w:pStyle w:val="Response"/>
              <w:rPr>
                <w:b/>
                <w:sz w:val="20"/>
                <w:szCs w:val="20"/>
              </w:rPr>
            </w:pPr>
            <w:r w:rsidRPr="00B42088">
              <w:rPr>
                <w:sz w:val="20"/>
                <w:szCs w:val="20"/>
              </w:rPr>
              <w:t>18</w:t>
            </w:r>
          </w:p>
        </w:tc>
        <w:tc>
          <w:tcPr>
            <w:tcW w:w="1043" w:type="dxa"/>
            <w:shd w:val="clear" w:color="auto" w:fill="auto"/>
            <w:vAlign w:val="bottom"/>
          </w:tcPr>
          <w:p w:rsidRPr="00B42088" w:rsidR="009248F2" w:rsidP="009248F2" w:rsidRDefault="009248F2" w14:paraId="2EE6D1E8" w14:textId="77777777">
            <w:pPr>
              <w:pStyle w:val="Response"/>
              <w:rPr>
                <w:b/>
                <w:sz w:val="20"/>
                <w:szCs w:val="20"/>
              </w:rPr>
            </w:pPr>
            <w:r w:rsidRPr="00B42088">
              <w:rPr>
                <w:sz w:val="20"/>
                <w:szCs w:val="20"/>
              </w:rPr>
              <w:t>6</w:t>
            </w:r>
          </w:p>
        </w:tc>
        <w:tc>
          <w:tcPr>
            <w:tcW w:w="1054" w:type="dxa"/>
            <w:shd w:val="clear" w:color="auto" w:fill="auto"/>
            <w:vAlign w:val="bottom"/>
          </w:tcPr>
          <w:p w:rsidRPr="00B42088" w:rsidR="009248F2" w:rsidP="009248F2" w:rsidRDefault="009248F2" w14:paraId="680F7983" w14:textId="77777777">
            <w:pPr>
              <w:pStyle w:val="Response"/>
              <w:rPr>
                <w:b/>
                <w:sz w:val="20"/>
                <w:szCs w:val="20"/>
              </w:rPr>
            </w:pPr>
            <w:r w:rsidRPr="00B42088">
              <w:rPr>
                <w:sz w:val="20"/>
                <w:szCs w:val="20"/>
              </w:rPr>
              <w:t>124.2</w:t>
            </w:r>
          </w:p>
        </w:tc>
        <w:tc>
          <w:tcPr>
            <w:tcW w:w="1009" w:type="dxa"/>
            <w:shd w:val="clear" w:color="auto" w:fill="auto"/>
            <w:vAlign w:val="bottom"/>
          </w:tcPr>
          <w:p w:rsidRPr="00B42088" w:rsidR="009248F2" w:rsidP="009248F2" w:rsidRDefault="009248F2" w14:paraId="34B57453" w14:textId="77777777">
            <w:pPr>
              <w:pStyle w:val="Response"/>
              <w:rPr>
                <w:b/>
                <w:sz w:val="20"/>
                <w:szCs w:val="20"/>
              </w:rPr>
            </w:pPr>
          </w:p>
        </w:tc>
        <w:tc>
          <w:tcPr>
            <w:tcW w:w="1228" w:type="dxa"/>
            <w:shd w:val="clear" w:color="auto" w:fill="auto"/>
            <w:vAlign w:val="bottom"/>
          </w:tcPr>
          <w:p w:rsidRPr="00B42088" w:rsidR="009248F2" w:rsidP="009248F2" w:rsidRDefault="009248F2" w14:paraId="303C76E9" w14:textId="77777777">
            <w:pPr>
              <w:pStyle w:val="Response"/>
              <w:rPr>
                <w:b/>
                <w:sz w:val="20"/>
                <w:szCs w:val="20"/>
              </w:rPr>
            </w:pPr>
          </w:p>
        </w:tc>
      </w:tr>
      <w:tr w:rsidRPr="00CA77CD" w:rsidR="000A31BB" w:rsidTr="005C110A" w14:paraId="383A0C7E" w14:textId="77777777">
        <w:tc>
          <w:tcPr>
            <w:tcW w:w="2565" w:type="dxa"/>
            <w:shd w:val="clear" w:color="auto" w:fill="DEEAF6"/>
            <w:vAlign w:val="bottom"/>
          </w:tcPr>
          <w:p w:rsidRPr="00B42088" w:rsidR="009248F2" w:rsidP="009248F2" w:rsidRDefault="009248F2" w14:paraId="1BB8A84C"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9248F2" w:rsidP="009248F2" w:rsidRDefault="009248F2" w14:paraId="161D19B1"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9248F2" w:rsidP="009248F2" w:rsidRDefault="009248F2" w14:paraId="756F69F9"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9248F2" w:rsidP="009248F2" w:rsidRDefault="009248F2" w14:paraId="4E416B05" w14:textId="77777777">
            <w:pPr>
              <w:pStyle w:val="Response"/>
              <w:rPr>
                <w:b/>
                <w:sz w:val="20"/>
                <w:szCs w:val="20"/>
              </w:rPr>
            </w:pPr>
          </w:p>
        </w:tc>
        <w:tc>
          <w:tcPr>
            <w:tcW w:w="1201" w:type="dxa"/>
            <w:shd w:val="clear" w:color="auto" w:fill="DEEAF6"/>
            <w:vAlign w:val="bottom"/>
          </w:tcPr>
          <w:p w:rsidRPr="00B42088" w:rsidR="009248F2" w:rsidP="009248F2" w:rsidRDefault="009248F2" w14:paraId="3EB37882"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9248F2" w:rsidP="009248F2" w:rsidRDefault="009248F2" w14:paraId="0622D6F7" w14:textId="77777777">
            <w:pPr>
              <w:pStyle w:val="Response"/>
              <w:rPr>
                <w:b/>
                <w:sz w:val="20"/>
                <w:szCs w:val="20"/>
              </w:rPr>
            </w:pPr>
            <w:r w:rsidRPr="00B42088">
              <w:rPr>
                <w:b/>
                <w:bCs/>
                <w:sz w:val="20"/>
                <w:szCs w:val="20"/>
              </w:rPr>
              <w:t>278.3</w:t>
            </w:r>
          </w:p>
        </w:tc>
        <w:tc>
          <w:tcPr>
            <w:tcW w:w="1043" w:type="dxa"/>
            <w:shd w:val="clear" w:color="auto" w:fill="DEEAF6"/>
            <w:vAlign w:val="bottom"/>
          </w:tcPr>
          <w:p w:rsidRPr="00B42088" w:rsidR="009248F2" w:rsidP="009248F2" w:rsidRDefault="009248F2" w14:paraId="019D7D01"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9248F2" w:rsidP="009248F2" w:rsidRDefault="009248F2" w14:paraId="11D1367B" w14:textId="77777777">
            <w:pPr>
              <w:pStyle w:val="Response"/>
              <w:rPr>
                <w:b/>
                <w:sz w:val="20"/>
                <w:szCs w:val="20"/>
              </w:rPr>
            </w:pPr>
            <w:r w:rsidRPr="00B42088">
              <w:rPr>
                <w:b/>
                <w:bCs/>
                <w:sz w:val="20"/>
                <w:szCs w:val="20"/>
              </w:rPr>
              <w:t>367.2</w:t>
            </w:r>
          </w:p>
        </w:tc>
        <w:tc>
          <w:tcPr>
            <w:tcW w:w="1009" w:type="dxa"/>
            <w:shd w:val="clear" w:color="auto" w:fill="DEEAF6"/>
            <w:vAlign w:val="bottom"/>
          </w:tcPr>
          <w:p w:rsidRPr="00B42088" w:rsidR="009248F2" w:rsidP="009248F2" w:rsidRDefault="009248F2" w14:paraId="2223B91F" w14:textId="77777777">
            <w:pPr>
              <w:pStyle w:val="Response"/>
              <w:rPr>
                <w:b/>
                <w:sz w:val="20"/>
                <w:szCs w:val="20"/>
              </w:rPr>
            </w:pPr>
            <w:r w:rsidRPr="00B42088">
              <w:rPr>
                <w:b/>
                <w:bCs/>
                <w:sz w:val="20"/>
                <w:szCs w:val="20"/>
              </w:rPr>
              <w:t xml:space="preserve">$56.33 </w:t>
            </w:r>
          </w:p>
        </w:tc>
        <w:tc>
          <w:tcPr>
            <w:tcW w:w="1228" w:type="dxa"/>
            <w:shd w:val="clear" w:color="auto" w:fill="DEEAF6"/>
            <w:vAlign w:val="bottom"/>
          </w:tcPr>
          <w:p w:rsidRPr="00B42088" w:rsidR="009248F2" w:rsidP="009248F2" w:rsidRDefault="009248F2" w14:paraId="4F818E39" w14:textId="77777777">
            <w:pPr>
              <w:pStyle w:val="Response"/>
              <w:rPr>
                <w:b/>
                <w:sz w:val="20"/>
                <w:szCs w:val="20"/>
              </w:rPr>
            </w:pPr>
            <w:r w:rsidRPr="00B42088">
              <w:rPr>
                <w:b/>
                <w:bCs/>
                <w:sz w:val="20"/>
                <w:szCs w:val="20"/>
              </w:rPr>
              <w:t xml:space="preserve">$20,684.38 </w:t>
            </w:r>
          </w:p>
        </w:tc>
      </w:tr>
      <w:tr w:rsidRPr="00CA77CD" w:rsidR="000A31BB" w:rsidTr="005C110A" w14:paraId="0006CD94" w14:textId="77777777">
        <w:tc>
          <w:tcPr>
            <w:tcW w:w="2565" w:type="dxa"/>
            <w:shd w:val="clear" w:color="auto" w:fill="auto"/>
            <w:vAlign w:val="center"/>
          </w:tcPr>
          <w:p w:rsidRPr="00B42088" w:rsidR="009248F2" w:rsidP="009248F2" w:rsidRDefault="009248F2" w14:paraId="25FE0F99" w14:textId="77777777">
            <w:pPr>
              <w:pStyle w:val="Response"/>
              <w:rPr>
                <w:b/>
                <w:sz w:val="20"/>
                <w:szCs w:val="20"/>
              </w:rPr>
            </w:pPr>
            <w:r w:rsidRPr="00B42088">
              <w:rPr>
                <w:sz w:val="20"/>
                <w:szCs w:val="20"/>
              </w:rPr>
              <w:t>9. Fire Response – Provide Information to Outside Fire Response Organizations (1915.505(d)(4))</w:t>
            </w:r>
          </w:p>
        </w:tc>
        <w:tc>
          <w:tcPr>
            <w:tcW w:w="1224" w:type="dxa"/>
            <w:shd w:val="clear" w:color="auto" w:fill="auto"/>
            <w:vAlign w:val="bottom"/>
          </w:tcPr>
          <w:p w:rsidRPr="00B42088" w:rsidR="009248F2" w:rsidP="009248F2" w:rsidRDefault="009248F2" w14:paraId="1EA9218C"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5978BDD7" w14:textId="77777777">
            <w:pPr>
              <w:pStyle w:val="Response"/>
              <w:rPr>
                <w:b/>
                <w:sz w:val="20"/>
                <w:szCs w:val="20"/>
              </w:rPr>
            </w:pPr>
            <w:r>
              <w:rPr>
                <w:sz w:val="20"/>
                <w:szCs w:val="20"/>
              </w:rPr>
              <w:t>Supervisor</w:t>
            </w:r>
            <w:r w:rsidRPr="00B42088">
              <w:rPr>
                <w:sz w:val="20"/>
                <w:szCs w:val="20"/>
              </w:rPr>
              <w:t> </w:t>
            </w:r>
          </w:p>
        </w:tc>
        <w:tc>
          <w:tcPr>
            <w:tcW w:w="1439" w:type="dxa"/>
            <w:shd w:val="clear" w:color="auto" w:fill="auto"/>
            <w:vAlign w:val="bottom"/>
          </w:tcPr>
          <w:p w:rsidRPr="00B42088" w:rsidR="009248F2" w:rsidP="009248F2" w:rsidRDefault="009248F2" w14:paraId="0817D3F9" w14:textId="77777777">
            <w:pPr>
              <w:pStyle w:val="Response"/>
              <w:rPr>
                <w:b/>
                <w:sz w:val="20"/>
                <w:szCs w:val="20"/>
              </w:rPr>
            </w:pPr>
            <w:r w:rsidRPr="00B42088">
              <w:rPr>
                <w:sz w:val="20"/>
                <w:szCs w:val="20"/>
              </w:rPr>
              <w:t>210</w:t>
            </w:r>
          </w:p>
        </w:tc>
        <w:tc>
          <w:tcPr>
            <w:tcW w:w="1201" w:type="dxa"/>
            <w:shd w:val="clear" w:color="auto" w:fill="auto"/>
            <w:vAlign w:val="bottom"/>
          </w:tcPr>
          <w:p w:rsidRPr="00B42088" w:rsidR="009248F2" w:rsidP="009248F2" w:rsidRDefault="009248F2" w14:paraId="152BBC65" w14:textId="77777777">
            <w:pPr>
              <w:pStyle w:val="Response"/>
              <w:rPr>
                <w:b/>
                <w:sz w:val="20"/>
                <w:szCs w:val="20"/>
              </w:rPr>
            </w:pPr>
            <w:r w:rsidRPr="00B42088">
              <w:rPr>
                <w:sz w:val="20"/>
                <w:szCs w:val="20"/>
              </w:rPr>
              <w:t>1</w:t>
            </w:r>
          </w:p>
        </w:tc>
        <w:tc>
          <w:tcPr>
            <w:tcW w:w="1164" w:type="dxa"/>
            <w:shd w:val="clear" w:color="auto" w:fill="auto"/>
            <w:vAlign w:val="bottom"/>
          </w:tcPr>
          <w:p w:rsidRPr="00B42088" w:rsidR="009248F2" w:rsidP="009248F2" w:rsidRDefault="009248F2" w14:paraId="49E7265D" w14:textId="77777777">
            <w:pPr>
              <w:pStyle w:val="Response"/>
              <w:rPr>
                <w:b/>
                <w:sz w:val="20"/>
                <w:szCs w:val="20"/>
              </w:rPr>
            </w:pPr>
            <w:r w:rsidRPr="00B42088">
              <w:rPr>
                <w:sz w:val="20"/>
                <w:szCs w:val="20"/>
              </w:rPr>
              <w:t>210</w:t>
            </w:r>
          </w:p>
        </w:tc>
        <w:tc>
          <w:tcPr>
            <w:tcW w:w="1043" w:type="dxa"/>
            <w:shd w:val="clear" w:color="auto" w:fill="auto"/>
            <w:vAlign w:val="bottom"/>
          </w:tcPr>
          <w:p w:rsidRPr="00B42088" w:rsidR="009248F2" w:rsidP="009248F2" w:rsidRDefault="009248F2" w14:paraId="43B7960D" w14:textId="77777777">
            <w:pPr>
              <w:pStyle w:val="Response"/>
              <w:rPr>
                <w:b/>
                <w:sz w:val="20"/>
                <w:szCs w:val="20"/>
              </w:rPr>
            </w:pPr>
            <w:r>
              <w:rPr>
                <w:sz w:val="20"/>
                <w:szCs w:val="20"/>
              </w:rPr>
              <w:t>10/60</w:t>
            </w:r>
          </w:p>
        </w:tc>
        <w:tc>
          <w:tcPr>
            <w:tcW w:w="1054" w:type="dxa"/>
            <w:shd w:val="clear" w:color="auto" w:fill="auto"/>
            <w:vAlign w:val="bottom"/>
          </w:tcPr>
          <w:p w:rsidRPr="00B42088" w:rsidR="009248F2" w:rsidP="009248F2" w:rsidRDefault="009248F2" w14:paraId="75044983" w14:textId="77777777">
            <w:pPr>
              <w:pStyle w:val="Response"/>
              <w:rPr>
                <w:b/>
                <w:sz w:val="20"/>
                <w:szCs w:val="20"/>
              </w:rPr>
            </w:pPr>
            <w:r w:rsidRPr="00B42088">
              <w:rPr>
                <w:sz w:val="20"/>
                <w:szCs w:val="20"/>
              </w:rPr>
              <w:t>35</w:t>
            </w:r>
          </w:p>
        </w:tc>
        <w:tc>
          <w:tcPr>
            <w:tcW w:w="1009" w:type="dxa"/>
            <w:shd w:val="clear" w:color="auto" w:fill="auto"/>
            <w:vAlign w:val="bottom"/>
          </w:tcPr>
          <w:p w:rsidRPr="00B42088" w:rsidR="009248F2" w:rsidP="009248F2" w:rsidRDefault="009248F2" w14:paraId="408509CC" w14:textId="77777777">
            <w:pPr>
              <w:pStyle w:val="Response"/>
              <w:rPr>
                <w:b/>
                <w:sz w:val="20"/>
                <w:szCs w:val="20"/>
              </w:rPr>
            </w:pPr>
            <w:r w:rsidRPr="00B42088">
              <w:rPr>
                <w:sz w:val="20"/>
                <w:szCs w:val="20"/>
              </w:rPr>
              <w:t xml:space="preserve">$49.07 </w:t>
            </w:r>
          </w:p>
        </w:tc>
        <w:tc>
          <w:tcPr>
            <w:tcW w:w="1228" w:type="dxa"/>
            <w:shd w:val="clear" w:color="auto" w:fill="auto"/>
            <w:vAlign w:val="bottom"/>
          </w:tcPr>
          <w:p w:rsidRPr="00B42088" w:rsidR="009248F2" w:rsidP="009248F2" w:rsidRDefault="009248F2" w14:paraId="4AD59D77" w14:textId="77777777">
            <w:pPr>
              <w:pStyle w:val="Response"/>
              <w:rPr>
                <w:b/>
                <w:sz w:val="20"/>
                <w:szCs w:val="20"/>
              </w:rPr>
            </w:pPr>
            <w:r w:rsidRPr="00B42088">
              <w:rPr>
                <w:sz w:val="20"/>
                <w:szCs w:val="20"/>
              </w:rPr>
              <w:t xml:space="preserve">$1,717.45 </w:t>
            </w:r>
          </w:p>
        </w:tc>
      </w:tr>
      <w:tr w:rsidRPr="00CA77CD" w:rsidR="000A31BB" w:rsidTr="005C110A" w14:paraId="2EDD3D6B" w14:textId="77777777">
        <w:tc>
          <w:tcPr>
            <w:tcW w:w="2565" w:type="dxa"/>
            <w:shd w:val="clear" w:color="auto" w:fill="DEEAF6"/>
            <w:vAlign w:val="center"/>
          </w:tcPr>
          <w:p w:rsidRPr="00B42088" w:rsidR="009248F2" w:rsidP="009248F2" w:rsidRDefault="009248F2" w14:paraId="20095719" w14:textId="77777777">
            <w:pPr>
              <w:pStyle w:val="Response"/>
              <w:rPr>
                <w:b/>
                <w:sz w:val="20"/>
                <w:szCs w:val="20"/>
              </w:rPr>
            </w:pPr>
            <w:r w:rsidRPr="00B42088">
              <w:rPr>
                <w:b/>
                <w:sz w:val="20"/>
                <w:szCs w:val="20"/>
              </w:rPr>
              <w:t>Subtotals</w:t>
            </w:r>
          </w:p>
        </w:tc>
        <w:tc>
          <w:tcPr>
            <w:tcW w:w="1224" w:type="dxa"/>
            <w:shd w:val="clear" w:color="auto" w:fill="DEEAF6"/>
            <w:vAlign w:val="bottom"/>
          </w:tcPr>
          <w:p w:rsidRPr="00B42088" w:rsidR="009248F2" w:rsidP="009248F2" w:rsidRDefault="009248F2" w14:paraId="215F13A1" w14:textId="77777777">
            <w:pPr>
              <w:pStyle w:val="Response"/>
              <w:rPr>
                <w:b/>
                <w:sz w:val="20"/>
                <w:szCs w:val="20"/>
              </w:rPr>
            </w:pPr>
          </w:p>
        </w:tc>
        <w:tc>
          <w:tcPr>
            <w:tcW w:w="1249" w:type="dxa"/>
            <w:shd w:val="clear" w:color="auto" w:fill="DEEAF6"/>
            <w:vAlign w:val="bottom"/>
          </w:tcPr>
          <w:p w:rsidRPr="00B42088" w:rsidR="009248F2" w:rsidP="009248F2" w:rsidRDefault="009248F2" w14:paraId="5780DBC8" w14:textId="77777777">
            <w:pPr>
              <w:pStyle w:val="Response"/>
              <w:rPr>
                <w:b/>
                <w:sz w:val="20"/>
                <w:szCs w:val="20"/>
              </w:rPr>
            </w:pPr>
          </w:p>
        </w:tc>
        <w:tc>
          <w:tcPr>
            <w:tcW w:w="1439" w:type="dxa"/>
            <w:shd w:val="clear" w:color="auto" w:fill="DEEAF6"/>
            <w:vAlign w:val="bottom"/>
          </w:tcPr>
          <w:p w:rsidRPr="00B42088" w:rsidR="009248F2" w:rsidP="009248F2" w:rsidRDefault="009248F2" w14:paraId="057C6EC3" w14:textId="77777777">
            <w:pPr>
              <w:pStyle w:val="Response"/>
              <w:rPr>
                <w:b/>
                <w:sz w:val="20"/>
                <w:szCs w:val="20"/>
              </w:rPr>
            </w:pPr>
          </w:p>
        </w:tc>
        <w:tc>
          <w:tcPr>
            <w:tcW w:w="1201" w:type="dxa"/>
            <w:shd w:val="clear" w:color="auto" w:fill="DEEAF6"/>
            <w:vAlign w:val="bottom"/>
          </w:tcPr>
          <w:p w:rsidRPr="00B42088" w:rsidR="009248F2" w:rsidP="009248F2" w:rsidRDefault="009248F2" w14:paraId="11B1DFEC" w14:textId="77777777">
            <w:pPr>
              <w:pStyle w:val="Response"/>
              <w:rPr>
                <w:b/>
                <w:sz w:val="20"/>
                <w:szCs w:val="20"/>
              </w:rPr>
            </w:pPr>
          </w:p>
        </w:tc>
        <w:tc>
          <w:tcPr>
            <w:tcW w:w="1164" w:type="dxa"/>
            <w:shd w:val="clear" w:color="auto" w:fill="DEEAF6"/>
            <w:vAlign w:val="bottom"/>
          </w:tcPr>
          <w:p w:rsidRPr="00B42088" w:rsidR="009248F2" w:rsidP="009248F2" w:rsidRDefault="009248F2" w14:paraId="6FE8133C" w14:textId="77777777">
            <w:pPr>
              <w:pStyle w:val="Response"/>
              <w:rPr>
                <w:b/>
                <w:sz w:val="20"/>
                <w:szCs w:val="20"/>
              </w:rPr>
            </w:pPr>
            <w:r w:rsidRPr="00B42088">
              <w:rPr>
                <w:b/>
                <w:sz w:val="20"/>
                <w:szCs w:val="20"/>
              </w:rPr>
              <w:t>210</w:t>
            </w:r>
          </w:p>
        </w:tc>
        <w:tc>
          <w:tcPr>
            <w:tcW w:w="1043" w:type="dxa"/>
            <w:shd w:val="clear" w:color="auto" w:fill="DEEAF6"/>
            <w:vAlign w:val="bottom"/>
          </w:tcPr>
          <w:p w:rsidRPr="00B42088" w:rsidR="009248F2" w:rsidP="009248F2" w:rsidRDefault="009248F2" w14:paraId="3536CEF9" w14:textId="77777777">
            <w:pPr>
              <w:pStyle w:val="Response"/>
              <w:rPr>
                <w:b/>
                <w:sz w:val="20"/>
                <w:szCs w:val="20"/>
              </w:rPr>
            </w:pPr>
          </w:p>
        </w:tc>
        <w:tc>
          <w:tcPr>
            <w:tcW w:w="1054" w:type="dxa"/>
            <w:shd w:val="clear" w:color="auto" w:fill="DEEAF6"/>
            <w:vAlign w:val="bottom"/>
          </w:tcPr>
          <w:p w:rsidRPr="00B42088" w:rsidR="009248F2" w:rsidP="009248F2" w:rsidRDefault="009248F2" w14:paraId="12AEE8C6" w14:textId="77777777">
            <w:pPr>
              <w:pStyle w:val="Response"/>
              <w:rPr>
                <w:b/>
                <w:sz w:val="20"/>
                <w:szCs w:val="20"/>
              </w:rPr>
            </w:pPr>
            <w:r w:rsidRPr="00B42088">
              <w:rPr>
                <w:b/>
                <w:sz w:val="20"/>
                <w:szCs w:val="20"/>
              </w:rPr>
              <w:t>35</w:t>
            </w:r>
          </w:p>
        </w:tc>
        <w:tc>
          <w:tcPr>
            <w:tcW w:w="1009" w:type="dxa"/>
            <w:shd w:val="clear" w:color="auto" w:fill="DEEAF6"/>
            <w:vAlign w:val="bottom"/>
          </w:tcPr>
          <w:p w:rsidRPr="00B42088" w:rsidR="009248F2" w:rsidP="009248F2" w:rsidRDefault="009248F2" w14:paraId="5B249DE3" w14:textId="77777777">
            <w:pPr>
              <w:pStyle w:val="Response"/>
              <w:rPr>
                <w:b/>
                <w:sz w:val="20"/>
                <w:szCs w:val="20"/>
              </w:rPr>
            </w:pPr>
            <w:r w:rsidRPr="00B42088">
              <w:rPr>
                <w:b/>
                <w:sz w:val="20"/>
                <w:szCs w:val="20"/>
              </w:rPr>
              <w:t xml:space="preserve">$49.07 </w:t>
            </w:r>
          </w:p>
        </w:tc>
        <w:tc>
          <w:tcPr>
            <w:tcW w:w="1228" w:type="dxa"/>
            <w:shd w:val="clear" w:color="auto" w:fill="DEEAF6"/>
            <w:vAlign w:val="bottom"/>
          </w:tcPr>
          <w:p w:rsidRPr="00B42088" w:rsidR="009248F2" w:rsidP="009248F2" w:rsidRDefault="009248F2" w14:paraId="26CA02E1" w14:textId="77777777">
            <w:pPr>
              <w:pStyle w:val="Response"/>
              <w:rPr>
                <w:b/>
                <w:sz w:val="20"/>
                <w:szCs w:val="20"/>
              </w:rPr>
            </w:pPr>
            <w:r w:rsidRPr="00B42088">
              <w:rPr>
                <w:b/>
                <w:sz w:val="20"/>
                <w:szCs w:val="20"/>
              </w:rPr>
              <w:t xml:space="preserve">$1,717.45 </w:t>
            </w:r>
          </w:p>
        </w:tc>
      </w:tr>
      <w:tr w:rsidRPr="00CA77CD" w:rsidR="000A31BB" w:rsidTr="005C110A" w14:paraId="48D6B33C" w14:textId="77777777">
        <w:tc>
          <w:tcPr>
            <w:tcW w:w="2565" w:type="dxa"/>
            <w:shd w:val="clear" w:color="auto" w:fill="auto"/>
            <w:vAlign w:val="center"/>
          </w:tcPr>
          <w:p w:rsidRPr="00B42088" w:rsidR="009248F2" w:rsidP="009248F2" w:rsidRDefault="009248F2" w14:paraId="7889F6E0" w14:textId="77777777">
            <w:pPr>
              <w:pStyle w:val="Response"/>
              <w:rPr>
                <w:b/>
                <w:sz w:val="20"/>
                <w:szCs w:val="20"/>
              </w:rPr>
            </w:pPr>
            <w:r w:rsidRPr="00B42088">
              <w:rPr>
                <w:sz w:val="20"/>
                <w:szCs w:val="20"/>
              </w:rPr>
              <w:t>10. Landside Fire Protection Systems – Posting Hazard Warning and Caution Signs (1915.507(c)(5))</w:t>
            </w:r>
          </w:p>
        </w:tc>
        <w:tc>
          <w:tcPr>
            <w:tcW w:w="1224" w:type="dxa"/>
            <w:shd w:val="clear" w:color="auto" w:fill="auto"/>
            <w:vAlign w:val="bottom"/>
          </w:tcPr>
          <w:p w:rsidRPr="00B42088" w:rsidR="009248F2" w:rsidP="009248F2" w:rsidRDefault="009248F2" w14:paraId="5FD0FABD"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6F301F2A" w14:textId="77777777">
            <w:pPr>
              <w:pStyle w:val="Response"/>
              <w:rPr>
                <w:b/>
                <w:sz w:val="20"/>
                <w:szCs w:val="20"/>
              </w:rPr>
            </w:pPr>
            <w:r>
              <w:rPr>
                <w:sz w:val="20"/>
                <w:szCs w:val="20"/>
              </w:rPr>
              <w:t>Shipyard   Worker</w:t>
            </w:r>
          </w:p>
        </w:tc>
        <w:tc>
          <w:tcPr>
            <w:tcW w:w="1439" w:type="dxa"/>
            <w:shd w:val="clear" w:color="auto" w:fill="auto"/>
            <w:vAlign w:val="bottom"/>
          </w:tcPr>
          <w:p w:rsidRPr="00B42088" w:rsidR="009248F2" w:rsidP="009248F2" w:rsidRDefault="009248F2" w14:paraId="24288DCA" w14:textId="77777777">
            <w:pPr>
              <w:pStyle w:val="Response"/>
              <w:rPr>
                <w:b/>
                <w:sz w:val="20"/>
                <w:szCs w:val="20"/>
              </w:rPr>
            </w:pPr>
            <w:r w:rsidRPr="00B42088">
              <w:rPr>
                <w:sz w:val="20"/>
                <w:szCs w:val="20"/>
              </w:rPr>
              <w:t>168</w:t>
            </w:r>
          </w:p>
        </w:tc>
        <w:tc>
          <w:tcPr>
            <w:tcW w:w="1201" w:type="dxa"/>
            <w:shd w:val="clear" w:color="auto" w:fill="auto"/>
            <w:vAlign w:val="bottom"/>
          </w:tcPr>
          <w:p w:rsidRPr="00B42088" w:rsidR="009248F2" w:rsidP="009248F2" w:rsidRDefault="009248F2" w14:paraId="42D437DA" w14:textId="77777777">
            <w:pPr>
              <w:pStyle w:val="Response"/>
              <w:rPr>
                <w:b/>
                <w:sz w:val="20"/>
                <w:szCs w:val="20"/>
              </w:rPr>
            </w:pPr>
            <w:r w:rsidRPr="00B42088">
              <w:rPr>
                <w:sz w:val="20"/>
                <w:szCs w:val="20"/>
              </w:rPr>
              <w:t>1</w:t>
            </w:r>
          </w:p>
        </w:tc>
        <w:tc>
          <w:tcPr>
            <w:tcW w:w="1164" w:type="dxa"/>
            <w:shd w:val="clear" w:color="auto" w:fill="auto"/>
            <w:vAlign w:val="bottom"/>
          </w:tcPr>
          <w:p w:rsidRPr="00B42088" w:rsidR="009248F2" w:rsidP="009248F2" w:rsidRDefault="009248F2" w14:paraId="626F8C3F" w14:textId="77777777">
            <w:pPr>
              <w:pStyle w:val="Response"/>
              <w:rPr>
                <w:b/>
                <w:sz w:val="20"/>
                <w:szCs w:val="20"/>
              </w:rPr>
            </w:pPr>
            <w:r w:rsidRPr="00B42088">
              <w:rPr>
                <w:sz w:val="20"/>
                <w:szCs w:val="20"/>
              </w:rPr>
              <w:t>168</w:t>
            </w:r>
          </w:p>
        </w:tc>
        <w:tc>
          <w:tcPr>
            <w:tcW w:w="1043" w:type="dxa"/>
            <w:shd w:val="clear" w:color="auto" w:fill="auto"/>
            <w:vAlign w:val="bottom"/>
          </w:tcPr>
          <w:p w:rsidRPr="00B42088" w:rsidR="009248F2" w:rsidP="009248F2" w:rsidRDefault="009248F2" w14:paraId="6C6435DC" w14:textId="77777777">
            <w:pPr>
              <w:pStyle w:val="Response"/>
              <w:rPr>
                <w:b/>
                <w:sz w:val="20"/>
                <w:szCs w:val="20"/>
              </w:rPr>
            </w:pPr>
            <w:r>
              <w:rPr>
                <w:sz w:val="20"/>
                <w:szCs w:val="20"/>
              </w:rPr>
              <w:t>5/60</w:t>
            </w:r>
          </w:p>
        </w:tc>
        <w:tc>
          <w:tcPr>
            <w:tcW w:w="1054" w:type="dxa"/>
            <w:shd w:val="clear" w:color="auto" w:fill="auto"/>
            <w:vAlign w:val="bottom"/>
          </w:tcPr>
          <w:p w:rsidRPr="00B42088" w:rsidR="009248F2" w:rsidP="009248F2" w:rsidRDefault="009248F2" w14:paraId="5B73251E" w14:textId="77777777">
            <w:pPr>
              <w:pStyle w:val="Response"/>
              <w:rPr>
                <w:b/>
                <w:sz w:val="20"/>
                <w:szCs w:val="20"/>
              </w:rPr>
            </w:pPr>
            <w:r w:rsidRPr="00B42088">
              <w:rPr>
                <w:sz w:val="20"/>
                <w:szCs w:val="20"/>
              </w:rPr>
              <w:t>14</w:t>
            </w:r>
          </w:p>
        </w:tc>
        <w:tc>
          <w:tcPr>
            <w:tcW w:w="1009" w:type="dxa"/>
            <w:shd w:val="clear" w:color="auto" w:fill="auto"/>
            <w:vAlign w:val="bottom"/>
          </w:tcPr>
          <w:p w:rsidRPr="00B42088" w:rsidR="009248F2" w:rsidP="009248F2" w:rsidRDefault="009248F2" w14:paraId="6B63D4D3" w14:textId="1622EF45">
            <w:pPr>
              <w:pStyle w:val="Response"/>
              <w:rPr>
                <w:b/>
                <w:sz w:val="20"/>
                <w:szCs w:val="20"/>
              </w:rPr>
            </w:pPr>
            <w:r w:rsidRPr="00B42088">
              <w:rPr>
                <w:sz w:val="20"/>
                <w:szCs w:val="20"/>
              </w:rPr>
              <w:t>$</w:t>
            </w:r>
            <w:r w:rsidR="00B962C4">
              <w:rPr>
                <w:sz w:val="20"/>
                <w:szCs w:val="20"/>
              </w:rPr>
              <w:t>35.26</w:t>
            </w:r>
            <w:r w:rsidRPr="00B42088">
              <w:rPr>
                <w:sz w:val="20"/>
                <w:szCs w:val="20"/>
              </w:rPr>
              <w:t xml:space="preserve"> </w:t>
            </w:r>
          </w:p>
        </w:tc>
        <w:tc>
          <w:tcPr>
            <w:tcW w:w="1228" w:type="dxa"/>
            <w:shd w:val="clear" w:color="auto" w:fill="auto"/>
            <w:vAlign w:val="bottom"/>
          </w:tcPr>
          <w:p w:rsidRPr="00B42088" w:rsidR="009248F2" w:rsidP="00B962C4" w:rsidRDefault="009248F2" w14:paraId="6FE89630" w14:textId="5541EB67">
            <w:pPr>
              <w:pStyle w:val="Response"/>
              <w:rPr>
                <w:b/>
                <w:sz w:val="20"/>
                <w:szCs w:val="20"/>
              </w:rPr>
            </w:pPr>
            <w:r w:rsidRPr="00B42088">
              <w:rPr>
                <w:sz w:val="20"/>
                <w:szCs w:val="20"/>
              </w:rPr>
              <w:t>$49</w:t>
            </w:r>
            <w:r w:rsidR="00B962C4">
              <w:rPr>
                <w:sz w:val="20"/>
                <w:szCs w:val="20"/>
              </w:rPr>
              <w:t>3.64</w:t>
            </w:r>
            <w:r w:rsidRPr="00B42088">
              <w:rPr>
                <w:sz w:val="20"/>
                <w:szCs w:val="20"/>
              </w:rPr>
              <w:t xml:space="preserve"> </w:t>
            </w:r>
          </w:p>
        </w:tc>
      </w:tr>
      <w:tr w:rsidRPr="00CA77CD" w:rsidR="000A31BB" w:rsidTr="005C110A" w14:paraId="1AC3F1FB" w14:textId="77777777">
        <w:tc>
          <w:tcPr>
            <w:tcW w:w="2565" w:type="dxa"/>
            <w:shd w:val="clear" w:color="auto" w:fill="DEEAF6"/>
            <w:vAlign w:val="center"/>
          </w:tcPr>
          <w:p w:rsidRPr="00B42088" w:rsidR="009248F2" w:rsidP="009248F2" w:rsidRDefault="009248F2" w14:paraId="6FA6F21D" w14:textId="77777777">
            <w:pPr>
              <w:pStyle w:val="Response"/>
              <w:rPr>
                <w:b/>
                <w:sz w:val="20"/>
                <w:szCs w:val="20"/>
              </w:rPr>
            </w:pPr>
            <w:r w:rsidRPr="00B42088">
              <w:rPr>
                <w:b/>
                <w:sz w:val="20"/>
                <w:szCs w:val="20"/>
              </w:rPr>
              <w:t>Subtotals</w:t>
            </w:r>
          </w:p>
        </w:tc>
        <w:tc>
          <w:tcPr>
            <w:tcW w:w="1224" w:type="dxa"/>
            <w:shd w:val="clear" w:color="auto" w:fill="DEEAF6"/>
            <w:vAlign w:val="bottom"/>
          </w:tcPr>
          <w:p w:rsidRPr="00B42088" w:rsidR="009248F2" w:rsidP="009248F2" w:rsidRDefault="009248F2" w14:paraId="72A34342" w14:textId="77777777">
            <w:pPr>
              <w:pStyle w:val="Response"/>
              <w:rPr>
                <w:b/>
                <w:sz w:val="20"/>
                <w:szCs w:val="20"/>
              </w:rPr>
            </w:pPr>
          </w:p>
        </w:tc>
        <w:tc>
          <w:tcPr>
            <w:tcW w:w="1249" w:type="dxa"/>
            <w:shd w:val="clear" w:color="auto" w:fill="DEEAF6"/>
            <w:vAlign w:val="bottom"/>
          </w:tcPr>
          <w:p w:rsidRPr="00B42088" w:rsidR="009248F2" w:rsidP="009248F2" w:rsidRDefault="009248F2" w14:paraId="7C583D93" w14:textId="77777777">
            <w:pPr>
              <w:pStyle w:val="Response"/>
              <w:rPr>
                <w:b/>
                <w:sz w:val="20"/>
                <w:szCs w:val="20"/>
              </w:rPr>
            </w:pPr>
          </w:p>
        </w:tc>
        <w:tc>
          <w:tcPr>
            <w:tcW w:w="1439" w:type="dxa"/>
            <w:shd w:val="clear" w:color="auto" w:fill="DEEAF6"/>
            <w:vAlign w:val="bottom"/>
          </w:tcPr>
          <w:p w:rsidRPr="00B42088" w:rsidR="009248F2" w:rsidP="009248F2" w:rsidRDefault="009248F2" w14:paraId="603F2151" w14:textId="77777777">
            <w:pPr>
              <w:pStyle w:val="Response"/>
              <w:rPr>
                <w:b/>
                <w:sz w:val="20"/>
                <w:szCs w:val="20"/>
              </w:rPr>
            </w:pPr>
          </w:p>
        </w:tc>
        <w:tc>
          <w:tcPr>
            <w:tcW w:w="1201" w:type="dxa"/>
            <w:shd w:val="clear" w:color="auto" w:fill="DEEAF6"/>
            <w:vAlign w:val="bottom"/>
          </w:tcPr>
          <w:p w:rsidRPr="00B42088" w:rsidR="009248F2" w:rsidP="009248F2" w:rsidRDefault="009248F2" w14:paraId="70EE166F" w14:textId="77777777">
            <w:pPr>
              <w:pStyle w:val="Response"/>
              <w:rPr>
                <w:b/>
                <w:sz w:val="20"/>
                <w:szCs w:val="20"/>
              </w:rPr>
            </w:pPr>
          </w:p>
        </w:tc>
        <w:tc>
          <w:tcPr>
            <w:tcW w:w="1164" w:type="dxa"/>
            <w:shd w:val="clear" w:color="auto" w:fill="DEEAF6"/>
            <w:vAlign w:val="bottom"/>
          </w:tcPr>
          <w:p w:rsidRPr="00B42088" w:rsidR="009248F2" w:rsidP="009248F2" w:rsidRDefault="009248F2" w14:paraId="78DFA3BF" w14:textId="77777777">
            <w:pPr>
              <w:pStyle w:val="Response"/>
              <w:rPr>
                <w:b/>
                <w:sz w:val="20"/>
                <w:szCs w:val="20"/>
              </w:rPr>
            </w:pPr>
            <w:r w:rsidRPr="00B42088">
              <w:rPr>
                <w:b/>
                <w:sz w:val="20"/>
                <w:szCs w:val="20"/>
              </w:rPr>
              <w:t>168</w:t>
            </w:r>
          </w:p>
        </w:tc>
        <w:tc>
          <w:tcPr>
            <w:tcW w:w="1043" w:type="dxa"/>
            <w:shd w:val="clear" w:color="auto" w:fill="DEEAF6"/>
            <w:vAlign w:val="bottom"/>
          </w:tcPr>
          <w:p w:rsidRPr="00B42088" w:rsidR="009248F2" w:rsidP="009248F2" w:rsidRDefault="009248F2" w14:paraId="3699C74E" w14:textId="77777777">
            <w:pPr>
              <w:pStyle w:val="Response"/>
              <w:rPr>
                <w:b/>
                <w:sz w:val="20"/>
                <w:szCs w:val="20"/>
              </w:rPr>
            </w:pPr>
          </w:p>
        </w:tc>
        <w:tc>
          <w:tcPr>
            <w:tcW w:w="1054" w:type="dxa"/>
            <w:shd w:val="clear" w:color="auto" w:fill="DEEAF6"/>
            <w:vAlign w:val="bottom"/>
          </w:tcPr>
          <w:p w:rsidRPr="00B42088" w:rsidR="009248F2" w:rsidP="009248F2" w:rsidRDefault="009248F2" w14:paraId="447FCAFC" w14:textId="77777777">
            <w:pPr>
              <w:pStyle w:val="Response"/>
              <w:rPr>
                <w:b/>
                <w:sz w:val="20"/>
                <w:szCs w:val="20"/>
              </w:rPr>
            </w:pPr>
            <w:r w:rsidRPr="00B42088">
              <w:rPr>
                <w:b/>
                <w:sz w:val="20"/>
                <w:szCs w:val="20"/>
              </w:rPr>
              <w:t>14</w:t>
            </w:r>
          </w:p>
        </w:tc>
        <w:tc>
          <w:tcPr>
            <w:tcW w:w="1009" w:type="dxa"/>
            <w:shd w:val="clear" w:color="auto" w:fill="DEEAF6"/>
            <w:vAlign w:val="bottom"/>
          </w:tcPr>
          <w:p w:rsidRPr="00B42088" w:rsidR="009248F2" w:rsidP="009248F2" w:rsidRDefault="009248F2" w14:paraId="759B029B" w14:textId="5CF0B73E">
            <w:pPr>
              <w:pStyle w:val="Response"/>
              <w:rPr>
                <w:b/>
                <w:sz w:val="20"/>
                <w:szCs w:val="20"/>
              </w:rPr>
            </w:pPr>
            <w:r w:rsidRPr="00B42088">
              <w:rPr>
                <w:b/>
                <w:sz w:val="20"/>
                <w:szCs w:val="20"/>
              </w:rPr>
              <w:t>$</w:t>
            </w:r>
            <w:r w:rsidR="00B962C4">
              <w:rPr>
                <w:b/>
                <w:sz w:val="20"/>
                <w:szCs w:val="20"/>
              </w:rPr>
              <w:t>35.26</w:t>
            </w:r>
            <w:bookmarkStart w:name="_GoBack" w:id="0"/>
            <w:bookmarkEnd w:id="0"/>
            <w:r w:rsidRPr="00B42088">
              <w:rPr>
                <w:b/>
                <w:sz w:val="20"/>
                <w:szCs w:val="20"/>
              </w:rPr>
              <w:t xml:space="preserve"> </w:t>
            </w:r>
          </w:p>
        </w:tc>
        <w:tc>
          <w:tcPr>
            <w:tcW w:w="1228" w:type="dxa"/>
            <w:shd w:val="clear" w:color="auto" w:fill="DEEAF6"/>
            <w:vAlign w:val="bottom"/>
          </w:tcPr>
          <w:p w:rsidRPr="00B42088" w:rsidR="009248F2" w:rsidP="00B962C4" w:rsidRDefault="009248F2" w14:paraId="56BFE513" w14:textId="19B2A3C9">
            <w:pPr>
              <w:pStyle w:val="Response"/>
              <w:rPr>
                <w:b/>
                <w:sz w:val="20"/>
                <w:szCs w:val="20"/>
              </w:rPr>
            </w:pPr>
            <w:r w:rsidRPr="00B42088">
              <w:rPr>
                <w:b/>
                <w:sz w:val="20"/>
                <w:szCs w:val="20"/>
              </w:rPr>
              <w:t>$49</w:t>
            </w:r>
            <w:r w:rsidR="00B962C4">
              <w:rPr>
                <w:b/>
                <w:sz w:val="20"/>
                <w:szCs w:val="20"/>
              </w:rPr>
              <w:t>3.64</w:t>
            </w:r>
            <w:r w:rsidRPr="00B42088">
              <w:rPr>
                <w:b/>
                <w:sz w:val="20"/>
                <w:szCs w:val="20"/>
              </w:rPr>
              <w:t xml:space="preserve"> </w:t>
            </w:r>
          </w:p>
        </w:tc>
      </w:tr>
      <w:tr w:rsidRPr="00CA77CD" w:rsidR="000A31BB" w:rsidTr="005C110A" w14:paraId="3537EC18" w14:textId="77777777">
        <w:tc>
          <w:tcPr>
            <w:tcW w:w="2565" w:type="dxa"/>
            <w:shd w:val="clear" w:color="auto" w:fill="auto"/>
            <w:vAlign w:val="center"/>
          </w:tcPr>
          <w:p w:rsidRPr="00B42088" w:rsidR="009248F2" w:rsidP="009248F2" w:rsidRDefault="009248F2" w14:paraId="6A26E91F" w14:textId="77777777">
            <w:pPr>
              <w:pStyle w:val="Response"/>
              <w:rPr>
                <w:b/>
                <w:sz w:val="20"/>
                <w:szCs w:val="20"/>
              </w:rPr>
            </w:pPr>
            <w:r w:rsidRPr="00B42088">
              <w:rPr>
                <w:sz w:val="20"/>
                <w:szCs w:val="20"/>
              </w:rPr>
              <w:t>11. Training Fire Response (1915.508(d))</w:t>
            </w:r>
          </w:p>
        </w:tc>
        <w:tc>
          <w:tcPr>
            <w:tcW w:w="1224" w:type="dxa"/>
            <w:shd w:val="clear" w:color="auto" w:fill="auto"/>
            <w:vAlign w:val="bottom"/>
          </w:tcPr>
          <w:p w:rsidRPr="00B42088" w:rsidR="009248F2" w:rsidP="009248F2" w:rsidRDefault="009248F2" w14:paraId="71CA3A47"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762AA4D5" w14:textId="77777777">
            <w:pPr>
              <w:pStyle w:val="Response"/>
              <w:rPr>
                <w:b/>
                <w:sz w:val="20"/>
                <w:szCs w:val="20"/>
              </w:rPr>
            </w:pPr>
            <w:r w:rsidRPr="00B42088">
              <w:rPr>
                <w:sz w:val="20"/>
                <w:szCs w:val="20"/>
              </w:rPr>
              <w:t> </w:t>
            </w:r>
            <w:r>
              <w:rPr>
                <w:sz w:val="20"/>
                <w:szCs w:val="20"/>
              </w:rPr>
              <w:t>Supervisor</w:t>
            </w:r>
          </w:p>
        </w:tc>
        <w:tc>
          <w:tcPr>
            <w:tcW w:w="1439" w:type="dxa"/>
            <w:shd w:val="clear" w:color="auto" w:fill="auto"/>
            <w:vAlign w:val="bottom"/>
          </w:tcPr>
          <w:p w:rsidRPr="00B42088" w:rsidR="009248F2" w:rsidP="009248F2" w:rsidRDefault="009248F2" w14:paraId="5D028713" w14:textId="77777777">
            <w:pPr>
              <w:pStyle w:val="Response"/>
              <w:rPr>
                <w:b/>
                <w:sz w:val="20"/>
                <w:szCs w:val="20"/>
              </w:rPr>
            </w:pPr>
            <w:r w:rsidRPr="00B42088">
              <w:rPr>
                <w:sz w:val="20"/>
                <w:szCs w:val="20"/>
              </w:rPr>
              <w:t>253</w:t>
            </w:r>
          </w:p>
        </w:tc>
        <w:tc>
          <w:tcPr>
            <w:tcW w:w="1201" w:type="dxa"/>
            <w:shd w:val="clear" w:color="auto" w:fill="auto"/>
            <w:vAlign w:val="bottom"/>
          </w:tcPr>
          <w:p w:rsidRPr="00B42088" w:rsidR="009248F2" w:rsidP="009248F2" w:rsidRDefault="009248F2" w14:paraId="4504BBF1" w14:textId="77777777">
            <w:pPr>
              <w:pStyle w:val="Response"/>
              <w:rPr>
                <w:b/>
                <w:sz w:val="20"/>
                <w:szCs w:val="20"/>
              </w:rPr>
            </w:pPr>
            <w:r w:rsidRPr="00B42088">
              <w:rPr>
                <w:sz w:val="20"/>
                <w:szCs w:val="20"/>
              </w:rPr>
              <w:t>1</w:t>
            </w:r>
          </w:p>
        </w:tc>
        <w:tc>
          <w:tcPr>
            <w:tcW w:w="1164" w:type="dxa"/>
            <w:shd w:val="clear" w:color="auto" w:fill="auto"/>
            <w:vAlign w:val="bottom"/>
          </w:tcPr>
          <w:p w:rsidRPr="00B42088" w:rsidR="009248F2" w:rsidP="009248F2" w:rsidRDefault="009248F2" w14:paraId="61AAF6CC" w14:textId="77777777">
            <w:pPr>
              <w:pStyle w:val="Response"/>
              <w:rPr>
                <w:b/>
                <w:sz w:val="20"/>
                <w:szCs w:val="20"/>
              </w:rPr>
            </w:pPr>
            <w:r w:rsidRPr="00B42088">
              <w:rPr>
                <w:sz w:val="20"/>
                <w:szCs w:val="20"/>
              </w:rPr>
              <w:t>253</w:t>
            </w:r>
          </w:p>
        </w:tc>
        <w:tc>
          <w:tcPr>
            <w:tcW w:w="1043" w:type="dxa"/>
            <w:shd w:val="clear" w:color="auto" w:fill="auto"/>
            <w:vAlign w:val="bottom"/>
          </w:tcPr>
          <w:p w:rsidRPr="00B42088" w:rsidR="009248F2" w:rsidP="009248F2" w:rsidRDefault="009248F2" w14:paraId="76CADFAD" w14:textId="77777777">
            <w:pPr>
              <w:pStyle w:val="Response"/>
              <w:rPr>
                <w:b/>
                <w:sz w:val="20"/>
                <w:szCs w:val="20"/>
              </w:rPr>
            </w:pPr>
            <w:r>
              <w:rPr>
                <w:sz w:val="20"/>
                <w:szCs w:val="20"/>
              </w:rPr>
              <w:t>2/60</w:t>
            </w:r>
          </w:p>
        </w:tc>
        <w:tc>
          <w:tcPr>
            <w:tcW w:w="1054" w:type="dxa"/>
            <w:shd w:val="clear" w:color="auto" w:fill="auto"/>
            <w:vAlign w:val="bottom"/>
          </w:tcPr>
          <w:p w:rsidRPr="00B42088" w:rsidR="009248F2" w:rsidP="009248F2" w:rsidRDefault="009248F2" w14:paraId="5FF3DB71" w14:textId="77777777">
            <w:pPr>
              <w:pStyle w:val="Response"/>
              <w:rPr>
                <w:b/>
                <w:sz w:val="20"/>
                <w:szCs w:val="20"/>
              </w:rPr>
            </w:pPr>
            <w:r w:rsidRPr="00B42088">
              <w:rPr>
                <w:sz w:val="20"/>
                <w:szCs w:val="20"/>
              </w:rPr>
              <w:t>8.43</w:t>
            </w:r>
          </w:p>
        </w:tc>
        <w:tc>
          <w:tcPr>
            <w:tcW w:w="1009" w:type="dxa"/>
            <w:shd w:val="clear" w:color="auto" w:fill="auto"/>
            <w:vAlign w:val="bottom"/>
          </w:tcPr>
          <w:p w:rsidRPr="00B42088" w:rsidR="009248F2" w:rsidP="009248F2" w:rsidRDefault="009248F2" w14:paraId="293677F6" w14:textId="77777777">
            <w:pPr>
              <w:pStyle w:val="Response"/>
              <w:rPr>
                <w:b/>
                <w:sz w:val="20"/>
                <w:szCs w:val="20"/>
              </w:rPr>
            </w:pPr>
            <w:r w:rsidRPr="00B42088">
              <w:rPr>
                <w:sz w:val="20"/>
                <w:szCs w:val="20"/>
              </w:rPr>
              <w:t xml:space="preserve">$49.07 </w:t>
            </w:r>
          </w:p>
        </w:tc>
        <w:tc>
          <w:tcPr>
            <w:tcW w:w="1228" w:type="dxa"/>
            <w:shd w:val="clear" w:color="auto" w:fill="auto"/>
            <w:vAlign w:val="bottom"/>
          </w:tcPr>
          <w:p w:rsidRPr="00B42088" w:rsidR="009248F2" w:rsidP="009248F2" w:rsidRDefault="009248F2" w14:paraId="29A4E026" w14:textId="77777777">
            <w:pPr>
              <w:pStyle w:val="Response"/>
              <w:rPr>
                <w:b/>
                <w:sz w:val="20"/>
                <w:szCs w:val="20"/>
              </w:rPr>
            </w:pPr>
            <w:r w:rsidRPr="00B42088">
              <w:rPr>
                <w:sz w:val="20"/>
                <w:szCs w:val="20"/>
              </w:rPr>
              <w:t xml:space="preserve">$413.66 </w:t>
            </w:r>
          </w:p>
        </w:tc>
      </w:tr>
      <w:tr w:rsidRPr="00CA77CD" w:rsidR="000A31BB" w:rsidTr="005C110A" w14:paraId="7F6BE440" w14:textId="77777777">
        <w:tc>
          <w:tcPr>
            <w:tcW w:w="2565" w:type="dxa"/>
            <w:shd w:val="clear" w:color="auto" w:fill="DEEAF6"/>
            <w:vAlign w:val="center"/>
          </w:tcPr>
          <w:p w:rsidRPr="00B42088" w:rsidR="009248F2" w:rsidP="009248F2" w:rsidRDefault="009248F2" w14:paraId="3D6929D6" w14:textId="77777777">
            <w:pPr>
              <w:pStyle w:val="Response"/>
              <w:rPr>
                <w:b/>
                <w:sz w:val="20"/>
                <w:szCs w:val="20"/>
              </w:rPr>
            </w:pPr>
            <w:r w:rsidRPr="00B42088">
              <w:rPr>
                <w:b/>
                <w:sz w:val="20"/>
                <w:szCs w:val="20"/>
              </w:rPr>
              <w:t>Subtotals</w:t>
            </w:r>
          </w:p>
        </w:tc>
        <w:tc>
          <w:tcPr>
            <w:tcW w:w="1224" w:type="dxa"/>
            <w:shd w:val="clear" w:color="auto" w:fill="DEEAF6"/>
            <w:vAlign w:val="bottom"/>
          </w:tcPr>
          <w:p w:rsidRPr="00B42088" w:rsidR="009248F2" w:rsidP="009248F2" w:rsidRDefault="009248F2" w14:paraId="0676DDC6" w14:textId="77777777">
            <w:pPr>
              <w:pStyle w:val="Response"/>
              <w:rPr>
                <w:b/>
                <w:sz w:val="20"/>
                <w:szCs w:val="20"/>
              </w:rPr>
            </w:pPr>
          </w:p>
        </w:tc>
        <w:tc>
          <w:tcPr>
            <w:tcW w:w="1249" w:type="dxa"/>
            <w:shd w:val="clear" w:color="auto" w:fill="DEEAF6"/>
            <w:vAlign w:val="bottom"/>
          </w:tcPr>
          <w:p w:rsidRPr="00B42088" w:rsidR="009248F2" w:rsidP="009248F2" w:rsidRDefault="009248F2" w14:paraId="19269F0B" w14:textId="77777777">
            <w:pPr>
              <w:pStyle w:val="Response"/>
              <w:rPr>
                <w:b/>
                <w:sz w:val="20"/>
                <w:szCs w:val="20"/>
              </w:rPr>
            </w:pPr>
          </w:p>
        </w:tc>
        <w:tc>
          <w:tcPr>
            <w:tcW w:w="1439" w:type="dxa"/>
            <w:shd w:val="clear" w:color="auto" w:fill="DEEAF6"/>
            <w:vAlign w:val="bottom"/>
          </w:tcPr>
          <w:p w:rsidRPr="00B42088" w:rsidR="009248F2" w:rsidP="009248F2" w:rsidRDefault="009248F2" w14:paraId="79B01F9E" w14:textId="77777777">
            <w:pPr>
              <w:pStyle w:val="Response"/>
              <w:rPr>
                <w:b/>
                <w:sz w:val="20"/>
                <w:szCs w:val="20"/>
              </w:rPr>
            </w:pPr>
          </w:p>
        </w:tc>
        <w:tc>
          <w:tcPr>
            <w:tcW w:w="1201" w:type="dxa"/>
            <w:shd w:val="clear" w:color="auto" w:fill="DEEAF6"/>
            <w:vAlign w:val="bottom"/>
          </w:tcPr>
          <w:p w:rsidRPr="00B42088" w:rsidR="009248F2" w:rsidP="009248F2" w:rsidRDefault="009248F2" w14:paraId="74B9DA32" w14:textId="77777777">
            <w:pPr>
              <w:pStyle w:val="Response"/>
              <w:rPr>
                <w:b/>
                <w:sz w:val="20"/>
                <w:szCs w:val="20"/>
              </w:rPr>
            </w:pPr>
          </w:p>
        </w:tc>
        <w:tc>
          <w:tcPr>
            <w:tcW w:w="1164" w:type="dxa"/>
            <w:shd w:val="clear" w:color="auto" w:fill="DEEAF6"/>
            <w:vAlign w:val="bottom"/>
          </w:tcPr>
          <w:p w:rsidRPr="00B42088" w:rsidR="009248F2" w:rsidP="009248F2" w:rsidRDefault="009248F2" w14:paraId="18F49C4A" w14:textId="77777777">
            <w:pPr>
              <w:pStyle w:val="Response"/>
              <w:rPr>
                <w:b/>
                <w:sz w:val="20"/>
                <w:szCs w:val="20"/>
              </w:rPr>
            </w:pPr>
            <w:r w:rsidRPr="00B42088">
              <w:rPr>
                <w:b/>
                <w:sz w:val="20"/>
                <w:szCs w:val="20"/>
              </w:rPr>
              <w:t>253</w:t>
            </w:r>
          </w:p>
        </w:tc>
        <w:tc>
          <w:tcPr>
            <w:tcW w:w="1043" w:type="dxa"/>
            <w:shd w:val="clear" w:color="auto" w:fill="DEEAF6"/>
            <w:vAlign w:val="bottom"/>
          </w:tcPr>
          <w:p w:rsidRPr="00B42088" w:rsidR="009248F2" w:rsidP="009248F2" w:rsidRDefault="009248F2" w14:paraId="7B1C7A8D" w14:textId="77777777">
            <w:pPr>
              <w:pStyle w:val="Response"/>
              <w:rPr>
                <w:b/>
                <w:sz w:val="20"/>
                <w:szCs w:val="20"/>
              </w:rPr>
            </w:pPr>
          </w:p>
        </w:tc>
        <w:tc>
          <w:tcPr>
            <w:tcW w:w="1054" w:type="dxa"/>
            <w:shd w:val="clear" w:color="auto" w:fill="DEEAF6"/>
            <w:vAlign w:val="bottom"/>
          </w:tcPr>
          <w:p w:rsidRPr="00B42088" w:rsidR="009248F2" w:rsidP="009248F2" w:rsidRDefault="009248F2" w14:paraId="0E9671DB" w14:textId="77777777">
            <w:pPr>
              <w:pStyle w:val="Response"/>
              <w:rPr>
                <w:b/>
                <w:sz w:val="20"/>
                <w:szCs w:val="20"/>
              </w:rPr>
            </w:pPr>
            <w:r w:rsidRPr="00B42088">
              <w:rPr>
                <w:b/>
                <w:sz w:val="20"/>
                <w:szCs w:val="20"/>
              </w:rPr>
              <w:t>8.43</w:t>
            </w:r>
          </w:p>
        </w:tc>
        <w:tc>
          <w:tcPr>
            <w:tcW w:w="1009" w:type="dxa"/>
            <w:shd w:val="clear" w:color="auto" w:fill="DEEAF6"/>
            <w:vAlign w:val="bottom"/>
          </w:tcPr>
          <w:p w:rsidRPr="00B42088" w:rsidR="009248F2" w:rsidP="009248F2" w:rsidRDefault="009248F2" w14:paraId="3C9A9123" w14:textId="77777777">
            <w:pPr>
              <w:pStyle w:val="Response"/>
              <w:rPr>
                <w:b/>
                <w:sz w:val="20"/>
                <w:szCs w:val="20"/>
              </w:rPr>
            </w:pPr>
            <w:r w:rsidRPr="00B42088">
              <w:rPr>
                <w:b/>
                <w:sz w:val="20"/>
                <w:szCs w:val="20"/>
              </w:rPr>
              <w:t xml:space="preserve">$49.07 </w:t>
            </w:r>
          </w:p>
        </w:tc>
        <w:tc>
          <w:tcPr>
            <w:tcW w:w="1228" w:type="dxa"/>
            <w:shd w:val="clear" w:color="auto" w:fill="DEEAF6"/>
            <w:vAlign w:val="bottom"/>
          </w:tcPr>
          <w:p w:rsidRPr="00B42088" w:rsidR="009248F2" w:rsidP="009248F2" w:rsidRDefault="009248F2" w14:paraId="10BEB67F" w14:textId="77777777">
            <w:pPr>
              <w:pStyle w:val="Response"/>
              <w:rPr>
                <w:b/>
                <w:sz w:val="20"/>
                <w:szCs w:val="20"/>
              </w:rPr>
            </w:pPr>
            <w:r w:rsidRPr="00B42088">
              <w:rPr>
                <w:b/>
                <w:sz w:val="20"/>
                <w:szCs w:val="20"/>
              </w:rPr>
              <w:t>$413.66</w:t>
            </w:r>
          </w:p>
        </w:tc>
      </w:tr>
      <w:tr w:rsidRPr="00CA77CD" w:rsidR="000A31BB" w:rsidTr="005C110A" w14:paraId="144F9077" w14:textId="77777777">
        <w:tc>
          <w:tcPr>
            <w:tcW w:w="2565" w:type="dxa"/>
            <w:shd w:val="clear" w:color="auto" w:fill="auto"/>
            <w:vAlign w:val="center"/>
          </w:tcPr>
          <w:p w:rsidRPr="00B42088" w:rsidR="009248F2" w:rsidP="009248F2" w:rsidRDefault="009248F2" w14:paraId="69205B57" w14:textId="77777777">
            <w:pPr>
              <w:pStyle w:val="Response"/>
              <w:rPr>
                <w:b/>
                <w:sz w:val="20"/>
                <w:szCs w:val="20"/>
              </w:rPr>
            </w:pPr>
            <w:r w:rsidRPr="00B42088">
              <w:rPr>
                <w:sz w:val="20"/>
                <w:szCs w:val="20"/>
              </w:rPr>
              <w:t>12. Training Certification Records (1915.508(f))</w:t>
            </w:r>
          </w:p>
        </w:tc>
        <w:tc>
          <w:tcPr>
            <w:tcW w:w="1224" w:type="dxa"/>
            <w:shd w:val="clear" w:color="auto" w:fill="auto"/>
            <w:vAlign w:val="bottom"/>
          </w:tcPr>
          <w:p w:rsidRPr="00B42088" w:rsidR="009248F2" w:rsidP="009248F2" w:rsidRDefault="009248F2" w14:paraId="195D0E9F" w14:textId="77777777">
            <w:pPr>
              <w:pStyle w:val="Response"/>
              <w:rPr>
                <w:b/>
                <w:sz w:val="20"/>
                <w:szCs w:val="20"/>
              </w:rPr>
            </w:pPr>
            <w:r w:rsidRPr="00B42088">
              <w:rPr>
                <w:sz w:val="20"/>
                <w:szCs w:val="20"/>
              </w:rPr>
              <w:t>Annual</w:t>
            </w:r>
          </w:p>
        </w:tc>
        <w:tc>
          <w:tcPr>
            <w:tcW w:w="1249" w:type="dxa"/>
            <w:shd w:val="clear" w:color="auto" w:fill="auto"/>
            <w:vAlign w:val="bottom"/>
          </w:tcPr>
          <w:p w:rsidRPr="00B42088" w:rsidR="009248F2" w:rsidP="009248F2" w:rsidRDefault="009248F2" w14:paraId="2206A076" w14:textId="77777777">
            <w:pPr>
              <w:pStyle w:val="Response"/>
              <w:rPr>
                <w:b/>
                <w:sz w:val="20"/>
                <w:szCs w:val="20"/>
              </w:rPr>
            </w:pPr>
            <w:r>
              <w:rPr>
                <w:sz w:val="20"/>
                <w:szCs w:val="20"/>
              </w:rPr>
              <w:t>Supervisor</w:t>
            </w:r>
          </w:p>
        </w:tc>
        <w:tc>
          <w:tcPr>
            <w:tcW w:w="1439" w:type="dxa"/>
            <w:shd w:val="clear" w:color="auto" w:fill="auto"/>
            <w:vAlign w:val="bottom"/>
          </w:tcPr>
          <w:p w:rsidRPr="00B42088" w:rsidR="009248F2" w:rsidP="009248F2" w:rsidRDefault="009248F2" w14:paraId="73469945" w14:textId="77777777">
            <w:pPr>
              <w:pStyle w:val="Response"/>
              <w:rPr>
                <w:b/>
                <w:sz w:val="20"/>
                <w:szCs w:val="20"/>
              </w:rPr>
            </w:pPr>
            <w:r w:rsidRPr="00B42088">
              <w:rPr>
                <w:sz w:val="20"/>
                <w:szCs w:val="20"/>
              </w:rPr>
              <w:t>99,963</w:t>
            </w:r>
          </w:p>
        </w:tc>
        <w:tc>
          <w:tcPr>
            <w:tcW w:w="1201" w:type="dxa"/>
            <w:shd w:val="clear" w:color="auto" w:fill="auto"/>
            <w:vAlign w:val="bottom"/>
          </w:tcPr>
          <w:p w:rsidRPr="00B42088" w:rsidR="009248F2" w:rsidP="009248F2" w:rsidRDefault="009248F2" w14:paraId="7672D410" w14:textId="77777777">
            <w:pPr>
              <w:pStyle w:val="Response"/>
              <w:rPr>
                <w:b/>
                <w:sz w:val="20"/>
                <w:szCs w:val="20"/>
              </w:rPr>
            </w:pPr>
            <w:r w:rsidRPr="00B42088">
              <w:rPr>
                <w:sz w:val="20"/>
                <w:szCs w:val="20"/>
              </w:rPr>
              <w:t>1</w:t>
            </w:r>
          </w:p>
        </w:tc>
        <w:tc>
          <w:tcPr>
            <w:tcW w:w="1164" w:type="dxa"/>
            <w:shd w:val="clear" w:color="auto" w:fill="auto"/>
            <w:vAlign w:val="bottom"/>
          </w:tcPr>
          <w:p w:rsidRPr="00B42088" w:rsidR="009248F2" w:rsidP="009248F2" w:rsidRDefault="009248F2" w14:paraId="2E3E6E83" w14:textId="77777777">
            <w:pPr>
              <w:pStyle w:val="Response"/>
              <w:rPr>
                <w:b/>
                <w:sz w:val="20"/>
                <w:szCs w:val="20"/>
              </w:rPr>
            </w:pPr>
            <w:r w:rsidRPr="00B42088">
              <w:rPr>
                <w:sz w:val="20"/>
                <w:szCs w:val="20"/>
              </w:rPr>
              <w:t>99,963</w:t>
            </w:r>
          </w:p>
        </w:tc>
        <w:tc>
          <w:tcPr>
            <w:tcW w:w="1043" w:type="dxa"/>
            <w:shd w:val="clear" w:color="auto" w:fill="auto"/>
            <w:vAlign w:val="bottom"/>
          </w:tcPr>
          <w:p w:rsidRPr="00B42088" w:rsidR="009248F2" w:rsidP="009248F2" w:rsidRDefault="009248F2" w14:paraId="2C226571" w14:textId="77777777">
            <w:pPr>
              <w:pStyle w:val="Response"/>
              <w:rPr>
                <w:b/>
                <w:sz w:val="20"/>
                <w:szCs w:val="20"/>
              </w:rPr>
            </w:pPr>
            <w:r>
              <w:rPr>
                <w:sz w:val="20"/>
                <w:szCs w:val="20"/>
              </w:rPr>
              <w:t>3/60</w:t>
            </w:r>
          </w:p>
        </w:tc>
        <w:tc>
          <w:tcPr>
            <w:tcW w:w="1054" w:type="dxa"/>
            <w:shd w:val="clear" w:color="auto" w:fill="auto"/>
            <w:vAlign w:val="bottom"/>
          </w:tcPr>
          <w:p w:rsidRPr="00B42088" w:rsidR="009248F2" w:rsidP="009248F2" w:rsidRDefault="009248F2" w14:paraId="3E9A6F53" w14:textId="77777777">
            <w:pPr>
              <w:pStyle w:val="Response"/>
              <w:rPr>
                <w:b/>
                <w:sz w:val="20"/>
                <w:szCs w:val="20"/>
              </w:rPr>
            </w:pPr>
            <w:r w:rsidRPr="00B42088">
              <w:rPr>
                <w:sz w:val="20"/>
                <w:szCs w:val="20"/>
              </w:rPr>
              <w:t>4,998.15</w:t>
            </w:r>
          </w:p>
        </w:tc>
        <w:tc>
          <w:tcPr>
            <w:tcW w:w="1009" w:type="dxa"/>
            <w:shd w:val="clear" w:color="auto" w:fill="auto"/>
            <w:vAlign w:val="bottom"/>
          </w:tcPr>
          <w:p w:rsidRPr="00B42088" w:rsidR="009248F2" w:rsidP="009248F2" w:rsidRDefault="009248F2" w14:paraId="45ADA3BC" w14:textId="77777777">
            <w:pPr>
              <w:pStyle w:val="Response"/>
              <w:rPr>
                <w:b/>
                <w:sz w:val="20"/>
                <w:szCs w:val="20"/>
              </w:rPr>
            </w:pPr>
            <w:r w:rsidRPr="00B42088">
              <w:rPr>
                <w:sz w:val="20"/>
                <w:szCs w:val="20"/>
              </w:rPr>
              <w:t> </w:t>
            </w:r>
          </w:p>
        </w:tc>
        <w:tc>
          <w:tcPr>
            <w:tcW w:w="1228" w:type="dxa"/>
            <w:shd w:val="clear" w:color="auto" w:fill="auto"/>
            <w:vAlign w:val="bottom"/>
          </w:tcPr>
          <w:p w:rsidRPr="00B42088" w:rsidR="009248F2" w:rsidP="009248F2" w:rsidRDefault="009248F2" w14:paraId="316F424F" w14:textId="77777777">
            <w:pPr>
              <w:pStyle w:val="Response"/>
              <w:rPr>
                <w:b/>
                <w:sz w:val="20"/>
                <w:szCs w:val="20"/>
              </w:rPr>
            </w:pPr>
            <w:r w:rsidRPr="00B42088">
              <w:rPr>
                <w:sz w:val="20"/>
                <w:szCs w:val="20"/>
              </w:rPr>
              <w:t> </w:t>
            </w:r>
          </w:p>
        </w:tc>
      </w:tr>
      <w:tr w:rsidRPr="00CA77CD" w:rsidR="000A31BB" w:rsidTr="005C110A" w14:paraId="1F06F6C8" w14:textId="77777777">
        <w:tc>
          <w:tcPr>
            <w:tcW w:w="2565" w:type="dxa"/>
            <w:shd w:val="clear" w:color="auto" w:fill="auto"/>
            <w:vAlign w:val="bottom"/>
          </w:tcPr>
          <w:p w:rsidRPr="00B42088" w:rsidR="009248F2" w:rsidP="009248F2" w:rsidRDefault="009248F2" w14:paraId="4B65EECF" w14:textId="77777777">
            <w:pPr>
              <w:pStyle w:val="Response"/>
              <w:rPr>
                <w:b/>
                <w:sz w:val="20"/>
                <w:szCs w:val="20"/>
              </w:rPr>
            </w:pPr>
            <w:r w:rsidRPr="00B42088">
              <w:rPr>
                <w:sz w:val="20"/>
                <w:szCs w:val="20"/>
              </w:rPr>
              <w:t> </w:t>
            </w:r>
          </w:p>
        </w:tc>
        <w:tc>
          <w:tcPr>
            <w:tcW w:w="1224" w:type="dxa"/>
            <w:shd w:val="clear" w:color="auto" w:fill="auto"/>
            <w:vAlign w:val="bottom"/>
          </w:tcPr>
          <w:p w:rsidRPr="00B42088" w:rsidR="009248F2" w:rsidP="009248F2" w:rsidRDefault="009248F2" w14:paraId="20876347" w14:textId="77777777">
            <w:pPr>
              <w:pStyle w:val="Response"/>
              <w:rPr>
                <w:b/>
                <w:sz w:val="20"/>
                <w:szCs w:val="20"/>
              </w:rPr>
            </w:pPr>
            <w:r w:rsidRPr="00B42088">
              <w:rPr>
                <w:sz w:val="20"/>
                <w:szCs w:val="20"/>
              </w:rPr>
              <w:t>Annual</w:t>
            </w:r>
          </w:p>
        </w:tc>
        <w:tc>
          <w:tcPr>
            <w:tcW w:w="1249" w:type="dxa"/>
            <w:shd w:val="clear" w:color="auto" w:fill="auto"/>
            <w:vAlign w:val="bottom"/>
          </w:tcPr>
          <w:p w:rsidRPr="009248F2" w:rsidR="009248F2" w:rsidP="009248F2" w:rsidRDefault="009248F2" w14:paraId="04F859BD" w14:textId="77777777">
            <w:pPr>
              <w:pStyle w:val="Response"/>
              <w:rPr>
                <w:sz w:val="20"/>
                <w:szCs w:val="20"/>
              </w:rPr>
            </w:pPr>
            <w:r>
              <w:rPr>
                <w:sz w:val="20"/>
                <w:szCs w:val="20"/>
              </w:rPr>
              <w:t>Supervisor</w:t>
            </w:r>
          </w:p>
        </w:tc>
        <w:tc>
          <w:tcPr>
            <w:tcW w:w="1439" w:type="dxa"/>
            <w:shd w:val="clear" w:color="auto" w:fill="auto"/>
            <w:vAlign w:val="bottom"/>
          </w:tcPr>
          <w:p w:rsidRPr="00B42088" w:rsidR="009248F2" w:rsidP="009248F2" w:rsidRDefault="009248F2" w14:paraId="46974AF4" w14:textId="77777777">
            <w:pPr>
              <w:pStyle w:val="Response"/>
              <w:rPr>
                <w:b/>
                <w:sz w:val="20"/>
                <w:szCs w:val="20"/>
              </w:rPr>
            </w:pPr>
            <w:r w:rsidRPr="00B42088">
              <w:rPr>
                <w:sz w:val="20"/>
                <w:szCs w:val="20"/>
              </w:rPr>
              <w:t>8,197</w:t>
            </w:r>
          </w:p>
        </w:tc>
        <w:tc>
          <w:tcPr>
            <w:tcW w:w="1201" w:type="dxa"/>
            <w:shd w:val="clear" w:color="auto" w:fill="auto"/>
            <w:vAlign w:val="bottom"/>
          </w:tcPr>
          <w:p w:rsidRPr="00B42088" w:rsidR="009248F2" w:rsidP="009248F2" w:rsidRDefault="009248F2" w14:paraId="35233B52" w14:textId="77777777">
            <w:pPr>
              <w:pStyle w:val="Response"/>
              <w:rPr>
                <w:b/>
                <w:sz w:val="20"/>
                <w:szCs w:val="20"/>
              </w:rPr>
            </w:pPr>
            <w:r w:rsidRPr="00B42088">
              <w:rPr>
                <w:sz w:val="20"/>
                <w:szCs w:val="20"/>
              </w:rPr>
              <w:t>4</w:t>
            </w:r>
          </w:p>
        </w:tc>
        <w:tc>
          <w:tcPr>
            <w:tcW w:w="1164" w:type="dxa"/>
            <w:shd w:val="clear" w:color="auto" w:fill="auto"/>
            <w:vAlign w:val="bottom"/>
          </w:tcPr>
          <w:p w:rsidRPr="00B42088" w:rsidR="009248F2" w:rsidP="009248F2" w:rsidRDefault="009248F2" w14:paraId="23A799F9" w14:textId="77777777">
            <w:pPr>
              <w:pStyle w:val="Response"/>
              <w:rPr>
                <w:b/>
                <w:sz w:val="20"/>
                <w:szCs w:val="20"/>
              </w:rPr>
            </w:pPr>
            <w:r w:rsidRPr="00B42088">
              <w:rPr>
                <w:sz w:val="20"/>
                <w:szCs w:val="20"/>
              </w:rPr>
              <w:t>32,788</w:t>
            </w:r>
          </w:p>
        </w:tc>
        <w:tc>
          <w:tcPr>
            <w:tcW w:w="1043" w:type="dxa"/>
            <w:shd w:val="clear" w:color="auto" w:fill="auto"/>
            <w:vAlign w:val="bottom"/>
          </w:tcPr>
          <w:p w:rsidRPr="00B42088" w:rsidR="009248F2" w:rsidP="009248F2" w:rsidRDefault="009248F2" w14:paraId="6FCAAF7C" w14:textId="77777777">
            <w:pPr>
              <w:pStyle w:val="Response"/>
              <w:rPr>
                <w:b/>
                <w:sz w:val="20"/>
                <w:szCs w:val="20"/>
              </w:rPr>
            </w:pPr>
            <w:r w:rsidRPr="00B42088">
              <w:rPr>
                <w:sz w:val="20"/>
                <w:szCs w:val="20"/>
              </w:rPr>
              <w:t>3/60</w:t>
            </w:r>
          </w:p>
        </w:tc>
        <w:tc>
          <w:tcPr>
            <w:tcW w:w="1054" w:type="dxa"/>
            <w:shd w:val="clear" w:color="auto" w:fill="auto"/>
            <w:vAlign w:val="bottom"/>
          </w:tcPr>
          <w:p w:rsidRPr="00B42088" w:rsidR="009248F2" w:rsidP="009248F2" w:rsidRDefault="009248F2" w14:paraId="4DBB1392" w14:textId="77777777">
            <w:pPr>
              <w:pStyle w:val="Response"/>
              <w:rPr>
                <w:b/>
                <w:sz w:val="20"/>
                <w:szCs w:val="20"/>
              </w:rPr>
            </w:pPr>
            <w:r w:rsidRPr="00B42088">
              <w:rPr>
                <w:sz w:val="20"/>
                <w:szCs w:val="20"/>
              </w:rPr>
              <w:t>1,639.40</w:t>
            </w:r>
          </w:p>
        </w:tc>
        <w:tc>
          <w:tcPr>
            <w:tcW w:w="1009" w:type="dxa"/>
            <w:shd w:val="clear" w:color="auto" w:fill="auto"/>
            <w:vAlign w:val="bottom"/>
          </w:tcPr>
          <w:p w:rsidRPr="00B42088" w:rsidR="009248F2" w:rsidP="009248F2" w:rsidRDefault="009248F2" w14:paraId="1CEA94B1" w14:textId="77777777">
            <w:pPr>
              <w:pStyle w:val="Response"/>
              <w:rPr>
                <w:b/>
                <w:sz w:val="20"/>
                <w:szCs w:val="20"/>
              </w:rPr>
            </w:pPr>
          </w:p>
        </w:tc>
        <w:tc>
          <w:tcPr>
            <w:tcW w:w="1228" w:type="dxa"/>
            <w:shd w:val="clear" w:color="auto" w:fill="auto"/>
            <w:vAlign w:val="bottom"/>
          </w:tcPr>
          <w:p w:rsidRPr="00B42088" w:rsidR="009248F2" w:rsidP="009248F2" w:rsidRDefault="009248F2" w14:paraId="6E571D2B" w14:textId="77777777">
            <w:pPr>
              <w:pStyle w:val="Response"/>
              <w:rPr>
                <w:b/>
                <w:sz w:val="20"/>
                <w:szCs w:val="20"/>
              </w:rPr>
            </w:pPr>
          </w:p>
        </w:tc>
      </w:tr>
      <w:tr w:rsidRPr="00CA77CD" w:rsidR="000A31BB" w:rsidTr="005C110A" w14:paraId="620081A0" w14:textId="77777777">
        <w:tc>
          <w:tcPr>
            <w:tcW w:w="2565" w:type="dxa"/>
            <w:shd w:val="clear" w:color="auto" w:fill="DEEAF6"/>
            <w:vAlign w:val="bottom"/>
          </w:tcPr>
          <w:p w:rsidRPr="00B42088" w:rsidR="009248F2" w:rsidP="009248F2" w:rsidRDefault="009248F2" w14:paraId="69360961" w14:textId="77777777">
            <w:pPr>
              <w:pStyle w:val="Response"/>
              <w:rPr>
                <w:b/>
                <w:sz w:val="20"/>
                <w:szCs w:val="20"/>
              </w:rPr>
            </w:pPr>
            <w:r w:rsidRPr="00B42088">
              <w:rPr>
                <w:b/>
                <w:bCs/>
                <w:sz w:val="20"/>
                <w:szCs w:val="20"/>
              </w:rPr>
              <w:t>Subtotals</w:t>
            </w:r>
          </w:p>
        </w:tc>
        <w:tc>
          <w:tcPr>
            <w:tcW w:w="1224" w:type="dxa"/>
            <w:shd w:val="clear" w:color="auto" w:fill="DEEAF6"/>
            <w:vAlign w:val="bottom"/>
          </w:tcPr>
          <w:p w:rsidRPr="00B42088" w:rsidR="009248F2" w:rsidP="009248F2" w:rsidRDefault="009248F2" w14:paraId="5912CD51" w14:textId="77777777">
            <w:pPr>
              <w:pStyle w:val="Response"/>
              <w:rPr>
                <w:b/>
                <w:sz w:val="20"/>
                <w:szCs w:val="20"/>
              </w:rPr>
            </w:pPr>
            <w:r w:rsidRPr="00B42088">
              <w:rPr>
                <w:b/>
                <w:bCs/>
                <w:sz w:val="20"/>
                <w:szCs w:val="20"/>
              </w:rPr>
              <w:t> </w:t>
            </w:r>
          </w:p>
        </w:tc>
        <w:tc>
          <w:tcPr>
            <w:tcW w:w="1249" w:type="dxa"/>
            <w:shd w:val="clear" w:color="auto" w:fill="DEEAF6"/>
            <w:vAlign w:val="bottom"/>
          </w:tcPr>
          <w:p w:rsidRPr="00B42088" w:rsidR="009248F2" w:rsidP="009248F2" w:rsidRDefault="009248F2" w14:paraId="415B78AA" w14:textId="77777777">
            <w:pPr>
              <w:pStyle w:val="Response"/>
              <w:rPr>
                <w:b/>
                <w:sz w:val="20"/>
                <w:szCs w:val="20"/>
              </w:rPr>
            </w:pPr>
            <w:r w:rsidRPr="00B42088">
              <w:rPr>
                <w:b/>
                <w:bCs/>
                <w:sz w:val="20"/>
                <w:szCs w:val="20"/>
              </w:rPr>
              <w:t> </w:t>
            </w:r>
          </w:p>
        </w:tc>
        <w:tc>
          <w:tcPr>
            <w:tcW w:w="1439" w:type="dxa"/>
            <w:shd w:val="clear" w:color="auto" w:fill="DEEAF6"/>
            <w:vAlign w:val="bottom"/>
          </w:tcPr>
          <w:p w:rsidRPr="00B42088" w:rsidR="009248F2" w:rsidP="009248F2" w:rsidRDefault="009248F2" w14:paraId="6D30DC3C" w14:textId="77777777">
            <w:pPr>
              <w:pStyle w:val="Response"/>
              <w:rPr>
                <w:b/>
                <w:sz w:val="20"/>
                <w:szCs w:val="20"/>
              </w:rPr>
            </w:pPr>
            <w:r w:rsidRPr="00B42088">
              <w:rPr>
                <w:b/>
                <w:bCs/>
                <w:sz w:val="20"/>
                <w:szCs w:val="20"/>
              </w:rPr>
              <w:t> </w:t>
            </w:r>
          </w:p>
        </w:tc>
        <w:tc>
          <w:tcPr>
            <w:tcW w:w="1201" w:type="dxa"/>
            <w:shd w:val="clear" w:color="auto" w:fill="DEEAF6"/>
            <w:vAlign w:val="bottom"/>
          </w:tcPr>
          <w:p w:rsidRPr="00B42088" w:rsidR="009248F2" w:rsidP="009248F2" w:rsidRDefault="009248F2" w14:paraId="067DD8C5" w14:textId="77777777">
            <w:pPr>
              <w:pStyle w:val="Response"/>
              <w:rPr>
                <w:b/>
                <w:sz w:val="20"/>
                <w:szCs w:val="20"/>
              </w:rPr>
            </w:pPr>
            <w:r w:rsidRPr="00B42088">
              <w:rPr>
                <w:b/>
                <w:bCs/>
                <w:sz w:val="20"/>
                <w:szCs w:val="20"/>
              </w:rPr>
              <w:t> </w:t>
            </w:r>
          </w:p>
        </w:tc>
        <w:tc>
          <w:tcPr>
            <w:tcW w:w="1164" w:type="dxa"/>
            <w:shd w:val="clear" w:color="auto" w:fill="DEEAF6"/>
            <w:vAlign w:val="bottom"/>
          </w:tcPr>
          <w:p w:rsidRPr="00B42088" w:rsidR="009248F2" w:rsidP="009248F2" w:rsidRDefault="009248F2" w14:paraId="24F1B17E" w14:textId="77777777">
            <w:pPr>
              <w:pStyle w:val="Response"/>
              <w:rPr>
                <w:b/>
                <w:sz w:val="20"/>
                <w:szCs w:val="20"/>
              </w:rPr>
            </w:pPr>
            <w:r w:rsidRPr="00B42088">
              <w:rPr>
                <w:b/>
                <w:bCs/>
                <w:sz w:val="20"/>
                <w:szCs w:val="20"/>
              </w:rPr>
              <w:t>132,751</w:t>
            </w:r>
          </w:p>
        </w:tc>
        <w:tc>
          <w:tcPr>
            <w:tcW w:w="1043" w:type="dxa"/>
            <w:shd w:val="clear" w:color="auto" w:fill="DEEAF6"/>
            <w:vAlign w:val="bottom"/>
          </w:tcPr>
          <w:p w:rsidRPr="00B42088" w:rsidR="009248F2" w:rsidP="009248F2" w:rsidRDefault="009248F2" w14:paraId="673303E4" w14:textId="77777777">
            <w:pPr>
              <w:pStyle w:val="Response"/>
              <w:rPr>
                <w:b/>
                <w:sz w:val="20"/>
                <w:szCs w:val="20"/>
              </w:rPr>
            </w:pPr>
            <w:r w:rsidRPr="00B42088">
              <w:rPr>
                <w:b/>
                <w:bCs/>
                <w:sz w:val="20"/>
                <w:szCs w:val="20"/>
              </w:rPr>
              <w:t> </w:t>
            </w:r>
          </w:p>
        </w:tc>
        <w:tc>
          <w:tcPr>
            <w:tcW w:w="1054" w:type="dxa"/>
            <w:shd w:val="clear" w:color="auto" w:fill="DEEAF6"/>
            <w:vAlign w:val="bottom"/>
          </w:tcPr>
          <w:p w:rsidRPr="00B42088" w:rsidR="009248F2" w:rsidP="009248F2" w:rsidRDefault="009248F2" w14:paraId="2B2928DB" w14:textId="77777777">
            <w:pPr>
              <w:pStyle w:val="Response"/>
              <w:rPr>
                <w:b/>
                <w:sz w:val="20"/>
                <w:szCs w:val="20"/>
              </w:rPr>
            </w:pPr>
            <w:r w:rsidRPr="00B42088">
              <w:rPr>
                <w:b/>
                <w:bCs/>
                <w:sz w:val="20"/>
                <w:szCs w:val="20"/>
              </w:rPr>
              <w:t>6,637.55</w:t>
            </w:r>
          </w:p>
        </w:tc>
        <w:tc>
          <w:tcPr>
            <w:tcW w:w="1009" w:type="dxa"/>
            <w:shd w:val="clear" w:color="auto" w:fill="DEEAF6"/>
            <w:vAlign w:val="bottom"/>
          </w:tcPr>
          <w:p w:rsidRPr="00B42088" w:rsidR="009248F2" w:rsidP="009248F2" w:rsidRDefault="009248F2" w14:paraId="65112A08" w14:textId="77777777">
            <w:pPr>
              <w:pStyle w:val="Response"/>
              <w:rPr>
                <w:b/>
                <w:sz w:val="20"/>
                <w:szCs w:val="20"/>
              </w:rPr>
            </w:pPr>
            <w:r w:rsidRPr="00B42088">
              <w:rPr>
                <w:b/>
                <w:bCs/>
                <w:sz w:val="20"/>
                <w:szCs w:val="20"/>
              </w:rPr>
              <w:t xml:space="preserve">$49.07 </w:t>
            </w:r>
          </w:p>
        </w:tc>
        <w:tc>
          <w:tcPr>
            <w:tcW w:w="1228" w:type="dxa"/>
            <w:shd w:val="clear" w:color="auto" w:fill="DEEAF6"/>
            <w:vAlign w:val="bottom"/>
          </w:tcPr>
          <w:p w:rsidRPr="00B42088" w:rsidR="009248F2" w:rsidP="009248F2" w:rsidRDefault="009248F2" w14:paraId="5E8651E4" w14:textId="77777777">
            <w:pPr>
              <w:pStyle w:val="Response"/>
              <w:rPr>
                <w:b/>
                <w:sz w:val="20"/>
                <w:szCs w:val="20"/>
              </w:rPr>
            </w:pPr>
            <w:r w:rsidRPr="00B42088">
              <w:rPr>
                <w:b/>
                <w:bCs/>
                <w:sz w:val="20"/>
                <w:szCs w:val="20"/>
              </w:rPr>
              <w:t xml:space="preserve">$325,704.58 </w:t>
            </w:r>
          </w:p>
        </w:tc>
      </w:tr>
      <w:tr w:rsidRPr="00CA77CD" w:rsidR="000A31BB" w:rsidTr="005C110A" w14:paraId="6979A907" w14:textId="77777777">
        <w:tc>
          <w:tcPr>
            <w:tcW w:w="2565" w:type="dxa"/>
            <w:shd w:val="clear" w:color="auto" w:fill="D9D9D9"/>
            <w:vAlign w:val="center"/>
          </w:tcPr>
          <w:p w:rsidRPr="00B42088" w:rsidR="009248F2" w:rsidP="009248F2" w:rsidRDefault="009248F2" w14:paraId="4879C33F" w14:textId="77777777">
            <w:pPr>
              <w:pStyle w:val="Response"/>
              <w:rPr>
                <w:b/>
                <w:sz w:val="20"/>
                <w:szCs w:val="20"/>
              </w:rPr>
            </w:pPr>
            <w:r w:rsidRPr="00B42088">
              <w:rPr>
                <w:b/>
                <w:bCs/>
                <w:sz w:val="20"/>
                <w:szCs w:val="20"/>
              </w:rPr>
              <w:t>Totals</w:t>
            </w:r>
          </w:p>
        </w:tc>
        <w:tc>
          <w:tcPr>
            <w:tcW w:w="1224" w:type="dxa"/>
            <w:shd w:val="clear" w:color="auto" w:fill="D9D9D9"/>
            <w:vAlign w:val="bottom"/>
          </w:tcPr>
          <w:p w:rsidRPr="00B42088" w:rsidR="009248F2" w:rsidP="009248F2" w:rsidRDefault="009248F2" w14:paraId="024425DA" w14:textId="77777777">
            <w:pPr>
              <w:pStyle w:val="Response"/>
              <w:rPr>
                <w:b/>
                <w:sz w:val="20"/>
                <w:szCs w:val="20"/>
              </w:rPr>
            </w:pPr>
            <w:r w:rsidRPr="00B42088">
              <w:rPr>
                <w:sz w:val="20"/>
                <w:szCs w:val="20"/>
              </w:rPr>
              <w:t> </w:t>
            </w:r>
          </w:p>
        </w:tc>
        <w:tc>
          <w:tcPr>
            <w:tcW w:w="1249" w:type="dxa"/>
            <w:shd w:val="clear" w:color="auto" w:fill="D9D9D9"/>
            <w:vAlign w:val="bottom"/>
          </w:tcPr>
          <w:p w:rsidRPr="00B42088" w:rsidR="009248F2" w:rsidP="009248F2" w:rsidRDefault="009248F2" w14:paraId="0B6CC722" w14:textId="77777777">
            <w:pPr>
              <w:pStyle w:val="Response"/>
              <w:rPr>
                <w:b/>
                <w:sz w:val="20"/>
                <w:szCs w:val="20"/>
              </w:rPr>
            </w:pPr>
            <w:r w:rsidRPr="00B42088">
              <w:rPr>
                <w:sz w:val="20"/>
                <w:szCs w:val="20"/>
              </w:rPr>
              <w:t> </w:t>
            </w:r>
          </w:p>
        </w:tc>
        <w:tc>
          <w:tcPr>
            <w:tcW w:w="1439" w:type="dxa"/>
            <w:shd w:val="clear" w:color="auto" w:fill="D9D9D9"/>
            <w:vAlign w:val="bottom"/>
          </w:tcPr>
          <w:p w:rsidRPr="00B42088" w:rsidR="009248F2" w:rsidP="009248F2" w:rsidRDefault="009248F2" w14:paraId="672019E6" w14:textId="77777777">
            <w:pPr>
              <w:pStyle w:val="Response"/>
              <w:rPr>
                <w:b/>
                <w:sz w:val="20"/>
                <w:szCs w:val="20"/>
              </w:rPr>
            </w:pPr>
            <w:r w:rsidRPr="00B42088">
              <w:rPr>
                <w:sz w:val="20"/>
                <w:szCs w:val="20"/>
              </w:rPr>
              <w:t> </w:t>
            </w:r>
          </w:p>
        </w:tc>
        <w:tc>
          <w:tcPr>
            <w:tcW w:w="1201" w:type="dxa"/>
            <w:shd w:val="clear" w:color="auto" w:fill="D9D9D9"/>
            <w:vAlign w:val="bottom"/>
          </w:tcPr>
          <w:p w:rsidRPr="00B42088" w:rsidR="009248F2" w:rsidP="009248F2" w:rsidRDefault="009248F2" w14:paraId="558E8661" w14:textId="77777777">
            <w:pPr>
              <w:pStyle w:val="Response"/>
              <w:rPr>
                <w:b/>
                <w:sz w:val="20"/>
                <w:szCs w:val="20"/>
              </w:rPr>
            </w:pPr>
            <w:r w:rsidRPr="00B42088">
              <w:rPr>
                <w:sz w:val="20"/>
                <w:szCs w:val="20"/>
              </w:rPr>
              <w:t> </w:t>
            </w:r>
          </w:p>
        </w:tc>
        <w:tc>
          <w:tcPr>
            <w:tcW w:w="1164" w:type="dxa"/>
            <w:shd w:val="clear" w:color="auto" w:fill="D9D9D9"/>
            <w:vAlign w:val="bottom"/>
          </w:tcPr>
          <w:p w:rsidRPr="00B42088" w:rsidR="009248F2" w:rsidP="009248F2" w:rsidRDefault="009248F2" w14:paraId="57C60F21" w14:textId="77777777">
            <w:pPr>
              <w:pStyle w:val="Response"/>
              <w:rPr>
                <w:b/>
                <w:sz w:val="20"/>
                <w:szCs w:val="20"/>
              </w:rPr>
            </w:pPr>
            <w:r w:rsidRPr="00B42088">
              <w:rPr>
                <w:b/>
                <w:bCs/>
                <w:sz w:val="20"/>
                <w:szCs w:val="20"/>
              </w:rPr>
              <w:t>184,972</w:t>
            </w:r>
          </w:p>
        </w:tc>
        <w:tc>
          <w:tcPr>
            <w:tcW w:w="1043" w:type="dxa"/>
            <w:shd w:val="clear" w:color="auto" w:fill="D9D9D9"/>
            <w:vAlign w:val="bottom"/>
          </w:tcPr>
          <w:p w:rsidRPr="00B42088" w:rsidR="009248F2" w:rsidP="009248F2" w:rsidRDefault="009248F2" w14:paraId="643F414C" w14:textId="77777777">
            <w:pPr>
              <w:pStyle w:val="Response"/>
              <w:rPr>
                <w:b/>
                <w:sz w:val="20"/>
                <w:szCs w:val="20"/>
              </w:rPr>
            </w:pPr>
            <w:r w:rsidRPr="00B42088">
              <w:rPr>
                <w:sz w:val="20"/>
                <w:szCs w:val="20"/>
              </w:rPr>
              <w:t> </w:t>
            </w:r>
          </w:p>
        </w:tc>
        <w:tc>
          <w:tcPr>
            <w:tcW w:w="1054" w:type="dxa"/>
            <w:shd w:val="clear" w:color="auto" w:fill="D9D9D9"/>
            <w:vAlign w:val="bottom"/>
          </w:tcPr>
          <w:p w:rsidRPr="00B42088" w:rsidR="009248F2" w:rsidP="009248F2" w:rsidRDefault="009248F2" w14:paraId="69B8F86B" w14:textId="77777777">
            <w:pPr>
              <w:pStyle w:val="Response"/>
              <w:rPr>
                <w:b/>
                <w:sz w:val="20"/>
                <w:szCs w:val="20"/>
              </w:rPr>
            </w:pPr>
            <w:r w:rsidRPr="00B42088">
              <w:rPr>
                <w:b/>
                <w:bCs/>
                <w:sz w:val="20"/>
                <w:szCs w:val="20"/>
              </w:rPr>
              <w:t>16,456.08</w:t>
            </w:r>
          </w:p>
        </w:tc>
        <w:tc>
          <w:tcPr>
            <w:tcW w:w="1009" w:type="dxa"/>
            <w:shd w:val="clear" w:color="auto" w:fill="D9D9D9"/>
            <w:vAlign w:val="bottom"/>
          </w:tcPr>
          <w:p w:rsidRPr="00B42088" w:rsidR="009248F2" w:rsidP="009248F2" w:rsidRDefault="009248F2" w14:paraId="781F0BB7" w14:textId="77777777">
            <w:pPr>
              <w:pStyle w:val="Response"/>
              <w:rPr>
                <w:b/>
                <w:sz w:val="20"/>
                <w:szCs w:val="20"/>
              </w:rPr>
            </w:pPr>
            <w:r w:rsidRPr="00B42088">
              <w:rPr>
                <w:b/>
                <w:bCs/>
                <w:sz w:val="20"/>
                <w:szCs w:val="20"/>
              </w:rPr>
              <w:t> </w:t>
            </w:r>
          </w:p>
        </w:tc>
        <w:tc>
          <w:tcPr>
            <w:tcW w:w="1228" w:type="dxa"/>
            <w:shd w:val="clear" w:color="auto" w:fill="D9D9D9"/>
            <w:vAlign w:val="bottom"/>
          </w:tcPr>
          <w:p w:rsidRPr="00B42088" w:rsidR="009248F2" w:rsidP="005C157F" w:rsidRDefault="009248F2" w14:paraId="5A116C6E" w14:textId="77777777">
            <w:pPr>
              <w:pStyle w:val="Response"/>
              <w:rPr>
                <w:b/>
                <w:sz w:val="20"/>
                <w:szCs w:val="20"/>
              </w:rPr>
            </w:pPr>
            <w:r w:rsidRPr="00B42088">
              <w:rPr>
                <w:b/>
                <w:bCs/>
                <w:sz w:val="20"/>
                <w:szCs w:val="20"/>
              </w:rPr>
              <w:t>$866,107.7</w:t>
            </w:r>
            <w:r w:rsidR="005C157F">
              <w:rPr>
                <w:b/>
                <w:bCs/>
                <w:sz w:val="20"/>
                <w:szCs w:val="20"/>
              </w:rPr>
              <w:t>6</w:t>
            </w:r>
            <w:r w:rsidRPr="00B42088">
              <w:rPr>
                <w:b/>
                <w:bCs/>
                <w:sz w:val="20"/>
                <w:szCs w:val="20"/>
              </w:rPr>
              <w:t xml:space="preserve"> </w:t>
            </w:r>
          </w:p>
        </w:tc>
      </w:tr>
      <w:tr w:rsidRPr="00CA77CD" w:rsidR="000A31BB" w:rsidTr="005C110A" w14:paraId="45F72B21" w14:textId="77777777">
        <w:trPr>
          <w:trHeight w:val="521"/>
        </w:trPr>
        <w:tc>
          <w:tcPr>
            <w:tcW w:w="2565" w:type="dxa"/>
            <w:shd w:val="clear" w:color="auto" w:fill="FFFFFF"/>
            <w:vAlign w:val="center"/>
          </w:tcPr>
          <w:p w:rsidRPr="00B42088" w:rsidR="009248F2" w:rsidP="009248F2" w:rsidRDefault="009248F2" w14:paraId="7B564F0D" w14:textId="77777777">
            <w:pPr>
              <w:pStyle w:val="Response"/>
              <w:rPr>
                <w:b/>
                <w:sz w:val="20"/>
                <w:szCs w:val="20"/>
              </w:rPr>
            </w:pPr>
            <w:r w:rsidRPr="00B42088">
              <w:rPr>
                <w:b/>
                <w:bCs/>
                <w:sz w:val="20"/>
                <w:szCs w:val="20"/>
              </w:rPr>
              <w:t xml:space="preserve">First Year Totals </w:t>
            </w:r>
          </w:p>
        </w:tc>
        <w:tc>
          <w:tcPr>
            <w:tcW w:w="1224" w:type="dxa"/>
            <w:shd w:val="clear" w:color="auto" w:fill="FFFFFF"/>
            <w:vAlign w:val="bottom"/>
          </w:tcPr>
          <w:p w:rsidRPr="00B42088" w:rsidR="009248F2" w:rsidP="009248F2" w:rsidRDefault="009248F2" w14:paraId="392399F0" w14:textId="77777777">
            <w:pPr>
              <w:pStyle w:val="Response"/>
              <w:rPr>
                <w:b/>
                <w:sz w:val="20"/>
                <w:szCs w:val="20"/>
              </w:rPr>
            </w:pPr>
            <w:r w:rsidRPr="00B42088">
              <w:rPr>
                <w:sz w:val="20"/>
                <w:szCs w:val="20"/>
              </w:rPr>
              <w:t>New Employer</w:t>
            </w:r>
          </w:p>
        </w:tc>
        <w:tc>
          <w:tcPr>
            <w:tcW w:w="1249" w:type="dxa"/>
            <w:shd w:val="clear" w:color="auto" w:fill="FFFFFF"/>
            <w:vAlign w:val="bottom"/>
          </w:tcPr>
          <w:p w:rsidRPr="00B42088" w:rsidR="009248F2" w:rsidP="009248F2" w:rsidRDefault="009248F2" w14:paraId="25D55B8A" w14:textId="77777777">
            <w:pPr>
              <w:pStyle w:val="Response"/>
              <w:rPr>
                <w:b/>
                <w:sz w:val="20"/>
                <w:szCs w:val="20"/>
              </w:rPr>
            </w:pPr>
            <w:r w:rsidRPr="00B42088">
              <w:rPr>
                <w:sz w:val="20"/>
                <w:szCs w:val="20"/>
              </w:rPr>
              <w:t> </w:t>
            </w:r>
          </w:p>
        </w:tc>
        <w:tc>
          <w:tcPr>
            <w:tcW w:w="1439" w:type="dxa"/>
            <w:shd w:val="clear" w:color="auto" w:fill="FFFFFF"/>
            <w:vAlign w:val="bottom"/>
          </w:tcPr>
          <w:p w:rsidRPr="00B42088" w:rsidR="009248F2" w:rsidP="009248F2" w:rsidRDefault="009248F2" w14:paraId="05257E53" w14:textId="77777777">
            <w:pPr>
              <w:pStyle w:val="Response"/>
              <w:rPr>
                <w:b/>
                <w:sz w:val="20"/>
                <w:szCs w:val="20"/>
              </w:rPr>
            </w:pPr>
            <w:r w:rsidRPr="00B42088">
              <w:rPr>
                <w:sz w:val="20"/>
                <w:szCs w:val="20"/>
              </w:rPr>
              <w:t> </w:t>
            </w:r>
          </w:p>
        </w:tc>
        <w:tc>
          <w:tcPr>
            <w:tcW w:w="1201" w:type="dxa"/>
            <w:shd w:val="clear" w:color="auto" w:fill="FFFFFF"/>
            <w:vAlign w:val="bottom"/>
          </w:tcPr>
          <w:p w:rsidRPr="00B42088" w:rsidR="009248F2" w:rsidP="009248F2" w:rsidRDefault="009248F2" w14:paraId="0A6BEAAE" w14:textId="77777777">
            <w:pPr>
              <w:pStyle w:val="Response"/>
              <w:rPr>
                <w:b/>
                <w:sz w:val="20"/>
                <w:szCs w:val="20"/>
              </w:rPr>
            </w:pPr>
            <w:r w:rsidRPr="00B42088">
              <w:rPr>
                <w:sz w:val="20"/>
                <w:szCs w:val="20"/>
              </w:rPr>
              <w:t> </w:t>
            </w:r>
          </w:p>
        </w:tc>
        <w:tc>
          <w:tcPr>
            <w:tcW w:w="1164" w:type="dxa"/>
            <w:shd w:val="clear" w:color="auto" w:fill="FFFFFF"/>
            <w:vAlign w:val="bottom"/>
          </w:tcPr>
          <w:p w:rsidRPr="00B42088" w:rsidR="009248F2" w:rsidP="009248F2" w:rsidRDefault="009248F2" w14:paraId="6916D559" w14:textId="77777777">
            <w:pPr>
              <w:pStyle w:val="Response"/>
              <w:rPr>
                <w:b/>
                <w:sz w:val="20"/>
                <w:szCs w:val="20"/>
              </w:rPr>
            </w:pPr>
            <w:r w:rsidRPr="00B42088">
              <w:rPr>
                <w:sz w:val="20"/>
                <w:szCs w:val="20"/>
              </w:rPr>
              <w:t>75.9</w:t>
            </w:r>
          </w:p>
        </w:tc>
        <w:tc>
          <w:tcPr>
            <w:tcW w:w="1043" w:type="dxa"/>
            <w:shd w:val="clear" w:color="auto" w:fill="FFFFFF"/>
            <w:vAlign w:val="bottom"/>
          </w:tcPr>
          <w:p w:rsidRPr="00B42088" w:rsidR="009248F2" w:rsidP="009248F2" w:rsidRDefault="009248F2" w14:paraId="2C03A3C1" w14:textId="77777777">
            <w:pPr>
              <w:pStyle w:val="Response"/>
              <w:rPr>
                <w:b/>
                <w:sz w:val="20"/>
                <w:szCs w:val="20"/>
              </w:rPr>
            </w:pPr>
            <w:r w:rsidRPr="00B42088">
              <w:rPr>
                <w:sz w:val="20"/>
                <w:szCs w:val="20"/>
              </w:rPr>
              <w:t> </w:t>
            </w:r>
          </w:p>
        </w:tc>
        <w:tc>
          <w:tcPr>
            <w:tcW w:w="1054" w:type="dxa"/>
            <w:shd w:val="clear" w:color="auto" w:fill="FFFFFF"/>
            <w:vAlign w:val="bottom"/>
          </w:tcPr>
          <w:p w:rsidRPr="00B42088" w:rsidR="009248F2" w:rsidP="009248F2" w:rsidRDefault="009248F2" w14:paraId="22ADF696" w14:textId="77777777">
            <w:pPr>
              <w:pStyle w:val="Response"/>
              <w:rPr>
                <w:b/>
                <w:sz w:val="20"/>
                <w:szCs w:val="20"/>
              </w:rPr>
            </w:pPr>
            <w:r w:rsidRPr="00B42088">
              <w:rPr>
                <w:sz w:val="20"/>
                <w:szCs w:val="20"/>
              </w:rPr>
              <w:t>307.8</w:t>
            </w:r>
          </w:p>
        </w:tc>
        <w:tc>
          <w:tcPr>
            <w:tcW w:w="1009" w:type="dxa"/>
            <w:shd w:val="clear" w:color="auto" w:fill="FFFFFF"/>
            <w:vAlign w:val="bottom"/>
          </w:tcPr>
          <w:p w:rsidRPr="00B42088" w:rsidR="009248F2" w:rsidP="009248F2" w:rsidRDefault="009248F2" w14:paraId="06D9994F" w14:textId="77777777">
            <w:pPr>
              <w:pStyle w:val="Response"/>
              <w:rPr>
                <w:b/>
                <w:sz w:val="20"/>
                <w:szCs w:val="20"/>
              </w:rPr>
            </w:pPr>
            <w:r w:rsidRPr="00B42088">
              <w:rPr>
                <w:sz w:val="20"/>
                <w:szCs w:val="20"/>
              </w:rPr>
              <w:t> </w:t>
            </w:r>
          </w:p>
        </w:tc>
        <w:tc>
          <w:tcPr>
            <w:tcW w:w="1228" w:type="dxa"/>
            <w:shd w:val="clear" w:color="auto" w:fill="FFFFFF"/>
            <w:vAlign w:val="bottom"/>
          </w:tcPr>
          <w:p w:rsidRPr="00B42088" w:rsidR="009248F2" w:rsidP="009248F2" w:rsidRDefault="009248F2" w14:paraId="64DB23BE" w14:textId="77777777">
            <w:pPr>
              <w:pStyle w:val="Response"/>
              <w:rPr>
                <w:b/>
                <w:sz w:val="20"/>
                <w:szCs w:val="20"/>
              </w:rPr>
            </w:pPr>
            <w:r w:rsidRPr="00B42088">
              <w:rPr>
                <w:sz w:val="20"/>
                <w:szCs w:val="20"/>
              </w:rPr>
              <w:t xml:space="preserve">$17,338.38 </w:t>
            </w:r>
          </w:p>
        </w:tc>
      </w:tr>
      <w:tr w:rsidRPr="00CA77CD" w:rsidR="00092C17" w:rsidTr="005C110A" w14:paraId="052C07BC" w14:textId="77777777">
        <w:trPr>
          <w:trHeight w:val="431"/>
        </w:trPr>
        <w:tc>
          <w:tcPr>
            <w:tcW w:w="2565" w:type="dxa"/>
            <w:shd w:val="clear" w:color="auto" w:fill="FFFFFF"/>
            <w:vAlign w:val="bottom"/>
          </w:tcPr>
          <w:p w:rsidRPr="00B42088" w:rsidR="009248F2" w:rsidP="009248F2" w:rsidRDefault="009248F2" w14:paraId="363E7B8A" w14:textId="77777777">
            <w:pPr>
              <w:pStyle w:val="Response"/>
              <w:rPr>
                <w:b/>
                <w:sz w:val="20"/>
                <w:szCs w:val="20"/>
              </w:rPr>
            </w:pPr>
            <w:r w:rsidRPr="00B42088">
              <w:rPr>
                <w:b/>
                <w:bCs/>
                <w:sz w:val="20"/>
                <w:szCs w:val="20"/>
              </w:rPr>
              <w:t>Annual Totals</w:t>
            </w:r>
          </w:p>
        </w:tc>
        <w:tc>
          <w:tcPr>
            <w:tcW w:w="1224" w:type="dxa"/>
            <w:shd w:val="clear" w:color="auto" w:fill="FFFFFF"/>
            <w:vAlign w:val="bottom"/>
          </w:tcPr>
          <w:p w:rsidRPr="00B42088" w:rsidR="009248F2" w:rsidP="009248F2" w:rsidRDefault="009248F2" w14:paraId="16161BDA" w14:textId="77777777">
            <w:pPr>
              <w:pStyle w:val="Response"/>
              <w:rPr>
                <w:b/>
                <w:sz w:val="20"/>
                <w:szCs w:val="20"/>
              </w:rPr>
            </w:pPr>
            <w:r w:rsidRPr="00B42088">
              <w:rPr>
                <w:sz w:val="20"/>
                <w:szCs w:val="20"/>
              </w:rPr>
              <w:t>Existing Employer</w:t>
            </w:r>
          </w:p>
        </w:tc>
        <w:tc>
          <w:tcPr>
            <w:tcW w:w="1249" w:type="dxa"/>
            <w:shd w:val="clear" w:color="auto" w:fill="FFFFFF"/>
            <w:vAlign w:val="bottom"/>
          </w:tcPr>
          <w:p w:rsidRPr="00B42088" w:rsidR="009248F2" w:rsidP="009248F2" w:rsidRDefault="009248F2" w14:paraId="69372EF1" w14:textId="77777777">
            <w:pPr>
              <w:pStyle w:val="Response"/>
              <w:rPr>
                <w:b/>
                <w:sz w:val="20"/>
                <w:szCs w:val="20"/>
              </w:rPr>
            </w:pPr>
          </w:p>
        </w:tc>
        <w:tc>
          <w:tcPr>
            <w:tcW w:w="1439" w:type="dxa"/>
            <w:shd w:val="clear" w:color="auto" w:fill="FFFFFF"/>
            <w:vAlign w:val="bottom"/>
          </w:tcPr>
          <w:p w:rsidRPr="00B42088" w:rsidR="009248F2" w:rsidP="009248F2" w:rsidRDefault="009248F2" w14:paraId="0510CEF6" w14:textId="77777777">
            <w:pPr>
              <w:pStyle w:val="Response"/>
              <w:rPr>
                <w:b/>
                <w:sz w:val="20"/>
                <w:szCs w:val="20"/>
              </w:rPr>
            </w:pPr>
          </w:p>
        </w:tc>
        <w:tc>
          <w:tcPr>
            <w:tcW w:w="1201" w:type="dxa"/>
            <w:shd w:val="clear" w:color="auto" w:fill="FFFFFF"/>
            <w:vAlign w:val="bottom"/>
          </w:tcPr>
          <w:p w:rsidRPr="00B42088" w:rsidR="009248F2" w:rsidP="009248F2" w:rsidRDefault="009248F2" w14:paraId="70E06D0F" w14:textId="77777777">
            <w:pPr>
              <w:pStyle w:val="Response"/>
              <w:rPr>
                <w:b/>
                <w:sz w:val="20"/>
                <w:szCs w:val="20"/>
              </w:rPr>
            </w:pPr>
          </w:p>
        </w:tc>
        <w:tc>
          <w:tcPr>
            <w:tcW w:w="1164" w:type="dxa"/>
            <w:shd w:val="clear" w:color="auto" w:fill="FFFFFF"/>
            <w:vAlign w:val="bottom"/>
          </w:tcPr>
          <w:p w:rsidRPr="00B42088" w:rsidR="009248F2" w:rsidP="009248F2" w:rsidRDefault="009248F2" w14:paraId="6CC4D367" w14:textId="77777777">
            <w:pPr>
              <w:pStyle w:val="Response"/>
              <w:rPr>
                <w:b/>
                <w:sz w:val="20"/>
                <w:szCs w:val="20"/>
              </w:rPr>
            </w:pPr>
            <w:r w:rsidRPr="00B42088">
              <w:rPr>
                <w:sz w:val="20"/>
                <w:szCs w:val="20"/>
              </w:rPr>
              <w:t>184,896</w:t>
            </w:r>
          </w:p>
        </w:tc>
        <w:tc>
          <w:tcPr>
            <w:tcW w:w="1043" w:type="dxa"/>
            <w:shd w:val="clear" w:color="auto" w:fill="FFFFFF"/>
            <w:vAlign w:val="bottom"/>
          </w:tcPr>
          <w:p w:rsidRPr="00B42088" w:rsidR="009248F2" w:rsidP="009248F2" w:rsidRDefault="009248F2" w14:paraId="55EF1977" w14:textId="77777777">
            <w:pPr>
              <w:pStyle w:val="Response"/>
              <w:rPr>
                <w:b/>
                <w:sz w:val="20"/>
                <w:szCs w:val="20"/>
              </w:rPr>
            </w:pPr>
          </w:p>
        </w:tc>
        <w:tc>
          <w:tcPr>
            <w:tcW w:w="1054" w:type="dxa"/>
            <w:shd w:val="clear" w:color="auto" w:fill="FFFFFF"/>
            <w:vAlign w:val="bottom"/>
          </w:tcPr>
          <w:p w:rsidRPr="00B42088" w:rsidR="009248F2" w:rsidP="009248F2" w:rsidRDefault="009248F2" w14:paraId="50B0DE98" w14:textId="77777777">
            <w:pPr>
              <w:pStyle w:val="Response"/>
              <w:rPr>
                <w:b/>
                <w:sz w:val="20"/>
                <w:szCs w:val="20"/>
              </w:rPr>
            </w:pPr>
            <w:r w:rsidRPr="00B42088">
              <w:rPr>
                <w:sz w:val="20"/>
                <w:szCs w:val="20"/>
              </w:rPr>
              <w:t>16,148.28</w:t>
            </w:r>
          </w:p>
        </w:tc>
        <w:tc>
          <w:tcPr>
            <w:tcW w:w="1009" w:type="dxa"/>
            <w:shd w:val="clear" w:color="auto" w:fill="FFFFFF"/>
            <w:vAlign w:val="bottom"/>
          </w:tcPr>
          <w:p w:rsidRPr="00B42088" w:rsidR="009248F2" w:rsidP="009248F2" w:rsidRDefault="009248F2" w14:paraId="2C584A6E" w14:textId="77777777">
            <w:pPr>
              <w:pStyle w:val="Response"/>
              <w:rPr>
                <w:b/>
                <w:sz w:val="20"/>
                <w:szCs w:val="20"/>
              </w:rPr>
            </w:pPr>
          </w:p>
        </w:tc>
        <w:tc>
          <w:tcPr>
            <w:tcW w:w="1228" w:type="dxa"/>
            <w:shd w:val="clear" w:color="auto" w:fill="FFFFFF"/>
            <w:vAlign w:val="bottom"/>
          </w:tcPr>
          <w:p w:rsidRPr="00B42088" w:rsidR="009248F2" w:rsidP="00092C17" w:rsidRDefault="009248F2" w14:paraId="522C364D" w14:textId="0458BD72">
            <w:pPr>
              <w:pStyle w:val="Response"/>
              <w:rPr>
                <w:b/>
                <w:sz w:val="20"/>
                <w:szCs w:val="20"/>
              </w:rPr>
            </w:pPr>
            <w:r w:rsidRPr="00B42088">
              <w:rPr>
                <w:sz w:val="20"/>
                <w:szCs w:val="20"/>
              </w:rPr>
              <w:t>$848,76</w:t>
            </w:r>
            <w:r w:rsidR="00092C17">
              <w:rPr>
                <w:sz w:val="20"/>
                <w:szCs w:val="20"/>
              </w:rPr>
              <w:t>7.98</w:t>
            </w:r>
            <w:r w:rsidRPr="00B42088">
              <w:rPr>
                <w:sz w:val="20"/>
                <w:szCs w:val="20"/>
              </w:rPr>
              <w:t xml:space="preserve"> </w:t>
            </w:r>
          </w:p>
        </w:tc>
      </w:tr>
      <w:tr w:rsidRPr="00CA77CD" w:rsidR="00092C17" w:rsidTr="005C110A" w14:paraId="0DDC5E7B" w14:textId="77777777">
        <w:trPr>
          <w:trHeight w:val="431"/>
        </w:trPr>
        <w:tc>
          <w:tcPr>
            <w:tcW w:w="2565" w:type="dxa"/>
            <w:shd w:val="clear" w:color="auto" w:fill="D9D9D9"/>
            <w:vAlign w:val="bottom"/>
          </w:tcPr>
          <w:p w:rsidRPr="00B42088" w:rsidR="009248F2" w:rsidP="009248F2" w:rsidRDefault="009248F2" w14:paraId="05317006" w14:textId="77777777">
            <w:pPr>
              <w:pStyle w:val="Response"/>
              <w:rPr>
                <w:b/>
                <w:sz w:val="20"/>
                <w:szCs w:val="20"/>
              </w:rPr>
            </w:pPr>
            <w:r w:rsidRPr="00B42088">
              <w:rPr>
                <w:b/>
                <w:bCs/>
                <w:sz w:val="20"/>
                <w:szCs w:val="20"/>
              </w:rPr>
              <w:t>Annualized Totals Over 3</w:t>
            </w:r>
            <w:r w:rsidR="001B540B">
              <w:rPr>
                <w:b/>
                <w:bCs/>
                <w:sz w:val="20"/>
                <w:szCs w:val="20"/>
              </w:rPr>
              <w:t xml:space="preserve"> </w:t>
            </w:r>
            <w:r w:rsidRPr="00B42088">
              <w:rPr>
                <w:b/>
                <w:bCs/>
                <w:sz w:val="20"/>
                <w:szCs w:val="20"/>
              </w:rPr>
              <w:t xml:space="preserve"> </w:t>
            </w:r>
            <w:r w:rsidR="001B540B">
              <w:rPr>
                <w:b/>
                <w:bCs/>
                <w:sz w:val="20"/>
                <w:szCs w:val="20"/>
              </w:rPr>
              <w:t>Y</w:t>
            </w:r>
            <w:r w:rsidRPr="00B42088">
              <w:rPr>
                <w:b/>
                <w:bCs/>
                <w:sz w:val="20"/>
                <w:szCs w:val="20"/>
              </w:rPr>
              <w:t>ears</w:t>
            </w:r>
          </w:p>
        </w:tc>
        <w:tc>
          <w:tcPr>
            <w:tcW w:w="1224" w:type="dxa"/>
            <w:shd w:val="clear" w:color="auto" w:fill="D9D9D9"/>
            <w:vAlign w:val="bottom"/>
          </w:tcPr>
          <w:p w:rsidRPr="00B42088" w:rsidR="009248F2" w:rsidP="009248F2" w:rsidRDefault="009248F2" w14:paraId="54A3368C" w14:textId="77777777">
            <w:pPr>
              <w:pStyle w:val="Response"/>
              <w:rPr>
                <w:b/>
                <w:sz w:val="20"/>
                <w:szCs w:val="20"/>
              </w:rPr>
            </w:pPr>
            <w:r w:rsidRPr="00B42088">
              <w:rPr>
                <w:b/>
                <w:bCs/>
                <w:sz w:val="20"/>
                <w:szCs w:val="20"/>
              </w:rPr>
              <w:t> </w:t>
            </w:r>
          </w:p>
        </w:tc>
        <w:tc>
          <w:tcPr>
            <w:tcW w:w="1249" w:type="dxa"/>
            <w:shd w:val="clear" w:color="auto" w:fill="D9D9D9"/>
            <w:vAlign w:val="bottom"/>
          </w:tcPr>
          <w:p w:rsidRPr="00B42088" w:rsidR="009248F2" w:rsidP="009248F2" w:rsidRDefault="009248F2" w14:paraId="147084AF" w14:textId="77777777">
            <w:pPr>
              <w:pStyle w:val="Response"/>
              <w:rPr>
                <w:b/>
                <w:sz w:val="20"/>
                <w:szCs w:val="20"/>
              </w:rPr>
            </w:pPr>
            <w:r w:rsidRPr="00B42088">
              <w:rPr>
                <w:b/>
                <w:bCs/>
                <w:sz w:val="20"/>
                <w:szCs w:val="20"/>
              </w:rPr>
              <w:t> </w:t>
            </w:r>
          </w:p>
        </w:tc>
        <w:tc>
          <w:tcPr>
            <w:tcW w:w="1439" w:type="dxa"/>
            <w:shd w:val="clear" w:color="auto" w:fill="D9D9D9"/>
            <w:vAlign w:val="bottom"/>
          </w:tcPr>
          <w:p w:rsidRPr="00B42088" w:rsidR="009248F2" w:rsidP="009248F2" w:rsidRDefault="009248F2" w14:paraId="3B9EEFA9" w14:textId="77777777">
            <w:pPr>
              <w:pStyle w:val="Response"/>
              <w:rPr>
                <w:b/>
                <w:sz w:val="20"/>
                <w:szCs w:val="20"/>
              </w:rPr>
            </w:pPr>
            <w:r w:rsidRPr="00B42088">
              <w:rPr>
                <w:b/>
                <w:bCs/>
                <w:sz w:val="20"/>
                <w:szCs w:val="20"/>
              </w:rPr>
              <w:t> </w:t>
            </w:r>
          </w:p>
        </w:tc>
        <w:tc>
          <w:tcPr>
            <w:tcW w:w="1201" w:type="dxa"/>
            <w:shd w:val="clear" w:color="auto" w:fill="D9D9D9"/>
            <w:vAlign w:val="bottom"/>
          </w:tcPr>
          <w:p w:rsidRPr="00B42088" w:rsidR="009248F2" w:rsidP="009248F2" w:rsidRDefault="009248F2" w14:paraId="5B5D082D" w14:textId="77777777">
            <w:pPr>
              <w:pStyle w:val="Response"/>
              <w:rPr>
                <w:b/>
                <w:sz w:val="20"/>
                <w:szCs w:val="20"/>
              </w:rPr>
            </w:pPr>
            <w:r w:rsidRPr="00B42088">
              <w:rPr>
                <w:b/>
                <w:bCs/>
                <w:sz w:val="20"/>
                <w:szCs w:val="20"/>
              </w:rPr>
              <w:t> </w:t>
            </w:r>
          </w:p>
        </w:tc>
        <w:tc>
          <w:tcPr>
            <w:tcW w:w="1164" w:type="dxa"/>
            <w:shd w:val="clear" w:color="auto" w:fill="D9D9D9"/>
            <w:vAlign w:val="bottom"/>
          </w:tcPr>
          <w:p w:rsidRPr="00B42088" w:rsidR="009248F2" w:rsidP="009248F2" w:rsidRDefault="009248F2" w14:paraId="1B0F81C3" w14:textId="77777777">
            <w:pPr>
              <w:pStyle w:val="Response"/>
              <w:rPr>
                <w:b/>
                <w:sz w:val="20"/>
                <w:szCs w:val="20"/>
              </w:rPr>
            </w:pPr>
            <w:r w:rsidRPr="00B42088">
              <w:rPr>
                <w:b/>
                <w:bCs/>
                <w:sz w:val="20"/>
                <w:szCs w:val="20"/>
              </w:rPr>
              <w:t>184,921</w:t>
            </w:r>
          </w:p>
        </w:tc>
        <w:tc>
          <w:tcPr>
            <w:tcW w:w="1043" w:type="dxa"/>
            <w:shd w:val="clear" w:color="auto" w:fill="D9D9D9"/>
            <w:vAlign w:val="bottom"/>
          </w:tcPr>
          <w:p w:rsidRPr="00B42088" w:rsidR="009248F2" w:rsidP="009248F2" w:rsidRDefault="009248F2" w14:paraId="3CF1E065" w14:textId="77777777">
            <w:pPr>
              <w:pStyle w:val="Response"/>
              <w:rPr>
                <w:b/>
                <w:sz w:val="20"/>
                <w:szCs w:val="20"/>
              </w:rPr>
            </w:pPr>
            <w:r w:rsidRPr="00B42088">
              <w:rPr>
                <w:b/>
                <w:bCs/>
                <w:sz w:val="20"/>
                <w:szCs w:val="20"/>
              </w:rPr>
              <w:t> </w:t>
            </w:r>
          </w:p>
        </w:tc>
        <w:tc>
          <w:tcPr>
            <w:tcW w:w="1054" w:type="dxa"/>
            <w:shd w:val="clear" w:color="auto" w:fill="D9D9D9"/>
            <w:vAlign w:val="bottom"/>
          </w:tcPr>
          <w:p w:rsidRPr="00B42088" w:rsidR="009248F2" w:rsidP="009248F2" w:rsidRDefault="009248F2" w14:paraId="263A5244" w14:textId="77777777">
            <w:pPr>
              <w:pStyle w:val="Response"/>
              <w:rPr>
                <w:b/>
                <w:sz w:val="20"/>
                <w:szCs w:val="20"/>
              </w:rPr>
            </w:pPr>
            <w:r w:rsidRPr="00B42088">
              <w:rPr>
                <w:b/>
                <w:bCs/>
                <w:sz w:val="20"/>
                <w:szCs w:val="20"/>
              </w:rPr>
              <w:t>16,251</w:t>
            </w:r>
          </w:p>
        </w:tc>
        <w:tc>
          <w:tcPr>
            <w:tcW w:w="1009" w:type="dxa"/>
            <w:shd w:val="clear" w:color="auto" w:fill="D9D9D9"/>
            <w:vAlign w:val="bottom"/>
          </w:tcPr>
          <w:p w:rsidRPr="00B42088" w:rsidR="009248F2" w:rsidP="009248F2" w:rsidRDefault="009248F2" w14:paraId="2672D0CC" w14:textId="77777777">
            <w:pPr>
              <w:pStyle w:val="Response"/>
              <w:rPr>
                <w:b/>
                <w:sz w:val="20"/>
                <w:szCs w:val="20"/>
              </w:rPr>
            </w:pPr>
            <w:r w:rsidRPr="00B42088">
              <w:rPr>
                <w:b/>
                <w:bCs/>
                <w:sz w:val="20"/>
                <w:szCs w:val="20"/>
              </w:rPr>
              <w:t> </w:t>
            </w:r>
          </w:p>
        </w:tc>
        <w:tc>
          <w:tcPr>
            <w:tcW w:w="1228" w:type="dxa"/>
            <w:shd w:val="clear" w:color="auto" w:fill="D9D9D9"/>
            <w:vAlign w:val="bottom"/>
          </w:tcPr>
          <w:p w:rsidRPr="00B42088" w:rsidR="009248F2" w:rsidP="00092C17" w:rsidRDefault="009248F2" w14:paraId="1DC0F0A3" w14:textId="5B687C61">
            <w:pPr>
              <w:pStyle w:val="Response"/>
              <w:rPr>
                <w:b/>
                <w:sz w:val="20"/>
                <w:szCs w:val="20"/>
              </w:rPr>
            </w:pPr>
            <w:r w:rsidRPr="00B42088">
              <w:rPr>
                <w:b/>
                <w:bCs/>
                <w:sz w:val="20"/>
                <w:szCs w:val="20"/>
              </w:rPr>
              <w:t>$854,54</w:t>
            </w:r>
            <w:r w:rsidR="00092C17">
              <w:rPr>
                <w:b/>
                <w:bCs/>
                <w:sz w:val="20"/>
                <w:szCs w:val="20"/>
              </w:rPr>
              <w:t>8</w:t>
            </w:r>
            <w:r w:rsidRPr="00B42088">
              <w:rPr>
                <w:b/>
                <w:bCs/>
                <w:sz w:val="20"/>
                <w:szCs w:val="20"/>
              </w:rPr>
              <w:t xml:space="preserve"> </w:t>
            </w:r>
          </w:p>
        </w:tc>
      </w:tr>
    </w:tbl>
    <w:p w:rsidRPr="00C87128" w:rsidR="00FE0A3E" w:rsidP="00FE0A3E" w:rsidRDefault="00FE0A3E" w14:paraId="5A21502D" w14:textId="77777777">
      <w:pPr>
        <w:rPr>
          <w:rFonts w:eastAsia="Calibri"/>
          <w:b/>
          <w:sz w:val="24"/>
          <w:szCs w:val="24"/>
        </w:rPr>
      </w:pPr>
    </w:p>
    <w:p w:rsidR="00FE0A3E" w:rsidP="00FE0A3E" w:rsidRDefault="00FE0A3E" w14:paraId="4B0DB0BA" w14:textId="77777777">
      <w:pPr>
        <w:rPr>
          <w:rFonts w:eastAsia="Calibri"/>
          <w:sz w:val="24"/>
          <w:szCs w:val="24"/>
        </w:rPr>
      </w:pPr>
    </w:p>
    <w:p w:rsidR="00427D81" w:rsidP="00FE0A3E" w:rsidRDefault="00427D81" w14:paraId="6741BC5D" w14:textId="77777777">
      <w:pPr>
        <w:rPr>
          <w:rFonts w:eastAsia="Calibri"/>
          <w:sz w:val="24"/>
          <w:szCs w:val="24"/>
        </w:rPr>
      </w:pPr>
    </w:p>
    <w:p w:rsidR="00427D81" w:rsidP="00FE0A3E" w:rsidRDefault="00427D81" w14:paraId="5FE43218" w14:textId="77777777">
      <w:pPr>
        <w:rPr>
          <w:rFonts w:eastAsia="Calibri"/>
          <w:sz w:val="24"/>
          <w:szCs w:val="24"/>
        </w:rPr>
      </w:pPr>
    </w:p>
    <w:p w:rsidR="00427D81" w:rsidP="00FE0A3E" w:rsidRDefault="00427D81" w14:paraId="5062BBA7" w14:textId="77777777">
      <w:pPr>
        <w:rPr>
          <w:rFonts w:eastAsia="Calibri"/>
          <w:sz w:val="24"/>
          <w:szCs w:val="24"/>
        </w:rPr>
      </w:pPr>
    </w:p>
    <w:p w:rsidR="00427D81" w:rsidP="00FE0A3E" w:rsidRDefault="00427D81" w14:paraId="76C5D5F3" w14:textId="77777777">
      <w:pPr>
        <w:rPr>
          <w:rFonts w:eastAsia="Calibri"/>
          <w:b/>
        </w:rPr>
        <w:sectPr w:rsidR="00427D81" w:rsidSect="00427D81">
          <w:pgSz w:w="15840" w:h="12240" w:orient="landscape"/>
          <w:pgMar w:top="1440" w:right="1440" w:bottom="1440" w:left="1440" w:header="720" w:footer="720" w:gutter="0"/>
          <w:cols w:space="720"/>
          <w:docGrid w:linePitch="360"/>
        </w:sectPr>
      </w:pPr>
    </w:p>
    <w:p w:rsidRPr="003C27DC" w:rsidR="00FE0A3E" w:rsidP="00FE0A3E" w:rsidRDefault="00FE0A3E" w14:paraId="1EADB4C7" w14:textId="77777777">
      <w:pPr>
        <w:rPr>
          <w:rFonts w:eastAsia="Calibri"/>
          <w:b/>
          <w:sz w:val="24"/>
          <w:szCs w:val="24"/>
        </w:rPr>
      </w:pPr>
      <w:r w:rsidRPr="003C27DC">
        <w:rPr>
          <w:rFonts w:eastAsia="Calibri"/>
          <w:b/>
          <w:sz w:val="24"/>
          <w:szCs w:val="24"/>
        </w:rPr>
        <w:lastRenderedPageBreak/>
        <w:t>13.  Provide an estimate of the total annual cost burden to respondents or recordkeepers resulting from the collection of information.  (Do not include the cost of any hour burden shown in Items 12 and 14).</w:t>
      </w:r>
    </w:p>
    <w:p w:rsidRPr="003C27DC" w:rsidR="00FE0A3E" w:rsidP="00FE0A3E" w:rsidRDefault="00FE0A3E" w14:paraId="08FD068B" w14:textId="77777777">
      <w:pPr>
        <w:rPr>
          <w:rFonts w:eastAsia="Calibri"/>
          <w:b/>
          <w:sz w:val="24"/>
          <w:szCs w:val="24"/>
        </w:rPr>
      </w:pPr>
    </w:p>
    <w:p w:rsidRPr="003C27DC" w:rsidR="00FE0A3E" w:rsidP="00FE0A3E" w:rsidRDefault="00FE0A3E" w14:paraId="6DF0CA93" w14:textId="77777777">
      <w:pPr>
        <w:contextualSpacing/>
        <w:rPr>
          <w:rFonts w:eastAsia="Calibri"/>
          <w:b/>
          <w:sz w:val="24"/>
          <w:szCs w:val="24"/>
        </w:rPr>
      </w:pPr>
      <w:r w:rsidRPr="003C27DC">
        <w:rPr>
          <w:rFonts w:eastAsia="Calibri"/>
          <w:b/>
          <w:sz w:val="24"/>
          <w:szCs w:val="24"/>
        </w:rPr>
        <w:t>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C27DC" w:rsidR="00FE0A3E" w:rsidP="00FE0A3E" w:rsidRDefault="00FE0A3E" w14:paraId="49985F90" w14:textId="77777777">
      <w:pPr>
        <w:rPr>
          <w:rFonts w:eastAsia="Calibri"/>
          <w:b/>
          <w:sz w:val="24"/>
          <w:szCs w:val="24"/>
        </w:rPr>
      </w:pPr>
    </w:p>
    <w:p w:rsidRPr="003C27DC" w:rsidR="00FE0A3E" w:rsidP="00FE0A3E" w:rsidRDefault="00FE0A3E" w14:paraId="75970262" w14:textId="77777777">
      <w:pPr>
        <w:rPr>
          <w:rFonts w:eastAsia="Calibri"/>
          <w:b/>
          <w:sz w:val="24"/>
          <w:szCs w:val="24"/>
        </w:rPr>
      </w:pPr>
      <w:r w:rsidRPr="003C27DC">
        <w:rPr>
          <w:rFonts w:eastAsia="Calibri"/>
          <w:b/>
          <w:sz w:val="24"/>
          <w:szCs w:val="24"/>
        </w:rPr>
        <w:t>If cost estimates are expected to vary widely, agencies should present ranges of cost burdens and explain the reasons for the variance.  The cost of purchasing or contracting out information m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Pr="003C27DC" w:rsidR="00FE0A3E" w:rsidP="00FE0A3E" w:rsidRDefault="00FE0A3E" w14:paraId="3D435918" w14:textId="77777777">
      <w:pPr>
        <w:rPr>
          <w:rFonts w:eastAsia="Calibri"/>
          <w:b/>
          <w:sz w:val="24"/>
          <w:szCs w:val="24"/>
        </w:rPr>
      </w:pPr>
    </w:p>
    <w:p w:rsidRPr="003C27DC" w:rsidR="00FE0A3E" w:rsidP="00FE0A3E" w:rsidRDefault="00FE0A3E" w14:paraId="5BBDD259" w14:textId="77777777">
      <w:pPr>
        <w:contextualSpacing/>
        <w:rPr>
          <w:rFonts w:eastAsia="Calibri"/>
          <w:b/>
          <w:sz w:val="24"/>
          <w:szCs w:val="24"/>
        </w:rPr>
      </w:pPr>
      <w:r w:rsidRPr="003C27DC">
        <w:rPr>
          <w:rFonts w:eastAsia="Calibri"/>
          <w:b/>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E0A3E" w:rsidR="00FE0A3E" w:rsidP="00FE0A3E" w:rsidRDefault="00FE0A3E" w14:paraId="1C3B7800" w14:textId="77777777">
      <w:pPr>
        <w:rPr>
          <w:rFonts w:eastAsia="Calibri"/>
          <w:b/>
          <w:sz w:val="24"/>
          <w:szCs w:val="24"/>
        </w:rPr>
      </w:pPr>
    </w:p>
    <w:p w:rsidRPr="00FE0A3E" w:rsidR="00FE0A3E" w:rsidP="00FE0A3E" w:rsidRDefault="00FE0A3E" w14:paraId="30775F68" w14:textId="371C9A22">
      <w:pPr>
        <w:rPr>
          <w:rFonts w:eastAsia="Calibri"/>
          <w:sz w:val="24"/>
          <w:szCs w:val="24"/>
        </w:rPr>
      </w:pPr>
      <w:r w:rsidRPr="00FE0A3E">
        <w:rPr>
          <w:rFonts w:eastAsia="Calibri"/>
          <w:sz w:val="24"/>
          <w:szCs w:val="24"/>
        </w:rPr>
        <w:t>All costs under this item for complying with the Standard are included under those cost</w:t>
      </w:r>
      <w:r w:rsidR="00F5644F">
        <w:rPr>
          <w:rFonts w:eastAsia="Calibri"/>
          <w:sz w:val="24"/>
          <w:szCs w:val="24"/>
        </w:rPr>
        <w:t>s</w:t>
      </w:r>
      <w:r w:rsidRPr="00FE0A3E">
        <w:rPr>
          <w:rFonts w:eastAsia="Calibri"/>
          <w:sz w:val="24"/>
          <w:szCs w:val="24"/>
        </w:rPr>
        <w:t xml:space="preserve"> in Item 12.</w:t>
      </w:r>
      <w:r w:rsidR="00322DB6">
        <w:rPr>
          <w:rFonts w:eastAsia="Calibri"/>
          <w:sz w:val="24"/>
          <w:szCs w:val="24"/>
        </w:rPr>
        <w:t xml:space="preserve">  There are no costs to the respondent other than their </w:t>
      </w:r>
      <w:r w:rsidR="000D5D12">
        <w:rPr>
          <w:rFonts w:eastAsia="Calibri"/>
          <w:sz w:val="24"/>
          <w:szCs w:val="24"/>
        </w:rPr>
        <w:t>time.</w:t>
      </w:r>
    </w:p>
    <w:p w:rsidRPr="00FE0A3E" w:rsidR="00FE0A3E" w:rsidP="00FE0A3E" w:rsidRDefault="00FE0A3E" w14:paraId="6E93F697" w14:textId="77777777">
      <w:pPr>
        <w:rPr>
          <w:rFonts w:eastAsia="Calibri"/>
          <w:sz w:val="24"/>
          <w:szCs w:val="24"/>
        </w:rPr>
      </w:pPr>
    </w:p>
    <w:p w:rsidRPr="003C27DC" w:rsidR="00FE0A3E" w:rsidP="00FE0A3E" w:rsidRDefault="00FE0A3E" w14:paraId="3D67E894" w14:textId="77777777">
      <w:pPr>
        <w:rPr>
          <w:rFonts w:eastAsia="Calibri"/>
          <w:b/>
          <w:sz w:val="24"/>
          <w:szCs w:val="24"/>
        </w:rPr>
      </w:pPr>
      <w:r w:rsidRPr="003C27DC">
        <w:rPr>
          <w:rFonts w:eastAsia="Calibri"/>
          <w:b/>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 12, 13, and 14 into a single table.</w:t>
      </w:r>
    </w:p>
    <w:p w:rsidRPr="00FE0A3E" w:rsidR="00FE0A3E" w:rsidP="00FE0A3E" w:rsidRDefault="00FE0A3E" w14:paraId="56525AFE" w14:textId="77777777">
      <w:pPr>
        <w:rPr>
          <w:rFonts w:eastAsia="Calibri"/>
          <w:b/>
          <w:sz w:val="24"/>
          <w:szCs w:val="24"/>
        </w:rPr>
      </w:pPr>
    </w:p>
    <w:p w:rsidR="00D362F6" w:rsidP="00D362F6" w:rsidRDefault="00AC7133" w14:paraId="3079AB53" w14:textId="77777777">
      <w:pPr>
        <w:pStyle w:val="Response"/>
      </w:pPr>
      <w:r>
        <w:t>There is no cost to the Federal Government</w:t>
      </w:r>
      <w:r w:rsidR="00D362F6">
        <w:t>.</w:t>
      </w:r>
    </w:p>
    <w:p w:rsidRPr="003C27DC" w:rsidR="00FE0A3E" w:rsidP="00FE0A3E" w:rsidRDefault="00FE0A3E" w14:paraId="46AE5BF4" w14:textId="77777777">
      <w:pPr>
        <w:rPr>
          <w:rFonts w:eastAsia="Calibri"/>
          <w:b/>
          <w:sz w:val="24"/>
          <w:szCs w:val="24"/>
        </w:rPr>
      </w:pPr>
      <w:r w:rsidRPr="003C27DC">
        <w:rPr>
          <w:rFonts w:eastAsia="Calibri"/>
          <w:b/>
          <w:sz w:val="24"/>
          <w:szCs w:val="24"/>
        </w:rPr>
        <w:t>15.  Explain the reasons for any program changes or adjustments.</w:t>
      </w:r>
    </w:p>
    <w:p w:rsidRPr="005C110A" w:rsidR="00FE0A3E" w:rsidP="00FE0A3E" w:rsidRDefault="00FE0A3E" w14:paraId="2A0A8073" w14:textId="77777777">
      <w:pPr>
        <w:rPr>
          <w:rFonts w:eastAsia="Calibri"/>
          <w:b/>
          <w:sz w:val="24"/>
          <w:szCs w:val="24"/>
        </w:rPr>
      </w:pPr>
    </w:p>
    <w:p w:rsidR="006D2DC0" w:rsidP="00FE0A3E" w:rsidRDefault="00FE0A3E" w14:paraId="6FEE8953" w14:textId="77777777">
      <w:pPr>
        <w:rPr>
          <w:rFonts w:eastAsia="Calibri"/>
          <w:sz w:val="24"/>
          <w:szCs w:val="24"/>
        </w:rPr>
      </w:pPr>
      <w:r w:rsidRPr="00FE0A3E">
        <w:rPr>
          <w:rFonts w:eastAsia="Calibri"/>
          <w:sz w:val="24"/>
          <w:szCs w:val="24"/>
        </w:rPr>
        <w:t xml:space="preserve">OSHA is requesting an adjustment increase from </w:t>
      </w:r>
      <w:r w:rsidR="0016070C">
        <w:rPr>
          <w:rFonts w:eastAsia="Calibri"/>
          <w:sz w:val="24"/>
          <w:szCs w:val="24"/>
        </w:rPr>
        <w:t>6,603</w:t>
      </w:r>
      <w:r w:rsidRPr="00FE0A3E">
        <w:rPr>
          <w:rFonts w:eastAsia="Calibri"/>
          <w:sz w:val="24"/>
          <w:szCs w:val="24"/>
        </w:rPr>
        <w:t xml:space="preserve"> </w:t>
      </w:r>
      <w:r w:rsidR="006473C1">
        <w:rPr>
          <w:rFonts w:eastAsia="Calibri"/>
          <w:sz w:val="24"/>
          <w:szCs w:val="24"/>
        </w:rPr>
        <w:t xml:space="preserve">to </w:t>
      </w:r>
      <w:r w:rsidR="00792563">
        <w:rPr>
          <w:rFonts w:eastAsia="Calibri"/>
          <w:sz w:val="24"/>
          <w:szCs w:val="24"/>
        </w:rPr>
        <w:t>16,2</w:t>
      </w:r>
      <w:r w:rsidR="00840AE1">
        <w:rPr>
          <w:rFonts w:eastAsia="Calibri"/>
          <w:sz w:val="24"/>
          <w:szCs w:val="24"/>
        </w:rPr>
        <w:t>51</w:t>
      </w:r>
      <w:r w:rsidR="00792563">
        <w:rPr>
          <w:rFonts w:eastAsia="Calibri"/>
          <w:sz w:val="24"/>
          <w:szCs w:val="24"/>
        </w:rPr>
        <w:t xml:space="preserve"> </w:t>
      </w:r>
      <w:r w:rsidRPr="00FE0A3E">
        <w:rPr>
          <w:rFonts w:eastAsia="Calibri"/>
          <w:sz w:val="24"/>
          <w:szCs w:val="24"/>
        </w:rPr>
        <w:t>burden hours</w:t>
      </w:r>
      <w:r w:rsidR="00840AE1">
        <w:rPr>
          <w:rFonts w:eastAsia="Calibri"/>
          <w:sz w:val="24"/>
          <w:szCs w:val="24"/>
        </w:rPr>
        <w:t>, a total di</w:t>
      </w:r>
      <w:r w:rsidR="00F5644F">
        <w:rPr>
          <w:rFonts w:eastAsia="Calibri"/>
          <w:sz w:val="24"/>
          <w:szCs w:val="24"/>
        </w:rPr>
        <w:t>f</w:t>
      </w:r>
      <w:r w:rsidR="00840AE1">
        <w:rPr>
          <w:rFonts w:eastAsia="Calibri"/>
          <w:sz w:val="24"/>
          <w:szCs w:val="24"/>
        </w:rPr>
        <w:t>ference of 9,648 burden hours</w:t>
      </w:r>
      <w:r w:rsidRPr="00FE0A3E">
        <w:rPr>
          <w:rFonts w:eastAsia="Calibri"/>
          <w:sz w:val="24"/>
          <w:szCs w:val="24"/>
        </w:rPr>
        <w:t xml:space="preserve">.  </w:t>
      </w:r>
      <w:r w:rsidR="00840AE1">
        <w:rPr>
          <w:rFonts w:eastAsia="Calibri"/>
          <w:sz w:val="24"/>
          <w:szCs w:val="24"/>
        </w:rPr>
        <w:t xml:space="preserve">The total burden hours requested are annualized over </w:t>
      </w:r>
      <w:r w:rsidR="00F5644F">
        <w:rPr>
          <w:rFonts w:eastAsia="Calibri"/>
          <w:sz w:val="24"/>
          <w:szCs w:val="24"/>
        </w:rPr>
        <w:t>three years</w:t>
      </w:r>
      <w:r w:rsidR="00840AE1">
        <w:rPr>
          <w:rFonts w:eastAsia="Calibri"/>
          <w:sz w:val="24"/>
          <w:szCs w:val="24"/>
        </w:rPr>
        <w:t xml:space="preserve">. </w:t>
      </w:r>
      <w:r w:rsidRPr="00FE0A3E">
        <w:rPr>
          <w:rFonts w:eastAsia="Calibri"/>
          <w:sz w:val="24"/>
          <w:szCs w:val="24"/>
        </w:rPr>
        <w:t xml:space="preserve">This adjustment increase is a result of </w:t>
      </w:r>
      <w:r w:rsidR="00AC7133">
        <w:rPr>
          <w:rFonts w:eastAsia="Calibri"/>
          <w:sz w:val="24"/>
          <w:szCs w:val="24"/>
        </w:rPr>
        <w:t>an increase in the number of</w:t>
      </w:r>
      <w:r w:rsidR="004F3934">
        <w:rPr>
          <w:rFonts w:eastAsia="Calibri"/>
          <w:sz w:val="24"/>
          <w:szCs w:val="24"/>
        </w:rPr>
        <w:t xml:space="preserve"> </w:t>
      </w:r>
      <w:r w:rsidR="00BF297B">
        <w:rPr>
          <w:rFonts w:eastAsia="Calibri"/>
          <w:sz w:val="24"/>
          <w:szCs w:val="24"/>
        </w:rPr>
        <w:t>affected workers in small</w:t>
      </w:r>
      <w:r w:rsidR="004F3934">
        <w:rPr>
          <w:rFonts w:eastAsia="Calibri"/>
          <w:sz w:val="24"/>
          <w:szCs w:val="24"/>
        </w:rPr>
        <w:t xml:space="preserve"> businesses</w:t>
      </w:r>
      <w:r w:rsidR="00BF297B">
        <w:rPr>
          <w:rFonts w:eastAsia="Calibri"/>
          <w:sz w:val="24"/>
          <w:szCs w:val="24"/>
        </w:rPr>
        <w:t xml:space="preserve"> </w:t>
      </w:r>
      <w:r w:rsidR="004843BE">
        <w:rPr>
          <w:rFonts w:eastAsia="Calibri"/>
          <w:sz w:val="24"/>
          <w:szCs w:val="24"/>
        </w:rPr>
        <w:t>even though</w:t>
      </w:r>
      <w:r w:rsidR="00BF297B">
        <w:rPr>
          <w:rFonts w:eastAsia="Calibri"/>
          <w:sz w:val="24"/>
          <w:szCs w:val="24"/>
        </w:rPr>
        <w:t xml:space="preserve"> the number of </w:t>
      </w:r>
      <w:r w:rsidR="004843BE">
        <w:rPr>
          <w:rFonts w:eastAsia="Calibri"/>
          <w:sz w:val="24"/>
          <w:szCs w:val="24"/>
        </w:rPr>
        <w:t>affect</w:t>
      </w:r>
      <w:r w:rsidR="003F11D9">
        <w:rPr>
          <w:rFonts w:eastAsia="Calibri"/>
          <w:sz w:val="24"/>
          <w:szCs w:val="24"/>
        </w:rPr>
        <w:t>ed</w:t>
      </w:r>
      <w:r w:rsidR="004843BE">
        <w:rPr>
          <w:rFonts w:eastAsia="Calibri"/>
          <w:sz w:val="24"/>
          <w:szCs w:val="24"/>
        </w:rPr>
        <w:t xml:space="preserve"> </w:t>
      </w:r>
      <w:r w:rsidR="00BF297B">
        <w:rPr>
          <w:rFonts w:eastAsia="Calibri"/>
          <w:sz w:val="24"/>
          <w:szCs w:val="24"/>
        </w:rPr>
        <w:t>establishments decreased</w:t>
      </w:r>
      <w:r w:rsidR="004843BE">
        <w:rPr>
          <w:rFonts w:eastAsia="Calibri"/>
          <w:sz w:val="24"/>
          <w:szCs w:val="24"/>
        </w:rPr>
        <w:t xml:space="preserve"> according to the 2017 NAICS codes</w:t>
      </w:r>
      <w:r w:rsidR="00E6170C">
        <w:rPr>
          <w:rFonts w:eastAsia="Calibri"/>
          <w:sz w:val="24"/>
          <w:szCs w:val="24"/>
        </w:rPr>
        <w:t xml:space="preserve">. </w:t>
      </w:r>
      <w:r w:rsidRPr="00FE0A3E">
        <w:rPr>
          <w:rFonts w:eastAsia="Calibri"/>
          <w:sz w:val="24"/>
          <w:szCs w:val="24"/>
        </w:rPr>
        <w:t xml:space="preserve"> </w:t>
      </w:r>
      <w:r w:rsidR="006D2DC0">
        <w:rPr>
          <w:rFonts w:eastAsia="Calibri"/>
          <w:sz w:val="24"/>
          <w:szCs w:val="24"/>
        </w:rPr>
        <w:t>See Table 4</w:t>
      </w:r>
      <w:r w:rsidR="00322DB6">
        <w:rPr>
          <w:rFonts w:eastAsia="Calibri"/>
          <w:sz w:val="24"/>
          <w:szCs w:val="24"/>
        </w:rPr>
        <w:t xml:space="preserve"> below</w:t>
      </w:r>
      <w:r w:rsidR="006D2DC0">
        <w:rPr>
          <w:rFonts w:eastAsia="Calibri"/>
          <w:sz w:val="24"/>
          <w:szCs w:val="24"/>
        </w:rPr>
        <w:t>.</w:t>
      </w:r>
    </w:p>
    <w:p w:rsidR="006D2DC0" w:rsidP="00FE0A3E" w:rsidRDefault="006D2DC0" w14:paraId="2D173548" w14:textId="77777777">
      <w:pPr>
        <w:rPr>
          <w:rFonts w:eastAsia="Calibri"/>
          <w:sz w:val="24"/>
          <w:szCs w:val="24"/>
        </w:rPr>
      </w:pPr>
    </w:p>
    <w:p w:rsidRPr="00B42088" w:rsidR="006473C1" w:rsidP="00FE0A3E" w:rsidRDefault="006473C1" w14:paraId="6E63D602" w14:textId="77777777">
      <w:pPr>
        <w:rPr>
          <w:rFonts w:eastAsia="Calibri"/>
          <w:b/>
          <w:sz w:val="24"/>
          <w:szCs w:val="24"/>
        </w:rPr>
      </w:pPr>
      <w:r w:rsidRPr="00B42088">
        <w:rPr>
          <w:rFonts w:eastAsia="Calibri"/>
          <w:b/>
          <w:sz w:val="24"/>
          <w:szCs w:val="24"/>
        </w:rPr>
        <w:t>T</w:t>
      </w:r>
      <w:r w:rsidRPr="00B42088" w:rsidR="00D0724F">
        <w:rPr>
          <w:rFonts w:eastAsia="Calibri"/>
          <w:b/>
          <w:sz w:val="24"/>
          <w:szCs w:val="24"/>
        </w:rPr>
        <w:t xml:space="preserve">able </w:t>
      </w:r>
      <w:r w:rsidR="007C548F">
        <w:rPr>
          <w:rFonts w:eastAsia="Calibri"/>
          <w:b/>
          <w:sz w:val="24"/>
          <w:szCs w:val="24"/>
        </w:rPr>
        <w:t>4</w:t>
      </w:r>
      <w:r w:rsidRPr="00B42088" w:rsidR="00D0724F">
        <w:rPr>
          <w:rFonts w:eastAsia="Calibri"/>
          <w:b/>
          <w:sz w:val="24"/>
          <w:szCs w:val="24"/>
        </w:rPr>
        <w:t xml:space="preserve"> – Explanation </w:t>
      </w:r>
      <w:r w:rsidR="00D0724F">
        <w:rPr>
          <w:rFonts w:eastAsia="Calibri"/>
          <w:b/>
          <w:sz w:val="24"/>
          <w:szCs w:val="24"/>
        </w:rPr>
        <w:t>in</w:t>
      </w:r>
      <w:r w:rsidRPr="00B42088" w:rsidR="00D0724F">
        <w:rPr>
          <w:rFonts w:eastAsia="Calibri"/>
          <w:b/>
          <w:sz w:val="24"/>
          <w:szCs w:val="24"/>
        </w:rPr>
        <w:t xml:space="preserve"> the Adjustment </w:t>
      </w:r>
      <w:r w:rsidR="00D0724F">
        <w:rPr>
          <w:rFonts w:eastAsia="Calibri"/>
          <w:b/>
          <w:sz w:val="24"/>
          <w:szCs w:val="24"/>
        </w:rPr>
        <w:t>of</w:t>
      </w:r>
      <w:r w:rsidRPr="00B42088" w:rsidR="00D0724F">
        <w:rPr>
          <w:rFonts w:eastAsia="Calibri"/>
          <w:b/>
          <w:sz w:val="24"/>
          <w:szCs w:val="24"/>
        </w:rPr>
        <w:t xml:space="preserve"> the Current and Requested Burden Hours</w:t>
      </w:r>
    </w:p>
    <w:p w:rsidR="006473C1" w:rsidP="00FE0A3E" w:rsidRDefault="006473C1" w14:paraId="0715F62D" w14:textId="77777777">
      <w:pPr>
        <w:rPr>
          <w:rFonts w:eastAsia="Calibri"/>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8"/>
        <w:gridCol w:w="1048"/>
        <w:gridCol w:w="1365"/>
        <w:gridCol w:w="1585"/>
        <w:gridCol w:w="3202"/>
      </w:tblGrid>
      <w:tr w:rsidRPr="00D51E68" w:rsidR="006473C1" w:rsidTr="00B42088" w14:paraId="0572B4ED" w14:textId="77777777">
        <w:trPr>
          <w:cantSplit/>
          <w:tblHeader/>
        </w:trPr>
        <w:tc>
          <w:tcPr>
            <w:tcW w:w="2628" w:type="dxa"/>
            <w:shd w:val="clear" w:color="auto" w:fill="C6D9F1"/>
            <w:vAlign w:val="center"/>
          </w:tcPr>
          <w:p w:rsidRPr="00D51E68" w:rsidR="006473C1" w:rsidP="006473C1" w:rsidRDefault="006473C1" w14:paraId="7091E21A" w14:textId="77777777">
            <w:pPr>
              <w:jc w:val="center"/>
              <w:rPr>
                <w:rFonts w:eastAsia="Calibri"/>
                <w:b/>
                <w:sz w:val="22"/>
                <w:szCs w:val="22"/>
              </w:rPr>
            </w:pPr>
            <w:r w:rsidRPr="00D51E68">
              <w:rPr>
                <w:rFonts w:eastAsia="Calibri"/>
                <w:b/>
                <w:sz w:val="22"/>
                <w:szCs w:val="22"/>
              </w:rPr>
              <w:t>Information Collection Requirements</w:t>
            </w:r>
          </w:p>
        </w:tc>
        <w:tc>
          <w:tcPr>
            <w:tcW w:w="1048" w:type="dxa"/>
            <w:shd w:val="clear" w:color="auto" w:fill="C6D9F1"/>
            <w:vAlign w:val="center"/>
          </w:tcPr>
          <w:p w:rsidRPr="00D51E68" w:rsidR="006473C1" w:rsidP="006473C1" w:rsidRDefault="006473C1" w14:paraId="279C03C5" w14:textId="77777777">
            <w:pPr>
              <w:jc w:val="center"/>
              <w:rPr>
                <w:rFonts w:eastAsia="Calibri"/>
                <w:b/>
                <w:sz w:val="22"/>
                <w:szCs w:val="22"/>
              </w:rPr>
            </w:pPr>
            <w:r w:rsidRPr="00D51E68">
              <w:rPr>
                <w:rFonts w:eastAsia="Calibri"/>
                <w:b/>
                <w:sz w:val="22"/>
                <w:szCs w:val="22"/>
              </w:rPr>
              <w:t>Current Burden Hours</w:t>
            </w:r>
          </w:p>
        </w:tc>
        <w:tc>
          <w:tcPr>
            <w:tcW w:w="1365" w:type="dxa"/>
            <w:shd w:val="clear" w:color="auto" w:fill="C6D9F1"/>
            <w:vAlign w:val="center"/>
          </w:tcPr>
          <w:p w:rsidRPr="00D51E68" w:rsidR="006473C1" w:rsidP="006473C1" w:rsidRDefault="006473C1" w14:paraId="27496E04" w14:textId="77777777">
            <w:pPr>
              <w:jc w:val="center"/>
              <w:rPr>
                <w:rFonts w:eastAsia="Calibri"/>
                <w:b/>
                <w:sz w:val="22"/>
                <w:szCs w:val="22"/>
              </w:rPr>
            </w:pPr>
            <w:r w:rsidRPr="00D51E68">
              <w:rPr>
                <w:rFonts w:eastAsia="Calibri"/>
                <w:b/>
                <w:sz w:val="22"/>
                <w:szCs w:val="22"/>
              </w:rPr>
              <w:t>Requested Burden Hours</w:t>
            </w:r>
          </w:p>
        </w:tc>
        <w:tc>
          <w:tcPr>
            <w:tcW w:w="1585" w:type="dxa"/>
            <w:shd w:val="clear" w:color="auto" w:fill="C6D9F1"/>
            <w:vAlign w:val="center"/>
          </w:tcPr>
          <w:p w:rsidRPr="00D51E68" w:rsidR="006473C1" w:rsidP="006473C1" w:rsidRDefault="006473C1" w14:paraId="470E53F0" w14:textId="77777777">
            <w:pPr>
              <w:jc w:val="center"/>
              <w:rPr>
                <w:rFonts w:eastAsia="Calibri"/>
                <w:b/>
                <w:sz w:val="22"/>
                <w:szCs w:val="22"/>
              </w:rPr>
            </w:pPr>
            <w:r w:rsidRPr="00D51E68">
              <w:rPr>
                <w:rFonts w:eastAsia="Calibri"/>
                <w:b/>
                <w:sz w:val="22"/>
                <w:szCs w:val="22"/>
              </w:rPr>
              <w:t>Adjustment</w:t>
            </w:r>
          </w:p>
        </w:tc>
        <w:tc>
          <w:tcPr>
            <w:tcW w:w="3202" w:type="dxa"/>
            <w:shd w:val="clear" w:color="auto" w:fill="C6D9F1"/>
            <w:vAlign w:val="center"/>
          </w:tcPr>
          <w:p w:rsidRPr="00D51E68" w:rsidR="006473C1" w:rsidP="006473C1" w:rsidRDefault="006473C1" w14:paraId="0BB6F8C8" w14:textId="77777777">
            <w:pPr>
              <w:jc w:val="center"/>
              <w:rPr>
                <w:rFonts w:eastAsia="Calibri"/>
                <w:b/>
                <w:sz w:val="22"/>
                <w:szCs w:val="22"/>
              </w:rPr>
            </w:pPr>
            <w:r w:rsidRPr="00D51E68">
              <w:rPr>
                <w:rFonts w:eastAsia="Calibri"/>
                <w:b/>
                <w:sz w:val="22"/>
                <w:szCs w:val="22"/>
              </w:rPr>
              <w:t>Explanation of Adjustment</w:t>
            </w:r>
          </w:p>
        </w:tc>
      </w:tr>
      <w:tr w:rsidRPr="00D51E68" w:rsidR="006473C1" w:rsidTr="00B42088" w14:paraId="57997036" w14:textId="77777777">
        <w:trPr>
          <w:cantSplit/>
        </w:trPr>
        <w:tc>
          <w:tcPr>
            <w:tcW w:w="2628" w:type="dxa"/>
            <w:shd w:val="clear" w:color="auto" w:fill="auto"/>
          </w:tcPr>
          <w:p w:rsidRPr="00D51E68" w:rsidR="006473C1" w:rsidP="006473C1" w:rsidRDefault="006473C1" w14:paraId="1C939847" w14:textId="77777777">
            <w:pPr>
              <w:rPr>
                <w:rFonts w:eastAsia="Calibri"/>
                <w:sz w:val="22"/>
                <w:szCs w:val="22"/>
              </w:rPr>
            </w:pPr>
            <w:r w:rsidRPr="00D51E68">
              <w:rPr>
                <w:rFonts w:eastAsia="Calibri"/>
                <w:sz w:val="22"/>
                <w:szCs w:val="22"/>
              </w:rPr>
              <w:t>1. General Provisions – Inform Contractors About the Fire Safety Plan (1915.501(d)(1)(i))</w:t>
            </w:r>
          </w:p>
        </w:tc>
        <w:tc>
          <w:tcPr>
            <w:tcW w:w="1048" w:type="dxa"/>
            <w:shd w:val="clear" w:color="auto" w:fill="auto"/>
          </w:tcPr>
          <w:p w:rsidRPr="00D51E68" w:rsidR="006473C1" w:rsidP="006473C1" w:rsidRDefault="006473C1" w14:paraId="6545ADC3" w14:textId="77777777">
            <w:pPr>
              <w:jc w:val="center"/>
              <w:rPr>
                <w:rFonts w:eastAsia="Calibri"/>
                <w:sz w:val="22"/>
                <w:szCs w:val="22"/>
              </w:rPr>
            </w:pPr>
            <w:r>
              <w:rPr>
                <w:rFonts w:eastAsia="Calibri"/>
                <w:sz w:val="22"/>
                <w:szCs w:val="22"/>
              </w:rPr>
              <w:t>350</w:t>
            </w:r>
          </w:p>
        </w:tc>
        <w:tc>
          <w:tcPr>
            <w:tcW w:w="1365" w:type="dxa"/>
            <w:shd w:val="clear" w:color="auto" w:fill="auto"/>
          </w:tcPr>
          <w:p w:rsidRPr="00D51E68" w:rsidR="006473C1" w:rsidP="006473C1" w:rsidRDefault="005B75B6" w14:paraId="3D28071A" w14:textId="77777777">
            <w:pPr>
              <w:jc w:val="center"/>
              <w:rPr>
                <w:rFonts w:eastAsia="Calibri"/>
                <w:sz w:val="22"/>
                <w:szCs w:val="22"/>
              </w:rPr>
            </w:pPr>
            <w:r>
              <w:rPr>
                <w:rFonts w:eastAsia="Calibri"/>
                <w:sz w:val="22"/>
                <w:szCs w:val="22"/>
              </w:rPr>
              <w:t>336</w:t>
            </w:r>
          </w:p>
        </w:tc>
        <w:tc>
          <w:tcPr>
            <w:tcW w:w="1585" w:type="dxa"/>
            <w:shd w:val="clear" w:color="auto" w:fill="auto"/>
          </w:tcPr>
          <w:p w:rsidRPr="00D51E68" w:rsidR="006473C1" w:rsidP="006473C1" w:rsidRDefault="00F915AB" w14:paraId="43A5548D" w14:textId="77777777">
            <w:pPr>
              <w:jc w:val="center"/>
              <w:rPr>
                <w:rFonts w:eastAsia="Calibri"/>
                <w:sz w:val="22"/>
                <w:szCs w:val="22"/>
              </w:rPr>
            </w:pPr>
            <w:r>
              <w:rPr>
                <w:rFonts w:eastAsia="Calibri"/>
                <w:sz w:val="22"/>
                <w:szCs w:val="22"/>
              </w:rPr>
              <w:t>-14</w:t>
            </w:r>
          </w:p>
        </w:tc>
        <w:tc>
          <w:tcPr>
            <w:tcW w:w="3202" w:type="dxa"/>
          </w:tcPr>
          <w:p w:rsidRPr="00D51E68" w:rsidR="006473C1" w:rsidP="00B42088" w:rsidRDefault="006473C1" w14:paraId="38A97279" w14:textId="77777777">
            <w:pPr>
              <w:rPr>
                <w:rFonts w:eastAsia="Calibri"/>
                <w:sz w:val="22"/>
                <w:szCs w:val="22"/>
              </w:rPr>
            </w:pPr>
            <w:r w:rsidRPr="00D51E68">
              <w:rPr>
                <w:rFonts w:eastAsia="Calibri"/>
                <w:sz w:val="22"/>
                <w:szCs w:val="22"/>
              </w:rPr>
              <w:t xml:space="preserve">The adjustment </w:t>
            </w:r>
            <w:r w:rsidR="00733CA3">
              <w:rPr>
                <w:rFonts w:eastAsia="Calibri"/>
                <w:sz w:val="22"/>
                <w:szCs w:val="22"/>
              </w:rPr>
              <w:t>de</w:t>
            </w:r>
            <w:r>
              <w:rPr>
                <w:rFonts w:eastAsia="Calibri"/>
                <w:sz w:val="22"/>
                <w:szCs w:val="22"/>
              </w:rPr>
              <w:t>crease</w:t>
            </w:r>
            <w:r w:rsidRPr="00D51E68">
              <w:rPr>
                <w:rFonts w:eastAsia="Calibri"/>
                <w:sz w:val="22"/>
                <w:szCs w:val="22"/>
              </w:rPr>
              <w:t xml:space="preserve"> is a result of </w:t>
            </w:r>
            <w:r w:rsidR="00733CA3">
              <w:rPr>
                <w:rFonts w:eastAsia="Calibri"/>
                <w:sz w:val="22"/>
                <w:szCs w:val="22"/>
              </w:rPr>
              <w:t>a de</w:t>
            </w:r>
            <w:r w:rsidRPr="00D51E68">
              <w:rPr>
                <w:rFonts w:eastAsia="Calibri"/>
                <w:sz w:val="22"/>
                <w:szCs w:val="22"/>
              </w:rPr>
              <w:t>crease in the number of host emp</w:t>
            </w:r>
            <w:r w:rsidR="007C548F">
              <w:rPr>
                <w:rFonts w:eastAsia="Calibri"/>
                <w:sz w:val="22"/>
                <w:szCs w:val="22"/>
              </w:rPr>
              <w:t>loyers from 175</w:t>
            </w:r>
            <w:r>
              <w:rPr>
                <w:rFonts w:eastAsia="Calibri"/>
                <w:sz w:val="22"/>
                <w:szCs w:val="22"/>
              </w:rPr>
              <w:t xml:space="preserve"> to 168</w:t>
            </w:r>
            <w:r w:rsidRPr="00D51E68">
              <w:rPr>
                <w:rFonts w:eastAsia="Calibri"/>
                <w:sz w:val="22"/>
                <w:szCs w:val="22"/>
              </w:rPr>
              <w:t xml:space="preserve"> based on updated information.</w:t>
            </w:r>
          </w:p>
        </w:tc>
      </w:tr>
      <w:tr w:rsidRPr="00D51E68" w:rsidR="006473C1" w:rsidTr="00B42088" w14:paraId="23C40EA4" w14:textId="77777777">
        <w:trPr>
          <w:cantSplit/>
        </w:trPr>
        <w:tc>
          <w:tcPr>
            <w:tcW w:w="2628" w:type="dxa"/>
            <w:shd w:val="clear" w:color="auto" w:fill="auto"/>
          </w:tcPr>
          <w:p w:rsidRPr="00D51E68" w:rsidR="006473C1" w:rsidP="006473C1" w:rsidRDefault="006473C1" w14:paraId="3472A2CE" w14:textId="77777777">
            <w:pPr>
              <w:rPr>
                <w:rFonts w:eastAsia="Calibri"/>
                <w:sz w:val="22"/>
                <w:szCs w:val="22"/>
              </w:rPr>
            </w:pPr>
            <w:r w:rsidRPr="00D51E68">
              <w:rPr>
                <w:rFonts w:eastAsia="Calibri"/>
                <w:sz w:val="22"/>
                <w:szCs w:val="22"/>
              </w:rPr>
              <w:t xml:space="preserve">2. Develop </w:t>
            </w:r>
            <w:r w:rsidR="00F5644F">
              <w:rPr>
                <w:rFonts w:eastAsia="Calibri"/>
                <w:sz w:val="22"/>
                <w:szCs w:val="22"/>
              </w:rPr>
              <w:t xml:space="preserve">a </w:t>
            </w:r>
            <w:r w:rsidRPr="00D51E68">
              <w:rPr>
                <w:rFonts w:eastAsia="Calibri"/>
                <w:sz w:val="22"/>
                <w:szCs w:val="22"/>
              </w:rPr>
              <w:t>Fire Safety Plan (1915.502(a))</w:t>
            </w:r>
          </w:p>
        </w:tc>
        <w:tc>
          <w:tcPr>
            <w:tcW w:w="1048" w:type="dxa"/>
            <w:shd w:val="clear" w:color="auto" w:fill="auto"/>
          </w:tcPr>
          <w:p w:rsidRPr="00D51E68" w:rsidR="006473C1" w:rsidP="006473C1" w:rsidRDefault="006473C1" w14:paraId="2CDC94D9" w14:textId="77777777">
            <w:pPr>
              <w:jc w:val="center"/>
              <w:rPr>
                <w:rFonts w:eastAsia="Calibri"/>
                <w:sz w:val="22"/>
                <w:szCs w:val="22"/>
              </w:rPr>
            </w:pPr>
            <w:r>
              <w:rPr>
                <w:rFonts w:eastAsia="Calibri"/>
                <w:sz w:val="22"/>
                <w:szCs w:val="22"/>
              </w:rPr>
              <w:t>766</w:t>
            </w:r>
          </w:p>
        </w:tc>
        <w:tc>
          <w:tcPr>
            <w:tcW w:w="1365" w:type="dxa"/>
            <w:shd w:val="clear" w:color="auto" w:fill="auto"/>
          </w:tcPr>
          <w:p w:rsidRPr="00D51E68" w:rsidR="006473C1" w:rsidP="00D12B26" w:rsidRDefault="00D12B26" w14:paraId="254724C5" w14:textId="77777777">
            <w:pPr>
              <w:jc w:val="center"/>
              <w:rPr>
                <w:rFonts w:eastAsia="Calibri"/>
                <w:sz w:val="22"/>
                <w:szCs w:val="22"/>
              </w:rPr>
            </w:pPr>
            <w:r>
              <w:rPr>
                <w:rFonts w:eastAsia="Calibri"/>
                <w:sz w:val="22"/>
                <w:szCs w:val="22"/>
              </w:rPr>
              <w:t>597.4</w:t>
            </w:r>
          </w:p>
        </w:tc>
        <w:tc>
          <w:tcPr>
            <w:tcW w:w="1585" w:type="dxa"/>
            <w:shd w:val="clear" w:color="auto" w:fill="auto"/>
          </w:tcPr>
          <w:p w:rsidRPr="00D51E68" w:rsidR="006473C1" w:rsidP="00D12B26" w:rsidRDefault="00F915AB" w14:paraId="355A6E89" w14:textId="77777777">
            <w:pPr>
              <w:jc w:val="center"/>
              <w:rPr>
                <w:rFonts w:eastAsia="Calibri"/>
                <w:sz w:val="22"/>
                <w:szCs w:val="22"/>
              </w:rPr>
            </w:pPr>
            <w:r>
              <w:rPr>
                <w:rFonts w:eastAsia="Calibri"/>
                <w:sz w:val="22"/>
                <w:szCs w:val="22"/>
              </w:rPr>
              <w:t>-</w:t>
            </w:r>
            <w:r w:rsidR="00D12B26">
              <w:rPr>
                <w:rFonts w:eastAsia="Calibri"/>
                <w:sz w:val="22"/>
                <w:szCs w:val="22"/>
              </w:rPr>
              <w:t>168.6</w:t>
            </w:r>
          </w:p>
        </w:tc>
        <w:tc>
          <w:tcPr>
            <w:tcW w:w="3202" w:type="dxa"/>
          </w:tcPr>
          <w:p w:rsidRPr="00D51E68" w:rsidR="006473C1" w:rsidP="00B42088" w:rsidRDefault="006473C1" w14:paraId="694F56DB" w14:textId="77777777">
            <w:pPr>
              <w:rPr>
                <w:rFonts w:eastAsia="Calibri"/>
                <w:sz w:val="22"/>
                <w:szCs w:val="22"/>
              </w:rPr>
            </w:pPr>
            <w:r w:rsidRPr="00D51E68">
              <w:rPr>
                <w:rFonts w:eastAsia="Calibri"/>
                <w:sz w:val="22"/>
                <w:szCs w:val="22"/>
              </w:rPr>
              <w:t xml:space="preserve">The adjustment </w:t>
            </w:r>
            <w:r w:rsidR="00733CA3">
              <w:rPr>
                <w:rFonts w:eastAsia="Calibri"/>
                <w:sz w:val="22"/>
                <w:szCs w:val="22"/>
              </w:rPr>
              <w:t>de</w:t>
            </w:r>
            <w:r>
              <w:rPr>
                <w:rFonts w:eastAsia="Calibri"/>
                <w:sz w:val="22"/>
                <w:szCs w:val="22"/>
              </w:rPr>
              <w:t>crease</w:t>
            </w:r>
            <w:r w:rsidRPr="00D51E68">
              <w:rPr>
                <w:rFonts w:eastAsia="Calibri"/>
                <w:sz w:val="22"/>
                <w:szCs w:val="22"/>
              </w:rPr>
              <w:t xml:space="preserve"> in burden hours is a result of the </w:t>
            </w:r>
            <w:r w:rsidR="00733CA3">
              <w:rPr>
                <w:rFonts w:eastAsia="Calibri"/>
                <w:sz w:val="22"/>
                <w:szCs w:val="22"/>
              </w:rPr>
              <w:t>de</w:t>
            </w:r>
            <w:r>
              <w:rPr>
                <w:rFonts w:eastAsia="Calibri"/>
                <w:sz w:val="22"/>
                <w:szCs w:val="22"/>
              </w:rPr>
              <w:t>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6473C1" w:rsidTr="00B42088" w14:paraId="54DEC00C" w14:textId="77777777">
        <w:trPr>
          <w:cantSplit/>
        </w:trPr>
        <w:tc>
          <w:tcPr>
            <w:tcW w:w="2628" w:type="dxa"/>
            <w:shd w:val="clear" w:color="auto" w:fill="auto"/>
          </w:tcPr>
          <w:p w:rsidRPr="00D51E68" w:rsidR="006473C1" w:rsidP="006473C1" w:rsidRDefault="006473C1" w14:paraId="33725F74" w14:textId="77777777">
            <w:pPr>
              <w:rPr>
                <w:rFonts w:eastAsia="Calibri"/>
                <w:sz w:val="22"/>
                <w:szCs w:val="22"/>
              </w:rPr>
            </w:pPr>
            <w:r w:rsidRPr="00D51E68">
              <w:rPr>
                <w:rFonts w:eastAsia="Calibri"/>
                <w:sz w:val="22"/>
                <w:szCs w:val="22"/>
              </w:rPr>
              <w:t>3. Review Fire Safety Plan w</w:t>
            </w:r>
            <w:r w:rsidR="003F11D9">
              <w:rPr>
                <w:rFonts w:eastAsia="Calibri"/>
                <w:sz w:val="22"/>
                <w:szCs w:val="22"/>
              </w:rPr>
              <w:t xml:space="preserve">ith the </w:t>
            </w:r>
            <w:r w:rsidRPr="00D51E68">
              <w:rPr>
                <w:rFonts w:eastAsia="Calibri"/>
                <w:sz w:val="22"/>
                <w:szCs w:val="22"/>
              </w:rPr>
              <w:t>Workers (1915.502(c))</w:t>
            </w:r>
          </w:p>
        </w:tc>
        <w:tc>
          <w:tcPr>
            <w:tcW w:w="1048" w:type="dxa"/>
            <w:shd w:val="clear" w:color="auto" w:fill="auto"/>
          </w:tcPr>
          <w:p w:rsidRPr="00D51E68" w:rsidR="006473C1" w:rsidP="006473C1" w:rsidRDefault="006473C1" w14:paraId="45C4AF9F" w14:textId="77777777">
            <w:pPr>
              <w:jc w:val="center"/>
              <w:rPr>
                <w:rFonts w:eastAsia="Calibri"/>
                <w:sz w:val="22"/>
                <w:szCs w:val="22"/>
              </w:rPr>
            </w:pPr>
            <w:r>
              <w:rPr>
                <w:rFonts w:eastAsia="Calibri"/>
                <w:sz w:val="22"/>
                <w:szCs w:val="22"/>
              </w:rPr>
              <w:t>1,855</w:t>
            </w:r>
          </w:p>
        </w:tc>
        <w:tc>
          <w:tcPr>
            <w:tcW w:w="1365" w:type="dxa"/>
            <w:shd w:val="clear" w:color="auto" w:fill="auto"/>
          </w:tcPr>
          <w:p w:rsidRPr="00D51E68" w:rsidR="006473C1" w:rsidP="006473C1" w:rsidRDefault="005B75B6" w14:paraId="25922F5F" w14:textId="77777777">
            <w:pPr>
              <w:jc w:val="center"/>
              <w:rPr>
                <w:rFonts w:eastAsia="Calibri"/>
                <w:sz w:val="22"/>
                <w:szCs w:val="22"/>
              </w:rPr>
            </w:pPr>
            <w:r>
              <w:rPr>
                <w:rFonts w:eastAsia="Calibri"/>
                <w:sz w:val="22"/>
                <w:szCs w:val="22"/>
              </w:rPr>
              <w:t>6,311.75</w:t>
            </w:r>
          </w:p>
        </w:tc>
        <w:tc>
          <w:tcPr>
            <w:tcW w:w="1585" w:type="dxa"/>
            <w:shd w:val="clear" w:color="auto" w:fill="auto"/>
          </w:tcPr>
          <w:p w:rsidRPr="00D51E68" w:rsidR="006473C1" w:rsidP="006473C1" w:rsidRDefault="006F7F55" w14:paraId="7430035C" w14:textId="77777777">
            <w:pPr>
              <w:jc w:val="center"/>
              <w:rPr>
                <w:rFonts w:eastAsia="Calibri"/>
                <w:sz w:val="22"/>
                <w:szCs w:val="22"/>
              </w:rPr>
            </w:pPr>
            <w:r>
              <w:rPr>
                <w:rFonts w:eastAsia="Calibri"/>
                <w:sz w:val="22"/>
                <w:szCs w:val="22"/>
              </w:rPr>
              <w:t>4,456.</w:t>
            </w:r>
            <w:r w:rsidR="00F915AB">
              <w:rPr>
                <w:rFonts w:eastAsia="Calibri"/>
                <w:sz w:val="22"/>
                <w:szCs w:val="22"/>
              </w:rPr>
              <w:t>75</w:t>
            </w:r>
          </w:p>
        </w:tc>
        <w:tc>
          <w:tcPr>
            <w:tcW w:w="3202" w:type="dxa"/>
          </w:tcPr>
          <w:p w:rsidRPr="00D51E68" w:rsidR="006473C1" w:rsidP="00B42088" w:rsidRDefault="00733CA3" w14:paraId="70FDD4EF" w14:textId="77777777">
            <w:pPr>
              <w:rPr>
                <w:rFonts w:eastAsia="Calibri"/>
                <w:sz w:val="22"/>
                <w:szCs w:val="22"/>
              </w:rPr>
            </w:pPr>
            <w:r>
              <w:rPr>
                <w:rFonts w:eastAsia="Calibri"/>
                <w:sz w:val="22"/>
                <w:szCs w:val="22"/>
              </w:rPr>
              <w:t>The adjustment</w:t>
            </w:r>
            <w:r w:rsidRPr="00D51E68" w:rsidR="006473C1">
              <w:rPr>
                <w:rFonts w:eastAsia="Calibri"/>
                <w:sz w:val="22"/>
                <w:szCs w:val="22"/>
              </w:rPr>
              <w:t xml:space="preserve"> increase </w:t>
            </w:r>
            <w:r>
              <w:rPr>
                <w:rFonts w:eastAsia="Calibri"/>
                <w:sz w:val="22"/>
                <w:szCs w:val="22"/>
              </w:rPr>
              <w:t>is</w:t>
            </w:r>
            <w:r w:rsidRPr="00D51E68" w:rsidR="006473C1">
              <w:rPr>
                <w:rFonts w:eastAsia="Calibri"/>
                <w:sz w:val="22"/>
                <w:szCs w:val="22"/>
              </w:rPr>
              <w:t xml:space="preserve"> the </w:t>
            </w:r>
            <w:r>
              <w:rPr>
                <w:rFonts w:eastAsia="Calibri"/>
                <w:sz w:val="22"/>
                <w:szCs w:val="22"/>
              </w:rPr>
              <w:t>result of an increase in</w:t>
            </w:r>
            <w:r w:rsidRPr="00D51E68" w:rsidR="006473C1">
              <w:rPr>
                <w:rFonts w:eastAsia="Calibri"/>
                <w:sz w:val="22"/>
                <w:szCs w:val="22"/>
              </w:rPr>
              <w:t xml:space="preserve"> the numb</w:t>
            </w:r>
            <w:r w:rsidR="00F5644F">
              <w:rPr>
                <w:rFonts w:eastAsia="Calibri"/>
                <w:sz w:val="22"/>
                <w:szCs w:val="22"/>
              </w:rPr>
              <w:t>e</w:t>
            </w:r>
            <w:r w:rsidRPr="00D51E68" w:rsidR="006473C1">
              <w:rPr>
                <w:rFonts w:eastAsia="Calibri"/>
                <w:sz w:val="22"/>
                <w:szCs w:val="22"/>
              </w:rPr>
              <w:t>r of workers affected.</w:t>
            </w:r>
          </w:p>
        </w:tc>
      </w:tr>
      <w:tr w:rsidRPr="00D51E68" w:rsidR="00733CA3" w:rsidTr="00B42088" w14:paraId="31A4BAA4" w14:textId="77777777">
        <w:trPr>
          <w:cantSplit/>
        </w:trPr>
        <w:tc>
          <w:tcPr>
            <w:tcW w:w="2628" w:type="dxa"/>
            <w:shd w:val="clear" w:color="auto" w:fill="auto"/>
          </w:tcPr>
          <w:p w:rsidRPr="00D51E68" w:rsidR="00733CA3" w:rsidP="00733CA3" w:rsidRDefault="00733CA3" w14:paraId="007A6381" w14:textId="77777777">
            <w:pPr>
              <w:rPr>
                <w:rFonts w:eastAsia="Calibri"/>
                <w:sz w:val="22"/>
                <w:szCs w:val="22"/>
              </w:rPr>
            </w:pPr>
            <w:r w:rsidRPr="00D51E68">
              <w:rPr>
                <w:rFonts w:eastAsia="Calibri"/>
                <w:sz w:val="22"/>
                <w:szCs w:val="22"/>
              </w:rPr>
              <w:t>4. Post Fire Safety Plan (1915.502(d)(1))</w:t>
            </w:r>
          </w:p>
        </w:tc>
        <w:tc>
          <w:tcPr>
            <w:tcW w:w="1048" w:type="dxa"/>
            <w:shd w:val="clear" w:color="auto" w:fill="auto"/>
          </w:tcPr>
          <w:p w:rsidRPr="00D51E68" w:rsidR="00733CA3" w:rsidP="00733CA3" w:rsidRDefault="00733CA3" w14:paraId="724808DA" w14:textId="77777777">
            <w:pPr>
              <w:jc w:val="center"/>
              <w:rPr>
                <w:rFonts w:eastAsia="Calibri"/>
                <w:sz w:val="22"/>
                <w:szCs w:val="22"/>
              </w:rPr>
            </w:pPr>
            <w:r w:rsidRPr="00D51E68">
              <w:rPr>
                <w:rFonts w:eastAsia="Calibri"/>
                <w:sz w:val="22"/>
                <w:szCs w:val="22"/>
              </w:rPr>
              <w:t>24</w:t>
            </w:r>
          </w:p>
        </w:tc>
        <w:tc>
          <w:tcPr>
            <w:tcW w:w="1365" w:type="dxa"/>
            <w:shd w:val="clear" w:color="auto" w:fill="auto"/>
          </w:tcPr>
          <w:p w:rsidRPr="00D51E68" w:rsidR="00733CA3" w:rsidP="00733CA3" w:rsidRDefault="00733CA3" w14:paraId="50888DDA" w14:textId="77777777">
            <w:pPr>
              <w:jc w:val="center"/>
              <w:rPr>
                <w:rFonts w:eastAsia="Calibri"/>
                <w:sz w:val="22"/>
                <w:szCs w:val="22"/>
              </w:rPr>
            </w:pPr>
            <w:r>
              <w:rPr>
                <w:rFonts w:eastAsia="Calibri"/>
                <w:sz w:val="22"/>
                <w:szCs w:val="22"/>
              </w:rPr>
              <w:t>21.08</w:t>
            </w:r>
          </w:p>
        </w:tc>
        <w:tc>
          <w:tcPr>
            <w:tcW w:w="1585" w:type="dxa"/>
            <w:shd w:val="clear" w:color="auto" w:fill="auto"/>
          </w:tcPr>
          <w:p w:rsidRPr="00D51E68" w:rsidR="00733CA3" w:rsidP="00733CA3" w:rsidRDefault="00733CA3" w14:paraId="21B6D6EA" w14:textId="77777777">
            <w:pPr>
              <w:jc w:val="center"/>
              <w:rPr>
                <w:rFonts w:eastAsia="Calibri"/>
                <w:sz w:val="22"/>
                <w:szCs w:val="22"/>
              </w:rPr>
            </w:pPr>
            <w:r>
              <w:rPr>
                <w:rFonts w:eastAsia="Calibri"/>
                <w:sz w:val="22"/>
                <w:szCs w:val="22"/>
              </w:rPr>
              <w:t>-2.92</w:t>
            </w:r>
          </w:p>
        </w:tc>
        <w:tc>
          <w:tcPr>
            <w:tcW w:w="3202" w:type="dxa"/>
          </w:tcPr>
          <w:p w:rsidRPr="00D51E68" w:rsidR="00733CA3" w:rsidP="00B42088" w:rsidRDefault="00733CA3" w14:paraId="7E5F8600" w14:textId="77777777">
            <w:pPr>
              <w:rPr>
                <w:rFonts w:eastAsia="Calibri"/>
                <w:sz w:val="22"/>
                <w:szCs w:val="22"/>
              </w:rPr>
            </w:pPr>
            <w:r w:rsidRPr="00D51E68">
              <w:rPr>
                <w:rFonts w:eastAsia="Calibri"/>
                <w:sz w:val="22"/>
                <w:szCs w:val="22"/>
              </w:rPr>
              <w:t xml:space="preserve">The adjustment </w:t>
            </w:r>
            <w:r>
              <w:rPr>
                <w:rFonts w:eastAsia="Calibri"/>
                <w:sz w:val="22"/>
                <w:szCs w:val="22"/>
              </w:rPr>
              <w:t>decrease</w:t>
            </w:r>
            <w:r w:rsidRPr="00D51E68">
              <w:rPr>
                <w:rFonts w:eastAsia="Calibri"/>
                <w:sz w:val="22"/>
                <w:szCs w:val="22"/>
              </w:rPr>
              <w:t xml:space="preserve"> in burden hours is a result of the </w:t>
            </w:r>
            <w:r>
              <w:rPr>
                <w:rFonts w:eastAsia="Calibri"/>
                <w:sz w:val="22"/>
                <w:szCs w:val="22"/>
              </w:rPr>
              <w:t>decrease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6473C1" w:rsidTr="00B42088" w14:paraId="5B5127F2" w14:textId="77777777">
        <w:trPr>
          <w:cantSplit/>
        </w:trPr>
        <w:tc>
          <w:tcPr>
            <w:tcW w:w="2628" w:type="dxa"/>
            <w:shd w:val="clear" w:color="auto" w:fill="auto"/>
          </w:tcPr>
          <w:p w:rsidRPr="00D51E68" w:rsidR="006473C1" w:rsidP="006473C1" w:rsidRDefault="006473C1" w14:paraId="1798FD2C" w14:textId="77777777">
            <w:pPr>
              <w:rPr>
                <w:rFonts w:eastAsia="Calibri"/>
                <w:sz w:val="22"/>
                <w:szCs w:val="22"/>
              </w:rPr>
            </w:pPr>
            <w:r w:rsidRPr="00D51E68">
              <w:rPr>
                <w:rFonts w:eastAsia="Calibri"/>
                <w:sz w:val="22"/>
                <w:szCs w:val="22"/>
              </w:rPr>
              <w:t>5. Certification Record of Review of FSP (1915.502(d)(3))</w:t>
            </w:r>
          </w:p>
        </w:tc>
        <w:tc>
          <w:tcPr>
            <w:tcW w:w="1048" w:type="dxa"/>
            <w:shd w:val="clear" w:color="auto" w:fill="auto"/>
          </w:tcPr>
          <w:p w:rsidRPr="00D51E68" w:rsidR="006473C1" w:rsidP="006473C1" w:rsidRDefault="006473C1" w14:paraId="6335416C" w14:textId="77777777">
            <w:pPr>
              <w:jc w:val="center"/>
              <w:rPr>
                <w:rFonts w:eastAsia="Calibri"/>
                <w:sz w:val="22"/>
                <w:szCs w:val="22"/>
              </w:rPr>
            </w:pPr>
            <w:r>
              <w:rPr>
                <w:rFonts w:eastAsia="Calibri"/>
                <w:sz w:val="22"/>
                <w:szCs w:val="22"/>
              </w:rPr>
              <w:t>372</w:t>
            </w:r>
          </w:p>
        </w:tc>
        <w:tc>
          <w:tcPr>
            <w:tcW w:w="1365" w:type="dxa"/>
            <w:shd w:val="clear" w:color="auto" w:fill="auto"/>
          </w:tcPr>
          <w:p w:rsidRPr="00D51E68" w:rsidR="006473C1" w:rsidP="006473C1" w:rsidRDefault="00836C95" w14:paraId="0D1BAE2B" w14:textId="77777777">
            <w:pPr>
              <w:jc w:val="center"/>
              <w:rPr>
                <w:rFonts w:eastAsia="Calibri"/>
                <w:sz w:val="22"/>
                <w:szCs w:val="22"/>
              </w:rPr>
            </w:pPr>
            <w:r>
              <w:rPr>
                <w:rFonts w:eastAsia="Calibri"/>
                <w:sz w:val="22"/>
                <w:szCs w:val="22"/>
              </w:rPr>
              <w:t>1,262.70</w:t>
            </w:r>
          </w:p>
        </w:tc>
        <w:tc>
          <w:tcPr>
            <w:tcW w:w="1585" w:type="dxa"/>
            <w:shd w:val="clear" w:color="auto" w:fill="auto"/>
          </w:tcPr>
          <w:p w:rsidRPr="00D51E68" w:rsidR="006473C1" w:rsidP="007B7ACC" w:rsidRDefault="00F915AB" w14:paraId="79F56A9B" w14:textId="77777777">
            <w:pPr>
              <w:jc w:val="center"/>
              <w:rPr>
                <w:rFonts w:eastAsia="Calibri"/>
                <w:sz w:val="22"/>
                <w:szCs w:val="22"/>
              </w:rPr>
            </w:pPr>
            <w:r>
              <w:rPr>
                <w:rFonts w:eastAsia="Calibri"/>
                <w:sz w:val="22"/>
                <w:szCs w:val="22"/>
              </w:rPr>
              <w:t>8</w:t>
            </w:r>
            <w:r w:rsidR="007B7ACC">
              <w:rPr>
                <w:rFonts w:eastAsia="Calibri"/>
                <w:sz w:val="22"/>
                <w:szCs w:val="22"/>
              </w:rPr>
              <w:t>9</w:t>
            </w:r>
            <w:r>
              <w:rPr>
                <w:rFonts w:eastAsia="Calibri"/>
                <w:sz w:val="22"/>
                <w:szCs w:val="22"/>
              </w:rPr>
              <w:t>0.7</w:t>
            </w:r>
          </w:p>
        </w:tc>
        <w:tc>
          <w:tcPr>
            <w:tcW w:w="3202" w:type="dxa"/>
          </w:tcPr>
          <w:p w:rsidRPr="00D51E68" w:rsidR="006473C1" w:rsidP="00B42088" w:rsidRDefault="006473C1" w14:paraId="5707A4FB" w14:textId="77777777">
            <w:pPr>
              <w:rPr>
                <w:rFonts w:eastAsia="Calibri"/>
                <w:sz w:val="22"/>
                <w:szCs w:val="22"/>
              </w:rPr>
            </w:pPr>
            <w:r w:rsidRPr="00D51E68">
              <w:rPr>
                <w:rFonts w:eastAsia="Calibri"/>
                <w:sz w:val="22"/>
                <w:szCs w:val="22"/>
              </w:rPr>
              <w:t xml:space="preserve">The adjustment increase is a result of the increase in </w:t>
            </w:r>
            <w:r w:rsidR="00F5644F">
              <w:rPr>
                <w:rFonts w:eastAsia="Calibri"/>
                <w:sz w:val="22"/>
                <w:szCs w:val="22"/>
              </w:rPr>
              <w:t xml:space="preserve">the </w:t>
            </w:r>
            <w:r w:rsidRPr="00D51E68">
              <w:rPr>
                <w:rFonts w:eastAsia="Calibri"/>
                <w:sz w:val="22"/>
                <w:szCs w:val="22"/>
              </w:rPr>
              <w:t>number of affected workers based on updated information.</w:t>
            </w:r>
          </w:p>
        </w:tc>
      </w:tr>
      <w:tr w:rsidRPr="00D51E68" w:rsidR="00733CA3" w:rsidTr="00B42088" w14:paraId="63A68B3B" w14:textId="77777777">
        <w:trPr>
          <w:cantSplit/>
        </w:trPr>
        <w:tc>
          <w:tcPr>
            <w:tcW w:w="2628" w:type="dxa"/>
            <w:shd w:val="clear" w:color="auto" w:fill="auto"/>
          </w:tcPr>
          <w:p w:rsidRPr="00D51E68" w:rsidR="00733CA3" w:rsidP="00733CA3" w:rsidRDefault="00733CA3" w14:paraId="537644EE" w14:textId="77777777">
            <w:pPr>
              <w:rPr>
                <w:rFonts w:eastAsia="Calibri"/>
                <w:sz w:val="22"/>
                <w:szCs w:val="22"/>
              </w:rPr>
            </w:pPr>
            <w:r w:rsidRPr="00D51E68">
              <w:rPr>
                <w:rFonts w:eastAsia="Calibri"/>
                <w:sz w:val="22"/>
                <w:szCs w:val="22"/>
              </w:rPr>
              <w:t>6. Give Fire Safety Plan to Outside Fire Response Organization (1915.502(d)(4))</w:t>
            </w:r>
          </w:p>
        </w:tc>
        <w:tc>
          <w:tcPr>
            <w:tcW w:w="1048" w:type="dxa"/>
            <w:shd w:val="clear" w:color="auto" w:fill="auto"/>
          </w:tcPr>
          <w:p w:rsidRPr="00D51E68" w:rsidR="00733CA3" w:rsidP="00733CA3" w:rsidRDefault="00733CA3" w14:paraId="7B3F4C61" w14:textId="77777777">
            <w:pPr>
              <w:jc w:val="center"/>
              <w:rPr>
                <w:rFonts w:eastAsia="Calibri"/>
                <w:sz w:val="22"/>
                <w:szCs w:val="22"/>
              </w:rPr>
            </w:pPr>
            <w:r w:rsidRPr="00D51E68">
              <w:rPr>
                <w:rFonts w:eastAsia="Calibri"/>
                <w:sz w:val="22"/>
                <w:szCs w:val="22"/>
              </w:rPr>
              <w:t>50</w:t>
            </w:r>
          </w:p>
        </w:tc>
        <w:tc>
          <w:tcPr>
            <w:tcW w:w="1365" w:type="dxa"/>
            <w:shd w:val="clear" w:color="auto" w:fill="auto"/>
          </w:tcPr>
          <w:p w:rsidRPr="00D51E68" w:rsidR="00733CA3" w:rsidP="00733CA3" w:rsidRDefault="00733CA3" w14:paraId="466210FC" w14:textId="77777777">
            <w:pPr>
              <w:jc w:val="center"/>
              <w:rPr>
                <w:rFonts w:eastAsia="Calibri"/>
                <w:sz w:val="22"/>
                <w:szCs w:val="22"/>
              </w:rPr>
            </w:pPr>
            <w:r>
              <w:rPr>
                <w:rFonts w:eastAsia="Calibri"/>
                <w:sz w:val="22"/>
                <w:szCs w:val="22"/>
              </w:rPr>
              <w:t>42.17</w:t>
            </w:r>
          </w:p>
        </w:tc>
        <w:tc>
          <w:tcPr>
            <w:tcW w:w="1585" w:type="dxa"/>
            <w:shd w:val="clear" w:color="auto" w:fill="auto"/>
          </w:tcPr>
          <w:p w:rsidRPr="00D51E68" w:rsidR="00733CA3" w:rsidP="00733CA3" w:rsidRDefault="00733CA3" w14:paraId="3B32752E" w14:textId="77777777">
            <w:pPr>
              <w:jc w:val="center"/>
              <w:rPr>
                <w:rFonts w:eastAsia="Calibri"/>
                <w:sz w:val="22"/>
                <w:szCs w:val="22"/>
              </w:rPr>
            </w:pPr>
            <w:r>
              <w:rPr>
                <w:rFonts w:eastAsia="Calibri"/>
                <w:sz w:val="22"/>
                <w:szCs w:val="22"/>
              </w:rPr>
              <w:t>-7.83</w:t>
            </w:r>
          </w:p>
        </w:tc>
        <w:tc>
          <w:tcPr>
            <w:tcW w:w="3202" w:type="dxa"/>
          </w:tcPr>
          <w:p w:rsidRPr="00D51E68" w:rsidR="00733CA3" w:rsidP="00B42088" w:rsidRDefault="00733CA3" w14:paraId="19C63330" w14:textId="77777777">
            <w:pPr>
              <w:rPr>
                <w:rFonts w:eastAsia="Calibri"/>
                <w:sz w:val="22"/>
                <w:szCs w:val="22"/>
              </w:rPr>
            </w:pPr>
            <w:r w:rsidRPr="00D51E68">
              <w:rPr>
                <w:rFonts w:eastAsia="Calibri"/>
                <w:sz w:val="22"/>
                <w:szCs w:val="22"/>
              </w:rPr>
              <w:t xml:space="preserve">The adjustment </w:t>
            </w:r>
            <w:r>
              <w:rPr>
                <w:rFonts w:eastAsia="Calibri"/>
                <w:sz w:val="22"/>
                <w:szCs w:val="22"/>
              </w:rPr>
              <w:t>decrease</w:t>
            </w:r>
            <w:r w:rsidRPr="00D51E68">
              <w:rPr>
                <w:rFonts w:eastAsia="Calibri"/>
                <w:sz w:val="22"/>
                <w:szCs w:val="22"/>
              </w:rPr>
              <w:t xml:space="preserve"> in burden hours is a result of the </w:t>
            </w:r>
            <w:r>
              <w:rPr>
                <w:rFonts w:eastAsia="Calibri"/>
                <w:sz w:val="22"/>
                <w:szCs w:val="22"/>
              </w:rPr>
              <w:t>decrease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733CA3" w:rsidTr="00B42088" w14:paraId="1F3572AA" w14:textId="77777777">
        <w:trPr>
          <w:cantSplit/>
        </w:trPr>
        <w:tc>
          <w:tcPr>
            <w:tcW w:w="2628" w:type="dxa"/>
            <w:shd w:val="clear" w:color="auto" w:fill="auto"/>
          </w:tcPr>
          <w:p w:rsidRPr="00D51E68" w:rsidR="00733CA3" w:rsidP="00733CA3" w:rsidRDefault="00733CA3" w14:paraId="07384BA0" w14:textId="77777777">
            <w:pPr>
              <w:rPr>
                <w:rFonts w:eastAsia="Calibri"/>
                <w:sz w:val="22"/>
                <w:szCs w:val="22"/>
              </w:rPr>
            </w:pPr>
            <w:r w:rsidRPr="00D51E68">
              <w:rPr>
                <w:rFonts w:eastAsia="Calibri"/>
                <w:sz w:val="22"/>
                <w:szCs w:val="22"/>
              </w:rPr>
              <w:t>7. Fire Watch Policy (1915.504(a))</w:t>
            </w:r>
          </w:p>
        </w:tc>
        <w:tc>
          <w:tcPr>
            <w:tcW w:w="1048" w:type="dxa"/>
            <w:shd w:val="clear" w:color="auto" w:fill="auto"/>
          </w:tcPr>
          <w:p w:rsidRPr="00D51E68" w:rsidR="00733CA3" w:rsidP="00733CA3" w:rsidRDefault="00733CA3" w14:paraId="15B9EFE7" w14:textId="77777777">
            <w:pPr>
              <w:jc w:val="center"/>
              <w:rPr>
                <w:rFonts w:eastAsia="Calibri"/>
                <w:sz w:val="22"/>
                <w:szCs w:val="22"/>
              </w:rPr>
            </w:pPr>
            <w:r>
              <w:rPr>
                <w:rFonts w:eastAsia="Calibri"/>
                <w:sz w:val="22"/>
                <w:szCs w:val="22"/>
              </w:rPr>
              <w:t>766</w:t>
            </w:r>
          </w:p>
        </w:tc>
        <w:tc>
          <w:tcPr>
            <w:tcW w:w="1365" w:type="dxa"/>
            <w:shd w:val="clear" w:color="auto" w:fill="auto"/>
          </w:tcPr>
          <w:p w:rsidRPr="00D51E68" w:rsidR="00733CA3" w:rsidP="00D12B26" w:rsidRDefault="00D12B26" w14:paraId="19351BEE" w14:textId="77777777">
            <w:pPr>
              <w:jc w:val="center"/>
              <w:rPr>
                <w:rFonts w:eastAsia="Calibri"/>
                <w:sz w:val="22"/>
                <w:szCs w:val="22"/>
              </w:rPr>
            </w:pPr>
            <w:r>
              <w:rPr>
                <w:rFonts w:eastAsia="Calibri"/>
                <w:sz w:val="22"/>
                <w:szCs w:val="22"/>
              </w:rPr>
              <w:t>597.4</w:t>
            </w:r>
          </w:p>
        </w:tc>
        <w:tc>
          <w:tcPr>
            <w:tcW w:w="1585" w:type="dxa"/>
            <w:shd w:val="clear" w:color="auto" w:fill="auto"/>
          </w:tcPr>
          <w:p w:rsidRPr="00D51E68" w:rsidR="00733CA3" w:rsidP="00D12B26" w:rsidRDefault="00733CA3" w14:paraId="257D36FB" w14:textId="77777777">
            <w:pPr>
              <w:jc w:val="center"/>
              <w:rPr>
                <w:rFonts w:eastAsia="Calibri"/>
                <w:sz w:val="22"/>
                <w:szCs w:val="22"/>
              </w:rPr>
            </w:pPr>
            <w:r>
              <w:rPr>
                <w:rFonts w:eastAsia="Calibri"/>
                <w:sz w:val="22"/>
                <w:szCs w:val="22"/>
              </w:rPr>
              <w:t>-</w:t>
            </w:r>
            <w:r w:rsidR="00D12B26">
              <w:rPr>
                <w:rFonts w:eastAsia="Calibri"/>
                <w:sz w:val="22"/>
                <w:szCs w:val="22"/>
              </w:rPr>
              <w:t>168.6</w:t>
            </w:r>
          </w:p>
        </w:tc>
        <w:tc>
          <w:tcPr>
            <w:tcW w:w="3202" w:type="dxa"/>
          </w:tcPr>
          <w:p w:rsidRPr="00D51E68" w:rsidR="00733CA3" w:rsidP="00B42088" w:rsidRDefault="00733CA3" w14:paraId="4FB2F387" w14:textId="77777777">
            <w:pPr>
              <w:rPr>
                <w:rFonts w:eastAsia="Calibri"/>
                <w:sz w:val="22"/>
                <w:szCs w:val="22"/>
              </w:rPr>
            </w:pPr>
            <w:r w:rsidRPr="00D51E68">
              <w:rPr>
                <w:rFonts w:eastAsia="Calibri"/>
                <w:sz w:val="22"/>
                <w:szCs w:val="22"/>
              </w:rPr>
              <w:t xml:space="preserve">The adjustment </w:t>
            </w:r>
            <w:r>
              <w:rPr>
                <w:rFonts w:eastAsia="Calibri"/>
                <w:sz w:val="22"/>
                <w:szCs w:val="22"/>
              </w:rPr>
              <w:t>decrease</w:t>
            </w:r>
            <w:r w:rsidRPr="00D51E68">
              <w:rPr>
                <w:rFonts w:eastAsia="Calibri"/>
                <w:sz w:val="22"/>
                <w:szCs w:val="22"/>
              </w:rPr>
              <w:t xml:space="preserve"> in burden hours is a result of the </w:t>
            </w:r>
            <w:r>
              <w:rPr>
                <w:rFonts w:eastAsia="Calibri"/>
                <w:sz w:val="22"/>
                <w:szCs w:val="22"/>
              </w:rPr>
              <w:t>decrease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733CA3" w:rsidTr="00B42088" w14:paraId="0FBED046" w14:textId="77777777">
        <w:trPr>
          <w:cantSplit/>
        </w:trPr>
        <w:tc>
          <w:tcPr>
            <w:tcW w:w="2628" w:type="dxa"/>
            <w:shd w:val="clear" w:color="auto" w:fill="auto"/>
          </w:tcPr>
          <w:p w:rsidRPr="00D51E68" w:rsidR="00733CA3" w:rsidP="00733CA3" w:rsidRDefault="00733CA3" w14:paraId="607C9775" w14:textId="77777777">
            <w:pPr>
              <w:rPr>
                <w:rFonts w:eastAsia="Calibri"/>
                <w:sz w:val="22"/>
                <w:szCs w:val="22"/>
              </w:rPr>
            </w:pPr>
            <w:r w:rsidRPr="00D51E68">
              <w:rPr>
                <w:rFonts w:eastAsia="Calibri"/>
                <w:sz w:val="22"/>
                <w:szCs w:val="22"/>
              </w:rPr>
              <w:t>8. Fire Response Policies (1915.505(a)(2)(i) and (ii))</w:t>
            </w:r>
          </w:p>
        </w:tc>
        <w:tc>
          <w:tcPr>
            <w:tcW w:w="1048" w:type="dxa"/>
            <w:shd w:val="clear" w:color="auto" w:fill="auto"/>
          </w:tcPr>
          <w:p w:rsidRPr="00D51E68" w:rsidR="00733CA3" w:rsidP="00733CA3" w:rsidRDefault="00733CA3" w14:paraId="26CB4A15" w14:textId="77777777">
            <w:pPr>
              <w:jc w:val="center"/>
              <w:rPr>
                <w:rFonts w:eastAsia="Calibri"/>
                <w:sz w:val="22"/>
                <w:szCs w:val="22"/>
              </w:rPr>
            </w:pPr>
            <w:r>
              <w:rPr>
                <w:rFonts w:eastAsia="Calibri"/>
                <w:sz w:val="22"/>
                <w:szCs w:val="22"/>
              </w:rPr>
              <w:t>463</w:t>
            </w:r>
          </w:p>
        </w:tc>
        <w:tc>
          <w:tcPr>
            <w:tcW w:w="1365" w:type="dxa"/>
            <w:shd w:val="clear" w:color="auto" w:fill="auto"/>
          </w:tcPr>
          <w:p w:rsidRPr="00D51E68" w:rsidR="00733CA3" w:rsidP="009F1366" w:rsidRDefault="00733CA3" w14:paraId="5FE5D4A7" w14:textId="77777777">
            <w:pPr>
              <w:jc w:val="center"/>
              <w:rPr>
                <w:rFonts w:eastAsia="Calibri"/>
                <w:sz w:val="22"/>
                <w:szCs w:val="22"/>
              </w:rPr>
            </w:pPr>
            <w:r>
              <w:rPr>
                <w:rFonts w:eastAsia="Calibri"/>
                <w:sz w:val="22"/>
                <w:szCs w:val="22"/>
              </w:rPr>
              <w:t>3</w:t>
            </w:r>
            <w:r w:rsidR="009F1366">
              <w:rPr>
                <w:rFonts w:eastAsia="Calibri"/>
                <w:sz w:val="22"/>
                <w:szCs w:val="22"/>
              </w:rPr>
              <w:t>87.4</w:t>
            </w:r>
          </w:p>
        </w:tc>
        <w:tc>
          <w:tcPr>
            <w:tcW w:w="1585" w:type="dxa"/>
            <w:shd w:val="clear" w:color="auto" w:fill="auto"/>
          </w:tcPr>
          <w:p w:rsidRPr="00D51E68" w:rsidR="00733CA3" w:rsidP="009F1366" w:rsidRDefault="00733CA3" w14:paraId="0F1C0062" w14:textId="77777777">
            <w:pPr>
              <w:jc w:val="center"/>
              <w:rPr>
                <w:rFonts w:eastAsia="Calibri"/>
                <w:sz w:val="22"/>
                <w:szCs w:val="22"/>
              </w:rPr>
            </w:pPr>
            <w:r>
              <w:rPr>
                <w:rFonts w:eastAsia="Calibri"/>
                <w:sz w:val="22"/>
                <w:szCs w:val="22"/>
              </w:rPr>
              <w:t>-</w:t>
            </w:r>
            <w:r w:rsidR="009F1366">
              <w:rPr>
                <w:rFonts w:eastAsia="Calibri"/>
                <w:sz w:val="22"/>
                <w:szCs w:val="22"/>
              </w:rPr>
              <w:t>7</w:t>
            </w:r>
            <w:r>
              <w:rPr>
                <w:rFonts w:eastAsia="Calibri"/>
                <w:sz w:val="22"/>
                <w:szCs w:val="22"/>
              </w:rPr>
              <w:t>5.</w:t>
            </w:r>
            <w:r w:rsidR="009F1366">
              <w:rPr>
                <w:rFonts w:eastAsia="Calibri"/>
                <w:sz w:val="22"/>
                <w:szCs w:val="22"/>
              </w:rPr>
              <w:t>6</w:t>
            </w:r>
          </w:p>
        </w:tc>
        <w:tc>
          <w:tcPr>
            <w:tcW w:w="3202" w:type="dxa"/>
          </w:tcPr>
          <w:p w:rsidRPr="00D51E68" w:rsidR="00733CA3" w:rsidP="00B42088" w:rsidRDefault="00733CA3" w14:paraId="404770CA" w14:textId="77777777">
            <w:pPr>
              <w:rPr>
                <w:rFonts w:eastAsia="Calibri"/>
                <w:sz w:val="22"/>
                <w:szCs w:val="22"/>
              </w:rPr>
            </w:pPr>
            <w:r w:rsidRPr="00D51E68">
              <w:rPr>
                <w:rFonts w:eastAsia="Calibri"/>
                <w:sz w:val="22"/>
                <w:szCs w:val="22"/>
              </w:rPr>
              <w:t xml:space="preserve">The adjustment </w:t>
            </w:r>
            <w:r>
              <w:rPr>
                <w:rFonts w:eastAsia="Calibri"/>
                <w:sz w:val="22"/>
                <w:szCs w:val="22"/>
              </w:rPr>
              <w:t>decrease</w:t>
            </w:r>
            <w:r w:rsidRPr="00D51E68">
              <w:rPr>
                <w:rFonts w:eastAsia="Calibri"/>
                <w:sz w:val="22"/>
                <w:szCs w:val="22"/>
              </w:rPr>
              <w:t xml:space="preserve"> in burden hours is a result of the </w:t>
            </w:r>
            <w:r>
              <w:rPr>
                <w:rFonts w:eastAsia="Calibri"/>
                <w:sz w:val="22"/>
                <w:szCs w:val="22"/>
              </w:rPr>
              <w:t>decrease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733CA3" w:rsidTr="00B42088" w14:paraId="0D9316FA" w14:textId="77777777">
        <w:trPr>
          <w:cantSplit/>
        </w:trPr>
        <w:tc>
          <w:tcPr>
            <w:tcW w:w="2628" w:type="dxa"/>
            <w:shd w:val="clear" w:color="auto" w:fill="auto"/>
          </w:tcPr>
          <w:p w:rsidRPr="00D51E68" w:rsidR="00733CA3" w:rsidP="00733CA3" w:rsidRDefault="00733CA3" w14:paraId="2648CD92" w14:textId="77777777">
            <w:pPr>
              <w:rPr>
                <w:rFonts w:eastAsia="Calibri"/>
                <w:sz w:val="22"/>
                <w:szCs w:val="22"/>
              </w:rPr>
            </w:pPr>
            <w:r w:rsidRPr="00D51E68">
              <w:rPr>
                <w:rFonts w:eastAsia="Calibri"/>
                <w:sz w:val="22"/>
                <w:szCs w:val="22"/>
              </w:rPr>
              <w:t>9. Fire Response – Provide Information to Outside Fire Response Organizations (1915.505(d)(4))</w:t>
            </w:r>
          </w:p>
        </w:tc>
        <w:tc>
          <w:tcPr>
            <w:tcW w:w="1048" w:type="dxa"/>
            <w:shd w:val="clear" w:color="auto" w:fill="auto"/>
          </w:tcPr>
          <w:p w:rsidRPr="00D51E68" w:rsidR="00733CA3" w:rsidP="00733CA3" w:rsidRDefault="00733CA3" w14:paraId="52032019" w14:textId="77777777">
            <w:pPr>
              <w:jc w:val="center"/>
              <w:rPr>
                <w:rFonts w:eastAsia="Calibri"/>
                <w:sz w:val="22"/>
                <w:szCs w:val="22"/>
              </w:rPr>
            </w:pPr>
            <w:r>
              <w:rPr>
                <w:rFonts w:eastAsia="Calibri"/>
                <w:sz w:val="22"/>
                <w:szCs w:val="22"/>
              </w:rPr>
              <w:t>43</w:t>
            </w:r>
          </w:p>
        </w:tc>
        <w:tc>
          <w:tcPr>
            <w:tcW w:w="1365" w:type="dxa"/>
            <w:shd w:val="clear" w:color="auto" w:fill="auto"/>
          </w:tcPr>
          <w:p w:rsidRPr="00D51E68" w:rsidR="00733CA3" w:rsidP="00733CA3" w:rsidRDefault="00733CA3" w14:paraId="5CF3328D" w14:textId="77777777">
            <w:pPr>
              <w:jc w:val="center"/>
              <w:rPr>
                <w:rFonts w:eastAsia="Calibri"/>
                <w:sz w:val="22"/>
                <w:szCs w:val="22"/>
              </w:rPr>
            </w:pPr>
            <w:r>
              <w:rPr>
                <w:rFonts w:eastAsia="Calibri"/>
                <w:sz w:val="22"/>
                <w:szCs w:val="22"/>
              </w:rPr>
              <w:t>35</w:t>
            </w:r>
          </w:p>
        </w:tc>
        <w:tc>
          <w:tcPr>
            <w:tcW w:w="1585" w:type="dxa"/>
            <w:shd w:val="clear" w:color="auto" w:fill="auto"/>
          </w:tcPr>
          <w:p w:rsidRPr="00D51E68" w:rsidR="00733CA3" w:rsidP="00733CA3" w:rsidRDefault="00733CA3" w14:paraId="78E73265" w14:textId="77777777">
            <w:pPr>
              <w:jc w:val="center"/>
              <w:rPr>
                <w:rFonts w:eastAsia="Calibri"/>
                <w:sz w:val="22"/>
                <w:szCs w:val="22"/>
              </w:rPr>
            </w:pPr>
            <w:r>
              <w:rPr>
                <w:rFonts w:eastAsia="Calibri"/>
                <w:sz w:val="22"/>
                <w:szCs w:val="22"/>
              </w:rPr>
              <w:t>-8</w:t>
            </w:r>
          </w:p>
        </w:tc>
        <w:tc>
          <w:tcPr>
            <w:tcW w:w="3202" w:type="dxa"/>
          </w:tcPr>
          <w:p w:rsidRPr="00D51E68" w:rsidR="00733CA3" w:rsidP="00B42088" w:rsidRDefault="00733CA3" w14:paraId="58855177" w14:textId="77777777">
            <w:pPr>
              <w:rPr>
                <w:rFonts w:eastAsia="Calibri"/>
                <w:sz w:val="22"/>
                <w:szCs w:val="22"/>
              </w:rPr>
            </w:pPr>
            <w:r w:rsidRPr="00D51E68">
              <w:rPr>
                <w:rFonts w:eastAsia="Calibri"/>
                <w:sz w:val="22"/>
                <w:szCs w:val="22"/>
              </w:rPr>
              <w:t xml:space="preserve">The adjustment </w:t>
            </w:r>
            <w:r>
              <w:rPr>
                <w:rFonts w:eastAsia="Calibri"/>
                <w:sz w:val="22"/>
                <w:szCs w:val="22"/>
              </w:rPr>
              <w:t>decrease</w:t>
            </w:r>
            <w:r w:rsidRPr="00D51E68">
              <w:rPr>
                <w:rFonts w:eastAsia="Calibri"/>
                <w:sz w:val="22"/>
                <w:szCs w:val="22"/>
              </w:rPr>
              <w:t xml:space="preserve"> in burden hours is a result of the </w:t>
            </w:r>
            <w:r>
              <w:rPr>
                <w:rFonts w:eastAsia="Calibri"/>
                <w:sz w:val="22"/>
                <w:szCs w:val="22"/>
              </w:rPr>
              <w:t>decrease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6473C1" w:rsidTr="00B42088" w14:paraId="41D65B80" w14:textId="77777777">
        <w:trPr>
          <w:cantSplit/>
        </w:trPr>
        <w:tc>
          <w:tcPr>
            <w:tcW w:w="2628" w:type="dxa"/>
            <w:shd w:val="clear" w:color="auto" w:fill="auto"/>
          </w:tcPr>
          <w:p w:rsidRPr="00D51E68" w:rsidR="006473C1" w:rsidP="000F0FBC" w:rsidRDefault="006473C1" w14:paraId="5EE53901" w14:textId="77777777">
            <w:pPr>
              <w:rPr>
                <w:rFonts w:eastAsia="Calibri"/>
                <w:sz w:val="22"/>
                <w:szCs w:val="22"/>
              </w:rPr>
            </w:pPr>
            <w:r w:rsidRPr="00D51E68">
              <w:rPr>
                <w:rFonts w:eastAsia="Calibri"/>
                <w:sz w:val="22"/>
                <w:szCs w:val="22"/>
              </w:rPr>
              <w:t>1</w:t>
            </w:r>
            <w:r w:rsidR="000F0FBC">
              <w:rPr>
                <w:rFonts w:eastAsia="Calibri"/>
                <w:sz w:val="22"/>
                <w:szCs w:val="22"/>
              </w:rPr>
              <w:t>0</w:t>
            </w:r>
            <w:r w:rsidRPr="00D51E68">
              <w:rPr>
                <w:rFonts w:eastAsia="Calibri"/>
                <w:sz w:val="22"/>
                <w:szCs w:val="22"/>
              </w:rPr>
              <w:t>. Landside Fire Protection Systems – Posting Hazard Warning and Caution Signs (1915.507(c)(5))</w:t>
            </w:r>
          </w:p>
        </w:tc>
        <w:tc>
          <w:tcPr>
            <w:tcW w:w="1048" w:type="dxa"/>
            <w:shd w:val="clear" w:color="auto" w:fill="auto"/>
          </w:tcPr>
          <w:p w:rsidRPr="00D51E68" w:rsidR="006473C1" w:rsidP="006473C1" w:rsidRDefault="006473C1" w14:paraId="1AC8C072" w14:textId="77777777">
            <w:pPr>
              <w:jc w:val="center"/>
              <w:rPr>
                <w:rFonts w:eastAsia="Calibri"/>
                <w:sz w:val="22"/>
                <w:szCs w:val="22"/>
              </w:rPr>
            </w:pPr>
            <w:r>
              <w:rPr>
                <w:rFonts w:eastAsia="Calibri"/>
                <w:sz w:val="22"/>
                <w:szCs w:val="22"/>
              </w:rPr>
              <w:t>14</w:t>
            </w:r>
          </w:p>
        </w:tc>
        <w:tc>
          <w:tcPr>
            <w:tcW w:w="1365" w:type="dxa"/>
            <w:shd w:val="clear" w:color="auto" w:fill="auto"/>
          </w:tcPr>
          <w:p w:rsidRPr="00D51E68" w:rsidR="006473C1" w:rsidP="006473C1" w:rsidRDefault="00836C95" w14:paraId="228B8A2A" w14:textId="77777777">
            <w:pPr>
              <w:jc w:val="center"/>
              <w:rPr>
                <w:rFonts w:eastAsia="Calibri"/>
                <w:sz w:val="22"/>
                <w:szCs w:val="22"/>
              </w:rPr>
            </w:pPr>
            <w:r>
              <w:rPr>
                <w:rFonts w:eastAsia="Calibri"/>
                <w:sz w:val="22"/>
                <w:szCs w:val="22"/>
              </w:rPr>
              <w:t>14</w:t>
            </w:r>
          </w:p>
        </w:tc>
        <w:tc>
          <w:tcPr>
            <w:tcW w:w="1585" w:type="dxa"/>
            <w:shd w:val="clear" w:color="auto" w:fill="auto"/>
          </w:tcPr>
          <w:p w:rsidRPr="00D51E68" w:rsidR="006473C1" w:rsidP="006473C1" w:rsidRDefault="00F915AB" w14:paraId="5E40424D" w14:textId="77777777">
            <w:pPr>
              <w:jc w:val="center"/>
              <w:rPr>
                <w:rFonts w:eastAsia="Calibri"/>
                <w:sz w:val="22"/>
                <w:szCs w:val="22"/>
              </w:rPr>
            </w:pPr>
            <w:r>
              <w:rPr>
                <w:rFonts w:eastAsia="Calibri"/>
                <w:sz w:val="22"/>
                <w:szCs w:val="22"/>
              </w:rPr>
              <w:t>0</w:t>
            </w:r>
          </w:p>
        </w:tc>
        <w:tc>
          <w:tcPr>
            <w:tcW w:w="3202" w:type="dxa"/>
          </w:tcPr>
          <w:p w:rsidRPr="00D51E68" w:rsidR="006473C1" w:rsidP="00F811A7" w:rsidRDefault="00D96C04" w14:paraId="623C6407" w14:textId="77777777">
            <w:pPr>
              <w:rPr>
                <w:rFonts w:eastAsia="Calibri"/>
                <w:sz w:val="22"/>
                <w:szCs w:val="22"/>
              </w:rPr>
            </w:pPr>
            <w:r>
              <w:rPr>
                <w:rFonts w:eastAsia="Calibri"/>
                <w:sz w:val="22"/>
                <w:szCs w:val="22"/>
              </w:rPr>
              <w:t xml:space="preserve">No change in burden hours </w:t>
            </w:r>
            <w:r w:rsidR="00F811A7">
              <w:rPr>
                <w:rFonts w:eastAsia="Calibri"/>
                <w:sz w:val="22"/>
                <w:szCs w:val="22"/>
              </w:rPr>
              <w:t>e</w:t>
            </w:r>
            <w:r>
              <w:rPr>
                <w:rFonts w:eastAsia="Calibri"/>
                <w:sz w:val="22"/>
                <w:szCs w:val="22"/>
              </w:rPr>
              <w:t>ven</w:t>
            </w:r>
            <w:r w:rsidR="00F811A7">
              <w:rPr>
                <w:rFonts w:eastAsia="Calibri"/>
                <w:sz w:val="22"/>
                <w:szCs w:val="22"/>
              </w:rPr>
              <w:t xml:space="preserve"> </w:t>
            </w:r>
            <w:r>
              <w:rPr>
                <w:rFonts w:eastAsia="Calibri"/>
                <w:sz w:val="22"/>
                <w:szCs w:val="22"/>
              </w:rPr>
              <w:t>though there was</w:t>
            </w:r>
            <w:r w:rsidRPr="00D51E68" w:rsidR="006473C1">
              <w:rPr>
                <w:rFonts w:eastAsia="Calibri"/>
                <w:sz w:val="22"/>
                <w:szCs w:val="22"/>
              </w:rPr>
              <w:t xml:space="preserve"> a</w:t>
            </w:r>
            <w:r w:rsidR="006473C1">
              <w:rPr>
                <w:rFonts w:eastAsia="Calibri"/>
                <w:sz w:val="22"/>
                <w:szCs w:val="22"/>
              </w:rPr>
              <w:t>n</w:t>
            </w:r>
            <w:r w:rsidRPr="00D51E68" w:rsidR="006473C1">
              <w:rPr>
                <w:rFonts w:eastAsia="Calibri"/>
                <w:sz w:val="22"/>
                <w:szCs w:val="22"/>
              </w:rPr>
              <w:t xml:space="preserve"> </w:t>
            </w:r>
            <w:r w:rsidR="006473C1">
              <w:rPr>
                <w:rFonts w:eastAsia="Calibri"/>
                <w:sz w:val="22"/>
                <w:szCs w:val="22"/>
              </w:rPr>
              <w:t>increase</w:t>
            </w:r>
            <w:r w:rsidRPr="00D51E68" w:rsidR="006473C1">
              <w:rPr>
                <w:rFonts w:eastAsia="Calibri"/>
                <w:sz w:val="22"/>
                <w:szCs w:val="22"/>
              </w:rPr>
              <w:t xml:space="preserve"> in the number of affected </w:t>
            </w:r>
            <w:r w:rsidR="006473C1">
              <w:rPr>
                <w:rFonts w:eastAsia="Calibri"/>
                <w:sz w:val="22"/>
                <w:szCs w:val="22"/>
              </w:rPr>
              <w:t>host employers</w:t>
            </w:r>
            <w:r w:rsidR="007C548F">
              <w:rPr>
                <w:rFonts w:eastAsia="Calibri"/>
                <w:sz w:val="22"/>
                <w:szCs w:val="22"/>
              </w:rPr>
              <w:t xml:space="preserve"> from 175</w:t>
            </w:r>
            <w:r w:rsidR="006473C1">
              <w:rPr>
                <w:rFonts w:eastAsia="Calibri"/>
                <w:sz w:val="22"/>
                <w:szCs w:val="22"/>
              </w:rPr>
              <w:t xml:space="preserve"> to 1</w:t>
            </w:r>
            <w:r w:rsidR="007C548F">
              <w:rPr>
                <w:rFonts w:eastAsia="Calibri"/>
                <w:sz w:val="22"/>
                <w:szCs w:val="22"/>
              </w:rPr>
              <w:t>68</w:t>
            </w:r>
            <w:r w:rsidRPr="00D51E68" w:rsidR="006473C1">
              <w:rPr>
                <w:rFonts w:eastAsia="Calibri"/>
                <w:sz w:val="22"/>
                <w:szCs w:val="22"/>
              </w:rPr>
              <w:t xml:space="preserve">. </w:t>
            </w:r>
          </w:p>
        </w:tc>
      </w:tr>
      <w:tr w:rsidRPr="00D51E68" w:rsidR="00733CA3" w:rsidTr="00B42088" w14:paraId="17EC2017" w14:textId="77777777">
        <w:trPr>
          <w:cantSplit/>
        </w:trPr>
        <w:tc>
          <w:tcPr>
            <w:tcW w:w="2628" w:type="dxa"/>
            <w:shd w:val="clear" w:color="auto" w:fill="auto"/>
          </w:tcPr>
          <w:p w:rsidRPr="00D51E68" w:rsidR="00733CA3" w:rsidP="00733CA3" w:rsidRDefault="00733CA3" w14:paraId="57811A1C" w14:textId="77777777">
            <w:pPr>
              <w:rPr>
                <w:rFonts w:eastAsia="Calibri"/>
                <w:sz w:val="22"/>
                <w:szCs w:val="22"/>
              </w:rPr>
            </w:pPr>
            <w:r w:rsidRPr="00D51E68">
              <w:rPr>
                <w:rFonts w:eastAsia="Calibri"/>
                <w:sz w:val="22"/>
                <w:szCs w:val="22"/>
              </w:rPr>
              <w:t>1</w:t>
            </w:r>
            <w:r>
              <w:rPr>
                <w:rFonts w:eastAsia="Calibri"/>
                <w:sz w:val="22"/>
                <w:szCs w:val="22"/>
              </w:rPr>
              <w:t>1</w:t>
            </w:r>
            <w:r w:rsidRPr="00D51E68">
              <w:rPr>
                <w:rFonts w:eastAsia="Calibri"/>
                <w:sz w:val="22"/>
                <w:szCs w:val="22"/>
              </w:rPr>
              <w:t>. Training Fire Response (1915.508(d))</w:t>
            </w:r>
          </w:p>
        </w:tc>
        <w:tc>
          <w:tcPr>
            <w:tcW w:w="1048" w:type="dxa"/>
            <w:shd w:val="clear" w:color="auto" w:fill="auto"/>
          </w:tcPr>
          <w:p w:rsidRPr="00D51E68" w:rsidR="00733CA3" w:rsidP="00733CA3" w:rsidRDefault="00733CA3" w14:paraId="0ED3917F" w14:textId="77777777">
            <w:pPr>
              <w:jc w:val="center"/>
              <w:rPr>
                <w:rFonts w:eastAsia="Calibri"/>
                <w:sz w:val="22"/>
                <w:szCs w:val="22"/>
              </w:rPr>
            </w:pPr>
            <w:r w:rsidRPr="00D51E68">
              <w:rPr>
                <w:rFonts w:eastAsia="Calibri"/>
                <w:sz w:val="22"/>
                <w:szCs w:val="22"/>
              </w:rPr>
              <w:t>9</w:t>
            </w:r>
          </w:p>
        </w:tc>
        <w:tc>
          <w:tcPr>
            <w:tcW w:w="1365" w:type="dxa"/>
            <w:shd w:val="clear" w:color="auto" w:fill="auto"/>
          </w:tcPr>
          <w:p w:rsidRPr="00D51E68" w:rsidR="00733CA3" w:rsidP="00733CA3" w:rsidRDefault="00733CA3" w14:paraId="65816923" w14:textId="77777777">
            <w:pPr>
              <w:jc w:val="center"/>
              <w:rPr>
                <w:rFonts w:eastAsia="Calibri"/>
                <w:sz w:val="22"/>
                <w:szCs w:val="22"/>
              </w:rPr>
            </w:pPr>
            <w:r>
              <w:rPr>
                <w:rFonts w:eastAsia="Calibri"/>
                <w:sz w:val="22"/>
                <w:szCs w:val="22"/>
              </w:rPr>
              <w:t>8.43</w:t>
            </w:r>
          </w:p>
        </w:tc>
        <w:tc>
          <w:tcPr>
            <w:tcW w:w="1585" w:type="dxa"/>
            <w:shd w:val="clear" w:color="auto" w:fill="auto"/>
          </w:tcPr>
          <w:p w:rsidRPr="00D51E68" w:rsidR="00733CA3" w:rsidP="00733CA3" w:rsidRDefault="00733CA3" w14:paraId="30AB3FCE" w14:textId="77777777">
            <w:pPr>
              <w:jc w:val="center"/>
              <w:rPr>
                <w:rFonts w:eastAsia="Calibri"/>
                <w:sz w:val="22"/>
                <w:szCs w:val="22"/>
              </w:rPr>
            </w:pPr>
            <w:r>
              <w:rPr>
                <w:rFonts w:eastAsia="Calibri"/>
                <w:sz w:val="22"/>
                <w:szCs w:val="22"/>
              </w:rPr>
              <w:t>-0.57</w:t>
            </w:r>
          </w:p>
        </w:tc>
        <w:tc>
          <w:tcPr>
            <w:tcW w:w="3202" w:type="dxa"/>
          </w:tcPr>
          <w:p w:rsidRPr="00D51E68" w:rsidR="00733CA3" w:rsidP="00B42088" w:rsidRDefault="00733CA3" w14:paraId="34BB7E61" w14:textId="77777777">
            <w:pPr>
              <w:rPr>
                <w:rFonts w:eastAsia="Calibri"/>
                <w:sz w:val="22"/>
                <w:szCs w:val="22"/>
              </w:rPr>
            </w:pPr>
            <w:r w:rsidRPr="00D51E68">
              <w:rPr>
                <w:rFonts w:eastAsia="Calibri"/>
                <w:sz w:val="22"/>
                <w:szCs w:val="22"/>
              </w:rPr>
              <w:t xml:space="preserve">The adjustment </w:t>
            </w:r>
            <w:r>
              <w:rPr>
                <w:rFonts w:eastAsia="Calibri"/>
                <w:sz w:val="22"/>
                <w:szCs w:val="22"/>
              </w:rPr>
              <w:t>decrease</w:t>
            </w:r>
            <w:r w:rsidRPr="00D51E68">
              <w:rPr>
                <w:rFonts w:eastAsia="Calibri"/>
                <w:sz w:val="22"/>
                <w:szCs w:val="22"/>
              </w:rPr>
              <w:t xml:space="preserve"> in burden hours is a result of the </w:t>
            </w:r>
            <w:r>
              <w:rPr>
                <w:rFonts w:eastAsia="Calibri"/>
                <w:sz w:val="22"/>
                <w:szCs w:val="22"/>
              </w:rPr>
              <w:t>decrease</w:t>
            </w:r>
            <w:r w:rsidRPr="00D51E68">
              <w:rPr>
                <w:rFonts w:eastAsia="Calibri"/>
                <w:sz w:val="22"/>
                <w:szCs w:val="22"/>
              </w:rPr>
              <w:t xml:space="preserve"> in the number of </w:t>
            </w:r>
            <w:r>
              <w:rPr>
                <w:rFonts w:eastAsia="Calibri"/>
                <w:sz w:val="22"/>
                <w:szCs w:val="22"/>
              </w:rPr>
              <w:t>establishments</w:t>
            </w:r>
            <w:r w:rsidRPr="00D51E68">
              <w:rPr>
                <w:rFonts w:eastAsia="Calibri"/>
                <w:sz w:val="22"/>
                <w:szCs w:val="22"/>
              </w:rPr>
              <w:t xml:space="preserve"> based on updated information</w:t>
            </w:r>
            <w:r>
              <w:rPr>
                <w:rFonts w:eastAsia="Calibri"/>
                <w:sz w:val="22"/>
                <w:szCs w:val="22"/>
              </w:rPr>
              <w:t>.</w:t>
            </w:r>
            <w:r w:rsidRPr="00D51E68">
              <w:rPr>
                <w:rFonts w:eastAsia="Calibri"/>
                <w:sz w:val="22"/>
                <w:szCs w:val="22"/>
              </w:rPr>
              <w:t xml:space="preserve">  </w:t>
            </w:r>
          </w:p>
        </w:tc>
      </w:tr>
      <w:tr w:rsidRPr="00D51E68" w:rsidR="006473C1" w:rsidTr="00B42088" w14:paraId="78ED38A9" w14:textId="77777777">
        <w:trPr>
          <w:cantSplit/>
        </w:trPr>
        <w:tc>
          <w:tcPr>
            <w:tcW w:w="2628" w:type="dxa"/>
            <w:shd w:val="clear" w:color="auto" w:fill="auto"/>
          </w:tcPr>
          <w:p w:rsidRPr="00D51E68" w:rsidR="006473C1" w:rsidP="000F0FBC" w:rsidRDefault="006473C1" w14:paraId="5897C575" w14:textId="77777777">
            <w:pPr>
              <w:rPr>
                <w:rFonts w:eastAsia="Calibri"/>
                <w:sz w:val="22"/>
                <w:szCs w:val="22"/>
              </w:rPr>
            </w:pPr>
            <w:r w:rsidRPr="00D51E68">
              <w:rPr>
                <w:rFonts w:eastAsia="Calibri"/>
                <w:sz w:val="22"/>
                <w:szCs w:val="22"/>
              </w:rPr>
              <w:lastRenderedPageBreak/>
              <w:t>1</w:t>
            </w:r>
            <w:r w:rsidR="000F0FBC">
              <w:rPr>
                <w:rFonts w:eastAsia="Calibri"/>
                <w:sz w:val="22"/>
                <w:szCs w:val="22"/>
              </w:rPr>
              <w:t>2</w:t>
            </w:r>
            <w:r w:rsidRPr="00D51E68">
              <w:rPr>
                <w:rFonts w:eastAsia="Calibri"/>
                <w:sz w:val="22"/>
                <w:szCs w:val="22"/>
              </w:rPr>
              <w:t>. Training Certification Records (1915.508(f))</w:t>
            </w:r>
          </w:p>
        </w:tc>
        <w:tc>
          <w:tcPr>
            <w:tcW w:w="1048" w:type="dxa"/>
            <w:shd w:val="clear" w:color="auto" w:fill="auto"/>
          </w:tcPr>
          <w:p w:rsidRPr="00D51E68" w:rsidR="006473C1" w:rsidP="006473C1" w:rsidRDefault="006473C1" w14:paraId="517EEEB2" w14:textId="77777777">
            <w:pPr>
              <w:jc w:val="center"/>
              <w:rPr>
                <w:rFonts w:eastAsia="Calibri"/>
                <w:sz w:val="22"/>
                <w:szCs w:val="22"/>
              </w:rPr>
            </w:pPr>
            <w:r>
              <w:rPr>
                <w:rFonts w:eastAsia="Calibri"/>
                <w:sz w:val="22"/>
                <w:szCs w:val="22"/>
              </w:rPr>
              <w:t>1,891</w:t>
            </w:r>
          </w:p>
        </w:tc>
        <w:tc>
          <w:tcPr>
            <w:tcW w:w="1365" w:type="dxa"/>
            <w:shd w:val="clear" w:color="auto" w:fill="auto"/>
          </w:tcPr>
          <w:p w:rsidRPr="00D51E68" w:rsidR="006473C1" w:rsidP="006473C1" w:rsidRDefault="00836C95" w14:paraId="0D9810AA" w14:textId="77777777">
            <w:pPr>
              <w:jc w:val="center"/>
              <w:rPr>
                <w:rFonts w:eastAsia="Calibri"/>
                <w:sz w:val="22"/>
                <w:szCs w:val="22"/>
              </w:rPr>
            </w:pPr>
            <w:r>
              <w:rPr>
                <w:rFonts w:eastAsia="Calibri"/>
                <w:sz w:val="22"/>
                <w:szCs w:val="22"/>
              </w:rPr>
              <w:t>6,637.55</w:t>
            </w:r>
          </w:p>
        </w:tc>
        <w:tc>
          <w:tcPr>
            <w:tcW w:w="1585" w:type="dxa"/>
            <w:shd w:val="clear" w:color="auto" w:fill="auto"/>
          </w:tcPr>
          <w:p w:rsidRPr="00D51E68" w:rsidR="006473C1" w:rsidP="006473C1" w:rsidRDefault="0087074D" w14:paraId="1DC3EFC0" w14:textId="77777777">
            <w:pPr>
              <w:jc w:val="center"/>
              <w:rPr>
                <w:rFonts w:eastAsia="Calibri"/>
                <w:sz w:val="22"/>
                <w:szCs w:val="22"/>
              </w:rPr>
            </w:pPr>
            <w:r>
              <w:rPr>
                <w:rFonts w:eastAsia="Calibri"/>
                <w:sz w:val="22"/>
                <w:szCs w:val="22"/>
              </w:rPr>
              <w:t>4,746.55</w:t>
            </w:r>
          </w:p>
        </w:tc>
        <w:tc>
          <w:tcPr>
            <w:tcW w:w="3202" w:type="dxa"/>
          </w:tcPr>
          <w:p w:rsidRPr="00D51E68" w:rsidR="006473C1" w:rsidP="00B42088" w:rsidRDefault="006473C1" w14:paraId="00D14FC0" w14:textId="77777777">
            <w:pPr>
              <w:rPr>
                <w:rFonts w:eastAsia="Calibri"/>
                <w:sz w:val="22"/>
                <w:szCs w:val="22"/>
              </w:rPr>
            </w:pPr>
            <w:r w:rsidRPr="00D51E68">
              <w:rPr>
                <w:rFonts w:eastAsia="Calibri"/>
                <w:sz w:val="22"/>
                <w:szCs w:val="22"/>
              </w:rPr>
              <w:t xml:space="preserve">The adjustment </w:t>
            </w:r>
            <w:r w:rsidR="00D96C04">
              <w:rPr>
                <w:rFonts w:eastAsia="Calibri"/>
                <w:sz w:val="22"/>
                <w:szCs w:val="22"/>
              </w:rPr>
              <w:t xml:space="preserve">increase </w:t>
            </w:r>
            <w:r w:rsidRPr="00D51E68">
              <w:rPr>
                <w:rFonts w:eastAsia="Calibri"/>
                <w:sz w:val="22"/>
                <w:szCs w:val="22"/>
              </w:rPr>
              <w:t xml:space="preserve">is a result of an increase in the number of workers </w:t>
            </w:r>
            <w:r w:rsidRPr="00D51E68" w:rsidR="00D96C04">
              <w:rPr>
                <w:rFonts w:eastAsia="Calibri"/>
                <w:sz w:val="22"/>
                <w:szCs w:val="22"/>
              </w:rPr>
              <w:t xml:space="preserve">affected </w:t>
            </w:r>
            <w:r w:rsidRPr="00D51E68">
              <w:rPr>
                <w:rFonts w:eastAsia="Calibri"/>
                <w:sz w:val="22"/>
                <w:szCs w:val="22"/>
              </w:rPr>
              <w:t>based on updated information.</w:t>
            </w:r>
          </w:p>
        </w:tc>
      </w:tr>
      <w:tr w:rsidRPr="00D51E68" w:rsidR="006473C1" w:rsidTr="00B42088" w14:paraId="2D43A287" w14:textId="77777777">
        <w:trPr>
          <w:cantSplit/>
        </w:trPr>
        <w:tc>
          <w:tcPr>
            <w:tcW w:w="2628" w:type="dxa"/>
            <w:shd w:val="clear" w:color="auto" w:fill="auto"/>
          </w:tcPr>
          <w:p w:rsidRPr="00D51E68" w:rsidR="006473C1" w:rsidP="006473C1" w:rsidRDefault="00F106D8" w14:paraId="3FA3A947" w14:textId="77777777">
            <w:pPr>
              <w:jc w:val="center"/>
              <w:rPr>
                <w:rFonts w:eastAsia="Calibri"/>
                <w:b/>
                <w:sz w:val="22"/>
                <w:szCs w:val="22"/>
              </w:rPr>
            </w:pPr>
            <w:r>
              <w:rPr>
                <w:rFonts w:eastAsia="Calibri"/>
                <w:b/>
                <w:sz w:val="22"/>
                <w:szCs w:val="22"/>
              </w:rPr>
              <w:t xml:space="preserve"> </w:t>
            </w:r>
            <w:r w:rsidRPr="00D51E68" w:rsidR="006473C1">
              <w:rPr>
                <w:rFonts w:eastAsia="Calibri"/>
                <w:b/>
                <w:sz w:val="22"/>
                <w:szCs w:val="22"/>
              </w:rPr>
              <w:t>Totals</w:t>
            </w:r>
          </w:p>
        </w:tc>
        <w:tc>
          <w:tcPr>
            <w:tcW w:w="1048" w:type="dxa"/>
            <w:shd w:val="clear" w:color="auto" w:fill="auto"/>
          </w:tcPr>
          <w:p w:rsidRPr="00D51E68" w:rsidR="006473C1" w:rsidP="006473C1" w:rsidRDefault="006473C1" w14:paraId="04A1CDCE" w14:textId="77777777">
            <w:pPr>
              <w:jc w:val="center"/>
              <w:rPr>
                <w:rFonts w:eastAsia="Calibri"/>
                <w:b/>
                <w:sz w:val="22"/>
                <w:szCs w:val="22"/>
              </w:rPr>
            </w:pPr>
            <w:r>
              <w:rPr>
                <w:rFonts w:eastAsia="Calibri"/>
                <w:b/>
                <w:sz w:val="22"/>
                <w:szCs w:val="22"/>
              </w:rPr>
              <w:t>6,603</w:t>
            </w:r>
          </w:p>
        </w:tc>
        <w:tc>
          <w:tcPr>
            <w:tcW w:w="1365" w:type="dxa"/>
            <w:shd w:val="clear" w:color="auto" w:fill="auto"/>
          </w:tcPr>
          <w:p w:rsidRPr="00D51E68" w:rsidR="006473C1" w:rsidP="006473C1" w:rsidRDefault="00792563" w14:paraId="4E61167A" w14:textId="77777777">
            <w:pPr>
              <w:jc w:val="center"/>
              <w:rPr>
                <w:rFonts w:eastAsia="Calibri"/>
                <w:b/>
                <w:sz w:val="22"/>
                <w:szCs w:val="22"/>
              </w:rPr>
            </w:pPr>
            <w:r>
              <w:rPr>
                <w:rFonts w:eastAsia="Calibri"/>
                <w:b/>
                <w:sz w:val="22"/>
                <w:szCs w:val="22"/>
              </w:rPr>
              <w:t>16,272</w:t>
            </w:r>
          </w:p>
        </w:tc>
        <w:tc>
          <w:tcPr>
            <w:tcW w:w="1585" w:type="dxa"/>
            <w:shd w:val="clear" w:color="auto" w:fill="auto"/>
          </w:tcPr>
          <w:p w:rsidRPr="00D51E68" w:rsidR="006473C1" w:rsidP="009F1366" w:rsidRDefault="00792563" w14:paraId="7DA81A76" w14:textId="77777777">
            <w:pPr>
              <w:jc w:val="center"/>
              <w:rPr>
                <w:rFonts w:eastAsia="Calibri"/>
                <w:b/>
                <w:sz w:val="22"/>
                <w:szCs w:val="22"/>
              </w:rPr>
            </w:pPr>
            <w:r>
              <w:rPr>
                <w:rFonts w:eastAsia="Calibri"/>
                <w:b/>
                <w:sz w:val="22"/>
                <w:szCs w:val="22"/>
              </w:rPr>
              <w:t>+9,6</w:t>
            </w:r>
            <w:r w:rsidR="009F1366">
              <w:rPr>
                <w:rFonts w:eastAsia="Calibri"/>
                <w:b/>
                <w:sz w:val="22"/>
                <w:szCs w:val="22"/>
              </w:rPr>
              <w:t>48</w:t>
            </w:r>
          </w:p>
        </w:tc>
        <w:tc>
          <w:tcPr>
            <w:tcW w:w="3202" w:type="dxa"/>
          </w:tcPr>
          <w:p w:rsidRPr="00D51E68" w:rsidR="006473C1" w:rsidP="006473C1" w:rsidRDefault="006473C1" w14:paraId="350C2065" w14:textId="77777777">
            <w:pPr>
              <w:jc w:val="center"/>
              <w:rPr>
                <w:rFonts w:eastAsia="Calibri"/>
                <w:b/>
                <w:sz w:val="22"/>
                <w:szCs w:val="22"/>
              </w:rPr>
            </w:pPr>
          </w:p>
        </w:tc>
      </w:tr>
    </w:tbl>
    <w:p w:rsidRPr="00FE0A3E" w:rsidR="006473C1" w:rsidP="00FE0A3E" w:rsidRDefault="006473C1" w14:paraId="16BED4BC" w14:textId="77777777">
      <w:pPr>
        <w:rPr>
          <w:rFonts w:eastAsia="Calibri"/>
          <w:sz w:val="24"/>
          <w:szCs w:val="24"/>
        </w:rPr>
      </w:pPr>
    </w:p>
    <w:p w:rsidRPr="00FE0A3E" w:rsidR="00FE0A3E" w:rsidP="00FE0A3E" w:rsidRDefault="00FE0A3E" w14:paraId="31F3F2E9" w14:textId="77777777">
      <w:pPr>
        <w:rPr>
          <w:rFonts w:eastAsia="Calibri"/>
          <w:sz w:val="24"/>
          <w:szCs w:val="24"/>
        </w:rPr>
      </w:pPr>
    </w:p>
    <w:p w:rsidRPr="003C27DC" w:rsidR="00FE0A3E" w:rsidP="00FE0A3E" w:rsidRDefault="00FE0A3E" w14:paraId="76BA9A7A" w14:textId="77777777">
      <w:pPr>
        <w:rPr>
          <w:rFonts w:eastAsia="Calibri"/>
          <w:b/>
          <w:sz w:val="24"/>
          <w:szCs w:val="24"/>
        </w:rPr>
      </w:pPr>
      <w:r w:rsidRPr="003C27DC">
        <w:rPr>
          <w:rFonts w:eastAsia="Calibri"/>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E0A3E" w:rsidR="00FE0A3E" w:rsidP="00FE0A3E" w:rsidRDefault="00FE0A3E" w14:paraId="6FC51F3F" w14:textId="77777777">
      <w:pPr>
        <w:rPr>
          <w:rFonts w:eastAsia="Calibri"/>
          <w:b/>
          <w:sz w:val="24"/>
          <w:szCs w:val="24"/>
        </w:rPr>
      </w:pPr>
    </w:p>
    <w:p w:rsidRPr="00FE0A3E" w:rsidR="00FE0A3E" w:rsidP="00FE0A3E" w:rsidRDefault="00FE0A3E" w14:paraId="784CA77F" w14:textId="77777777">
      <w:pPr>
        <w:rPr>
          <w:rFonts w:eastAsia="Calibri"/>
          <w:sz w:val="24"/>
          <w:szCs w:val="24"/>
        </w:rPr>
      </w:pPr>
      <w:r w:rsidRPr="00FE0A3E">
        <w:rPr>
          <w:rFonts w:eastAsia="Calibri"/>
          <w:sz w:val="24"/>
          <w:szCs w:val="24"/>
        </w:rPr>
        <w:t>OSHA will not publish the information collected under the Standard.</w:t>
      </w:r>
    </w:p>
    <w:p w:rsidRPr="00FE0A3E" w:rsidR="00FE0A3E" w:rsidP="00FE0A3E" w:rsidRDefault="00FE0A3E" w14:paraId="2FC2BDD5" w14:textId="77777777">
      <w:pPr>
        <w:rPr>
          <w:rFonts w:eastAsia="Calibri"/>
          <w:sz w:val="24"/>
          <w:szCs w:val="24"/>
        </w:rPr>
      </w:pPr>
    </w:p>
    <w:p w:rsidRPr="003C27DC" w:rsidR="00FE0A3E" w:rsidP="00FE0A3E" w:rsidRDefault="00FE0A3E" w14:paraId="5CF9503F" w14:textId="77777777">
      <w:pPr>
        <w:rPr>
          <w:rFonts w:eastAsia="Calibri"/>
          <w:b/>
          <w:sz w:val="24"/>
          <w:szCs w:val="24"/>
        </w:rPr>
      </w:pPr>
      <w:r w:rsidRPr="003C27DC">
        <w:rPr>
          <w:rFonts w:eastAsia="Calibri"/>
          <w:b/>
          <w:sz w:val="24"/>
          <w:szCs w:val="24"/>
        </w:rPr>
        <w:t>17.  If seeking approval to not display the expiration date for OMB approval of the information collection, explain the reasons that display would be appropriate.</w:t>
      </w:r>
    </w:p>
    <w:p w:rsidRPr="00933FB2" w:rsidR="00933FB2" w:rsidP="00933FB2" w:rsidRDefault="00933FB2" w14:paraId="01CDFA95" w14:textId="77777777">
      <w:pPr>
        <w:widowControl w:val="0"/>
        <w:autoSpaceDE w:val="0"/>
        <w:autoSpaceDN w:val="0"/>
        <w:spacing w:before="252"/>
        <w:rPr>
          <w:sz w:val="24"/>
          <w:szCs w:val="24"/>
        </w:rPr>
      </w:pPr>
      <w:r w:rsidRPr="00933FB2">
        <w:rPr>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933FB2" w:rsidP="00FE0A3E" w:rsidRDefault="00933FB2" w14:paraId="5612D196" w14:textId="77777777">
      <w:pPr>
        <w:rPr>
          <w:rFonts w:eastAsia="Calibri"/>
          <w:b/>
        </w:rPr>
      </w:pPr>
    </w:p>
    <w:p w:rsidRPr="003C27DC" w:rsidR="00FE0A3E" w:rsidP="00FE0A3E" w:rsidRDefault="00FE0A3E" w14:paraId="2AFF4ED2" w14:textId="77777777">
      <w:pPr>
        <w:rPr>
          <w:rFonts w:eastAsia="Calibri"/>
          <w:b/>
          <w:sz w:val="24"/>
          <w:szCs w:val="24"/>
        </w:rPr>
      </w:pPr>
      <w:r w:rsidRPr="003C27DC">
        <w:rPr>
          <w:rFonts w:eastAsia="Calibri"/>
          <w:b/>
          <w:sz w:val="24"/>
          <w:szCs w:val="24"/>
        </w:rPr>
        <w:t>18.  Explain each exception to the certification statement in Item 19.</w:t>
      </w:r>
    </w:p>
    <w:p w:rsidRPr="00FE0A3E" w:rsidR="00FE0A3E" w:rsidP="00FE0A3E" w:rsidRDefault="00FE0A3E" w14:paraId="1F7FAB47" w14:textId="77777777">
      <w:pPr>
        <w:rPr>
          <w:rFonts w:eastAsia="Calibri"/>
          <w:b/>
          <w:sz w:val="24"/>
          <w:szCs w:val="24"/>
        </w:rPr>
      </w:pPr>
    </w:p>
    <w:p w:rsidRPr="00FE0A3E" w:rsidR="00FE0A3E" w:rsidP="00FE0A3E" w:rsidRDefault="00FE0A3E" w14:paraId="7FDA863A" w14:textId="77777777">
      <w:pPr>
        <w:rPr>
          <w:rFonts w:eastAsia="Calibri"/>
          <w:sz w:val="24"/>
          <w:szCs w:val="24"/>
        </w:rPr>
      </w:pPr>
      <w:r w:rsidRPr="00FE0A3E">
        <w:rPr>
          <w:rFonts w:eastAsia="Calibri"/>
          <w:sz w:val="24"/>
          <w:szCs w:val="24"/>
        </w:rPr>
        <w:t>OSHA is not seeking an exception to the certification statement.</w:t>
      </w:r>
    </w:p>
    <w:p w:rsidRPr="00FE0A3E" w:rsidR="00FE0A3E" w:rsidP="00FE0A3E" w:rsidRDefault="00FE0A3E" w14:paraId="7D5C4B30" w14:textId="77777777">
      <w:pPr>
        <w:rPr>
          <w:rFonts w:eastAsia="Calibri"/>
          <w:sz w:val="24"/>
          <w:szCs w:val="24"/>
        </w:rPr>
      </w:pPr>
    </w:p>
    <w:p w:rsidRPr="00FE0A3E" w:rsidR="00FE0A3E" w:rsidP="00FE0A3E" w:rsidRDefault="00FE0A3E" w14:paraId="58BD74D6" w14:textId="77777777">
      <w:pPr>
        <w:rPr>
          <w:rFonts w:eastAsia="Calibri"/>
          <w:b/>
          <w:sz w:val="24"/>
          <w:szCs w:val="24"/>
        </w:rPr>
      </w:pPr>
      <w:r w:rsidRPr="00FE0A3E">
        <w:rPr>
          <w:rFonts w:eastAsia="Calibri"/>
          <w:b/>
          <w:sz w:val="24"/>
          <w:szCs w:val="24"/>
        </w:rPr>
        <w:t>B.  COLLECTIONS OF INFORMATION EMPLOYING STATISTICAL METHODS</w:t>
      </w:r>
    </w:p>
    <w:p w:rsidRPr="00FE0A3E" w:rsidR="00FE0A3E" w:rsidP="00FE0A3E" w:rsidRDefault="00FE0A3E" w14:paraId="77380E14" w14:textId="77777777">
      <w:pPr>
        <w:rPr>
          <w:rFonts w:eastAsia="Calibri"/>
          <w:b/>
          <w:sz w:val="24"/>
          <w:szCs w:val="24"/>
        </w:rPr>
      </w:pPr>
    </w:p>
    <w:p w:rsidR="00FE0A3E" w:rsidP="00FE0A3E" w:rsidRDefault="00FE0A3E" w14:paraId="40048433" w14:textId="0D0B9894">
      <w:pPr>
        <w:rPr>
          <w:rFonts w:eastAsia="Calibri"/>
          <w:sz w:val="24"/>
          <w:szCs w:val="24"/>
        </w:rPr>
      </w:pPr>
      <w:r w:rsidRPr="00FE0A3E">
        <w:rPr>
          <w:rFonts w:eastAsia="Calibri"/>
          <w:sz w:val="24"/>
          <w:szCs w:val="24"/>
        </w:rPr>
        <w:t>This Supporting Statement does not contain any collection of information requirements that employ statistical methods.</w:t>
      </w:r>
    </w:p>
    <w:p w:rsidR="00B255C8" w:rsidP="00FE0A3E" w:rsidRDefault="00B255C8" w14:paraId="10E91DF7" w14:textId="2E59220D">
      <w:pPr>
        <w:rPr>
          <w:rFonts w:eastAsia="Calibri"/>
          <w:sz w:val="24"/>
          <w:szCs w:val="24"/>
        </w:rPr>
      </w:pPr>
    </w:p>
    <w:sectPr w:rsidR="00B255C8" w:rsidSect="00B42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19FE" w14:textId="77777777" w:rsidR="00F023BE" w:rsidRDefault="00F023BE">
      <w:r>
        <w:separator/>
      </w:r>
    </w:p>
  </w:endnote>
  <w:endnote w:type="continuationSeparator" w:id="0">
    <w:p w14:paraId="44B77D5F" w14:textId="77777777" w:rsidR="00F023BE" w:rsidRDefault="00F0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E182" w14:textId="1A9B5CD7" w:rsidR="00F023BE" w:rsidRDefault="00F023BE">
    <w:pPr>
      <w:pStyle w:val="Footer"/>
      <w:jc w:val="center"/>
    </w:pPr>
    <w:r>
      <w:fldChar w:fldCharType="begin"/>
    </w:r>
    <w:r>
      <w:instrText xml:space="preserve"> PAGE   \* MERGEFORMAT </w:instrText>
    </w:r>
    <w:r>
      <w:fldChar w:fldCharType="separate"/>
    </w:r>
    <w:r w:rsidR="000A31BB">
      <w:rPr>
        <w:noProof/>
      </w:rPr>
      <w:t>23</w:t>
    </w:r>
    <w:r>
      <w:rPr>
        <w:noProof/>
      </w:rPr>
      <w:fldChar w:fldCharType="end"/>
    </w:r>
  </w:p>
  <w:p w14:paraId="060A0362" w14:textId="77777777" w:rsidR="00F023BE" w:rsidRDefault="00F0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1C619" w14:textId="77777777" w:rsidR="00F023BE" w:rsidRDefault="00F023BE">
      <w:r>
        <w:separator/>
      </w:r>
    </w:p>
  </w:footnote>
  <w:footnote w:type="continuationSeparator" w:id="0">
    <w:p w14:paraId="7A3A0D2A" w14:textId="77777777" w:rsidR="00F023BE" w:rsidRDefault="00F023BE">
      <w:r>
        <w:continuationSeparator/>
      </w:r>
    </w:p>
  </w:footnote>
  <w:footnote w:id="1">
    <w:p w14:paraId="7C127630" w14:textId="7541ABD9" w:rsidR="00F023BE" w:rsidRPr="001F409B" w:rsidRDefault="00F023BE" w:rsidP="00F50672">
      <w:pPr>
        <w:pStyle w:val="FootnoteText"/>
      </w:pPr>
      <w:r>
        <w:tab/>
      </w:r>
      <w:r w:rsidRPr="001F409B">
        <w:rPr>
          <w:rStyle w:val="FootnoteReference"/>
        </w:rPr>
        <w:footnoteRef/>
      </w:r>
      <w:r>
        <w:t xml:space="preserve">This </w:t>
      </w:r>
      <w:r w:rsidRPr="001F409B">
        <w:t xml:space="preserve"> Supporting Statement </w:t>
      </w:r>
      <w:r>
        <w:t>analyzes and describes</w:t>
      </w:r>
      <w:r w:rsidRPr="001F409B">
        <w:t xml:space="preserve"> the burden hours and cost associated with provision of this Standard that contain paperwork requirements; this Supporting Statement does not provide information or guidance on how to comply with, or how to enforce, the Standard.</w:t>
      </w:r>
    </w:p>
  </w:footnote>
  <w:footnote w:id="2">
    <w:p w14:paraId="6B4D0140" w14:textId="77777777" w:rsidR="00F023BE" w:rsidRDefault="00F023BE" w:rsidP="00F50672">
      <w:pPr>
        <w:pStyle w:val="FootnoteText"/>
      </w:pPr>
      <w:r w:rsidRPr="00711EE0">
        <w:rPr>
          <w:rStyle w:val="FootnoteReference"/>
        </w:rPr>
        <w:footnoteRef/>
      </w:r>
      <w:r w:rsidRPr="00711EE0">
        <w:t xml:space="preserve"> The website is </w:t>
      </w:r>
      <w:hyperlink r:id="rId1" w:history="1">
        <w:r w:rsidRPr="00711EE0">
          <w:rPr>
            <w:rStyle w:val="Hyperlink"/>
          </w:rPr>
          <w:t>http://www.bls.gov/oes/current/oes_nat.htm</w:t>
        </w:r>
      </w:hyperlink>
      <w:r w:rsidRPr="00711EE0">
        <w:t xml:space="preserve">. </w:t>
      </w:r>
    </w:p>
    <w:p w14:paraId="0435F129" w14:textId="77777777" w:rsidR="00F023BE" w:rsidRPr="00711EE0" w:rsidRDefault="00F023BE" w:rsidP="00FE0A3E">
      <w:pPr>
        <w:pStyle w:val="FootnoteText"/>
        <w:ind w:firstLine="720"/>
      </w:pPr>
    </w:p>
  </w:footnote>
  <w:footnote w:id="3">
    <w:p w14:paraId="24715D94" w14:textId="58BC3B4C" w:rsidR="00F023BE" w:rsidRDefault="00F023BE" w:rsidP="00662B40">
      <w:pPr>
        <w:pStyle w:val="FootnoteText"/>
      </w:pPr>
      <w:r>
        <w:tab/>
      </w:r>
      <w:r w:rsidRPr="00117589">
        <w:rPr>
          <w:rStyle w:val="FootnoteReference"/>
        </w:rPr>
        <w:footnoteRef/>
      </w:r>
      <w:r w:rsidRPr="00117589">
        <w:t xml:space="preserve"> The wage rate for Fire Trainer was derived from the wage rate of a Fire Inspector and Investigator, SOC code 33-2021 and the wage rate for a manager was derived from the wage rate of a First-line manager of a fire fighting and prevention worker, SOC code 33-1021.</w:t>
      </w:r>
      <w:r>
        <w:t xml:space="preserve"> The wage rate for the Worker was derived from the wage rate of a Construction Trades Worker, SOC code 47-2000 and the wage rate for the Supervisor was derived from the wage rate of a First Line Supervisors of Construction Trades and Extraction Workers, SOC code 47-1011.</w:t>
      </w:r>
    </w:p>
    <w:p w14:paraId="2C1FCCA3" w14:textId="77777777" w:rsidR="00F023BE" w:rsidRPr="00117589" w:rsidRDefault="00F023BE" w:rsidP="00662B40">
      <w:pPr>
        <w:pStyle w:val="FootnoteText"/>
        <w:ind w:firstLine="720"/>
      </w:pPr>
    </w:p>
  </w:footnote>
  <w:footnote w:id="4">
    <w:p w14:paraId="5AFA42D5" w14:textId="736AA096" w:rsidR="00F023BE" w:rsidRPr="0030290A" w:rsidRDefault="00F023BE" w:rsidP="00F50672">
      <w:pPr>
        <w:pStyle w:val="FootnoteText"/>
      </w:pPr>
      <w:r>
        <w:tab/>
      </w:r>
      <w:r w:rsidRPr="0030290A">
        <w:rPr>
          <w:rStyle w:val="FootnoteReference"/>
        </w:rPr>
        <w:footnoteRef/>
      </w:r>
      <w:r w:rsidRPr="0030290A">
        <w:t xml:space="preserve">The </w:t>
      </w:r>
      <w:r>
        <w:t>420</w:t>
      </w:r>
      <w:r w:rsidRPr="0030290A">
        <w:t xml:space="preserve"> host employer estimate is based on preliminary analysis.  OSHA assumes that employers with 100 or more employees use contractors and are, therefore, host employers. </w:t>
      </w:r>
      <w:r>
        <w:t xml:space="preserve"> </w:t>
      </w:r>
      <w:r w:rsidRPr="0030290A">
        <w:t xml:space="preserve">Of the </w:t>
      </w:r>
      <w:r>
        <w:t>588</w:t>
      </w:r>
      <w:r w:rsidRPr="0030290A">
        <w:t xml:space="preserve"> total establishments, </w:t>
      </w:r>
      <w:r>
        <w:t>168 establishments</w:t>
      </w:r>
      <w:r w:rsidRPr="0030290A">
        <w:t xml:space="preserve"> employ </w:t>
      </w:r>
      <w:r>
        <w:t xml:space="preserve">100 or </w:t>
      </w:r>
      <w:r w:rsidRPr="0030290A">
        <w:t>more employees.</w:t>
      </w:r>
    </w:p>
    <w:p w14:paraId="4DE2D95E" w14:textId="77777777" w:rsidR="00F023BE" w:rsidRPr="0030290A" w:rsidRDefault="00F023BE" w:rsidP="00FE0A3E">
      <w:pPr>
        <w:pStyle w:val="FootnoteText"/>
      </w:pPr>
    </w:p>
  </w:footnote>
  <w:footnote w:id="5">
    <w:p w14:paraId="12B9CBE2" w14:textId="5C9F84F7" w:rsidR="00F023BE" w:rsidRDefault="00F023BE" w:rsidP="00F50672">
      <w:pPr>
        <w:pStyle w:val="FootnoteText"/>
      </w:pPr>
      <w:r>
        <w:tab/>
      </w:r>
      <w:r w:rsidRPr="0030290A">
        <w:rPr>
          <w:rStyle w:val="FootnoteReference"/>
        </w:rPr>
        <w:footnoteRef/>
      </w:r>
      <w:r w:rsidRPr="0030290A">
        <w:t xml:space="preserve">The website is </w:t>
      </w:r>
      <w:hyperlink r:id="rId2" w:history="1">
        <w:r w:rsidRPr="00782D2A">
          <w:rPr>
            <w:rStyle w:val="Hyperlink"/>
          </w:rPr>
          <w:t>https://www.census.gov/data/tables/2017/econ/susb/2017-susb-annual.html</w:t>
        </w:r>
      </w:hyperlink>
      <w:r>
        <w:t>.</w:t>
      </w:r>
    </w:p>
    <w:p w14:paraId="7CCF63AE" w14:textId="77777777" w:rsidR="00F023BE" w:rsidRPr="0030290A" w:rsidRDefault="00F023BE" w:rsidP="00F50672">
      <w:pPr>
        <w:pStyle w:val="FootnoteText"/>
      </w:pPr>
    </w:p>
  </w:footnote>
  <w:footnote w:id="6">
    <w:p w14:paraId="3B300E76" w14:textId="6EBCD5EA" w:rsidR="00F023BE" w:rsidRPr="0030290A" w:rsidRDefault="00F023BE" w:rsidP="00F50672">
      <w:pPr>
        <w:pStyle w:val="FootnoteText"/>
      </w:pPr>
      <w:r>
        <w:tab/>
      </w:r>
      <w:r w:rsidRPr="0030290A">
        <w:rPr>
          <w:rStyle w:val="FootnoteReference"/>
        </w:rPr>
        <w:footnoteRef/>
      </w:r>
      <w:r w:rsidRPr="0030290A">
        <w:t xml:space="preserve">OSHA uses the following criteria to classify </w:t>
      </w:r>
      <w:r>
        <w:t>establishment</w:t>
      </w:r>
      <w:r w:rsidRPr="0030290A">
        <w:t xml:space="preserve"> size:  small </w:t>
      </w:r>
      <w:r>
        <w:t>establishment</w:t>
      </w:r>
      <w:r w:rsidRPr="0030290A">
        <w:t xml:space="preserve">s – 1-99 employees; medium </w:t>
      </w:r>
      <w:r>
        <w:t>establishment</w:t>
      </w:r>
      <w:r w:rsidRPr="0030290A">
        <w:t xml:space="preserve">s – 100-499 employees; and large </w:t>
      </w:r>
      <w:r>
        <w:t>establishment</w:t>
      </w:r>
      <w:r w:rsidRPr="0030290A">
        <w:t>s – 500+ employees.</w:t>
      </w:r>
    </w:p>
  </w:footnote>
  <w:footnote w:id="7">
    <w:p w14:paraId="3DA78F45" w14:textId="77777777" w:rsidR="00F023BE" w:rsidRDefault="00F023BE" w:rsidP="00FE0A3E">
      <w:pPr>
        <w:pStyle w:val="FootnoteText"/>
        <w:ind w:firstLine="720"/>
      </w:pPr>
    </w:p>
    <w:p w14:paraId="60303211" w14:textId="5D675835" w:rsidR="00F023BE" w:rsidRDefault="00F023BE" w:rsidP="00F50672">
      <w:pPr>
        <w:pStyle w:val="FootnoteText"/>
      </w:pPr>
      <w:r>
        <w:tab/>
      </w:r>
      <w:r w:rsidRPr="005C2C25">
        <w:rPr>
          <w:rStyle w:val="FootnoteReference"/>
        </w:rPr>
        <w:footnoteRef/>
      </w:r>
      <w:r w:rsidRPr="005C2C25">
        <w:t>Total numbe</w:t>
      </w:r>
      <w:r>
        <w:t>r</w:t>
      </w:r>
      <w:r w:rsidRPr="005C2C25">
        <w:t xml:space="preserve"> of affected employees x 8.2%</w:t>
      </w:r>
      <w:r>
        <w:t xml:space="preserve"> (99,963 affected employees x 8.2% = 8,197 fire response workers.)</w:t>
      </w:r>
    </w:p>
    <w:p w14:paraId="33FD9483" w14:textId="77777777" w:rsidR="00F023BE" w:rsidRPr="005C2C25" w:rsidRDefault="00F023BE" w:rsidP="00F50672">
      <w:pPr>
        <w:pStyle w:val="FootnoteText"/>
      </w:pPr>
    </w:p>
  </w:footnote>
  <w:footnote w:id="8">
    <w:p w14:paraId="2237335E" w14:textId="60AFE02A" w:rsidR="00F023BE" w:rsidRPr="00F50672" w:rsidRDefault="00F023BE" w:rsidP="00F5644F">
      <w:pPr>
        <w:rPr>
          <w:rFonts w:eastAsia="Calibri"/>
        </w:rPr>
      </w:pPr>
      <w:r>
        <w:tab/>
      </w:r>
      <w:r w:rsidRPr="00F5644F">
        <w:rPr>
          <w:rStyle w:val="FootnoteReference"/>
        </w:rPr>
        <w:footnoteRef/>
      </w:r>
      <w:r>
        <w:rPr>
          <w:rFonts w:eastAsia="Calibri"/>
        </w:rPr>
        <w:t>In pre</w:t>
      </w:r>
      <w:r w:rsidRPr="00F50672">
        <w:rPr>
          <w:rFonts w:eastAsia="Calibri"/>
        </w:rPr>
        <w:t>paring this ICR, OSHA has based its burden hour calculation using the number of employers not currently in compliance with the standard (253).  Based on the information provided during the negotiated rulemaking process, it became apparent that many employers covered by the rule are already, as a usual and customary business practice, complying with the provisions of the standard.</w:t>
      </w:r>
    </w:p>
    <w:p w14:paraId="1BD2F7D9" w14:textId="77777777" w:rsidR="00F023BE" w:rsidRDefault="00F023BE">
      <w:pPr>
        <w:pStyle w:val="FootnoteText"/>
      </w:pPr>
    </w:p>
  </w:footnote>
  <w:footnote w:id="9">
    <w:p w14:paraId="077AF81B" w14:textId="767859BD" w:rsidR="00F023BE" w:rsidRDefault="00F023BE">
      <w:pPr>
        <w:pStyle w:val="FootnoteText"/>
      </w:pPr>
      <w:r>
        <w:tab/>
      </w:r>
      <w:r>
        <w:rPr>
          <w:rStyle w:val="FootnoteReference"/>
        </w:rPr>
        <w:footnoteRef/>
      </w:r>
      <w:r w:rsidRPr="00E11E13">
        <w:t>T</w:t>
      </w:r>
      <w:r w:rsidRPr="00F50672">
        <w:rPr>
          <w:rFonts w:eastAsia="Calibri"/>
        </w:rPr>
        <w:t>he host employer is the owner of the shipyard.</w:t>
      </w:r>
    </w:p>
  </w:footnote>
  <w:footnote w:id="10">
    <w:p w14:paraId="138CE719" w14:textId="0217A877" w:rsidR="00F023BE" w:rsidRPr="00FE0A3E" w:rsidRDefault="00F023BE" w:rsidP="00E11E13">
      <w:pPr>
        <w:rPr>
          <w:rFonts w:eastAsia="Calibri"/>
          <w:sz w:val="24"/>
          <w:szCs w:val="24"/>
        </w:rPr>
      </w:pPr>
      <w:r>
        <w:tab/>
      </w:r>
      <w:r>
        <w:rPr>
          <w:rStyle w:val="FootnoteReference"/>
        </w:rPr>
        <w:footnoteRef/>
      </w:r>
      <w:r w:rsidRPr="00F50672">
        <w:rPr>
          <w:rFonts w:eastAsia="Calibri"/>
        </w:rPr>
        <w:t>Insurers currently require shipyards to have fire prevention measures which serve as a starting point in preparing the fire safety plan.  A safety and health manager would develop the plan.</w:t>
      </w:r>
    </w:p>
    <w:p w14:paraId="1F8A61E8" w14:textId="77777777" w:rsidR="00F023BE" w:rsidRDefault="00F023BE">
      <w:pPr>
        <w:pStyle w:val="FootnoteText"/>
      </w:pPr>
    </w:p>
  </w:footnote>
  <w:footnote w:id="11">
    <w:p w14:paraId="1ADAC11F" w14:textId="60A699FF" w:rsidR="00F023BE" w:rsidRDefault="00F023BE">
      <w:pPr>
        <w:pStyle w:val="FootnoteText"/>
      </w:pPr>
      <w:r>
        <w:tab/>
      </w:r>
      <w:r>
        <w:rPr>
          <w:rStyle w:val="FootnoteReference"/>
        </w:rPr>
        <w:footnoteRef/>
      </w:r>
      <w:r w:rsidRPr="00F50672">
        <w:rPr>
          <w:rFonts w:eastAsia="Calibri"/>
        </w:rPr>
        <w:t>The burden for this activity takes into consideration that some of the information required in the written statement or policy has already been generated and included in the fire safety plan (see 1915.502).</w:t>
      </w:r>
      <w:r w:rsidRPr="00FE0A3E">
        <w:rPr>
          <w:rFonts w:eastAsia="Calibri"/>
          <w:sz w:val="24"/>
          <w:szCs w:val="24"/>
        </w:rPr>
        <w:t xml:space="preserve">  </w:t>
      </w:r>
    </w:p>
  </w:footnote>
  <w:footnote w:id="12">
    <w:p w14:paraId="552F92CF" w14:textId="77777777" w:rsidR="00F023BE" w:rsidRDefault="00F023BE">
      <w:pPr>
        <w:pStyle w:val="FootnoteText"/>
      </w:pPr>
      <w:r>
        <w:rPr>
          <w:rStyle w:val="FootnoteReference"/>
        </w:rPr>
        <w:footnoteRef/>
      </w:r>
      <w:r>
        <w:t xml:space="preserve"> See Table 1 for complete occupational name and its associated SOC code.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B5D3" w14:textId="77777777" w:rsidR="00F023BE" w:rsidRPr="00C87128" w:rsidRDefault="00F023BE" w:rsidP="008576AA">
    <w:pPr>
      <w:rPr>
        <w:b/>
        <w:sz w:val="24"/>
        <w:szCs w:val="24"/>
      </w:rPr>
    </w:pPr>
    <w:r>
      <w:rPr>
        <w:b/>
        <w:sz w:val="24"/>
        <w:szCs w:val="24"/>
      </w:rPr>
      <w:t>Department of Labor</w:t>
    </w:r>
  </w:p>
  <w:p w14:paraId="05931741" w14:textId="77777777" w:rsidR="00F023BE" w:rsidRPr="00C87128" w:rsidRDefault="00F023BE" w:rsidP="008576AA">
    <w:pPr>
      <w:rPr>
        <w:b/>
        <w:sz w:val="24"/>
        <w:szCs w:val="24"/>
      </w:rPr>
    </w:pPr>
    <w:r w:rsidRPr="00C87128">
      <w:rPr>
        <w:b/>
        <w:sz w:val="24"/>
        <w:szCs w:val="24"/>
      </w:rPr>
      <w:t>Occupational Safety and Health Administration</w:t>
    </w:r>
  </w:p>
  <w:p w14:paraId="76EFC38B" w14:textId="77777777" w:rsidR="00F023BE" w:rsidRDefault="00F023BE" w:rsidP="008576AA">
    <w:pPr>
      <w:rPr>
        <w:b/>
        <w:sz w:val="24"/>
        <w:szCs w:val="24"/>
      </w:rPr>
    </w:pPr>
    <w:r>
      <w:rPr>
        <w:b/>
        <w:sz w:val="24"/>
        <w:szCs w:val="24"/>
      </w:rPr>
      <w:t>Preclearance</w:t>
    </w:r>
    <w:r w:rsidRPr="00C87128">
      <w:rPr>
        <w:b/>
        <w:sz w:val="24"/>
        <w:szCs w:val="24"/>
      </w:rPr>
      <w:t xml:space="preserve"> Supporting Statement</w:t>
    </w:r>
  </w:p>
  <w:p w14:paraId="672DAEC5" w14:textId="77777777" w:rsidR="00F023BE" w:rsidRDefault="00F023BE" w:rsidP="008576AA">
    <w:pPr>
      <w:rPr>
        <w:b/>
        <w:sz w:val="24"/>
        <w:szCs w:val="24"/>
      </w:rPr>
    </w:pPr>
  </w:p>
  <w:p w14:paraId="5E969E65" w14:textId="77777777" w:rsidR="00F023BE" w:rsidRDefault="00F0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702A6" w14:textId="1828DEA0" w:rsidR="00F023BE" w:rsidRPr="000A31BB" w:rsidRDefault="00F023BE" w:rsidP="0061684D">
    <w:pPr>
      <w:pStyle w:val="Header"/>
      <w:rPr>
        <w:rFonts w:ascii="Times New Roman" w:hAnsi="Times New Roman"/>
        <w:b/>
        <w:sz w:val="22"/>
        <w:szCs w:val="22"/>
      </w:rPr>
    </w:pPr>
    <w:r w:rsidRPr="000A31BB">
      <w:rPr>
        <w:rFonts w:ascii="Times New Roman" w:hAnsi="Times New Roman"/>
        <w:b/>
        <w:sz w:val="22"/>
        <w:szCs w:val="22"/>
      </w:rPr>
      <w:t>Fire Protection in Shipyard Employment (29 CFR part 1915, subpart P)</w:t>
    </w:r>
  </w:p>
  <w:p w14:paraId="110D94AA" w14:textId="7BF5F86A" w:rsidR="00F023BE" w:rsidRPr="000A31BB" w:rsidRDefault="00F023BE" w:rsidP="0061684D">
    <w:pPr>
      <w:pStyle w:val="Header"/>
      <w:rPr>
        <w:rFonts w:ascii="Times New Roman" w:hAnsi="Times New Roman"/>
        <w:b/>
        <w:sz w:val="22"/>
        <w:szCs w:val="22"/>
      </w:rPr>
    </w:pPr>
    <w:r w:rsidRPr="000A31BB">
      <w:rPr>
        <w:rFonts w:ascii="Times New Roman" w:hAnsi="Times New Roman"/>
        <w:b/>
        <w:sz w:val="22"/>
        <w:szCs w:val="22"/>
      </w:rPr>
      <w:t>1218-0248</w:t>
    </w:r>
  </w:p>
  <w:p w14:paraId="510D08FC" w14:textId="78813225" w:rsidR="00F023BE" w:rsidRPr="000A31BB" w:rsidRDefault="00F023BE" w:rsidP="0061684D">
    <w:pPr>
      <w:pStyle w:val="Header"/>
      <w:rPr>
        <w:rFonts w:ascii="Times New Roman" w:hAnsi="Times New Roman"/>
        <w:sz w:val="22"/>
        <w:szCs w:val="22"/>
      </w:rPr>
    </w:pPr>
    <w:r w:rsidRPr="000A31BB">
      <w:rPr>
        <w:rFonts w:ascii="Times New Roman" w:hAnsi="Times New Roman"/>
        <w:b/>
        <w:sz w:val="22"/>
        <w:szCs w:val="22"/>
      </w:rPr>
      <w:t>February 28, 2021</w:t>
    </w:r>
  </w:p>
  <w:p w14:paraId="72AE31EF" w14:textId="77777777" w:rsidR="00F023BE" w:rsidRDefault="00F023BE" w:rsidP="008576AA">
    <w:pPr>
      <w:rPr>
        <w:b/>
        <w:sz w:val="24"/>
        <w:szCs w:val="24"/>
      </w:rPr>
    </w:pPr>
  </w:p>
  <w:p w14:paraId="1FBE95B6" w14:textId="77777777" w:rsidR="00F023BE" w:rsidRDefault="00F0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165"/>
    <w:multiLevelType w:val="hybridMultilevel"/>
    <w:tmpl w:val="3D38F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4DF"/>
    <w:multiLevelType w:val="hybridMultilevel"/>
    <w:tmpl w:val="07CA2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002A"/>
    <w:multiLevelType w:val="hybridMultilevel"/>
    <w:tmpl w:val="D13C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25F3"/>
    <w:multiLevelType w:val="hybridMultilevel"/>
    <w:tmpl w:val="D1BE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724F8"/>
    <w:multiLevelType w:val="hybridMultilevel"/>
    <w:tmpl w:val="06EC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B7D5F"/>
    <w:multiLevelType w:val="hybridMultilevel"/>
    <w:tmpl w:val="08D0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86D8E"/>
    <w:multiLevelType w:val="hybridMultilevel"/>
    <w:tmpl w:val="784A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22F53"/>
    <w:multiLevelType w:val="hybridMultilevel"/>
    <w:tmpl w:val="9E0A6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8542D"/>
    <w:multiLevelType w:val="hybridMultilevel"/>
    <w:tmpl w:val="1A245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05041"/>
    <w:multiLevelType w:val="hybridMultilevel"/>
    <w:tmpl w:val="089A7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E2E70"/>
    <w:multiLevelType w:val="hybridMultilevel"/>
    <w:tmpl w:val="106693C6"/>
    <w:lvl w:ilvl="0" w:tplc="97180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14771"/>
    <w:multiLevelType w:val="hybridMultilevel"/>
    <w:tmpl w:val="D560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7EA3D66"/>
    <w:multiLevelType w:val="hybridMultilevel"/>
    <w:tmpl w:val="7FD45C18"/>
    <w:lvl w:ilvl="0" w:tplc="4AE825F6">
      <w:start w:val="8"/>
      <w:numFmt w:val="lowerLetter"/>
      <w:lvlText w:val="(%1) "/>
      <w:legacy w:legacy="1" w:legacySpace="0" w:legacyIndent="360"/>
      <w:lvlJc w:val="left"/>
      <w:pPr>
        <w:ind w:left="1800" w:hanging="360"/>
      </w:pPr>
      <w:rPr>
        <w:rFonts w:ascii="Times New Roman" w:hAnsi="Times New Roman" w:hint="default"/>
        <w:b w:val="0"/>
        <w:i w:val="0"/>
        <w:sz w:val="20"/>
        <w:u w:val="none"/>
      </w:rPr>
    </w:lvl>
    <w:lvl w:ilvl="1" w:tplc="C332E3B4">
      <w:numFmt w:val="decimal"/>
      <w:lvlText w:val=""/>
      <w:lvlJc w:val="left"/>
    </w:lvl>
    <w:lvl w:ilvl="2" w:tplc="FB68729A">
      <w:numFmt w:val="decimal"/>
      <w:lvlText w:val=""/>
      <w:lvlJc w:val="left"/>
    </w:lvl>
    <w:lvl w:ilvl="3" w:tplc="19D6A380">
      <w:numFmt w:val="decimal"/>
      <w:lvlText w:val=""/>
      <w:lvlJc w:val="left"/>
    </w:lvl>
    <w:lvl w:ilvl="4" w:tplc="FDD20102">
      <w:numFmt w:val="decimal"/>
      <w:lvlText w:val=""/>
      <w:lvlJc w:val="left"/>
    </w:lvl>
    <w:lvl w:ilvl="5" w:tplc="E1A643EE">
      <w:numFmt w:val="decimal"/>
      <w:lvlText w:val=""/>
      <w:lvlJc w:val="left"/>
    </w:lvl>
    <w:lvl w:ilvl="6" w:tplc="5824BC90">
      <w:numFmt w:val="decimal"/>
      <w:lvlText w:val=""/>
      <w:lvlJc w:val="left"/>
    </w:lvl>
    <w:lvl w:ilvl="7" w:tplc="78B681DE">
      <w:numFmt w:val="decimal"/>
      <w:lvlText w:val=""/>
      <w:lvlJc w:val="left"/>
    </w:lvl>
    <w:lvl w:ilvl="8" w:tplc="C4EC22F2">
      <w:numFmt w:val="decimal"/>
      <w:lvlText w:val=""/>
      <w:lvlJc w:val="left"/>
    </w:lvl>
  </w:abstractNum>
  <w:abstractNum w:abstractNumId="14" w15:restartNumberingAfterBreak="0">
    <w:nsid w:val="6F0846FA"/>
    <w:multiLevelType w:val="hybridMultilevel"/>
    <w:tmpl w:val="405679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DD492A"/>
    <w:multiLevelType w:val="hybridMultilevel"/>
    <w:tmpl w:val="2AE0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83E57"/>
    <w:multiLevelType w:val="hybridMultilevel"/>
    <w:tmpl w:val="8E7A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32513"/>
    <w:multiLevelType w:val="hybridMultilevel"/>
    <w:tmpl w:val="2A2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E5EC8"/>
    <w:multiLevelType w:val="hybridMultilevel"/>
    <w:tmpl w:val="E7D2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978F4"/>
    <w:multiLevelType w:val="hybridMultilevel"/>
    <w:tmpl w:val="DAB4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2682A"/>
    <w:multiLevelType w:val="hybridMultilevel"/>
    <w:tmpl w:val="AA24BF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0"/>
  </w:num>
  <w:num w:numId="3">
    <w:abstractNumId w:val="18"/>
  </w:num>
  <w:num w:numId="4">
    <w:abstractNumId w:val="6"/>
  </w:num>
  <w:num w:numId="5">
    <w:abstractNumId w:val="16"/>
  </w:num>
  <w:num w:numId="6">
    <w:abstractNumId w:val="7"/>
  </w:num>
  <w:num w:numId="7">
    <w:abstractNumId w:val="8"/>
  </w:num>
  <w:num w:numId="8">
    <w:abstractNumId w:val="0"/>
  </w:num>
  <w:num w:numId="9">
    <w:abstractNumId w:val="9"/>
  </w:num>
  <w:num w:numId="10">
    <w:abstractNumId w:val="11"/>
  </w:num>
  <w:num w:numId="11">
    <w:abstractNumId w:val="1"/>
  </w:num>
  <w:num w:numId="12">
    <w:abstractNumId w:val="4"/>
  </w:num>
  <w:num w:numId="13">
    <w:abstractNumId w:val="2"/>
  </w:num>
  <w:num w:numId="14">
    <w:abstractNumId w:val="19"/>
  </w:num>
  <w:num w:numId="15">
    <w:abstractNumId w:val="14"/>
  </w:num>
  <w:num w:numId="16">
    <w:abstractNumId w:val="15"/>
  </w:num>
  <w:num w:numId="17">
    <w:abstractNumId w:val="3"/>
  </w:num>
  <w:num w:numId="18">
    <w:abstractNumId w:val="10"/>
  </w:num>
  <w:num w:numId="19">
    <w:abstractNumId w:val="5"/>
  </w:num>
  <w:num w:numId="20">
    <w:abstractNumId w:val="17"/>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NDczsjQxsTA3MDZQ0lEKTi0uzszPAykwrgUAFmP9jywAAAA="/>
  </w:docVars>
  <w:rsids>
    <w:rsidRoot w:val="009B5786"/>
    <w:rsid w:val="00002C57"/>
    <w:rsid w:val="00013956"/>
    <w:rsid w:val="00017563"/>
    <w:rsid w:val="000258F7"/>
    <w:rsid w:val="000276AB"/>
    <w:rsid w:val="000519A7"/>
    <w:rsid w:val="00053697"/>
    <w:rsid w:val="00064398"/>
    <w:rsid w:val="000657C2"/>
    <w:rsid w:val="00070672"/>
    <w:rsid w:val="00082DDC"/>
    <w:rsid w:val="00092C17"/>
    <w:rsid w:val="00092C77"/>
    <w:rsid w:val="00092D98"/>
    <w:rsid w:val="00096C57"/>
    <w:rsid w:val="000A1EE0"/>
    <w:rsid w:val="000A31BB"/>
    <w:rsid w:val="000B4863"/>
    <w:rsid w:val="000C31E8"/>
    <w:rsid w:val="000C3CBA"/>
    <w:rsid w:val="000D223A"/>
    <w:rsid w:val="000D5D12"/>
    <w:rsid w:val="000D6DAC"/>
    <w:rsid w:val="000F0FBC"/>
    <w:rsid w:val="000F4EDB"/>
    <w:rsid w:val="00127F82"/>
    <w:rsid w:val="00131877"/>
    <w:rsid w:val="00142C7B"/>
    <w:rsid w:val="00151D62"/>
    <w:rsid w:val="00152930"/>
    <w:rsid w:val="00154C2A"/>
    <w:rsid w:val="00155F58"/>
    <w:rsid w:val="00157D6D"/>
    <w:rsid w:val="0016070C"/>
    <w:rsid w:val="00166D48"/>
    <w:rsid w:val="001872AB"/>
    <w:rsid w:val="00190294"/>
    <w:rsid w:val="00196381"/>
    <w:rsid w:val="001A20C6"/>
    <w:rsid w:val="001A729D"/>
    <w:rsid w:val="001B50B7"/>
    <w:rsid w:val="001B540B"/>
    <w:rsid w:val="001D52D3"/>
    <w:rsid w:val="001F04FF"/>
    <w:rsid w:val="001F56FC"/>
    <w:rsid w:val="001F6BEC"/>
    <w:rsid w:val="002002D4"/>
    <w:rsid w:val="002054DB"/>
    <w:rsid w:val="00217474"/>
    <w:rsid w:val="00221C7B"/>
    <w:rsid w:val="00222B30"/>
    <w:rsid w:val="00227991"/>
    <w:rsid w:val="00232FC4"/>
    <w:rsid w:val="00235C24"/>
    <w:rsid w:val="002454E1"/>
    <w:rsid w:val="0024600C"/>
    <w:rsid w:val="00250B5C"/>
    <w:rsid w:val="00254B74"/>
    <w:rsid w:val="002554D3"/>
    <w:rsid w:val="0025769A"/>
    <w:rsid w:val="002607EB"/>
    <w:rsid w:val="0026123C"/>
    <w:rsid w:val="002613C7"/>
    <w:rsid w:val="002723B6"/>
    <w:rsid w:val="00285EF8"/>
    <w:rsid w:val="002873EF"/>
    <w:rsid w:val="00293452"/>
    <w:rsid w:val="00293700"/>
    <w:rsid w:val="002A732A"/>
    <w:rsid w:val="002B52C4"/>
    <w:rsid w:val="002B57B1"/>
    <w:rsid w:val="002C3CE8"/>
    <w:rsid w:val="002C55CE"/>
    <w:rsid w:val="002D77ED"/>
    <w:rsid w:val="002E31C6"/>
    <w:rsid w:val="002E5869"/>
    <w:rsid w:val="002F133E"/>
    <w:rsid w:val="00301CAD"/>
    <w:rsid w:val="003225BD"/>
    <w:rsid w:val="00322DB6"/>
    <w:rsid w:val="00325B23"/>
    <w:rsid w:val="00332FE6"/>
    <w:rsid w:val="00333F6E"/>
    <w:rsid w:val="003467C2"/>
    <w:rsid w:val="00351F35"/>
    <w:rsid w:val="00354AC5"/>
    <w:rsid w:val="003601A6"/>
    <w:rsid w:val="003603E8"/>
    <w:rsid w:val="0036193F"/>
    <w:rsid w:val="00362065"/>
    <w:rsid w:val="003629A4"/>
    <w:rsid w:val="00362C5E"/>
    <w:rsid w:val="00376FE4"/>
    <w:rsid w:val="00383833"/>
    <w:rsid w:val="003904ED"/>
    <w:rsid w:val="003910D6"/>
    <w:rsid w:val="00397C57"/>
    <w:rsid w:val="003A4854"/>
    <w:rsid w:val="003B004B"/>
    <w:rsid w:val="003B23FD"/>
    <w:rsid w:val="003B2CC8"/>
    <w:rsid w:val="003B74E1"/>
    <w:rsid w:val="003C1549"/>
    <w:rsid w:val="003C27DC"/>
    <w:rsid w:val="003C6972"/>
    <w:rsid w:val="003D1B38"/>
    <w:rsid w:val="003D522E"/>
    <w:rsid w:val="003E4AA2"/>
    <w:rsid w:val="003E62F6"/>
    <w:rsid w:val="003F11D9"/>
    <w:rsid w:val="003F646D"/>
    <w:rsid w:val="003F656B"/>
    <w:rsid w:val="0040419A"/>
    <w:rsid w:val="00410BE2"/>
    <w:rsid w:val="00413BA5"/>
    <w:rsid w:val="00425C4D"/>
    <w:rsid w:val="00427D81"/>
    <w:rsid w:val="004563DE"/>
    <w:rsid w:val="00463962"/>
    <w:rsid w:val="00470938"/>
    <w:rsid w:val="004843BE"/>
    <w:rsid w:val="004861F5"/>
    <w:rsid w:val="00496197"/>
    <w:rsid w:val="004C07F3"/>
    <w:rsid w:val="004C3496"/>
    <w:rsid w:val="004C7B94"/>
    <w:rsid w:val="004D048F"/>
    <w:rsid w:val="004D1455"/>
    <w:rsid w:val="004D6160"/>
    <w:rsid w:val="004E685B"/>
    <w:rsid w:val="004E7E01"/>
    <w:rsid w:val="004F372B"/>
    <w:rsid w:val="004F3934"/>
    <w:rsid w:val="00506245"/>
    <w:rsid w:val="005149E4"/>
    <w:rsid w:val="0052474D"/>
    <w:rsid w:val="00537C70"/>
    <w:rsid w:val="005431CD"/>
    <w:rsid w:val="005756B3"/>
    <w:rsid w:val="00582FE8"/>
    <w:rsid w:val="00586497"/>
    <w:rsid w:val="005A768C"/>
    <w:rsid w:val="005B75B6"/>
    <w:rsid w:val="005C110A"/>
    <w:rsid w:val="005C157F"/>
    <w:rsid w:val="005C24FA"/>
    <w:rsid w:val="005C560A"/>
    <w:rsid w:val="005C7B96"/>
    <w:rsid w:val="005D0E81"/>
    <w:rsid w:val="005D2223"/>
    <w:rsid w:val="005D5FA9"/>
    <w:rsid w:val="005E0DF5"/>
    <w:rsid w:val="005E1F18"/>
    <w:rsid w:val="00600993"/>
    <w:rsid w:val="00610EF1"/>
    <w:rsid w:val="0061684D"/>
    <w:rsid w:val="00623A39"/>
    <w:rsid w:val="00636ADB"/>
    <w:rsid w:val="00641AA4"/>
    <w:rsid w:val="00644B38"/>
    <w:rsid w:val="006473C1"/>
    <w:rsid w:val="006578B8"/>
    <w:rsid w:val="00662B40"/>
    <w:rsid w:val="006646CD"/>
    <w:rsid w:val="006654C9"/>
    <w:rsid w:val="006725CC"/>
    <w:rsid w:val="0068138A"/>
    <w:rsid w:val="00681E76"/>
    <w:rsid w:val="006869C3"/>
    <w:rsid w:val="006A4510"/>
    <w:rsid w:val="006B4886"/>
    <w:rsid w:val="006B4EF4"/>
    <w:rsid w:val="006D07B5"/>
    <w:rsid w:val="006D2DC0"/>
    <w:rsid w:val="006E38D2"/>
    <w:rsid w:val="006F74EE"/>
    <w:rsid w:val="006F7F55"/>
    <w:rsid w:val="007039A9"/>
    <w:rsid w:val="007109BB"/>
    <w:rsid w:val="007109F9"/>
    <w:rsid w:val="007144F3"/>
    <w:rsid w:val="00733CA3"/>
    <w:rsid w:val="007377CB"/>
    <w:rsid w:val="00745DE8"/>
    <w:rsid w:val="00754ADF"/>
    <w:rsid w:val="00770A54"/>
    <w:rsid w:val="0077299E"/>
    <w:rsid w:val="00776164"/>
    <w:rsid w:val="00776E33"/>
    <w:rsid w:val="00792563"/>
    <w:rsid w:val="007A2748"/>
    <w:rsid w:val="007B7ACC"/>
    <w:rsid w:val="007C548F"/>
    <w:rsid w:val="007E1E6B"/>
    <w:rsid w:val="007E6882"/>
    <w:rsid w:val="007E6C4A"/>
    <w:rsid w:val="007F02A6"/>
    <w:rsid w:val="007F26D6"/>
    <w:rsid w:val="007F7349"/>
    <w:rsid w:val="00802272"/>
    <w:rsid w:val="00803EFF"/>
    <w:rsid w:val="00810952"/>
    <w:rsid w:val="00813AE4"/>
    <w:rsid w:val="00821F12"/>
    <w:rsid w:val="00836C95"/>
    <w:rsid w:val="00840563"/>
    <w:rsid w:val="00840AE1"/>
    <w:rsid w:val="008421E3"/>
    <w:rsid w:val="008508E1"/>
    <w:rsid w:val="00852450"/>
    <w:rsid w:val="008554EF"/>
    <w:rsid w:val="008576AA"/>
    <w:rsid w:val="00860214"/>
    <w:rsid w:val="00865DF3"/>
    <w:rsid w:val="00866BF8"/>
    <w:rsid w:val="0087074D"/>
    <w:rsid w:val="008746C0"/>
    <w:rsid w:val="00875BE8"/>
    <w:rsid w:val="008770D6"/>
    <w:rsid w:val="00883739"/>
    <w:rsid w:val="00893C0F"/>
    <w:rsid w:val="008962A4"/>
    <w:rsid w:val="008979DD"/>
    <w:rsid w:val="008E1801"/>
    <w:rsid w:val="008E629A"/>
    <w:rsid w:val="008E6814"/>
    <w:rsid w:val="008F7188"/>
    <w:rsid w:val="009045BB"/>
    <w:rsid w:val="009128EE"/>
    <w:rsid w:val="009132EB"/>
    <w:rsid w:val="0092327B"/>
    <w:rsid w:val="009248F2"/>
    <w:rsid w:val="00932D87"/>
    <w:rsid w:val="00933FB2"/>
    <w:rsid w:val="00941A71"/>
    <w:rsid w:val="00941B2A"/>
    <w:rsid w:val="00947CC6"/>
    <w:rsid w:val="00964B4B"/>
    <w:rsid w:val="009657A2"/>
    <w:rsid w:val="00983173"/>
    <w:rsid w:val="009940C9"/>
    <w:rsid w:val="009A4A8A"/>
    <w:rsid w:val="009A55CB"/>
    <w:rsid w:val="009A6878"/>
    <w:rsid w:val="009A6D99"/>
    <w:rsid w:val="009B5786"/>
    <w:rsid w:val="009C4E1E"/>
    <w:rsid w:val="009D501D"/>
    <w:rsid w:val="009D601B"/>
    <w:rsid w:val="009D702D"/>
    <w:rsid w:val="009F024D"/>
    <w:rsid w:val="009F1366"/>
    <w:rsid w:val="009F373A"/>
    <w:rsid w:val="009F5D66"/>
    <w:rsid w:val="00A02C62"/>
    <w:rsid w:val="00A056D2"/>
    <w:rsid w:val="00A118BC"/>
    <w:rsid w:val="00A20B19"/>
    <w:rsid w:val="00A24E0B"/>
    <w:rsid w:val="00A27150"/>
    <w:rsid w:val="00A43B8D"/>
    <w:rsid w:val="00A5002A"/>
    <w:rsid w:val="00A509CD"/>
    <w:rsid w:val="00A5715F"/>
    <w:rsid w:val="00A706BA"/>
    <w:rsid w:val="00A76801"/>
    <w:rsid w:val="00A8633B"/>
    <w:rsid w:val="00A9575E"/>
    <w:rsid w:val="00AA1A0D"/>
    <w:rsid w:val="00AA6780"/>
    <w:rsid w:val="00AC0983"/>
    <w:rsid w:val="00AC26A4"/>
    <w:rsid w:val="00AC3A83"/>
    <w:rsid w:val="00AC6632"/>
    <w:rsid w:val="00AC7133"/>
    <w:rsid w:val="00AD0DDA"/>
    <w:rsid w:val="00AE14F8"/>
    <w:rsid w:val="00AE39A4"/>
    <w:rsid w:val="00AF1404"/>
    <w:rsid w:val="00AF2F93"/>
    <w:rsid w:val="00AF3B6B"/>
    <w:rsid w:val="00AF3D3B"/>
    <w:rsid w:val="00B00808"/>
    <w:rsid w:val="00B070A2"/>
    <w:rsid w:val="00B14DFA"/>
    <w:rsid w:val="00B255C8"/>
    <w:rsid w:val="00B27A47"/>
    <w:rsid w:val="00B36DAE"/>
    <w:rsid w:val="00B37C2B"/>
    <w:rsid w:val="00B42088"/>
    <w:rsid w:val="00B570C8"/>
    <w:rsid w:val="00B62C13"/>
    <w:rsid w:val="00B63567"/>
    <w:rsid w:val="00B6530C"/>
    <w:rsid w:val="00B74639"/>
    <w:rsid w:val="00B74AAB"/>
    <w:rsid w:val="00B80DE1"/>
    <w:rsid w:val="00B962C4"/>
    <w:rsid w:val="00B963FB"/>
    <w:rsid w:val="00B97D5E"/>
    <w:rsid w:val="00BA37B6"/>
    <w:rsid w:val="00BA59C3"/>
    <w:rsid w:val="00BA692B"/>
    <w:rsid w:val="00BB7934"/>
    <w:rsid w:val="00BC534C"/>
    <w:rsid w:val="00BD2092"/>
    <w:rsid w:val="00BE038E"/>
    <w:rsid w:val="00BE5054"/>
    <w:rsid w:val="00BF0754"/>
    <w:rsid w:val="00BF297B"/>
    <w:rsid w:val="00C128CE"/>
    <w:rsid w:val="00C145A0"/>
    <w:rsid w:val="00C35259"/>
    <w:rsid w:val="00C40B73"/>
    <w:rsid w:val="00C412B5"/>
    <w:rsid w:val="00C4411C"/>
    <w:rsid w:val="00C601BD"/>
    <w:rsid w:val="00C64A2A"/>
    <w:rsid w:val="00C6642F"/>
    <w:rsid w:val="00C70E3F"/>
    <w:rsid w:val="00C87128"/>
    <w:rsid w:val="00C874FF"/>
    <w:rsid w:val="00C97720"/>
    <w:rsid w:val="00CA24A0"/>
    <w:rsid w:val="00CA77CD"/>
    <w:rsid w:val="00CB6B49"/>
    <w:rsid w:val="00CC1CD4"/>
    <w:rsid w:val="00CC1E4D"/>
    <w:rsid w:val="00CC66B3"/>
    <w:rsid w:val="00CD595B"/>
    <w:rsid w:val="00CE319A"/>
    <w:rsid w:val="00CE6742"/>
    <w:rsid w:val="00CF0526"/>
    <w:rsid w:val="00CF0641"/>
    <w:rsid w:val="00CF1311"/>
    <w:rsid w:val="00D03835"/>
    <w:rsid w:val="00D0409C"/>
    <w:rsid w:val="00D0724F"/>
    <w:rsid w:val="00D124B6"/>
    <w:rsid w:val="00D12B26"/>
    <w:rsid w:val="00D20BF4"/>
    <w:rsid w:val="00D362F6"/>
    <w:rsid w:val="00D36426"/>
    <w:rsid w:val="00D42B1C"/>
    <w:rsid w:val="00D46BB7"/>
    <w:rsid w:val="00D47C07"/>
    <w:rsid w:val="00D51E68"/>
    <w:rsid w:val="00D52B2D"/>
    <w:rsid w:val="00D607DC"/>
    <w:rsid w:val="00D615F9"/>
    <w:rsid w:val="00D67E01"/>
    <w:rsid w:val="00D7312C"/>
    <w:rsid w:val="00D76A70"/>
    <w:rsid w:val="00D96C04"/>
    <w:rsid w:val="00DB26B5"/>
    <w:rsid w:val="00DC733F"/>
    <w:rsid w:val="00DD491A"/>
    <w:rsid w:val="00DE08DF"/>
    <w:rsid w:val="00DE3081"/>
    <w:rsid w:val="00DE5484"/>
    <w:rsid w:val="00DE609C"/>
    <w:rsid w:val="00DF2361"/>
    <w:rsid w:val="00E11E13"/>
    <w:rsid w:val="00E4200D"/>
    <w:rsid w:val="00E430FC"/>
    <w:rsid w:val="00E470BE"/>
    <w:rsid w:val="00E6170C"/>
    <w:rsid w:val="00E75A4E"/>
    <w:rsid w:val="00E77BBE"/>
    <w:rsid w:val="00E86474"/>
    <w:rsid w:val="00E876E6"/>
    <w:rsid w:val="00E92D1D"/>
    <w:rsid w:val="00EA249F"/>
    <w:rsid w:val="00EA250F"/>
    <w:rsid w:val="00EB4DE5"/>
    <w:rsid w:val="00EB7612"/>
    <w:rsid w:val="00ED5C55"/>
    <w:rsid w:val="00EF43D9"/>
    <w:rsid w:val="00F01A5F"/>
    <w:rsid w:val="00F023BE"/>
    <w:rsid w:val="00F0261E"/>
    <w:rsid w:val="00F106D8"/>
    <w:rsid w:val="00F12EB0"/>
    <w:rsid w:val="00F138B4"/>
    <w:rsid w:val="00F23E41"/>
    <w:rsid w:val="00F312F9"/>
    <w:rsid w:val="00F4611D"/>
    <w:rsid w:val="00F50672"/>
    <w:rsid w:val="00F52D61"/>
    <w:rsid w:val="00F5644F"/>
    <w:rsid w:val="00F60D05"/>
    <w:rsid w:val="00F62AF8"/>
    <w:rsid w:val="00F70B87"/>
    <w:rsid w:val="00F73C60"/>
    <w:rsid w:val="00F811A7"/>
    <w:rsid w:val="00F85532"/>
    <w:rsid w:val="00F860F8"/>
    <w:rsid w:val="00F915AB"/>
    <w:rsid w:val="00F9725B"/>
    <w:rsid w:val="00FA577F"/>
    <w:rsid w:val="00FB20A5"/>
    <w:rsid w:val="00FC4F66"/>
    <w:rsid w:val="00FD16B3"/>
    <w:rsid w:val="00FE0A3E"/>
    <w:rsid w:val="00FE1432"/>
    <w:rsid w:val="00FF08C7"/>
    <w:rsid w:val="00FF6C51"/>
    <w:rsid w:val="00FF7431"/>
    <w:rsid w:val="48F7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D6666"/>
  <w15:chartTrackingRefBased/>
  <w15:docId w15:val="{4F9C29B1-33AD-4CB4-BA46-A00628A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240" w:lineRule="exact"/>
      <w:outlineLvl w:val="0"/>
    </w:pPr>
    <w:rPr>
      <w:rFonts w:ascii="Courier" w:hAnsi="Courier"/>
      <w:sz w:val="24"/>
    </w:rPr>
  </w:style>
  <w:style w:type="paragraph" w:styleId="Heading2">
    <w:name w:val="heading 2"/>
    <w:basedOn w:val="Normal"/>
    <w:next w:val="Normal"/>
    <w:link w:val="Heading2Char"/>
    <w:qFormat/>
    <w:pPr>
      <w:keepNext/>
      <w:spacing w:line="160" w:lineRule="exact"/>
      <w:outlineLvl w:val="1"/>
    </w:pPr>
    <w:rPr>
      <w:rFonts w:ascii="Arial" w:hAnsi="Arial"/>
      <w:b/>
      <w:spacing w:val="-2"/>
      <w:kern w:val="16"/>
      <w:sz w:val="16"/>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line="240" w:lineRule="exact"/>
      <w:jc w:val="center"/>
      <w:outlineLvl w:val="4"/>
    </w:pPr>
    <w:rPr>
      <w:sz w:val="24"/>
    </w:rPr>
  </w:style>
  <w:style w:type="paragraph" w:styleId="Heading6">
    <w:name w:val="heading 6"/>
    <w:basedOn w:val="Normal"/>
    <w:next w:val="Normal"/>
    <w:qFormat/>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paragraph" w:customStyle="1" w:styleId="tabletext10">
    <w:name w:val="table text 10"/>
    <w:pPr>
      <w:ind w:right="14"/>
    </w:pPr>
    <w:rPr>
      <w:rFonts w:ascii="Arial" w:hAnsi="Arial"/>
      <w:noProof/>
    </w:rPr>
  </w:style>
  <w:style w:type="paragraph" w:styleId="CommentText">
    <w:name w:val="annotation text"/>
    <w:basedOn w:val="Normal"/>
    <w:link w:val="CommentTextChar1"/>
    <w:semiHidden/>
    <w:rPr>
      <w:rFonts w:ascii="Times" w:hAnsi="Times"/>
    </w:rPr>
  </w:style>
  <w:style w:type="character" w:styleId="Hyperlink">
    <w:name w:val="Hyperlink"/>
    <w:uiPriority w:val="99"/>
    <w:rPr>
      <w:color w:val="0000FF"/>
      <w:u w:val="single"/>
    </w:rPr>
  </w:style>
  <w:style w:type="paragraph" w:styleId="BodyTextIndent">
    <w:name w:val="Body Text Indent"/>
    <w:basedOn w:val="Normal"/>
    <w:pPr>
      <w:spacing w:after="120"/>
      <w:ind w:left="720"/>
    </w:pPr>
    <w:rPr>
      <w:rFonts w:ascii="Arial" w:hAnsi="Arial"/>
      <w:sz w:val="16"/>
    </w:rPr>
  </w:style>
  <w:style w:type="paragraph" w:styleId="Index1">
    <w:name w:val="index 1"/>
    <w:basedOn w:val="Normal"/>
    <w:next w:val="Normal"/>
    <w:autoRedefine/>
    <w:semiHidden/>
    <w:pPr>
      <w:spacing w:line="240" w:lineRule="exact"/>
    </w:pPr>
    <w:rPr>
      <w:b/>
      <w:sz w:val="24"/>
    </w:rPr>
  </w:style>
  <w:style w:type="paragraph" w:styleId="BodyText2">
    <w:name w:val="Body Text 2"/>
    <w:basedOn w:val="Normal"/>
    <w:pPr>
      <w:spacing w:before="60"/>
    </w:pPr>
    <w:rPr>
      <w:sz w:val="16"/>
    </w:rPr>
  </w:style>
  <w:style w:type="paragraph" w:styleId="BodyText3">
    <w:name w:val="Body Text 3"/>
    <w:basedOn w:val="Normal"/>
    <w:pPr>
      <w:jc w:val="center"/>
    </w:pPr>
    <w:rPr>
      <w:b/>
      <w:sz w:val="18"/>
    </w:rPr>
  </w:style>
  <w:style w:type="paragraph" w:styleId="BodyTextIndent3">
    <w:name w:val="Body Text Indent 3"/>
    <w:basedOn w:val="Normal"/>
    <w:pPr>
      <w:ind w:left="576" w:hanging="576"/>
    </w:pPr>
    <w:rPr>
      <w:sz w:val="18"/>
    </w:rPr>
  </w:style>
  <w:style w:type="paragraph" w:styleId="Header">
    <w:name w:val="header"/>
    <w:basedOn w:val="Normal"/>
    <w:link w:val="HeaderChar"/>
    <w:uiPriority w:val="99"/>
    <w:pPr>
      <w:tabs>
        <w:tab w:val="center" w:pos="4320"/>
        <w:tab w:val="right" w:pos="8640"/>
      </w:tabs>
    </w:pPr>
    <w:rPr>
      <w:rFonts w:ascii="Courier" w:hAnsi="Courier"/>
      <w:sz w:val="24"/>
    </w:rPr>
  </w:style>
  <w:style w:type="paragraph" w:styleId="Index4">
    <w:name w:val="index 4"/>
    <w:basedOn w:val="Normal"/>
    <w:next w:val="Normal"/>
    <w:autoRedefine/>
    <w:semiHidden/>
    <w:pPr>
      <w:ind w:left="1080"/>
    </w:pPr>
    <w:rPr>
      <w:rFonts w:ascii="Courier" w:hAnsi="Courier"/>
      <w:sz w:val="24"/>
    </w:rPr>
  </w:style>
  <w:style w:type="paragraph" w:styleId="TOC4">
    <w:name w:val="toc 4"/>
    <w:basedOn w:val="Normal"/>
    <w:next w:val="Normal"/>
    <w:autoRedefine/>
    <w:semiHidden/>
    <w:pPr>
      <w:tabs>
        <w:tab w:val="left" w:leader="dot" w:pos="8280"/>
        <w:tab w:val="right" w:pos="8640"/>
      </w:tabs>
      <w:ind w:left="2160" w:right="720"/>
    </w:pPr>
    <w:rPr>
      <w:rFonts w:ascii="Courier" w:hAnsi="Courier"/>
      <w:sz w:val="24"/>
    </w:rPr>
  </w:style>
  <w:style w:type="paragraph" w:styleId="BodyText">
    <w:name w:val="Body Text"/>
    <w:basedOn w:val="Normal"/>
    <w:pPr>
      <w:spacing w:line="240" w:lineRule="exact"/>
    </w:pPr>
    <w:rPr>
      <w:sz w:val="24"/>
    </w:rPr>
  </w:style>
  <w:style w:type="paragraph" w:styleId="TOC6">
    <w:name w:val="toc 6"/>
    <w:basedOn w:val="Normal"/>
    <w:next w:val="Normal"/>
    <w:autoRedefine/>
    <w:semiHidden/>
    <w:pPr>
      <w:tabs>
        <w:tab w:val="left" w:leader="dot" w:pos="8280"/>
        <w:tab w:val="right" w:pos="8640"/>
      </w:tabs>
      <w:ind w:left="3600" w:right="720"/>
    </w:pPr>
    <w:rPr>
      <w:rFonts w:ascii="Courier" w:hAnsi="Courier"/>
      <w:sz w:val="24"/>
    </w:rPr>
  </w:style>
  <w:style w:type="paragraph" w:styleId="TOC7">
    <w:name w:val="toc 7"/>
    <w:basedOn w:val="Normal"/>
    <w:next w:val="Normal"/>
    <w:autoRedefine/>
    <w:semiHidden/>
    <w:pPr>
      <w:tabs>
        <w:tab w:val="left" w:leader="dot" w:pos="8280"/>
        <w:tab w:val="right" w:pos="8640"/>
      </w:tabs>
      <w:ind w:left="4320" w:right="720"/>
    </w:pPr>
    <w:rPr>
      <w:rFonts w:ascii="Courier" w:hAnsi="Courier"/>
      <w:sz w:val="24"/>
    </w:rPr>
  </w:style>
  <w:style w:type="numbering" w:customStyle="1" w:styleId="NoList1">
    <w:name w:val="No List1"/>
    <w:next w:val="NoList"/>
    <w:uiPriority w:val="99"/>
    <w:semiHidden/>
    <w:unhideWhenUsed/>
    <w:rsid w:val="00FE0A3E"/>
  </w:style>
  <w:style w:type="character" w:customStyle="1" w:styleId="FootnoteTextChar">
    <w:name w:val="Footnote Text Char"/>
    <w:link w:val="FootnoteText"/>
    <w:uiPriority w:val="99"/>
    <w:semiHidden/>
    <w:rsid w:val="00FE0A3E"/>
  </w:style>
  <w:style w:type="paragraph" w:styleId="ListParagraph">
    <w:name w:val="List Paragraph"/>
    <w:basedOn w:val="Normal"/>
    <w:uiPriority w:val="34"/>
    <w:qFormat/>
    <w:rsid w:val="00FE0A3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unhideWhenUsed/>
    <w:rsid w:val="00FE0A3E"/>
    <w:rPr>
      <w:rFonts w:ascii="Tahoma" w:eastAsia="Calibri" w:hAnsi="Tahoma" w:cs="Tahoma"/>
      <w:sz w:val="16"/>
      <w:szCs w:val="16"/>
    </w:rPr>
  </w:style>
  <w:style w:type="character" w:customStyle="1" w:styleId="BalloonTextChar">
    <w:name w:val="Balloon Text Char"/>
    <w:link w:val="BalloonText"/>
    <w:uiPriority w:val="99"/>
    <w:rsid w:val="00FE0A3E"/>
    <w:rPr>
      <w:rFonts w:ascii="Tahoma" w:eastAsia="Calibri" w:hAnsi="Tahoma" w:cs="Tahoma"/>
      <w:sz w:val="16"/>
      <w:szCs w:val="16"/>
    </w:rPr>
  </w:style>
  <w:style w:type="table" w:styleId="TableGrid">
    <w:name w:val="Table Grid"/>
    <w:basedOn w:val="TableNormal"/>
    <w:uiPriority w:val="59"/>
    <w:rsid w:val="00FE0A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3E"/>
    <w:rPr>
      <w:rFonts w:ascii="Courier" w:hAnsi="Courier"/>
      <w:sz w:val="24"/>
    </w:rPr>
  </w:style>
  <w:style w:type="character" w:customStyle="1" w:styleId="FooterChar">
    <w:name w:val="Footer Char"/>
    <w:link w:val="Footer"/>
    <w:uiPriority w:val="99"/>
    <w:rsid w:val="00FE0A3E"/>
  </w:style>
  <w:style w:type="character" w:styleId="CommentReference">
    <w:name w:val="annotation reference"/>
    <w:uiPriority w:val="99"/>
    <w:unhideWhenUsed/>
    <w:rsid w:val="00FE0A3E"/>
    <w:rPr>
      <w:sz w:val="16"/>
      <w:szCs w:val="16"/>
    </w:rPr>
  </w:style>
  <w:style w:type="character" w:customStyle="1" w:styleId="CommentTextChar">
    <w:name w:val="Comment Text Char"/>
    <w:semiHidden/>
    <w:rsid w:val="00FE0A3E"/>
    <w:rPr>
      <w:sz w:val="20"/>
      <w:szCs w:val="20"/>
    </w:rPr>
  </w:style>
  <w:style w:type="paragraph" w:styleId="CommentSubject">
    <w:name w:val="annotation subject"/>
    <w:basedOn w:val="CommentText"/>
    <w:next w:val="CommentText"/>
    <w:link w:val="CommentSubjectChar"/>
    <w:uiPriority w:val="99"/>
    <w:unhideWhenUsed/>
    <w:rsid w:val="00FE0A3E"/>
    <w:pPr>
      <w:spacing w:after="200"/>
    </w:pPr>
    <w:rPr>
      <w:rFonts w:ascii="Calibri" w:eastAsia="Calibri" w:hAnsi="Calibri"/>
      <w:b/>
      <w:bCs/>
    </w:rPr>
  </w:style>
  <w:style w:type="character" w:customStyle="1" w:styleId="CommentTextChar1">
    <w:name w:val="Comment Text Char1"/>
    <w:link w:val="CommentText"/>
    <w:uiPriority w:val="99"/>
    <w:semiHidden/>
    <w:rsid w:val="00FE0A3E"/>
    <w:rPr>
      <w:rFonts w:ascii="Times" w:hAnsi="Times"/>
    </w:rPr>
  </w:style>
  <w:style w:type="character" w:customStyle="1" w:styleId="CommentSubjectChar">
    <w:name w:val="Comment Subject Char"/>
    <w:link w:val="CommentSubject"/>
    <w:uiPriority w:val="99"/>
    <w:rsid w:val="00FE0A3E"/>
    <w:rPr>
      <w:rFonts w:ascii="Calibri" w:eastAsia="Calibri" w:hAnsi="Calibri"/>
      <w:b/>
      <w:bCs/>
    </w:rPr>
  </w:style>
  <w:style w:type="paragraph" w:styleId="Revision">
    <w:name w:val="Revision"/>
    <w:hidden/>
    <w:uiPriority w:val="99"/>
    <w:semiHidden/>
    <w:rsid w:val="00FE0A3E"/>
    <w:rPr>
      <w:rFonts w:ascii="Calibri" w:eastAsia="Calibri" w:hAnsi="Calibri"/>
      <w:sz w:val="22"/>
      <w:szCs w:val="22"/>
    </w:rPr>
  </w:style>
  <w:style w:type="paragraph" w:customStyle="1" w:styleId="Response">
    <w:name w:val="Response"/>
    <w:basedOn w:val="Normal"/>
    <w:rsid w:val="00D362F6"/>
    <w:pPr>
      <w:spacing w:after="240"/>
    </w:pPr>
    <w:rPr>
      <w:rFonts w:eastAsia="MS Mincho"/>
      <w:sz w:val="24"/>
      <w:szCs w:val="24"/>
    </w:rPr>
  </w:style>
  <w:style w:type="character" w:customStyle="1" w:styleId="Heading2Char">
    <w:name w:val="Heading 2 Char"/>
    <w:link w:val="Heading2"/>
    <w:rsid w:val="008421E3"/>
    <w:rPr>
      <w:rFonts w:ascii="Arial" w:hAnsi="Arial"/>
      <w:b/>
      <w:spacing w:val="-2"/>
      <w:kern w:val="16"/>
      <w:sz w:val="16"/>
    </w:rPr>
  </w:style>
  <w:style w:type="paragraph" w:customStyle="1" w:styleId="Level1">
    <w:name w:val="Level 1"/>
    <w:basedOn w:val="Normal"/>
    <w:rsid w:val="00E92D1D"/>
    <w:pPr>
      <w:widowControl w:val="0"/>
      <w:autoSpaceDE w:val="0"/>
      <w:autoSpaceDN w:val="0"/>
      <w:adjustRightInd w:val="0"/>
      <w:ind w:left="360" w:hanging="360"/>
    </w:pPr>
    <w:rPr>
      <w:sz w:val="24"/>
      <w:szCs w:val="24"/>
    </w:rPr>
  </w:style>
  <w:style w:type="character" w:styleId="FollowedHyperlink">
    <w:name w:val="FollowedHyperlink"/>
    <w:rsid w:val="003F11D9"/>
    <w:rPr>
      <w:color w:val="954F72"/>
      <w:u w:val="single"/>
    </w:rPr>
  </w:style>
  <w:style w:type="paragraph" w:customStyle="1" w:styleId="Default">
    <w:name w:val="Default"/>
    <w:rsid w:val="00B255C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602682">
      <w:bodyDiv w:val="1"/>
      <w:marLeft w:val="0"/>
      <w:marRight w:val="0"/>
      <w:marTop w:val="0"/>
      <w:marBottom w:val="0"/>
      <w:divBdr>
        <w:top w:val="none" w:sz="0" w:space="0" w:color="auto"/>
        <w:left w:val="none" w:sz="0" w:space="0" w:color="auto"/>
        <w:bottom w:val="none" w:sz="0" w:space="0" w:color="auto"/>
        <w:right w:val="none" w:sz="0" w:space="0" w:color="auto"/>
      </w:divBdr>
    </w:div>
    <w:div w:id="1175800798">
      <w:bodyDiv w:val="1"/>
      <w:marLeft w:val="0"/>
      <w:marRight w:val="0"/>
      <w:marTop w:val="30"/>
      <w:marBottom w:val="750"/>
      <w:divBdr>
        <w:top w:val="none" w:sz="0" w:space="0" w:color="auto"/>
        <w:left w:val="none" w:sz="0" w:space="0" w:color="auto"/>
        <w:bottom w:val="none" w:sz="0" w:space="0" w:color="auto"/>
        <w:right w:val="none" w:sz="0" w:space="0" w:color="auto"/>
      </w:divBdr>
      <w:divsChild>
        <w:div w:id="711616746">
          <w:marLeft w:val="0"/>
          <w:marRight w:val="0"/>
          <w:marTop w:val="0"/>
          <w:marBottom w:val="0"/>
          <w:divBdr>
            <w:top w:val="none" w:sz="0" w:space="0" w:color="auto"/>
            <w:left w:val="none" w:sz="0" w:space="0" w:color="auto"/>
            <w:bottom w:val="none" w:sz="0" w:space="0" w:color="auto"/>
            <w:right w:val="none" w:sz="0" w:space="0" w:color="auto"/>
          </w:divBdr>
          <w:divsChild>
            <w:div w:id="622689005">
              <w:marLeft w:val="0"/>
              <w:marRight w:val="0"/>
              <w:marTop w:val="0"/>
              <w:marBottom w:val="0"/>
              <w:divBdr>
                <w:top w:val="none" w:sz="0" w:space="0" w:color="auto"/>
                <w:left w:val="none" w:sz="0" w:space="0" w:color="auto"/>
                <w:bottom w:val="none" w:sz="0" w:space="0" w:color="auto"/>
                <w:right w:val="none" w:sz="0" w:space="0" w:color="auto"/>
              </w:divBdr>
            </w:div>
            <w:div w:id="1337079888">
              <w:marLeft w:val="0"/>
              <w:marRight w:val="0"/>
              <w:marTop w:val="0"/>
              <w:marBottom w:val="0"/>
              <w:divBdr>
                <w:top w:val="none" w:sz="0" w:space="0" w:color="auto"/>
                <w:left w:val="none" w:sz="0" w:space="0" w:color="auto"/>
                <w:bottom w:val="none" w:sz="0" w:space="0" w:color="auto"/>
                <w:right w:val="none" w:sz="0" w:space="0" w:color="auto"/>
              </w:divBdr>
            </w:div>
            <w:div w:id="1396391519">
              <w:marLeft w:val="0"/>
              <w:marRight w:val="0"/>
              <w:marTop w:val="0"/>
              <w:marBottom w:val="0"/>
              <w:divBdr>
                <w:top w:val="none" w:sz="0" w:space="0" w:color="auto"/>
                <w:left w:val="none" w:sz="0" w:space="0" w:color="auto"/>
                <w:bottom w:val="none" w:sz="0" w:space="0" w:color="auto"/>
                <w:right w:val="none" w:sz="0" w:space="0" w:color="auto"/>
              </w:divBdr>
            </w:div>
            <w:div w:id="1399671802">
              <w:marLeft w:val="0"/>
              <w:marRight w:val="0"/>
              <w:marTop w:val="0"/>
              <w:marBottom w:val="0"/>
              <w:divBdr>
                <w:top w:val="none" w:sz="0" w:space="0" w:color="auto"/>
                <w:left w:val="none" w:sz="0" w:space="0" w:color="auto"/>
                <w:bottom w:val="none" w:sz="0" w:space="0" w:color="auto"/>
                <w:right w:val="none" w:sz="0" w:space="0" w:color="auto"/>
              </w:divBdr>
            </w:div>
            <w:div w:id="1404597355">
              <w:marLeft w:val="0"/>
              <w:marRight w:val="0"/>
              <w:marTop w:val="0"/>
              <w:marBottom w:val="0"/>
              <w:divBdr>
                <w:top w:val="none" w:sz="0" w:space="0" w:color="auto"/>
                <w:left w:val="none" w:sz="0" w:space="0" w:color="auto"/>
                <w:bottom w:val="none" w:sz="0" w:space="0" w:color="auto"/>
                <w:right w:val="none" w:sz="0" w:space="0" w:color="auto"/>
              </w:divBdr>
            </w:div>
            <w:div w:id="1650671716">
              <w:marLeft w:val="0"/>
              <w:marRight w:val="0"/>
              <w:marTop w:val="0"/>
              <w:marBottom w:val="0"/>
              <w:divBdr>
                <w:top w:val="none" w:sz="0" w:space="0" w:color="auto"/>
                <w:left w:val="none" w:sz="0" w:space="0" w:color="auto"/>
                <w:bottom w:val="none" w:sz="0" w:space="0" w:color="auto"/>
                <w:right w:val="none" w:sz="0" w:space="0" w:color="auto"/>
              </w:divBdr>
            </w:div>
            <w:div w:id="1660501464">
              <w:marLeft w:val="0"/>
              <w:marRight w:val="0"/>
              <w:marTop w:val="0"/>
              <w:marBottom w:val="0"/>
              <w:divBdr>
                <w:top w:val="none" w:sz="0" w:space="0" w:color="auto"/>
                <w:left w:val="none" w:sz="0" w:space="0" w:color="auto"/>
                <w:bottom w:val="none" w:sz="0" w:space="0" w:color="auto"/>
                <w:right w:val="none" w:sz="0" w:space="0" w:color="auto"/>
              </w:divBdr>
            </w:div>
            <w:div w:id="1770586911">
              <w:marLeft w:val="0"/>
              <w:marRight w:val="0"/>
              <w:marTop w:val="0"/>
              <w:marBottom w:val="0"/>
              <w:divBdr>
                <w:top w:val="none" w:sz="0" w:space="0" w:color="auto"/>
                <w:left w:val="none" w:sz="0" w:space="0" w:color="auto"/>
                <w:bottom w:val="none" w:sz="0" w:space="0" w:color="auto"/>
                <w:right w:val="none" w:sz="0" w:space="0" w:color="auto"/>
              </w:divBdr>
            </w:div>
            <w:div w:id="2010592089">
              <w:marLeft w:val="0"/>
              <w:marRight w:val="0"/>
              <w:marTop w:val="0"/>
              <w:marBottom w:val="0"/>
              <w:divBdr>
                <w:top w:val="none" w:sz="0" w:space="0" w:color="auto"/>
                <w:left w:val="none" w:sz="0" w:space="0" w:color="auto"/>
                <w:bottom w:val="none" w:sz="0" w:space="0" w:color="auto"/>
                <w:right w:val="none" w:sz="0" w:space="0" w:color="auto"/>
              </w:divBdr>
            </w:div>
            <w:div w:id="2058163631">
              <w:marLeft w:val="0"/>
              <w:marRight w:val="0"/>
              <w:marTop w:val="0"/>
              <w:marBottom w:val="0"/>
              <w:divBdr>
                <w:top w:val="none" w:sz="0" w:space="0" w:color="auto"/>
                <w:left w:val="none" w:sz="0" w:space="0" w:color="auto"/>
                <w:bottom w:val="none" w:sz="0" w:space="0" w:color="auto"/>
                <w:right w:val="none" w:sz="0" w:space="0" w:color="auto"/>
              </w:divBdr>
            </w:div>
            <w:div w:id="2113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4652">
      <w:bodyDiv w:val="1"/>
      <w:marLeft w:val="0"/>
      <w:marRight w:val="0"/>
      <w:marTop w:val="0"/>
      <w:marBottom w:val="0"/>
      <w:divBdr>
        <w:top w:val="none" w:sz="0" w:space="0" w:color="auto"/>
        <w:left w:val="none" w:sz="0" w:space="0" w:color="auto"/>
        <w:bottom w:val="none" w:sz="0" w:space="0" w:color="auto"/>
        <w:right w:val="none" w:sz="0" w:space="0" w:color="auto"/>
      </w:divBdr>
    </w:div>
    <w:div w:id="154613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data/tables/2017/econ/susb/2017-susb-annual.html"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CB59-B646-4F8E-A626-23CC912ED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A33D4-0C17-48D5-9343-94A28FA1CB3B}">
  <ds:schemaRefs>
    <ds:schemaRef ds:uri="http://schemas.microsoft.com/sharepoint/v3/contenttype/forms"/>
  </ds:schemaRefs>
</ds:datastoreItem>
</file>

<file path=customXml/itemProps3.xml><?xml version="1.0" encoding="utf-8"?>
<ds:datastoreItem xmlns:ds="http://schemas.openxmlformats.org/officeDocument/2006/customXml" ds:itemID="{F25867EE-AF65-483A-B2A2-C58C096B9F7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BAB90C4E-B2B0-42D8-8FC5-DE795B93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7725</Words>
  <Characters>44035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MEMORANDUM FOR:  PETER T</vt:lpstr>
    </vt:vector>
  </TitlesOfParts>
  <Company>PSB LAN Support</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PETER T</dc:title>
  <dc:subject/>
  <dc:creator>Louis Harrell</dc:creator>
  <cp:keywords/>
  <cp:lastModifiedBy>Cannon, Belinda - OSHA</cp:lastModifiedBy>
  <cp:revision>3</cp:revision>
  <cp:lastPrinted>2017-07-18T17:05:00Z</cp:lastPrinted>
  <dcterms:created xsi:type="dcterms:W3CDTF">2021-01-12T20:40:00Z</dcterms:created>
  <dcterms:modified xsi:type="dcterms:W3CDTF">2021-01-12T20:46:00Z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