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BBA" w:rsidP="00B94877" w:rsidRDefault="00B94877" w14:paraId="0624230F" w14:textId="77777777">
      <w:pPr>
        <w:widowControl/>
        <w:tabs>
          <w:tab w:val="left" w:pos="6030"/>
        </w:tabs>
        <w:rPr>
          <w:b/>
          <w:bCs/>
        </w:rPr>
      </w:pPr>
      <w:r>
        <w:rPr>
          <w:b/>
          <w:bCs/>
        </w:rPr>
        <w:tab/>
      </w:r>
    </w:p>
    <w:p w:rsidR="000C0C4D" w:rsidP="000C0C4D" w:rsidRDefault="000C0C4D" w14:paraId="3361AB93" w14:textId="77777777">
      <w:pPr>
        <w:widowControl/>
        <w:rPr>
          <w:b/>
          <w:bCs/>
        </w:rPr>
      </w:pPr>
    </w:p>
    <w:p w:rsidR="001C0D06" w:rsidP="001C0D06" w:rsidRDefault="001C0D06" w14:paraId="44FFF7ED" w14:textId="77777777">
      <w:pPr>
        <w:widowControl/>
        <w:jc w:val="center"/>
        <w:rPr>
          <w:b/>
          <w:bCs/>
        </w:rPr>
      </w:pPr>
      <w:r>
        <w:rPr>
          <w:b/>
          <w:bCs/>
        </w:rPr>
        <w:t xml:space="preserve">SUPPORTING STATEMENT FOR </w:t>
      </w:r>
    </w:p>
    <w:p w:rsidR="00255B26" w:rsidP="001C0D06" w:rsidRDefault="00255B26" w14:paraId="2AD70A8D" w14:textId="77777777">
      <w:pPr>
        <w:widowControl/>
        <w:jc w:val="center"/>
        <w:rPr>
          <w:b/>
          <w:bCs/>
        </w:rPr>
      </w:pPr>
      <w:r>
        <w:rPr>
          <w:b/>
          <w:bCs/>
        </w:rPr>
        <w:t xml:space="preserve">INFORMATION COLLECTION REQUIREMENTS CONTAINED IN </w:t>
      </w:r>
    </w:p>
    <w:p w:rsidR="001C0D06" w:rsidP="001C0D06" w:rsidRDefault="001C0D06" w14:paraId="16BC99B1" w14:textId="77777777">
      <w:pPr>
        <w:widowControl/>
        <w:jc w:val="center"/>
        <w:rPr>
          <w:b/>
          <w:bCs/>
        </w:rPr>
      </w:pPr>
      <w:r>
        <w:rPr>
          <w:b/>
          <w:bCs/>
        </w:rPr>
        <w:t xml:space="preserve">THE HAZARDOUS ENERGY </w:t>
      </w:r>
      <w:r w:rsidR="00B94877">
        <w:rPr>
          <w:b/>
          <w:bCs/>
        </w:rPr>
        <w:t xml:space="preserve">CONTROL STANDARD </w:t>
      </w:r>
      <w:r>
        <w:rPr>
          <w:b/>
          <w:bCs/>
        </w:rPr>
        <w:t>(LOCKOUT/TAGOUT) (29 CFR 1910.147</w:t>
      </w:r>
      <w:r w:rsidR="00BE63F5">
        <w:rPr>
          <w:b/>
          <w:bCs/>
        </w:rPr>
        <w:t>)</w:t>
      </w:r>
      <w:r w:rsidRPr="007E2A6E">
        <w:rPr>
          <w:rStyle w:val="FootnoteReference"/>
          <w:bCs/>
          <w:vertAlign w:val="superscript"/>
        </w:rPr>
        <w:footnoteReference w:id="2"/>
      </w:r>
    </w:p>
    <w:p w:rsidR="001C0D06" w:rsidP="001C0D06" w:rsidRDefault="007E2A6E" w14:paraId="5C60E64D" w14:textId="2E3C9D08">
      <w:pPr>
        <w:widowControl/>
        <w:jc w:val="center"/>
        <w:rPr>
          <w:b/>
          <w:bCs/>
        </w:rPr>
      </w:pPr>
      <w:r>
        <w:rPr>
          <w:b/>
          <w:bCs/>
        </w:rPr>
        <w:t>OMB</w:t>
      </w:r>
      <w:r w:rsidR="00255B26">
        <w:rPr>
          <w:b/>
          <w:bCs/>
        </w:rPr>
        <w:t xml:space="preserve"> </w:t>
      </w:r>
      <w:r w:rsidR="001C0D06">
        <w:rPr>
          <w:b/>
          <w:bCs/>
        </w:rPr>
        <w:t>CONTROL NO. 1218-0150 (</w:t>
      </w:r>
      <w:r w:rsidR="00B4681A">
        <w:rPr>
          <w:b/>
          <w:bCs/>
        </w:rPr>
        <w:t xml:space="preserve">April </w:t>
      </w:r>
      <w:r w:rsidR="009E2A4A">
        <w:rPr>
          <w:b/>
          <w:bCs/>
        </w:rPr>
        <w:t>202</w:t>
      </w:r>
      <w:r w:rsidR="00B94877">
        <w:rPr>
          <w:b/>
          <w:bCs/>
        </w:rPr>
        <w:t>1</w:t>
      </w:r>
      <w:r w:rsidR="001961CC">
        <w:rPr>
          <w:b/>
          <w:bCs/>
        </w:rPr>
        <w:t>)</w:t>
      </w:r>
    </w:p>
    <w:p w:rsidR="00255B26" w:rsidP="00255B26" w:rsidRDefault="00255B26" w14:paraId="0C70115C" w14:textId="77777777">
      <w:pPr>
        <w:outlineLvl w:val="0"/>
        <w:rPr>
          <w:b/>
          <w:bCs/>
        </w:rPr>
      </w:pPr>
    </w:p>
    <w:p w:rsidRPr="00255B26" w:rsidR="00255B26" w:rsidP="00255B26" w:rsidRDefault="00255B26" w14:paraId="4256B3CA" w14:textId="77777777">
      <w:pPr>
        <w:outlineLvl w:val="0"/>
        <w:rPr>
          <w:b/>
          <w:bCs/>
        </w:rPr>
      </w:pPr>
      <w:r w:rsidRPr="00255B26">
        <w:rPr>
          <w:b/>
          <w:bCs/>
        </w:rPr>
        <w:t>This ICR is requesting the extension of a currently approved data collection.</w:t>
      </w:r>
    </w:p>
    <w:p w:rsidR="001C0D06" w:rsidP="001C0D06" w:rsidRDefault="001C0D06" w14:paraId="133C1D29" w14:textId="77777777">
      <w:pPr>
        <w:widowControl/>
        <w:rPr>
          <w:b/>
          <w:bCs/>
        </w:rPr>
      </w:pPr>
    </w:p>
    <w:p w:rsidRPr="001C0D06" w:rsidR="001C0D06" w:rsidP="001C0D06" w:rsidRDefault="00F420D3" w14:paraId="04375A08" w14:textId="77777777">
      <w:pPr>
        <w:widowControl/>
        <w:rPr>
          <w:b/>
          <w:bCs/>
        </w:rPr>
      </w:pPr>
      <w:r>
        <w:rPr>
          <w:b/>
          <w:bCs/>
        </w:rPr>
        <w:t xml:space="preserve">A. </w:t>
      </w:r>
      <w:r w:rsidR="001C0D06">
        <w:rPr>
          <w:b/>
          <w:bCs/>
        </w:rPr>
        <w:t>JUSTIFICATION</w:t>
      </w:r>
    </w:p>
    <w:p w:rsidR="001C0D06" w:rsidP="001C0D06" w:rsidRDefault="001C0D06" w14:paraId="5A8597DB" w14:textId="77777777">
      <w:pPr>
        <w:widowControl/>
      </w:pPr>
    </w:p>
    <w:p w:rsidRPr="00FB77D5" w:rsidR="00FB77D5" w:rsidP="00FB77D5" w:rsidRDefault="00FB77D5" w14:paraId="521F9A2E" w14:textId="77777777">
      <w:pPr>
        <w:widowControl/>
      </w:pPr>
      <w:r w:rsidRPr="00FB77D5">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0D06" w:rsidP="001C0D06" w:rsidRDefault="001C0D06" w14:paraId="216AA696" w14:textId="77777777">
      <w:pPr>
        <w:widowControl/>
      </w:pPr>
    </w:p>
    <w:p w:rsidR="001C0D06" w:rsidP="001C0D06" w:rsidRDefault="001C0D06" w14:paraId="13859419" w14:textId="77777777">
      <w:pPr>
        <w:widowControl/>
      </w:pPr>
      <w:r>
        <w:t>The main objective of the Occupational Safety and Health Act of 1970 (i.e., “the Act”) is to “assure so far as possible every working man and woman in the Nation safe and healthful working conditions and to preserve our human resources” (29 U.S.C. 651)</w:t>
      </w:r>
      <w:r w:rsidR="007E2A6E">
        <w:t>.</w:t>
      </w:r>
      <w:r>
        <w:t xml:space="preserve">  To achieve this objective, the Act authorizes “the development and promulgation of occupational safety and health standards” (29 U.S.C. 651)</w:t>
      </w:r>
      <w:r w:rsidR="007E2A6E">
        <w:t>.</w:t>
      </w:r>
    </w:p>
    <w:p w:rsidR="001C0D06" w:rsidP="001C0D06" w:rsidRDefault="001C0D06" w14:paraId="068F4120" w14:textId="77777777">
      <w:pPr>
        <w:widowControl/>
      </w:pPr>
    </w:p>
    <w:p w:rsidRPr="001F245C" w:rsidR="001C0D06" w:rsidP="001C0D06" w:rsidRDefault="001C0D06" w14:paraId="40C22B63" w14:textId="0849180E">
      <w:pPr>
        <w:widowControl/>
      </w:pPr>
      <w:r w:rsidRPr="001F245C">
        <w:rPr>
          <w:rFonts w:cs="Shruti"/>
        </w:rPr>
        <w:t xml:space="preserve">Section 6(b)(7) of the Act specifies that “[a]ny standard promulgated under this subsection shall prescribe the use of labels or other appropriate forms of warning as are necessary to </w:t>
      </w:r>
      <w:r w:rsidR="00BB05D6">
        <w:rPr>
          <w:rFonts w:cs="Shruti"/>
        </w:rPr>
        <w:t>i</w:t>
      </w:r>
      <w:r w:rsidRPr="001F245C" w:rsidR="00BB05D6">
        <w:rPr>
          <w:rFonts w:cs="Shruti"/>
        </w:rPr>
        <w:t xml:space="preserve">nsure </w:t>
      </w:r>
      <w:r w:rsidRPr="001F245C">
        <w:rPr>
          <w:rFonts w:cs="Shruti"/>
        </w:rPr>
        <w:t xml:space="preserve">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w:t>
      </w:r>
      <w:r w:rsidRPr="00BB05D6" w:rsidR="00BB05D6">
        <w:rPr>
          <w:rFonts w:cs="Shruti"/>
        </w:rPr>
        <w:t xml:space="preserve">pursuant </w:t>
      </w:r>
      <w:r w:rsidRPr="001F245C">
        <w:rPr>
          <w:rFonts w:cs="Shruti"/>
        </w:rPr>
        <w:t>to section 553 of title 5</w:t>
      </w:r>
      <w:r w:rsidR="003C1038">
        <w:rPr>
          <w:rFonts w:cs="Shruti"/>
        </w:rPr>
        <w:t xml:space="preserve"> [United States Code]</w:t>
      </w:r>
      <w:r w:rsidRPr="001F245C">
        <w:rPr>
          <w:rFonts w:cs="Shruti"/>
        </w:rPr>
        <w:t>,</w:t>
      </w:r>
      <w:r w:rsidR="003C1038">
        <w:rPr>
          <w:rFonts w:cs="Shruti"/>
        </w:rPr>
        <w:t xml:space="preserve"> </w:t>
      </w:r>
      <w:r w:rsidRPr="001F245C">
        <w:rPr>
          <w:rFonts w:cs="Shruti"/>
        </w:rPr>
        <w:t xml:space="preserve">make appropriate </w:t>
      </w:r>
      <w:r>
        <w:rPr>
          <w:rFonts w:cs="Shruti"/>
        </w:rPr>
        <w:t>m</w:t>
      </w:r>
      <w:r w:rsidRPr="001F245C">
        <w:rPr>
          <w:rFonts w:cs="Shruti"/>
        </w:rPr>
        <w:t xml:space="preserve">odifications in the foregoing requirements relating to the use of labels or other forms of warning . . . as may be warranted by experience, information, or medical or technological developments acquired </w:t>
      </w:r>
      <w:r w:rsidR="00CE1273">
        <w:rPr>
          <w:rFonts w:cs="Shruti"/>
        </w:rPr>
        <w:t>subsequent to</w:t>
      </w:r>
      <w:r w:rsidRPr="001F245C" w:rsidR="00CE1273">
        <w:rPr>
          <w:rFonts w:cs="Shruti"/>
        </w:rPr>
        <w:t xml:space="preserve"> </w:t>
      </w:r>
      <w:r w:rsidRPr="001F245C">
        <w:rPr>
          <w:rFonts w:cs="Shruti"/>
        </w:rPr>
        <w:t>the promulgation of the relevant standard” (29 U.S.C. 655)</w:t>
      </w:r>
      <w:r w:rsidR="007E2A6E">
        <w:rPr>
          <w:rFonts w:cs="Shruti"/>
        </w:rPr>
        <w:t>.</w:t>
      </w:r>
    </w:p>
    <w:p w:rsidR="001C0D06" w:rsidP="001C0D06" w:rsidRDefault="001C0D06" w14:paraId="740748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2A6E" w:rsidP="001C0D06" w:rsidRDefault="000A3E11" w14:paraId="567E30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About</w:t>
      </w:r>
      <w:r w:rsidR="001C0D06">
        <w:t xml:space="preserve"> recordkeeping, the Act specifies that “[e]ach employer shall make, keep and preserve, and make available to the Secretary . . . such records . . . as the Secretary</w:t>
      </w:r>
    </w:p>
    <w:p w:rsidR="001C0D06" w:rsidP="001C0D06" w:rsidRDefault="001C0D06" w14:paraId="422A01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 . . may prescribe by regulation as necessary or appropriate for the enforcement of this Act . . .” (29 U.S.C. 657)</w:t>
      </w:r>
      <w:r w:rsidR="007E2A6E">
        <w:t>.</w:t>
      </w:r>
      <w:r>
        <w:t xml:space="preserve">  </w:t>
      </w:r>
      <w:r w:rsidRPr="001F245C">
        <w:rPr>
          <w:rFonts w:cs="Shruti"/>
        </w:rPr>
        <w:t xml:space="preserve">The Act states further that “[t]he Secretary . . . shall prescribe such rules and regulations as [he/she] may deem necessary to carry out [his/her] responsibilities under this Act, </w:t>
      </w:r>
      <w:r w:rsidRPr="001F245C">
        <w:rPr>
          <w:rFonts w:cs="Shruti"/>
        </w:rPr>
        <w:lastRenderedPageBreak/>
        <w:t>including rules and regulations</w:t>
      </w:r>
      <w:r>
        <w:rPr>
          <w:rFonts w:ascii="Shruti" w:cs="Shruti"/>
        </w:rPr>
        <w:t xml:space="preserve"> </w:t>
      </w:r>
      <w:r w:rsidRPr="00962076">
        <w:rPr>
          <w:rFonts w:cs="Shruti"/>
        </w:rPr>
        <w:t>dealing with the inspection of an employer’s establishment” (29 U.S.C. 657)</w:t>
      </w:r>
      <w:r w:rsidR="007E2A6E">
        <w:rPr>
          <w:rFonts w:cs="Shruti"/>
        </w:rPr>
        <w:t>.</w:t>
      </w:r>
    </w:p>
    <w:p w:rsidR="001C0D06" w:rsidP="001C0D06" w:rsidRDefault="001C0D06" w14:paraId="608A35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C0D06" w:rsidP="001C0D06" w:rsidRDefault="001C0D06" w14:paraId="3122CBE1" w14:textId="77777777">
      <w:pPr>
        <w:widowControl/>
      </w:pPr>
      <w:r>
        <w:t xml:space="preserve">Under the authority granted by the Act, the Occupational Safety and Health Administration (i.e., “OSHA” or “the Agency”) published at 29 CFR 1910.147 a safety standard for general industry titled “Control of Hazardous Energy (Lockout/Tagout)” </w:t>
      </w:r>
      <w:r w:rsidR="00D03B68">
        <w:t>(i.e., “the LO/TO Standard” or “the Standard”)</w:t>
      </w:r>
      <w:r>
        <w:t xml:space="preserve">.  The Standard regulates </w:t>
      </w:r>
      <w:r w:rsidR="000A3E11">
        <w:t xml:space="preserve">the </w:t>
      </w:r>
      <w:r>
        <w:t xml:space="preserve">control of hazardous-energy sources using lockout or tagout procedures while </w:t>
      </w:r>
      <w:r w:rsidR="008562B0">
        <w:t>worker</w:t>
      </w:r>
      <w:r>
        <w:t xml:space="preserve">s service, maintain, or repair machines or </w:t>
      </w:r>
      <w:r w:rsidR="00E56453">
        <w:t>e</w:t>
      </w:r>
      <w:r>
        <w:t xml:space="preserve">quipment when activation, </w:t>
      </w:r>
      <w:r w:rsidR="000A3E11">
        <w:t>start-</w:t>
      </w:r>
      <w:r>
        <w:t xml:space="preserve">up, or release of energy from an energy source is possible.  </w:t>
      </w:r>
    </w:p>
    <w:p w:rsidR="001C0D06" w:rsidP="00F5061F" w:rsidRDefault="001C0D06" w14:paraId="1EF456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B77D5" w:rsidR="00FB77D5" w:rsidP="00FB77D5" w:rsidRDefault="00FB77D5" w14:paraId="1EA72539" w14:textId="77777777">
      <w:pPr>
        <w:widowControl/>
      </w:pPr>
      <w:r w:rsidRPr="00FB77D5">
        <w:rPr>
          <w:b/>
          <w:bCs/>
        </w:rPr>
        <w:t>2.  Indicate how, by whom, and for what purpose the information is to be used.  Except for a new collection, indicate the actual use the agency has made of the information received from the current collection.</w:t>
      </w:r>
    </w:p>
    <w:p w:rsidRPr="006C03C9" w:rsidR="006C03C9" w:rsidP="006C03C9" w:rsidRDefault="006C03C9" w14:paraId="0D4BC271" w14:textId="77777777">
      <w:pPr>
        <w:widowControl/>
        <w:rPr>
          <w:u w:val="single"/>
        </w:rPr>
      </w:pPr>
    </w:p>
    <w:p w:rsidR="00947F54" w:rsidP="00F5061F" w:rsidRDefault="00947F54" w14:paraId="2E6F2E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name="OLE_LINK1" w:id="0"/>
      <w:bookmarkStart w:name="OLE_LINK2" w:id="1"/>
      <w:r>
        <w:t xml:space="preserve">The Standard specifies several </w:t>
      </w:r>
      <w:r w:rsidR="006A4AA0">
        <w:t xml:space="preserve">information collection </w:t>
      </w:r>
      <w:r>
        <w:t xml:space="preserve">requirements.  The following sections describe who uses the information collected under each requirement, as well as how they use it.  The purpose of these requirements is to control the release of hazardous-energy sources while </w:t>
      </w:r>
      <w:r w:rsidR="008562B0">
        <w:t>worker</w:t>
      </w:r>
      <w:r>
        <w:t xml:space="preserve">s service, maintain, or repair machines or equipment when activation, </w:t>
      </w:r>
      <w:r w:rsidR="000A3E11">
        <w:t>start-</w:t>
      </w:r>
      <w:r>
        <w:t xml:space="preserve">up, or release of energy from an energy source is possible; proper control of hazardous-energy sources prevent death or serious injury among these </w:t>
      </w:r>
      <w:r w:rsidR="008562B0">
        <w:t>worker</w:t>
      </w:r>
      <w:r>
        <w:t>s.</w:t>
      </w:r>
    </w:p>
    <w:p w:rsidR="00947F54" w:rsidP="00F5061F" w:rsidRDefault="00947F54" w14:paraId="7A5819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P="00F5061F" w:rsidRDefault="00947F54" w14:paraId="20DDE3A2" w14:textId="74C126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2D41">
        <w:rPr>
          <w:b/>
          <w:u w:val="single"/>
        </w:rPr>
        <w:t>Energy-Control Procedure (paragraph (c)(4)(i)</w:t>
      </w:r>
      <w:r w:rsidR="003C1038">
        <w:rPr>
          <w:b/>
          <w:u w:val="single"/>
        </w:rPr>
        <w:t xml:space="preserve"> and (c)(4)(ii)</w:t>
      </w:r>
      <w:r w:rsidRPr="00222D41">
        <w:rPr>
          <w:b/>
          <w:u w:val="single"/>
        </w:rPr>
        <w:t>)</w:t>
      </w:r>
      <w:r>
        <w:t xml:space="preserve">.  With limited exception, employers must document the procedures used to isolate from its energy source and render inoperative, any machine or equipment </w:t>
      </w:r>
      <w:r w:rsidR="000A3E11">
        <w:t>before</w:t>
      </w:r>
      <w:r>
        <w:t xml:space="preserve"> servicing, maintenance, or repair by </w:t>
      </w:r>
      <w:r w:rsidR="008562B0">
        <w:t>worker</w:t>
      </w:r>
      <w:r>
        <w:t xml:space="preserve">s.  These procedures are necessary when activation, </w:t>
      </w:r>
      <w:r w:rsidR="000A3E11">
        <w:t>start-</w:t>
      </w:r>
      <w:r>
        <w:t xml:space="preserve">up, or release of stored energy from the energy source is possible, and such release could cause injury to the </w:t>
      </w:r>
      <w:r w:rsidR="008562B0">
        <w:t>worker</w:t>
      </w:r>
      <w:r>
        <w:t>s.</w:t>
      </w:r>
    </w:p>
    <w:p w:rsidR="00947F54" w:rsidP="00F5061F" w:rsidRDefault="00947F54" w14:paraId="7B7272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P="00F5061F" w:rsidRDefault="00947F54" w14:paraId="70B1B2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Paragraph (c)(4)(ii) states that the required documentation must clearly and specifically outline the scope, purpose, authorization, rules, and techniques </w:t>
      </w:r>
      <w:r w:rsidR="008562B0">
        <w:t>worker</w:t>
      </w:r>
      <w:r>
        <w:t>s are to use to control hazardous energy, and the means to enforce compliance.  The document must include at least the following elements:</w:t>
      </w:r>
    </w:p>
    <w:p w:rsidR="00947F54" w:rsidP="00F5061F" w:rsidRDefault="00947F54" w14:paraId="6C13A5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P="00F5061F" w:rsidRDefault="00947F54" w14:paraId="48BDF6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A specific statement regarding the use of the procedure; </w:t>
      </w:r>
    </w:p>
    <w:p w:rsidR="00947F54" w:rsidP="00F5061F" w:rsidRDefault="00947F54" w14:paraId="3AB102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62B0" w:rsidP="00F5061F" w:rsidRDefault="00947F54" w14:paraId="33B39979" w14:textId="430203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 Detailed procedural steps for shutting down, isolating, blocking, and securing machines or equipment to control hazardous energy</w:t>
      </w:r>
      <w:r w:rsidR="00282DE7">
        <w:t xml:space="preserve">; </w:t>
      </w:r>
    </w:p>
    <w:p w:rsidR="008562B0" w:rsidP="00F5061F" w:rsidRDefault="008562B0" w14:paraId="0C1396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P="00F5061F" w:rsidRDefault="008562B0" w14:paraId="6692692D" w14:textId="3F4C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  Detailed procedural steps</w:t>
      </w:r>
      <w:r w:rsidR="00947F54">
        <w:t xml:space="preserve"> for placing, removing, and transferring lockout or tagout devices, including the responsibility for doing so; and</w:t>
      </w:r>
    </w:p>
    <w:p w:rsidR="00947F54" w:rsidP="00F5061F" w:rsidRDefault="00947F54" w14:paraId="19D9C4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P="00F5061F" w:rsidRDefault="008562B0" w14:paraId="524420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00947F54">
        <w:t>) Requirements for testing a machine or equipment to determine and verify the effectiveness of lockout or tagout devices, as well as other energy</w:t>
      </w:r>
      <w:r w:rsidR="000A3E11">
        <w:t xml:space="preserve"> </w:t>
      </w:r>
      <w:r w:rsidR="00947F54">
        <w:t>control measures.</w:t>
      </w:r>
    </w:p>
    <w:p w:rsidR="00947F54" w:rsidP="00F5061F" w:rsidRDefault="00947F54" w14:paraId="1A9495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P="00F5061F" w:rsidRDefault="00947F54" w14:paraId="513840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employer uses the information in this document as the basis for informing and training </w:t>
      </w:r>
      <w:r w:rsidR="008562B0">
        <w:t>worker</w:t>
      </w:r>
      <w:r>
        <w:t>s about the purpose and function of the energy</w:t>
      </w:r>
      <w:r w:rsidR="000A3E11">
        <w:t xml:space="preserve"> </w:t>
      </w:r>
      <w:r>
        <w:t xml:space="preserve">control procedures, and the safe application, </w:t>
      </w:r>
      <w:r>
        <w:lastRenderedPageBreak/>
        <w:t xml:space="preserve">use, and removal of energy controls.  </w:t>
      </w:r>
      <w:r w:rsidR="000A3E11">
        <w:t>Also</w:t>
      </w:r>
      <w:r>
        <w:t>, this information enables employers to effectively identify operations and processes in the workplace that require energy-control procedures.</w:t>
      </w:r>
    </w:p>
    <w:p w:rsidR="00947F54" w:rsidP="00F5061F" w:rsidRDefault="00947F54" w14:paraId="760378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Pr="007E5EB9" w:rsidR="000D40F3" w:rsidP="00F5061F" w:rsidRDefault="007E5EB9" w14:paraId="7E3F65D5" w14:textId="6C0E36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u w:val="single"/>
        </w:rPr>
        <w:t>Protective Materials and Hardware</w:t>
      </w:r>
      <w:r w:rsidR="00214468">
        <w:rPr>
          <w:b/>
          <w:u w:val="single"/>
        </w:rPr>
        <w:t xml:space="preserve"> (p</w:t>
      </w:r>
      <w:r>
        <w:rPr>
          <w:b/>
          <w:u w:val="single"/>
        </w:rPr>
        <w:t>aragraph (c)(5)(ii)(D) and paragraph (c)(5)(iii)</w:t>
      </w:r>
      <w:r w:rsidR="00214468">
        <w:rPr>
          <w:b/>
          <w:u w:val="single"/>
        </w:rPr>
        <w:t>)</w:t>
      </w:r>
      <w:r>
        <w:rPr>
          <w:b/>
        </w:rPr>
        <w:t xml:space="preserve">.  </w:t>
      </w:r>
      <w:r w:rsidR="00E71243">
        <w:t>Paragraph (</w:t>
      </w:r>
      <w:r w:rsidR="00282DE7">
        <w:t>c</w:t>
      </w:r>
      <w:r w:rsidRPr="007E5EB9">
        <w:t>)(5)(ii)(D) requires that lock</w:t>
      </w:r>
      <w:r>
        <w:t>out</w:t>
      </w:r>
      <w:r w:rsidRPr="007E5EB9">
        <w:t xml:space="preserve"> and tag</w:t>
      </w:r>
      <w:r>
        <w:t>out devices</w:t>
      </w:r>
      <w:r w:rsidRPr="007E5EB9">
        <w:t xml:space="preserve"> indicate the identity of the employee applying it.  Paragraph (c)(5)(iii) requires that tags warn agains</w:t>
      </w:r>
      <w:r>
        <w:t>t</w:t>
      </w:r>
      <w:r w:rsidRPr="007E5EB9">
        <w:t xml:space="preserve"> hazardous conditions if the machine or equipment is energized.</w:t>
      </w:r>
      <w:r>
        <w:t xml:space="preserve">  </w:t>
      </w:r>
      <w:r w:rsidR="000A3E11">
        <w:t>Also</w:t>
      </w:r>
      <w:r>
        <w:t>, the tag must include a legend such as one of the following:  Do Not Start; Do Not Open; Do Not Close; Do Not Energize; Do Not Operate.</w:t>
      </w:r>
      <w:r w:rsidRPr="007E5EB9">
        <w:t xml:space="preserve">  </w:t>
      </w:r>
    </w:p>
    <w:p w:rsidR="000D40F3" w:rsidP="00F5061F" w:rsidRDefault="000D40F3" w14:paraId="613290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Pr="006D6E47" w:rsidR="0086200A" w:rsidP="00F5061F" w:rsidRDefault="00214468" w14:paraId="6BD667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6E47">
        <w:t xml:space="preserve">These provisions provide </w:t>
      </w:r>
      <w:r w:rsidRPr="006D6E47" w:rsidR="00834CB5">
        <w:t xml:space="preserve">a </w:t>
      </w:r>
      <w:r w:rsidRPr="006D6E47">
        <w:t>safe work practice to authorized workers applying the lockout/tagout devices by giving the identity of the person applying it and warning against hazards that might exist.</w:t>
      </w:r>
    </w:p>
    <w:p w:rsidRPr="006D6E47" w:rsidR="00214468" w:rsidP="00F5061F" w:rsidRDefault="00214468" w14:paraId="1B3D88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47F54" w:rsidP="00F5061F" w:rsidRDefault="00947F54" w14:paraId="22B0BB4D" w14:textId="095C50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2D41">
        <w:rPr>
          <w:b/>
          <w:u w:val="single"/>
        </w:rPr>
        <w:t xml:space="preserve">Periodic Inspection </w:t>
      </w:r>
      <w:r w:rsidR="00363CAE">
        <w:rPr>
          <w:b/>
          <w:u w:val="single"/>
        </w:rPr>
        <w:t xml:space="preserve">Certification Records </w:t>
      </w:r>
      <w:r w:rsidR="00BE63F5">
        <w:rPr>
          <w:b/>
          <w:u w:val="single"/>
        </w:rPr>
        <w:t>(paragraph</w:t>
      </w:r>
      <w:r w:rsidR="003C1038">
        <w:rPr>
          <w:b/>
          <w:u w:val="single"/>
        </w:rPr>
        <w:t>s (c)(6)(i) and</w:t>
      </w:r>
      <w:r w:rsidR="00BE63F5">
        <w:rPr>
          <w:b/>
          <w:u w:val="single"/>
        </w:rPr>
        <w:t xml:space="preserve"> </w:t>
      </w:r>
      <w:r w:rsidRPr="00222D41">
        <w:rPr>
          <w:b/>
          <w:u w:val="single"/>
        </w:rPr>
        <w:t>(c)(6)(ii)</w:t>
      </w:r>
      <w:r w:rsidR="00BE63F5">
        <w:rPr>
          <w:b/>
          <w:u w:val="single"/>
        </w:rPr>
        <w:t>)</w:t>
      </w:r>
      <w:r>
        <w:t>.  Under paragraph (c)(6)(i), employers are to conduct inspections of energy</w:t>
      </w:r>
      <w:r w:rsidR="000A3E11">
        <w:t xml:space="preserve"> </w:t>
      </w:r>
      <w:r>
        <w:t xml:space="preserve">control procedures at least annually.  An authorized </w:t>
      </w:r>
      <w:r w:rsidR="008562B0">
        <w:t>worker</w:t>
      </w:r>
      <w:r>
        <w:t xml:space="preserve"> other </w:t>
      </w:r>
      <w:r w:rsidR="002E2EB0">
        <w:t>t</w:t>
      </w:r>
      <w:r>
        <w:t xml:space="preserve">han an authorized </w:t>
      </w:r>
      <w:r w:rsidR="008562B0">
        <w:t>worker</w:t>
      </w:r>
      <w:r>
        <w:t xml:space="preserve"> using the energy-control procedure that is the subject of the inspection is to conduct the inspection and correct any deviations or inadequacies identified.  For procedures involving either lockout or tagout, the inspection must include a review, between the inspector and each authorized </w:t>
      </w:r>
      <w:r w:rsidR="008562B0">
        <w:t>worker</w:t>
      </w:r>
      <w:r>
        <w:t xml:space="preserve">, of that </w:t>
      </w:r>
      <w:r w:rsidR="008562B0">
        <w:t>worker</w:t>
      </w:r>
      <w:r>
        <w:t xml:space="preserve">'s responsibilities under the procedure; for procedures using tagout systems, the review also involves affected </w:t>
      </w:r>
      <w:r w:rsidR="008562B0">
        <w:t>worker</w:t>
      </w:r>
      <w:r>
        <w:t xml:space="preserve">s and includes an assessment of the </w:t>
      </w:r>
      <w:r w:rsidR="008562B0">
        <w:t>worker</w:t>
      </w:r>
      <w:r>
        <w:t>s’ knowledge of the training elements required for these systems.  Paragraph (c)(6)(ii) requires employers to certify the inspection by documenting the date of the inspection and identifying the machine or equipment inspected</w:t>
      </w:r>
      <w:r w:rsidR="008562B0">
        <w:t xml:space="preserve">, the workers included in the inspection, and </w:t>
      </w:r>
      <w:r>
        <w:t xml:space="preserve">the </w:t>
      </w:r>
      <w:r w:rsidR="008562B0">
        <w:t xml:space="preserve">worker </w:t>
      </w:r>
      <w:r>
        <w:t>who performed the inspection.</w:t>
      </w:r>
    </w:p>
    <w:p w:rsidR="00947F54" w:rsidP="00F5061F" w:rsidRDefault="00947F54" w14:paraId="710E2E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P="000B19C4" w:rsidRDefault="00947F54" w14:paraId="482525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2D41">
        <w:rPr>
          <w:b/>
          <w:u w:val="single"/>
        </w:rPr>
        <w:t xml:space="preserve">Training </w:t>
      </w:r>
      <w:r w:rsidR="00070CC6">
        <w:rPr>
          <w:b/>
          <w:u w:val="single"/>
        </w:rPr>
        <w:t>Certification Records</w:t>
      </w:r>
      <w:r w:rsidRPr="00222D41">
        <w:rPr>
          <w:b/>
          <w:u w:val="single"/>
        </w:rPr>
        <w:t xml:space="preserve"> </w:t>
      </w:r>
      <w:r w:rsidR="00BE63F5">
        <w:rPr>
          <w:b/>
          <w:u w:val="single"/>
        </w:rPr>
        <w:t xml:space="preserve">(paragraph </w:t>
      </w:r>
      <w:r w:rsidRPr="00222D41">
        <w:rPr>
          <w:b/>
          <w:u w:val="single"/>
        </w:rPr>
        <w:t>(c)(7)(iv)</w:t>
      </w:r>
      <w:r w:rsidR="00BE63F5">
        <w:rPr>
          <w:b/>
          <w:u w:val="single"/>
        </w:rPr>
        <w:t>)</w:t>
      </w:r>
      <w:r>
        <w:t xml:space="preserve">.  </w:t>
      </w:r>
    </w:p>
    <w:p w:rsidR="000B19C4" w:rsidP="000B19C4" w:rsidRDefault="000B19C4" w14:paraId="541A2C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8680B" w:rsidP="00A30D8F" w:rsidRDefault="001E6157" w14:paraId="0B3788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T</w:t>
      </w:r>
      <w:r w:rsidRPr="007D0AC7" w:rsidR="00070CC6">
        <w:rPr>
          <w:rFonts w:eastAsia="@MS Mincho"/>
        </w:rPr>
        <w:t>he requirement</w:t>
      </w:r>
      <w:r w:rsidR="000B19C4">
        <w:rPr>
          <w:rFonts w:eastAsia="@MS Mincho"/>
        </w:rPr>
        <w:t>s</w:t>
      </w:r>
      <w:r w:rsidRPr="007D0AC7" w:rsidR="00070CC6">
        <w:rPr>
          <w:rFonts w:eastAsia="@MS Mincho"/>
        </w:rPr>
        <w:t xml:space="preserve"> that employers provide training to workers </w:t>
      </w:r>
      <w:r w:rsidR="00070CC6">
        <w:rPr>
          <w:rFonts w:eastAsia="@MS Mincho"/>
        </w:rPr>
        <w:t>under paragraph (c)(7)</w:t>
      </w:r>
      <w:r w:rsidR="000B19C4">
        <w:rPr>
          <w:rFonts w:eastAsia="@MS Mincho"/>
        </w:rPr>
        <w:t>(i),(ii)</w:t>
      </w:r>
      <w:r w:rsidR="000A3E11">
        <w:rPr>
          <w:rFonts w:eastAsia="@MS Mincho"/>
        </w:rPr>
        <w:t>,</w:t>
      </w:r>
      <w:r w:rsidR="000B19C4">
        <w:rPr>
          <w:rFonts w:eastAsia="@MS Mincho"/>
        </w:rPr>
        <w:t xml:space="preserve"> and (iii)</w:t>
      </w:r>
      <w:r w:rsidR="00070CC6">
        <w:rPr>
          <w:rFonts w:eastAsia="@MS Mincho"/>
        </w:rPr>
        <w:t xml:space="preserve"> </w:t>
      </w:r>
      <w:r w:rsidR="000B19C4">
        <w:rPr>
          <w:rFonts w:eastAsia="@MS Mincho"/>
        </w:rPr>
        <w:t>are</w:t>
      </w:r>
      <w:r w:rsidRPr="007D0AC7" w:rsidR="00070CC6">
        <w:rPr>
          <w:rFonts w:eastAsia="@MS Mincho"/>
        </w:rPr>
        <w:t xml:space="preserve"> not considered to be a</w:t>
      </w:r>
      <w:r w:rsidR="000A3E11">
        <w:rPr>
          <w:rFonts w:eastAsia="@MS Mincho"/>
        </w:rPr>
        <w:t>n</w:t>
      </w:r>
      <w:r w:rsidRPr="007D0AC7" w:rsidR="00070CC6">
        <w:rPr>
          <w:rFonts w:eastAsia="@MS Mincho"/>
        </w:rPr>
        <w:t xml:space="preserve"> </w:t>
      </w:r>
      <w:r w:rsidR="006776E6">
        <w:rPr>
          <w:rFonts w:eastAsia="@MS Mincho"/>
        </w:rPr>
        <w:t>information collection requirement</w:t>
      </w:r>
      <w:r w:rsidRPr="007D0AC7" w:rsidR="00070CC6">
        <w:rPr>
          <w:rFonts w:eastAsia="@MS Mincho"/>
        </w:rPr>
        <w:t>.</w:t>
      </w:r>
      <w:r w:rsidRPr="007D0AC7" w:rsidR="00070CC6">
        <w:rPr>
          <w:rFonts w:eastAsia="Calibri"/>
          <w:lang w:val="en-JM"/>
        </w:rPr>
        <w:t xml:space="preserve"> OSHA is not taking burden for </w:t>
      </w:r>
      <w:r w:rsidR="00070CC6">
        <w:rPr>
          <w:rFonts w:eastAsia="Calibri"/>
          <w:lang w:val="en-JM"/>
        </w:rPr>
        <w:t>this activity under Item</w:t>
      </w:r>
      <w:r w:rsidRPr="007D0AC7" w:rsidR="00070CC6">
        <w:rPr>
          <w:rFonts w:eastAsia="Calibri"/>
          <w:lang w:val="en-JM"/>
        </w:rPr>
        <w:t xml:space="preserve"> 12 of this Supporting Statement.</w:t>
      </w:r>
      <w:r w:rsidR="00070CC6">
        <w:rPr>
          <w:szCs w:val="22"/>
        </w:rPr>
        <w:t xml:space="preserve">  </w:t>
      </w:r>
    </w:p>
    <w:p w:rsidR="000B59F0" w:rsidP="00F5061F" w:rsidRDefault="000B59F0" w14:paraId="6C695B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Pr="001F245C" w:rsidR="00947F54" w:rsidP="00F5061F" w:rsidRDefault="00947F54" w14:paraId="20F7F9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Under paragraph (c)(7)(iv),</w:t>
      </w:r>
      <w:r w:rsidR="000B19C4">
        <w:t xml:space="preserve"> </w:t>
      </w:r>
      <w:r>
        <w:t xml:space="preserve">employers are to certify that </w:t>
      </w:r>
      <w:r w:rsidR="008562B0">
        <w:t>worker</w:t>
      </w:r>
      <w:r>
        <w:t xml:space="preserve">s </w:t>
      </w:r>
      <w:r w:rsidR="00861C04">
        <w:t xml:space="preserve">have </w:t>
      </w:r>
      <w:r>
        <w:t xml:space="preserve">completed the required training and that this training is up-to-date.  The certification is to contain each </w:t>
      </w:r>
      <w:r w:rsidR="008562B0">
        <w:t>worker</w:t>
      </w:r>
      <w:r>
        <w:t>’s name and the training date.</w:t>
      </w:r>
      <w:r w:rsidR="00070CC6">
        <w:t xml:space="preserve">  </w:t>
      </w:r>
      <w:r w:rsidR="00070CC6">
        <w:rPr>
          <w:rFonts w:cs="Shruti"/>
        </w:rPr>
        <w:t>W</w:t>
      </w:r>
      <w:r w:rsidRPr="001F245C" w:rsidR="00A30D8F">
        <w:rPr>
          <w:rFonts w:cs="Shruti"/>
        </w:rPr>
        <w:t>ritten</w:t>
      </w:r>
      <w:r w:rsidRPr="001F245C">
        <w:rPr>
          <w:rFonts w:cs="Shruti"/>
        </w:rPr>
        <w:t xml:space="preserve"> certification of the training assures the employer that </w:t>
      </w:r>
      <w:r w:rsidR="008562B0">
        <w:rPr>
          <w:rFonts w:cs="Shruti"/>
        </w:rPr>
        <w:t>worker</w:t>
      </w:r>
      <w:r w:rsidRPr="001F245C">
        <w:rPr>
          <w:rFonts w:cs="Shruti"/>
        </w:rPr>
        <w:t>s receive the training specified by the Standard</w:t>
      </w:r>
      <w:r>
        <w:rPr>
          <w:rFonts w:cs="Shruti"/>
        </w:rPr>
        <w:t>.</w:t>
      </w:r>
    </w:p>
    <w:p w:rsidR="00947F54" w:rsidP="00F5061F" w:rsidRDefault="00947F54" w14:paraId="6435EB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P="00F5061F" w:rsidRDefault="00947F54" w14:paraId="03A343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647">
        <w:rPr>
          <w:b/>
          <w:u w:val="single"/>
        </w:rPr>
        <w:t>Disclosure of Inspection and Training Certification Records (paragraphs (c)(6)(ii) and (c)(7)(iv))</w:t>
      </w:r>
      <w:r w:rsidRPr="005B3647">
        <w:t>.</w:t>
      </w:r>
      <w:r w:rsidRPr="005B3647" w:rsidR="00A30D8F">
        <w:t xml:space="preserve"> </w:t>
      </w:r>
      <w:r w:rsidRPr="00997F99" w:rsidR="00B8680B">
        <w:t xml:space="preserve">Under these provisions, employers subject to an OSHA inspection are required to disclose inspection and training certification records to the OSHA compliance officer. </w:t>
      </w:r>
      <w:r w:rsidRPr="005B3647">
        <w:t xml:space="preserve"> </w:t>
      </w:r>
      <w:r w:rsidRPr="000B19C4">
        <w:rPr>
          <w:b/>
        </w:rPr>
        <w:t xml:space="preserve"> </w:t>
      </w:r>
      <w:r w:rsidRPr="005B3647">
        <w:t xml:space="preserve">The inspection records provide employers with assurance that </w:t>
      </w:r>
      <w:r w:rsidR="008562B0">
        <w:t>worker</w:t>
      </w:r>
      <w:r w:rsidRPr="005B3647">
        <w:t xml:space="preserve">s can safely and effectively service, maintain, and repair machines and equipment covered by the Standard.  These records also provide the most efficient means for an OSHA compliance officer to determine that an employer is complying with the Standard and that the machines and equipment are safe for servicing, maintenance, and repair.  The training records provide the most efficient means for an OSHA compliance officer to determine whether an employer has </w:t>
      </w:r>
      <w:r>
        <w:t>performed the required training.</w:t>
      </w:r>
    </w:p>
    <w:p w:rsidR="00E815A3" w:rsidP="00E815A3" w:rsidRDefault="00E815A3" w14:paraId="2952286B" w14:textId="77777777"/>
    <w:p w:rsidRPr="00764103" w:rsidR="00E815A3" w:rsidP="00E815A3" w:rsidRDefault="00E815A3" w14:paraId="4FE560E5" w14:textId="77777777">
      <w:r w:rsidRPr="00764103">
        <w:lastRenderedPageBreak/>
        <w:t xml:space="preserve">The Agency has no annualized </w:t>
      </w:r>
      <w:r>
        <w:t xml:space="preserve">records disclosure </w:t>
      </w:r>
      <w:r w:rsidRPr="00764103">
        <w:t>cost</w:t>
      </w:r>
      <w:r>
        <w:t>s</w:t>
      </w:r>
      <w:r w:rsidRPr="00764103">
        <w:t xml:space="preserve"> associated with enforcing the Standard. OSHA would only review records in the context of an investigation of a particular employer to determine compliance with the Standard. These activities are outside the scope of the PRA. See 5 CFR 1320.4(a)(2).</w:t>
      </w:r>
    </w:p>
    <w:p w:rsidR="00E815A3" w:rsidP="00F5061F" w:rsidRDefault="00E815A3" w14:paraId="2DC30A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77F26" w:rsidP="00F5061F" w:rsidRDefault="00947F54" w14:paraId="2E7F84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222D41">
        <w:rPr>
          <w:b/>
          <w:u w:val="single"/>
        </w:rPr>
        <w:t>Notification of Employees (paragraph (c)(9))</w:t>
      </w:r>
      <w:r>
        <w:t xml:space="preserve">.  This provision requires the employer </w:t>
      </w:r>
      <w:r w:rsidR="008562B0">
        <w:t xml:space="preserve">or authorized worker </w:t>
      </w:r>
      <w:r>
        <w:t xml:space="preserve">to notify affected </w:t>
      </w:r>
      <w:r w:rsidR="008562B0">
        <w:t>worker</w:t>
      </w:r>
      <w:r>
        <w:t xml:space="preserve">s </w:t>
      </w:r>
      <w:r w:rsidR="000A3E11">
        <w:t>before</w:t>
      </w:r>
      <w:r>
        <w:t xml:space="preserve"> applying, and after removing, a lockout or tagout device from a machine or equipment.  Such notification informs </w:t>
      </w:r>
      <w:r w:rsidR="008562B0">
        <w:t>worker</w:t>
      </w:r>
      <w:r>
        <w:t xml:space="preserve">s of the impending interruption of the normal production operation and serves as a reminder of the restrictions imposed on them by the energy-control program.  </w:t>
      </w:r>
      <w:r w:rsidR="000A3E11">
        <w:t>Also</w:t>
      </w:r>
      <w:r>
        <w:t xml:space="preserve">, this requirement ensures that </w:t>
      </w:r>
      <w:r w:rsidR="008562B0">
        <w:t>worker</w:t>
      </w:r>
      <w:r>
        <w:t xml:space="preserve">s do not attempt to reactivate a machine or piece of equipment after an authorized </w:t>
      </w:r>
      <w:r w:rsidR="008562B0">
        <w:t>worker</w:t>
      </w:r>
      <w:r>
        <w:t xml:space="preserve"> isolates its energy source and renders it inoperative.  Notifying </w:t>
      </w:r>
      <w:r w:rsidR="008562B0">
        <w:t>worker</w:t>
      </w:r>
      <w:r>
        <w:t>s after removing an energy-control device alerts them that the machines and equipment are no longer safe for servicing, maintenance, and repair.</w:t>
      </w:r>
      <w:r w:rsidRPr="00B97EF2" w:rsidR="00E56453">
        <w:rPr>
          <w:rStyle w:val="FootnoteReference"/>
          <w:vertAlign w:val="superscript"/>
        </w:rPr>
        <w:footnoteReference w:id="3"/>
      </w:r>
      <w:bookmarkStart w:name="1910.147(d)(4)(i)" w:id="2"/>
      <w:bookmarkStart w:name="1910.147(d)(4)(ii)" w:id="3"/>
      <w:bookmarkStart w:name="1910.147(d)(4)(iii)" w:id="4"/>
      <w:bookmarkEnd w:id="2"/>
      <w:bookmarkEnd w:id="3"/>
      <w:bookmarkEnd w:id="4"/>
    </w:p>
    <w:p w:rsidR="00947F54" w:rsidP="00F5061F" w:rsidRDefault="00947F54" w14:paraId="6CFB76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947F54" w:rsidP="00F5061F" w:rsidRDefault="00947F54" w14:paraId="060171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127DF">
        <w:rPr>
          <w:b/>
          <w:u w:val="single"/>
        </w:rPr>
        <w:t>O</w:t>
      </w:r>
      <w:r>
        <w:rPr>
          <w:b/>
          <w:u w:val="single"/>
        </w:rPr>
        <w:t>ffsite</w:t>
      </w:r>
      <w:r w:rsidRPr="00A127DF">
        <w:rPr>
          <w:b/>
          <w:u w:val="single"/>
        </w:rPr>
        <w:t xml:space="preserve"> Personnel (Contractors, etc.) (paragraph (f)(2)(i))</w:t>
      </w:r>
      <w:r w:rsidRPr="00A127DF">
        <w:t xml:space="preserve">.  </w:t>
      </w:r>
      <w:r w:rsidRPr="008944F3">
        <w:t>When</w:t>
      </w:r>
      <w:r>
        <w:t xml:space="preserve"> the onsite employer uses an offsite employer (e.g., a contractor) to perform the activities covered by the scope and application of the Standard, the two employers must inform each other regarding their respective lockout or tagout procedures.  This provision ensures that each employer knows about the unique energy-control procedures used by the other employer; this knowledge prevents any misunderstanding regarding the implementation of lockout or tagout procedures, and the use of lockout or tagout devices for a particular application.</w:t>
      </w:r>
    </w:p>
    <w:bookmarkEnd w:id="0"/>
    <w:bookmarkEnd w:id="1"/>
    <w:p w:rsidRPr="00F74459" w:rsidR="00947F54" w:rsidP="00F5061F" w:rsidRDefault="00947F54" w14:paraId="007D2A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Pr="00FB77D5" w:rsidR="00FB77D5" w:rsidP="00FB77D5" w:rsidRDefault="00FB77D5" w14:paraId="5CDDFFC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FB77D5">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47F54" w:rsidP="00F5061F" w:rsidRDefault="00947F54" w14:paraId="4BAA9B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Pr="001F245C" w:rsidR="00947F54" w:rsidP="00F5061F" w:rsidRDefault="00947F54" w14:paraId="6B18E4D5" w14:textId="0EC9A0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F245C">
        <w:rPr>
          <w:rFonts w:cs="Shruti"/>
        </w:rPr>
        <w:t xml:space="preserve">Employers may use automated, electronic, mechanical, or other technological information-collection techniques, or other forms of information technology (e.g., electronic submission of responses), when establishing and maintaining the required records.  The Agency wrote the </w:t>
      </w:r>
      <w:r w:rsidR="006A4AA0">
        <w:rPr>
          <w:rFonts w:cs="Shruti"/>
        </w:rPr>
        <w:t xml:space="preserve">information collection </w:t>
      </w:r>
      <w:r w:rsidRPr="001F245C">
        <w:rPr>
          <w:rFonts w:cs="Shruti"/>
        </w:rPr>
        <w:t xml:space="preserve">requirements of the Standard in performance-oriented language (i.e., in terms of </w:t>
      </w:r>
      <w:r w:rsidRPr="001F245C">
        <w:rPr>
          <w:rFonts w:cs="Shruti"/>
          <w:u w:val="single"/>
        </w:rPr>
        <w:t>what</w:t>
      </w:r>
      <w:r w:rsidRPr="001F245C">
        <w:rPr>
          <w:rFonts w:cs="Shruti"/>
        </w:rPr>
        <w:t xml:space="preserve"> data to collect, not </w:t>
      </w:r>
      <w:r w:rsidRPr="001F245C">
        <w:rPr>
          <w:rFonts w:cs="Shruti"/>
          <w:u w:val="single"/>
        </w:rPr>
        <w:t>how</w:t>
      </w:r>
      <w:r w:rsidRPr="001F245C">
        <w:rPr>
          <w:rFonts w:cs="Shruti"/>
        </w:rPr>
        <w:t xml:space="preserve"> to record the data</w:t>
      </w:r>
      <w:r w:rsidRPr="001F245C">
        <w:t>).</w:t>
      </w:r>
    </w:p>
    <w:p w:rsidR="002E3BCB" w:rsidP="00F5061F" w:rsidRDefault="002E3BCB" w14:paraId="350FA9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Pr="00FB77D5" w:rsidR="00FB77D5" w:rsidP="00FB77D5" w:rsidRDefault="00FB77D5" w14:paraId="34E58EF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B77D5">
        <w:rPr>
          <w:b/>
          <w:bCs/>
        </w:rPr>
        <w:t>4.  Describe efforts to identify duplication.  Show specifically why any similar information already available cannot be used or modified for use for the purposes described in Item A.2 above.</w:t>
      </w:r>
    </w:p>
    <w:p w:rsidR="00947F54" w:rsidP="00F5061F" w:rsidRDefault="00947F54" w14:paraId="65A9F4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47F54" w:rsidP="00F5061F" w:rsidRDefault="00947F54" w14:paraId="4406F5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 xml:space="preserve">The requirements to collect and maintain information are specific to each employer and </w:t>
      </w:r>
      <w:r w:rsidR="008562B0">
        <w:t>worker</w:t>
      </w:r>
      <w:r>
        <w:t xml:space="preserve"> involved, and no other source or agency duplicates these requirements or can make the required information available to OSHA (i.e., the required information is available only from employers).</w:t>
      </w:r>
    </w:p>
    <w:p w:rsidR="00947F54" w:rsidP="00F5061F" w:rsidRDefault="00947F54" w14:paraId="5A0C7C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FB77D5" w:rsidR="00FB77D5" w:rsidP="00FB77D5" w:rsidRDefault="00FB77D5" w14:paraId="2C10A48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FB77D5">
        <w:rPr>
          <w:b/>
          <w:bCs/>
        </w:rPr>
        <w:lastRenderedPageBreak/>
        <w:t>5.</w:t>
      </w:r>
      <w:r w:rsidRPr="00FB77D5">
        <w:t xml:space="preserve">  </w:t>
      </w:r>
      <w:r w:rsidRPr="00FB77D5">
        <w:rPr>
          <w:b/>
          <w:bCs/>
        </w:rPr>
        <w:t xml:space="preserve">If the collection of information impacts small businesses or other small entities, describe any methods used to minimize </w:t>
      </w:r>
      <w:r w:rsidR="00403F6B">
        <w:rPr>
          <w:b/>
          <w:bCs/>
        </w:rPr>
        <w:t xml:space="preserve">the </w:t>
      </w:r>
      <w:r w:rsidRPr="00FB77D5">
        <w:rPr>
          <w:b/>
          <w:bCs/>
        </w:rPr>
        <w:t>burden.</w:t>
      </w:r>
    </w:p>
    <w:p w:rsidR="00947F54" w:rsidP="00F5061F" w:rsidRDefault="00947F54" w14:paraId="158560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47F54" w:rsidP="00F5061F" w:rsidRDefault="00947F54" w14:paraId="38C99B50" w14:textId="680E46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The information</w:t>
      </w:r>
      <w:r w:rsidR="00B97EF2">
        <w:t xml:space="preserve"> </w:t>
      </w:r>
      <w:r>
        <w:t>collection requirements specified by the Standard do not have a significant impact on a substantial number of small entities.</w:t>
      </w:r>
      <w:r w:rsidR="00DC4D89">
        <w:t xml:space="preserve">  </w:t>
      </w:r>
      <w:r w:rsidR="006378BA">
        <w:t>T</w:t>
      </w:r>
      <w:r w:rsidR="001F7C11">
        <w:t>he Agenc</w:t>
      </w:r>
      <w:r w:rsidR="00DC4D89">
        <w:t xml:space="preserve">y has published </w:t>
      </w:r>
      <w:r w:rsidRPr="00DC4D89" w:rsidR="00DC4D89">
        <w:rPr>
          <w:i/>
        </w:rPr>
        <w:t>OSHA Instruction, Directive Number CPL 02-00-147, The Control of Hazardous Energy – Enforcement Policy and Inspection</w:t>
      </w:r>
      <w:r w:rsidR="003C1038">
        <w:rPr>
          <w:i/>
        </w:rPr>
        <w:t xml:space="preserve"> </w:t>
      </w:r>
      <w:r w:rsidRPr="00DC4D89" w:rsidR="00DC4D89">
        <w:rPr>
          <w:i/>
        </w:rPr>
        <w:t>Procedures, February 11, 2008</w:t>
      </w:r>
      <w:r w:rsidR="00DC4D89">
        <w:t xml:space="preserve">.  </w:t>
      </w:r>
      <w:r w:rsidR="001F7C11">
        <w:t xml:space="preserve">Although this directive establishes OSHA’s enforcement policy for the standards addressing the control of hazardous energy, the Agency has </w:t>
      </w:r>
      <w:r w:rsidR="00DC4D89">
        <w:t xml:space="preserve">made </w:t>
      </w:r>
      <w:r w:rsidR="001F7C11">
        <w:t xml:space="preserve">the directive </w:t>
      </w:r>
      <w:r w:rsidR="00DC4D89">
        <w:t xml:space="preserve">available to the public to assist them in </w:t>
      </w:r>
      <w:r w:rsidR="00A01451">
        <w:t>com</w:t>
      </w:r>
      <w:r w:rsidR="007E7A39">
        <w:t>plying</w:t>
      </w:r>
      <w:r w:rsidR="00A01451">
        <w:t xml:space="preserve"> </w:t>
      </w:r>
      <w:r w:rsidR="000A3E11">
        <w:t xml:space="preserve">with </w:t>
      </w:r>
      <w:r w:rsidR="00A01451">
        <w:t xml:space="preserve">and </w:t>
      </w:r>
      <w:r w:rsidR="001F7C11">
        <w:t>understanding the</w:t>
      </w:r>
      <w:r w:rsidR="00A01451">
        <w:t xml:space="preserve"> requirements of the LO</w:t>
      </w:r>
      <w:r w:rsidR="001F7C11">
        <w:t>/</w:t>
      </w:r>
      <w:r w:rsidR="00A01451">
        <w:t>TO Standard.</w:t>
      </w:r>
    </w:p>
    <w:p w:rsidR="00947F54" w:rsidP="00F5061F" w:rsidRDefault="00947F54" w14:paraId="29582A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FB77D5" w:rsidP="00F5061F" w:rsidRDefault="00FB77D5" w14:paraId="366DB8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6.  Describe the consequence to federal program or policy activities if the collection is not conducted or is conducted less frequently, as well as any technical or legal obstacles to reducing burden.</w:t>
      </w:r>
      <w:r>
        <w:rPr>
          <w:b/>
          <w:bCs/>
        </w:rPr>
        <w:t xml:space="preserve"> </w:t>
      </w:r>
    </w:p>
    <w:p w:rsidR="00947F54" w:rsidP="00F5061F" w:rsidRDefault="00947F54" w14:paraId="2A3FBD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47F54" w:rsidP="00F5061F" w:rsidRDefault="00947F54" w14:paraId="6A47CE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The Agency believes that the information</w:t>
      </w:r>
      <w:r w:rsidR="00B97EF2">
        <w:t xml:space="preserve"> </w:t>
      </w:r>
      <w:r>
        <w:t xml:space="preserve">collection frequencies required by the Standard are the minimum frequencies necessary to effectively regulate hazardous-energy sources, and thereby fulfill its mandate “to assure so far as possible every working man and woman in the Nation safe and healthful working conditions and to preserve our human resources” as specified by the Act at 29 U.S.C. 651.  Accordingly, when employers do not perform the required information collections or delay in providing this information, </w:t>
      </w:r>
      <w:r w:rsidR="008562B0">
        <w:t>worker</w:t>
      </w:r>
      <w:r>
        <w:t xml:space="preserve">s may not use energy-control procedures effectively and safely, thereby increasing their probability of death and serious injury caused by </w:t>
      </w:r>
      <w:r w:rsidR="000A3E11">
        <w:t xml:space="preserve">the </w:t>
      </w:r>
      <w:r>
        <w:t>uncontrolled release of hazardous energy.</w:t>
      </w:r>
    </w:p>
    <w:p w:rsidR="00947F54" w:rsidP="00F5061F" w:rsidRDefault="00947F54" w14:paraId="5FC1E0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FB77D5" w:rsidR="00FB77D5" w:rsidP="00FB77D5" w:rsidRDefault="00FB77D5" w14:paraId="2BC5AC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77D5">
        <w:rPr>
          <w:b/>
          <w:bCs/>
        </w:rPr>
        <w:t>7.  Explain any special circumstances that would cause an information collection to be conducted in a manner:</w:t>
      </w:r>
    </w:p>
    <w:p w:rsidRPr="00FB77D5" w:rsidR="00FB77D5" w:rsidP="00FB77D5" w:rsidRDefault="00FB77D5" w14:paraId="598235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B77D5" w:rsidR="00FB77D5" w:rsidP="00FB77D5" w:rsidRDefault="00FB77D5" w14:paraId="73587A5B"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B77D5">
        <w:rPr>
          <w:b/>
          <w:bCs/>
        </w:rPr>
        <w:t>requiring respondents to report information to the agency more often than quarterly;</w:t>
      </w:r>
    </w:p>
    <w:p w:rsidRPr="00FB77D5" w:rsidR="00FB77D5" w:rsidP="00FB77D5" w:rsidRDefault="00FB77D5" w14:paraId="245ADB9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FB77D5" w:rsidR="00FB77D5" w:rsidP="00FB77D5" w:rsidRDefault="00FB77D5" w14:paraId="4CA5E95F"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B77D5">
        <w:rPr>
          <w:b/>
          <w:bCs/>
        </w:rPr>
        <w:t>requiring respondents to prepare a written response to a collection of information in fewer than 30 days after receipt of it;</w:t>
      </w:r>
    </w:p>
    <w:p w:rsidRPr="00FB77D5" w:rsidR="00FB77D5" w:rsidP="00FB77D5" w:rsidRDefault="00FB77D5" w14:paraId="13F6B4F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FB77D5" w:rsidR="00FB77D5" w:rsidP="00FB77D5" w:rsidRDefault="00FB77D5" w14:paraId="7A89E85B"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B77D5">
        <w:rPr>
          <w:b/>
          <w:bCs/>
        </w:rPr>
        <w:t>requiring respondents to submit more than an original and two copies of any document;</w:t>
      </w:r>
    </w:p>
    <w:p w:rsidRPr="00FB77D5" w:rsidR="00FB77D5" w:rsidP="00FB77D5" w:rsidRDefault="00FB77D5" w14:paraId="17A3EFD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FB77D5" w:rsidR="00FB77D5" w:rsidP="00FB77D5" w:rsidRDefault="00FB77D5" w14:paraId="07349320"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B77D5">
        <w:rPr>
          <w:b/>
          <w:bCs/>
        </w:rPr>
        <w:t>requiring respondents to retain records, other than health, medical, government contract, grant-in-aid, or tax records for more than three years;</w:t>
      </w:r>
    </w:p>
    <w:p w:rsidRPr="00FB77D5" w:rsidR="00FB77D5" w:rsidP="00FB77D5" w:rsidRDefault="00FB77D5" w14:paraId="06FCF6D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FB77D5" w:rsidR="00FB77D5" w:rsidP="00FB77D5" w:rsidRDefault="00FB77D5" w14:paraId="31954847"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B77D5">
        <w:rPr>
          <w:b/>
          <w:bCs/>
        </w:rPr>
        <w:t>in connection with a statistical survey, that is not designed to produce valid and reliable results that can be generalized to the universe of study;</w:t>
      </w:r>
    </w:p>
    <w:p w:rsidRPr="00FB77D5" w:rsidR="00FB77D5" w:rsidP="00FB77D5" w:rsidRDefault="00FB77D5" w14:paraId="4702A6E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FB77D5" w:rsidR="00FB77D5" w:rsidP="00FB77D5" w:rsidRDefault="00FB77D5" w14:paraId="4BC9E753"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B77D5">
        <w:rPr>
          <w:b/>
          <w:bCs/>
        </w:rPr>
        <w:t>requiring the use of statistical data classification that has not been reviewed and approved by OMB;</w:t>
      </w:r>
    </w:p>
    <w:p w:rsidRPr="00FB77D5" w:rsidR="00FB77D5" w:rsidP="00FB77D5" w:rsidRDefault="00FB77D5" w14:paraId="1BBC3B3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FB77D5" w:rsidR="00FB77D5" w:rsidP="00FB77D5" w:rsidRDefault="00FB77D5" w14:paraId="1F385B37"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B77D5">
        <w:rPr>
          <w:b/>
          <w:bCs/>
        </w:rPr>
        <w:t xml:space="preserve">that includes a pledge of confidentially that is not supported by authority established in statute or regulation, that is not supported by disclosure and data security policies </w:t>
      </w:r>
      <w:r w:rsidRPr="00FB77D5">
        <w:rPr>
          <w:b/>
          <w:bCs/>
        </w:rPr>
        <w:lastRenderedPageBreak/>
        <w:t>that are consistent with the pledge, or which unnecessarily impedes sharing of data with other agencies for compatible confidential use; or</w:t>
      </w:r>
    </w:p>
    <w:p w:rsidRPr="00FB77D5" w:rsidR="00FB77D5" w:rsidP="00FB77D5" w:rsidRDefault="00FB77D5" w14:paraId="5010033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FB77D5" w:rsidR="00FB77D5" w:rsidP="00FB77D5" w:rsidRDefault="00FB77D5" w14:paraId="1158B565"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77D5">
        <w:rPr>
          <w:b/>
          <w:bCs/>
        </w:rPr>
        <w:t>requiring respondents to submit proprietary trade secret, or other confidential information unless the agency can demonstrate that it has instituted procedures to protect the information's confidentially to the extent permitted by law.</w:t>
      </w:r>
    </w:p>
    <w:p w:rsidRPr="00FB77D5" w:rsidR="00FB77D5" w:rsidP="00FB77D5" w:rsidRDefault="00FB77D5" w14:paraId="133397B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B19C4" w:rsidR="00947F54" w:rsidP="000B19C4" w:rsidRDefault="00947F54" w14:paraId="3D4F3D6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0B19C4">
        <w:rPr>
          <w:rFonts w:cs="Shruti"/>
        </w:rPr>
        <w:t xml:space="preserve">No special circumstances exist that require employers to collect information using the procedures specified by this item.  The requirements are within the guidelines </w:t>
      </w:r>
      <w:r w:rsidR="000A3E11">
        <w:rPr>
          <w:rFonts w:cs="Shruti"/>
        </w:rPr>
        <w:t>outlined</w:t>
      </w:r>
      <w:r w:rsidRPr="000B19C4">
        <w:rPr>
          <w:rFonts w:cs="Shruti"/>
        </w:rPr>
        <w:t xml:space="preserve"> in 5 CFR 1320</w:t>
      </w:r>
      <w:r w:rsidRPr="000B19C4">
        <w:rPr>
          <w:bCs/>
          <w:i/>
        </w:rPr>
        <w:t>.5.</w:t>
      </w:r>
    </w:p>
    <w:p w:rsidR="00947F54" w:rsidP="00F5061F" w:rsidRDefault="00947F54" w14:paraId="23F2E1D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FB77D5" w:rsidR="00FB77D5" w:rsidP="00FB77D5" w:rsidRDefault="00FB77D5" w14:paraId="37CFF8DC" w14:textId="77777777">
      <w:pPr>
        <w:widowControl/>
        <w:tabs>
          <w:tab w:val="left" w:pos="-1080"/>
          <w:tab w:val="left" w:pos="-720"/>
          <w:tab w:val="left" w:pos="0"/>
          <w:tab w:val="left" w:pos="720"/>
          <w:tab w:val="left" w:pos="990"/>
          <w:tab w:val="left" w:pos="2160"/>
        </w:tabs>
        <w:rPr>
          <w:b/>
          <w:bCs/>
        </w:rPr>
      </w:pPr>
      <w:r w:rsidRPr="00FB77D5">
        <w:rPr>
          <w:b/>
          <w:bCs/>
        </w:rPr>
        <w:t xml:space="preserve">8.  If applicable, provide a copy and identify the date and page number of publication in the </w:t>
      </w:r>
      <w:r w:rsidRPr="00FB77D5">
        <w:rPr>
          <w:b/>
          <w:i/>
          <w:iCs/>
        </w:rPr>
        <w:t>Federal Register</w:t>
      </w:r>
      <w:r w:rsidRPr="00FB77D5">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FB77D5" w:rsidR="00FB77D5" w:rsidP="00FB77D5" w:rsidRDefault="00FB77D5" w14:paraId="408AE9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Pr="00FB77D5" w:rsidR="00FB77D5" w:rsidP="00FB77D5" w:rsidRDefault="00FB77D5" w14:paraId="2C285029" w14:textId="77777777">
      <w:pPr>
        <w:widowControl/>
        <w:tabs>
          <w:tab w:val="left" w:pos="-1080"/>
          <w:tab w:val="left" w:pos="-720"/>
          <w:tab w:val="left" w:pos="0"/>
          <w:tab w:val="left" w:pos="720"/>
          <w:tab w:val="left" w:pos="990"/>
          <w:tab w:val="left" w:pos="2160"/>
        </w:tabs>
        <w:rPr>
          <w:b/>
          <w:bCs/>
        </w:rPr>
      </w:pPr>
      <w:r w:rsidRPr="00FB77D5">
        <w:rPr>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FB77D5" w:rsidR="00FB77D5" w:rsidP="00FB77D5" w:rsidRDefault="00FB77D5" w14:paraId="2197FC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FB77D5" w:rsidR="00FB77D5" w:rsidP="00FB77D5" w:rsidRDefault="00FB77D5" w14:paraId="5EBF93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FB77D5">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FB77D5" w:rsidP="00BE47A0" w:rsidRDefault="00FB77D5" w14:paraId="7686670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C64C7" w:rsidP="00BE47A0" w:rsidRDefault="00764103" w14:paraId="1D2C440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required by the Paperwork Reduction Act (44 U.S.C. 3506(c)(2)(A)), OSHA published a notice </w:t>
      </w:r>
      <w:r w:rsidR="00145EA2">
        <w:t xml:space="preserve">on </w:t>
      </w:r>
      <w:r w:rsidR="5A490816">
        <w:t xml:space="preserve">December </w:t>
      </w:r>
      <w:r w:rsidR="00145EA2">
        <w:t xml:space="preserve"> </w:t>
      </w:r>
      <w:r w:rsidR="006222DB">
        <w:t>23</w:t>
      </w:r>
      <w:r w:rsidR="00145EA2">
        <w:t>, 20</w:t>
      </w:r>
      <w:r w:rsidR="00C822FF">
        <w:t>20</w:t>
      </w:r>
      <w:r w:rsidR="00145EA2">
        <w:t xml:space="preserve"> </w:t>
      </w:r>
      <w:r>
        <w:t>in the Federal Register</w:t>
      </w:r>
      <w:r w:rsidRPr="29B41BB9">
        <w:rPr>
          <w:b/>
          <w:bCs/>
        </w:rPr>
        <w:t xml:space="preserve"> </w:t>
      </w:r>
      <w:r w:rsidR="00145EA2">
        <w:t>(8</w:t>
      </w:r>
      <w:r w:rsidR="00C822FF">
        <w:t>5</w:t>
      </w:r>
      <w:r w:rsidR="00145EA2">
        <w:t xml:space="preserve"> FR </w:t>
      </w:r>
      <w:r w:rsidR="006222DB">
        <w:t>84004</w:t>
      </w:r>
      <w:r w:rsidR="00145EA2">
        <w:t>)</w:t>
      </w:r>
      <w:r w:rsidRPr="29B41BB9" w:rsidR="00145EA2">
        <w:rPr>
          <w:b/>
          <w:bCs/>
        </w:rPr>
        <w:t xml:space="preserve"> </w:t>
      </w:r>
      <w:r>
        <w:t xml:space="preserve">soliciting public comments on its proposal to extend the Office of Management and Budget‘s (OMB) approval of the </w:t>
      </w:r>
      <w:r w:rsidR="00590B09">
        <w:t xml:space="preserve">information collection requirements </w:t>
      </w:r>
      <w:r>
        <w:t xml:space="preserve">specified in the Control of Hazardous Energy </w:t>
      </w:r>
      <w:r w:rsidR="005703D2">
        <w:t xml:space="preserve">Standard </w:t>
      </w:r>
      <w:r>
        <w:t>(Lockout/Tagout)(29 CFR 1910.147)</w:t>
      </w:r>
      <w:r w:rsidR="00E7026D">
        <w:t xml:space="preserve">. </w:t>
      </w:r>
      <w:r>
        <w:t xml:space="preserve">This notice </w:t>
      </w:r>
      <w:r w:rsidR="00145EA2">
        <w:t>was</w:t>
      </w:r>
      <w:r>
        <w:t xml:space="preserve"> part of a preclearance consultation program that provide</w:t>
      </w:r>
      <w:r w:rsidR="00145EA2">
        <w:t>d</w:t>
      </w:r>
      <w:r>
        <w:t xml:space="preserve"> the general public and government agencies with an opportunity to comment.</w:t>
      </w:r>
      <w:r w:rsidR="00145EA2">
        <w:t xml:space="preserve"> </w:t>
      </w:r>
      <w:r>
        <w:t xml:space="preserve"> </w:t>
      </w:r>
      <w:r w:rsidR="008B2D2E">
        <w:t xml:space="preserve">The Agency </w:t>
      </w:r>
      <w:r w:rsidR="00B94877">
        <w:t xml:space="preserve">received </w:t>
      </w:r>
      <w:r w:rsidR="00251B4F">
        <w:t>one</w:t>
      </w:r>
      <w:r w:rsidR="00B94877">
        <w:t xml:space="preserve"> </w:t>
      </w:r>
      <w:r w:rsidR="00251B4F">
        <w:t xml:space="preserve">comment </w:t>
      </w:r>
      <w:r w:rsidR="008B2D2E">
        <w:t>in response to th</w:t>
      </w:r>
      <w:r w:rsidR="00C822FF">
        <w:t xml:space="preserve">is </w:t>
      </w:r>
      <w:r w:rsidR="008B2D2E">
        <w:t>notice.</w:t>
      </w:r>
    </w:p>
    <w:p w:rsidR="00246AF0" w:rsidP="00BE47A0" w:rsidRDefault="00246AF0" w14:paraId="46398B97"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46AF0" w:rsidP="00246AF0" w:rsidRDefault="00246AF0" w14:paraId="28AD06A9" w14:textId="09E9F6B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The commenter, Mr. Miles Free, Director, Industry Research and Technology, on behalf of the Precision Machined Products Association (PMPA), raised questions about certain elements of this Supporting Statement primarily related to burden calculations and estimates.  Mr. Miles also references PMPA comments submitted in response to a Request For Information (RFI) published in</w:t>
      </w:r>
      <w:r w:rsidR="001C53C1">
        <w:t xml:space="preserve"> May</w:t>
      </w:r>
      <w:r>
        <w:t xml:space="preserve">, 2019.  </w:t>
      </w:r>
    </w:p>
    <w:p w:rsidR="00246AF0" w:rsidP="00246AF0" w:rsidRDefault="00246AF0" w14:paraId="10E53CF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46AF0" w:rsidP="00246AF0" w:rsidRDefault="00246AF0" w14:paraId="456092B7" w14:textId="4ED602D5">
      <w:pPr>
        <w:pStyle w:val="NormalWeb"/>
        <w:spacing w:before="0" w:beforeAutospacing="0" w:after="0" w:afterAutospacing="0"/>
      </w:pPr>
      <w:r>
        <w:t>The Agency recognizes that from time to time, existing regulations require revisiting due to evolving technology.  In this vein, the Agency developed the RFI (</w:t>
      </w:r>
      <w:r w:rsidR="001C53C1">
        <w:t xml:space="preserve">May </w:t>
      </w:r>
      <w:r w:rsidR="0053110C">
        <w:t>20</w:t>
      </w:r>
      <w:r>
        <w:t>, 20</w:t>
      </w:r>
      <w:r w:rsidR="0053110C">
        <w:t>19;</w:t>
      </w:r>
      <w:r>
        <w:t xml:space="preserve"> 84 FR 22756) on certain aspects of the LOTO rule (see: U.S. DOL-OSHA, Lock-out Tag-out </w:t>
      </w:r>
      <w:r w:rsidRPr="00D61FEE">
        <w:rPr>
          <w:iCs/>
        </w:rPr>
        <w:t>Update</w:t>
      </w:r>
      <w:r w:rsidRPr="13927BD9">
        <w:rPr>
          <w:i/>
          <w:iCs/>
        </w:rPr>
        <w:t xml:space="preserve"> </w:t>
      </w:r>
      <w:r>
        <w:t xml:space="preserve">(RIN: 1218-AD00); </w:t>
      </w:r>
      <w:hyperlink r:id="rId11">
        <w:r w:rsidRPr="13927BD9">
          <w:rPr>
            <w:rStyle w:val="Hyperlink"/>
          </w:rPr>
          <w:t>https://www.reginfo.gov/public/do/eAgendaViewRule?pubId=202010&amp;RIN=1218-AD00</w:t>
        </w:r>
      </w:hyperlink>
      <w:r>
        <w:t xml:space="preserve">).  The RFI provided an opportunity for commenters to cite changes to industry which may have changed the relevant underlying industry profile in a way to significantly alter the burden to </w:t>
      </w:r>
      <w:r>
        <w:lastRenderedPageBreak/>
        <w:t xml:space="preserve">industry.  Also, to obtain a more accurate representation of the NAICS codes that fall under the LOTO rule, the Agency asked stakeholders to identify their industry (by NAICS code, where possible) when responding.  The agency is considering holding a stakeholder meeting and opening a public docket to explore the issue.  OSHA encourages the commenter to continue participating in this process.  </w:t>
      </w:r>
    </w:p>
    <w:p w:rsidR="00246AF0" w:rsidP="00246AF0" w:rsidRDefault="00246AF0" w14:paraId="24E95F28" w14:textId="77777777">
      <w:pPr>
        <w:pStyle w:val="NormalWeb"/>
        <w:spacing w:before="0" w:beforeAutospacing="0" w:after="0" w:afterAutospacing="0"/>
        <w:ind w:left="540"/>
      </w:pPr>
    </w:p>
    <w:p w:rsidRPr="00AB6B53" w:rsidR="00246AF0" w:rsidP="00246AF0" w:rsidRDefault="00246AF0" w14:paraId="27F451DB" w14:textId="77777777">
      <w:pPr>
        <w:pStyle w:val="NormalWeb"/>
        <w:spacing w:before="0" w:beforeAutospacing="0" w:after="0" w:afterAutospacing="0"/>
      </w:pPr>
      <w:r>
        <w:t>The commenter’s requests with regard to changes in regulatory requirements, including those related to the Minor Service Exemption (MSE), are not relevant to this ICR. The agency received PMPA's comments on the RFI and continues reviewing all RFI comments at this time.</w:t>
      </w:r>
    </w:p>
    <w:p w:rsidRPr="00AB6B53" w:rsidR="00246AF0" w:rsidP="00246AF0" w:rsidRDefault="00246AF0" w14:paraId="62F50D9B" w14:textId="77777777">
      <w:pPr>
        <w:pStyle w:val="NormalWeb"/>
        <w:spacing w:before="0" w:beforeAutospacing="0" w:after="0" w:afterAutospacing="0"/>
      </w:pPr>
      <w:r w:rsidRPr="00AB6B53">
        <w:t> </w:t>
      </w:r>
    </w:p>
    <w:p w:rsidRPr="00246AF0" w:rsidR="00246AF0" w:rsidP="00246AF0" w:rsidRDefault="00246AF0" w14:paraId="6E17E55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The comment is discussed in additional det</w:t>
      </w:r>
      <w:r w:rsidRPr="00246AF0">
        <w:t>ail below.</w:t>
      </w:r>
    </w:p>
    <w:p w:rsidRPr="00246AF0" w:rsidR="00246AF0" w:rsidP="00246AF0" w:rsidRDefault="00246AF0" w14:paraId="25C672B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566CC" w:rsidR="00246AF0" w:rsidP="00246AF0" w:rsidRDefault="00246AF0" w14:paraId="492B4878" w14:textId="77777777">
      <w:pPr>
        <w:widowControl/>
        <w:rPr>
          <w:rFonts w:ascii="Calibri" w:hAnsi="Calibri" w:cs="Calibri" w:eastAsiaTheme="minorHAnsi"/>
          <w:i/>
          <w:iCs/>
          <w:sz w:val="22"/>
          <w:szCs w:val="22"/>
        </w:rPr>
      </w:pPr>
      <w:r w:rsidRPr="00C566CC">
        <w:rPr>
          <w:rFonts w:eastAsiaTheme="minorHAnsi"/>
          <w:b/>
          <w:sz w:val="23"/>
          <w:szCs w:val="23"/>
        </w:rPr>
        <w:t>1. PMPA comment</w:t>
      </w:r>
      <w:r w:rsidRPr="00C566CC">
        <w:rPr>
          <w:rFonts w:eastAsiaTheme="minorHAnsi"/>
          <w:sz w:val="23"/>
          <w:szCs w:val="23"/>
        </w:rPr>
        <w:t xml:space="preserve">: </w:t>
      </w:r>
      <w:r w:rsidRPr="00C566CC">
        <w:rPr>
          <w:rFonts w:ascii="Calibri" w:hAnsi="Calibri" w:cs="Calibri" w:eastAsiaTheme="minorHAnsi"/>
          <w:i/>
          <w:iCs/>
          <w:sz w:val="22"/>
          <w:szCs w:val="22"/>
        </w:rPr>
        <w:t>“…[M]anufacturers in NAICS are currently classified as “high impact,” not all industries have the same operations, therefore a one size fits all LOTO that may be effective in the food manufacturing business could render a metalworking manufacturing machine completely inoperable.”</w:t>
      </w:r>
    </w:p>
    <w:p w:rsidRPr="00C566CC" w:rsidR="00246AF0" w:rsidP="00246AF0" w:rsidRDefault="00246AF0" w14:paraId="1C87FEB6" w14:textId="77777777">
      <w:pPr>
        <w:widowControl/>
        <w:rPr>
          <w:rFonts w:eastAsiaTheme="minorHAnsi"/>
          <w:sz w:val="23"/>
          <w:szCs w:val="23"/>
        </w:rPr>
      </w:pPr>
    </w:p>
    <w:p w:rsidRPr="00C566CC" w:rsidR="00246AF0" w:rsidP="00246AF0" w:rsidRDefault="00246AF0" w14:paraId="28433AC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566CC">
        <w:rPr>
          <w:b/>
          <w:i/>
        </w:rPr>
        <w:t>OSHA Response</w:t>
      </w:r>
      <w:r w:rsidRPr="00246AF0">
        <w:t xml:space="preserve">:  This ICR is not related to any change in the existing requirements of the standard. </w:t>
      </w:r>
      <w:r w:rsidRPr="00C566CC">
        <w:t xml:space="preserve">  The agency believes the ICR conservatively estimates existing notification burden for “affected employees” under 29 CFR 1910.147(b) and 29 CFR 1910.147(c)(9). To the extent PMPA seeks changes to the regulatory requirements, this is a matter that would need to be addressed during rulemaking.</w:t>
      </w:r>
    </w:p>
    <w:p w:rsidRPr="00C566CC" w:rsidR="00246AF0" w:rsidP="00246AF0" w:rsidRDefault="00246AF0" w14:paraId="3633842B" w14:textId="77777777">
      <w:pPr>
        <w:widowControl/>
        <w:rPr>
          <w:rFonts w:eastAsiaTheme="minorHAnsi"/>
          <w:sz w:val="23"/>
          <w:szCs w:val="23"/>
        </w:rPr>
      </w:pPr>
    </w:p>
    <w:p w:rsidRPr="00C566CC" w:rsidR="00246AF0" w:rsidP="00246AF0" w:rsidRDefault="00246AF0" w14:paraId="71623A36" w14:textId="77777777">
      <w:pPr>
        <w:widowControl/>
        <w:rPr>
          <w:rFonts w:ascii="Calibri" w:hAnsi="Calibri" w:cs="Calibri" w:eastAsiaTheme="minorHAnsi"/>
          <w:i/>
          <w:iCs/>
          <w:sz w:val="22"/>
          <w:szCs w:val="22"/>
        </w:rPr>
      </w:pPr>
      <w:r w:rsidRPr="00C566CC">
        <w:rPr>
          <w:rFonts w:eastAsiaTheme="minorHAnsi"/>
          <w:b/>
          <w:sz w:val="23"/>
          <w:szCs w:val="23"/>
        </w:rPr>
        <w:t>2. PMPA comment</w:t>
      </w:r>
      <w:r w:rsidRPr="00C566CC">
        <w:rPr>
          <w:rFonts w:eastAsiaTheme="minorHAnsi"/>
          <w:sz w:val="23"/>
          <w:szCs w:val="23"/>
        </w:rPr>
        <w:t xml:space="preserve">: </w:t>
      </w:r>
      <w:r w:rsidRPr="00C566CC">
        <w:rPr>
          <w:rFonts w:ascii="Calibri" w:hAnsi="Calibri" w:cs="Calibri" w:eastAsiaTheme="minorHAnsi"/>
          <w:i/>
          <w:iCs/>
          <w:sz w:val="22"/>
          <w:szCs w:val="22"/>
        </w:rPr>
        <w:t>“The PMPA also cautions regulators against using the current burden standards as a baseline to estimate the burden upon stakeholders when developing a possible new LOTO standard and regulation. Flawed baseline assumptions will lead to flawed outcomes that may not improve safety, but would likely reduce productivity, costing American manufactures the resources needed to invest in their facilities and hire more employees. The PMPA is extremely concerned that OSHA may use any of the burden assumptions accompanying the ICR when developing new LOTO regulations. This estimation is a review of OSHA’s previous data, and not only do we disagree with the inputs used, as described below, but also do not believe OSHA should use the burden estimations in the establishment of any future LOTO regulations.”</w:t>
      </w:r>
    </w:p>
    <w:p w:rsidRPr="00C566CC" w:rsidR="00246AF0" w:rsidP="00246AF0" w:rsidRDefault="00246AF0" w14:paraId="60602C97" w14:textId="77777777">
      <w:pPr>
        <w:widowControl/>
        <w:rPr>
          <w:rFonts w:ascii="Calibri" w:hAnsi="Calibri" w:cs="Calibri" w:eastAsiaTheme="minorHAnsi"/>
          <w:i/>
          <w:iCs/>
          <w:sz w:val="22"/>
          <w:szCs w:val="22"/>
        </w:rPr>
      </w:pPr>
    </w:p>
    <w:p w:rsidRPr="00C566CC" w:rsidR="00246AF0" w:rsidP="00246AF0" w:rsidRDefault="00246AF0" w14:paraId="649B8A2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 w:val="23"/>
          <w:szCs w:val="23"/>
        </w:rPr>
      </w:pPr>
      <w:r w:rsidRPr="00C566CC">
        <w:rPr>
          <w:rFonts w:eastAsiaTheme="minorHAnsi"/>
          <w:i/>
          <w:sz w:val="23"/>
          <w:szCs w:val="23"/>
        </w:rPr>
        <w:t>OSHA Response</w:t>
      </w:r>
      <w:r w:rsidRPr="00C566CC">
        <w:rPr>
          <w:rFonts w:eastAsiaTheme="minorHAnsi"/>
          <w:sz w:val="23"/>
          <w:szCs w:val="23"/>
        </w:rPr>
        <w:t>:  This ICR is not related to any change in the existing requirements of the standard or any new Lockout/Tagout standard. Revised burden hour assumptions for new or changed requirements would be developed based on a rulemaking record.  This is a matter that would need to be addressed during rulemaking.</w:t>
      </w:r>
    </w:p>
    <w:p w:rsidRPr="00C566CC" w:rsidR="00246AF0" w:rsidP="00246AF0" w:rsidRDefault="00246AF0" w14:paraId="3E10BAB6" w14:textId="77777777">
      <w:pPr>
        <w:widowControl/>
        <w:rPr>
          <w:rFonts w:eastAsiaTheme="minorHAnsi"/>
          <w:sz w:val="23"/>
          <w:szCs w:val="23"/>
        </w:rPr>
      </w:pPr>
    </w:p>
    <w:p w:rsidRPr="00C566CC" w:rsidR="00246AF0" w:rsidP="00246AF0" w:rsidRDefault="00246AF0" w14:paraId="22D7B435" w14:textId="77777777">
      <w:pPr>
        <w:widowControl/>
        <w:rPr>
          <w:rFonts w:ascii="Calibri" w:hAnsi="Calibri" w:cs="Calibri" w:eastAsiaTheme="minorHAnsi"/>
          <w:i/>
          <w:iCs/>
          <w:sz w:val="22"/>
          <w:szCs w:val="22"/>
        </w:rPr>
      </w:pPr>
      <w:r w:rsidRPr="00C566CC">
        <w:rPr>
          <w:rFonts w:eastAsiaTheme="minorHAnsi"/>
          <w:b/>
          <w:sz w:val="23"/>
          <w:szCs w:val="23"/>
        </w:rPr>
        <w:t>3. PMPA Comment</w:t>
      </w:r>
      <w:r w:rsidRPr="00C566CC">
        <w:rPr>
          <w:rFonts w:eastAsiaTheme="minorHAnsi"/>
          <w:sz w:val="23"/>
          <w:szCs w:val="23"/>
        </w:rPr>
        <w:t xml:space="preserve">: </w:t>
      </w:r>
      <w:r w:rsidRPr="00C566CC">
        <w:rPr>
          <w:rFonts w:ascii="Calibri" w:hAnsi="Calibri" w:cs="Calibri" w:eastAsiaTheme="minorHAnsi"/>
          <w:i/>
          <w:iCs/>
          <w:sz w:val="22"/>
          <w:szCs w:val="22"/>
        </w:rPr>
        <w:t xml:space="preserve">“The PMPA does not believe the collection of LOTO information is necessary for a process that is routine, repetitive, and integral to the process, especially when a single individual is involved in the operation of that machine. According to PMPA’s analysis, a typical shop within NAICS 332721 has two machines per employee. No other individual is involved in the tooling adjustment/changeout process and that employee has full operational and safety control during a routine tool adjustment, which can occur 1,600 times per week, per shop, 52 weeks per year. An individual would not disconnect the battery of a vehicle prior to a tire change or a windshield wiper replacement as no risk exists for another operator to inadvertently place a coworker at risk. In our precision machining industry, simple tool adjustments and replacements on jobs that are in process could easily reach into the thousands per shop per week. We might need to replace a multi-edge insert or other indexable tool every ten or </w:t>
      </w:r>
      <w:r w:rsidRPr="00C566CC">
        <w:rPr>
          <w:rFonts w:ascii="Calibri" w:hAnsi="Calibri" w:cs="Calibri" w:eastAsiaTheme="minorHAnsi"/>
          <w:i/>
          <w:iCs/>
          <w:sz w:val="22"/>
          <w:szCs w:val="22"/>
        </w:rPr>
        <w:lastRenderedPageBreak/>
        <w:t>fifteen minutes on each machine. This could rise as high as 1,600 tool changes per shop per week; 4 changes per machine per hour times 8 hours times 50 machines = 1,600 changes. This is clearly a routine procedure integral to the machine’s operation and conducted by 0.5-1.0 FTE per machine. A Texas manufacturer falling under the high-impact category reported to PMPA in February 2021 that their shop undergoes 1,300 tool changes and adjustments per week.”</w:t>
      </w:r>
    </w:p>
    <w:p w:rsidRPr="00C566CC" w:rsidR="00246AF0" w:rsidP="00246AF0" w:rsidRDefault="00246AF0" w14:paraId="482911CC" w14:textId="77777777">
      <w:pPr>
        <w:widowControl/>
        <w:rPr>
          <w:rFonts w:eastAsiaTheme="minorHAnsi"/>
          <w:sz w:val="23"/>
          <w:szCs w:val="23"/>
        </w:rPr>
      </w:pPr>
    </w:p>
    <w:p w:rsidRPr="00C566CC" w:rsidR="00246AF0" w:rsidP="00246AF0" w:rsidRDefault="00246AF0" w14:paraId="6A9C8FF4" w14:textId="77777777">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3"/>
          <w:szCs w:val="23"/>
        </w:rPr>
      </w:pPr>
      <w:r w:rsidRPr="00C566CC">
        <w:rPr>
          <w:rFonts w:eastAsiaTheme="minorEastAsia"/>
          <w:b/>
          <w:i/>
          <w:iCs/>
          <w:sz w:val="23"/>
          <w:szCs w:val="23"/>
        </w:rPr>
        <w:t>OSHA Response</w:t>
      </w:r>
      <w:r w:rsidRPr="00C566CC">
        <w:rPr>
          <w:rFonts w:eastAsiaTheme="minorEastAsia"/>
          <w:sz w:val="23"/>
          <w:szCs w:val="23"/>
        </w:rPr>
        <w:t xml:space="preserve">:  Some servicing operations performed </w:t>
      </w:r>
      <w:r w:rsidRPr="13927BD9">
        <w:rPr>
          <w:rFonts w:eastAsiaTheme="minorEastAsia"/>
          <w:color w:val="000000" w:themeColor="text1"/>
          <w:sz w:val="23"/>
          <w:szCs w:val="23"/>
        </w:rPr>
        <w:t>during normal production operations are excepted from coverage under the Lockout/Tagout standard. This exception is referred to as the minor servicing exception. The Lockout/Tagout standard does not cover minor servicing activities that are necessary to carry out the production process provided that associated danger zones are properly guarded. The Lockout/Tagout standard contains specific criteria that must be met for the minor servicing exception to apply. Minor t</w:t>
      </w:r>
      <w:r w:rsidRPr="00C566CC">
        <w:rPr>
          <w:rFonts w:eastAsiaTheme="minorEastAsia"/>
          <w:sz w:val="23"/>
          <w:szCs w:val="23"/>
        </w:rPr>
        <w:t>ool changes and adjustments, and other minor servicing activities that take place during normal production operations, are not covered by the standard if they are routine, repetitive, and integral to the use of the equipment for production, provided that the work is performed using alternative measures which provide effective protection. Because the Lockout/Tagout standard does not apply to these types of routine, repetitive, and integral processes, there are no information collections associated with these processes.</w:t>
      </w:r>
    </w:p>
    <w:p w:rsidRPr="00C566CC" w:rsidR="00246AF0" w:rsidP="00246AF0" w:rsidRDefault="00246AF0" w14:paraId="134B837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 w:val="23"/>
          <w:szCs w:val="23"/>
        </w:rPr>
      </w:pPr>
    </w:p>
    <w:p w:rsidRPr="00C566CC" w:rsidR="00246AF0" w:rsidP="00246AF0" w:rsidRDefault="00246AF0" w14:paraId="52FF67C9" w14:textId="77777777">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3"/>
          <w:szCs w:val="23"/>
        </w:rPr>
      </w:pPr>
      <w:r w:rsidRPr="00C566CC">
        <w:rPr>
          <w:rFonts w:eastAsiaTheme="minorEastAsia"/>
          <w:sz w:val="23"/>
          <w:szCs w:val="23"/>
        </w:rPr>
        <w:t>As stated above, this ICR is not related to any change in the existing requirements of the standard. Revised burden hour assumptions for new or changed requirements would be developed based on a rulemaking record.  To the extent PMPA seeks changes to the regulatory requirements, this is a matter that would need to be addressed during rulemaking.</w:t>
      </w:r>
    </w:p>
    <w:p w:rsidRPr="00C566CC" w:rsidR="00246AF0" w:rsidP="00246AF0" w:rsidRDefault="00246AF0" w14:paraId="2B3D7804" w14:textId="77777777">
      <w:pPr>
        <w:widowControl/>
        <w:rPr>
          <w:rFonts w:eastAsiaTheme="minorHAnsi"/>
          <w:sz w:val="23"/>
          <w:szCs w:val="23"/>
        </w:rPr>
      </w:pPr>
    </w:p>
    <w:p w:rsidRPr="00C566CC" w:rsidR="00246AF0" w:rsidP="00246AF0" w:rsidRDefault="00246AF0" w14:paraId="7031FDCD" w14:textId="77777777">
      <w:pPr>
        <w:widowControl/>
        <w:rPr>
          <w:rFonts w:ascii="Calibri" w:hAnsi="Calibri" w:cs="Calibri" w:eastAsiaTheme="minorHAnsi"/>
          <w:i/>
          <w:iCs/>
          <w:sz w:val="22"/>
          <w:szCs w:val="22"/>
        </w:rPr>
      </w:pPr>
      <w:r w:rsidRPr="00C566CC">
        <w:rPr>
          <w:rFonts w:eastAsiaTheme="minorHAnsi"/>
          <w:b/>
          <w:sz w:val="23"/>
          <w:szCs w:val="23"/>
        </w:rPr>
        <w:t>4. PMPA Comment</w:t>
      </w:r>
      <w:r w:rsidRPr="00C566CC">
        <w:rPr>
          <w:rFonts w:eastAsiaTheme="minorHAnsi"/>
          <w:sz w:val="23"/>
          <w:szCs w:val="23"/>
        </w:rPr>
        <w:t>: “</w:t>
      </w:r>
      <w:r w:rsidRPr="00C566CC">
        <w:rPr>
          <w:rFonts w:ascii="Calibri" w:hAnsi="Calibri" w:cs="Calibri" w:eastAsiaTheme="minorHAnsi"/>
          <w:i/>
          <w:iCs/>
          <w:sz w:val="22"/>
          <w:szCs w:val="22"/>
        </w:rPr>
        <w:t>The PMPA believes that OSHA is significantly undercounting the number of covered establishments and also the burden on high-impact establishments by focusing on the loss of employee time and cost of their wages as the primary calculation of a “burden” in monetary and time. However, especially given today’s automation of improved efficiency of industrial machinery, OSHA should factor in the hourly rate for the machine’s loss production in addition to the individual FTE. PMPA members can typically estimate a billable hourly rate of $100 per machine, with a typical 50-employee shop having 80 machines and those with 100-employees will typically have 160 machines. Downtime for added LOTO requirements will not only cost the small business employer lost productivity for the employee but also for the multiple machines each FTE often operates.</w:t>
      </w:r>
    </w:p>
    <w:p w:rsidRPr="00C566CC" w:rsidR="00246AF0" w:rsidP="00246AF0" w:rsidRDefault="00246AF0" w14:paraId="48E2A532" w14:textId="77777777">
      <w:pPr>
        <w:widowControl/>
        <w:rPr>
          <w:rFonts w:ascii="Calibri" w:hAnsi="Calibri" w:cs="Calibri" w:eastAsiaTheme="minorHAnsi"/>
          <w:i/>
          <w:iCs/>
          <w:sz w:val="22"/>
          <w:szCs w:val="22"/>
        </w:rPr>
      </w:pPr>
    </w:p>
    <w:p w:rsidRPr="00C566CC" w:rsidR="00246AF0" w:rsidP="00246AF0" w:rsidRDefault="00246AF0" w14:paraId="39E85597" w14:textId="77777777">
      <w:pPr>
        <w:widowControl/>
        <w:rPr>
          <w:rFonts w:ascii="Calibri" w:hAnsi="Calibri" w:cs="Calibri" w:eastAsiaTheme="minorHAnsi"/>
          <w:i/>
          <w:iCs/>
          <w:sz w:val="22"/>
          <w:szCs w:val="22"/>
        </w:rPr>
      </w:pPr>
      <w:r w:rsidRPr="00C566CC">
        <w:rPr>
          <w:rFonts w:ascii="Calibri" w:hAnsi="Calibri" w:cs="Calibri" w:eastAsiaTheme="minorHAnsi"/>
          <w:i/>
          <w:iCs/>
          <w:sz w:val="22"/>
          <w:szCs w:val="22"/>
        </w:rPr>
        <w:t>In OSHA’s Supporting Statement released January 5, 2021 (Document ID OSHA-2011-0033-0015), the size category of “small”, 20-99 employees would apply to the majority of PMPA with virtually all the remainder being considered “medium”, or as having 100-249 employees. When filing the 2019 RFI comments, PMPA provided an attached chart, included with these comments as an addendum as well, that calculated the impact of the current (Minor Service Exemption) MSE use, time to apply, confirm, and remove LOTO (3 additional minutes per machine), and anticipated revenue loss per machine if MSE is eliminated and replaced by LOTO. Should the agency eliminate the minor servicing exemption, we believe that OSHA will put businesses within NAICS 332721 at a 20 percent or more disadvantage compared with foreign competitors. Examining the impact on NAICS 332 Fabricated Metal Product Manufacturing if OSHA were to eliminate the MSE, we estimate a loss of nearly $70 billion due to the reduced equipment availability and uptime.”</w:t>
      </w:r>
    </w:p>
    <w:p w:rsidRPr="002D4ED7" w:rsidR="00246AF0" w:rsidP="00246AF0" w:rsidRDefault="00246AF0" w14:paraId="21286750" w14:textId="77777777">
      <w:pPr>
        <w:widowControl/>
        <w:rPr>
          <w:rFonts w:ascii="Calibri" w:hAnsi="Calibri" w:cs="Calibri" w:eastAsiaTheme="minorHAnsi"/>
          <w:i/>
          <w:iCs/>
          <w:color w:val="4472C4"/>
          <w:sz w:val="22"/>
          <w:szCs w:val="22"/>
        </w:rPr>
      </w:pPr>
    </w:p>
    <w:p w:rsidRPr="00C566CC" w:rsidR="00246AF0" w:rsidP="00246AF0" w:rsidRDefault="00246AF0" w14:paraId="2610194B" w14:textId="77777777">
      <w:pPr>
        <w:widowControl/>
        <w:rPr>
          <w:rFonts w:eastAsiaTheme="minorEastAsia"/>
          <w:sz w:val="23"/>
          <w:szCs w:val="23"/>
        </w:rPr>
      </w:pPr>
      <w:r w:rsidRPr="00C566CC">
        <w:rPr>
          <w:rFonts w:eastAsiaTheme="minorEastAsia"/>
          <w:b/>
          <w:i/>
          <w:iCs/>
          <w:color w:val="000000" w:themeColor="text1"/>
          <w:sz w:val="23"/>
          <w:szCs w:val="23"/>
        </w:rPr>
        <w:t>OSHA Response</w:t>
      </w:r>
      <w:r w:rsidRPr="13927BD9">
        <w:rPr>
          <w:rFonts w:eastAsiaTheme="minorEastAsia"/>
          <w:color w:val="000000" w:themeColor="text1"/>
          <w:sz w:val="23"/>
          <w:szCs w:val="23"/>
        </w:rPr>
        <w:t xml:space="preserve">: This Supporting Statement accounts for the estimated labor hour cost for each information collection requirement of the standard.  Unlike the economic analysis in a rulemaking </w:t>
      </w:r>
      <w:r w:rsidRPr="13927BD9">
        <w:rPr>
          <w:rFonts w:eastAsiaTheme="minorEastAsia"/>
          <w:color w:val="000000" w:themeColor="text1"/>
          <w:sz w:val="23"/>
          <w:szCs w:val="23"/>
        </w:rPr>
        <w:lastRenderedPageBreak/>
        <w:t>action,</w:t>
      </w:r>
      <w:r>
        <w:rPr>
          <w:rFonts w:eastAsiaTheme="minorEastAsia"/>
          <w:color w:val="000000" w:themeColor="text1"/>
          <w:sz w:val="23"/>
          <w:szCs w:val="23"/>
        </w:rPr>
        <w:t xml:space="preserve"> which typically addresses all costs arising </w:t>
      </w:r>
      <w:r w:rsidRPr="00C566CC">
        <w:rPr>
          <w:rFonts w:eastAsiaTheme="minorEastAsia"/>
          <w:sz w:val="23"/>
          <w:szCs w:val="23"/>
        </w:rPr>
        <w:t>from a standard, the PRA analysis only addresses the burden hours and costs of the information collection requirements of the standard; that is “the total time, effort, or financial resources expended by persons to generate, maintain, retain, or disclose or provide information to or for a Federal agency . . . .” 5 C.F.R. § 1320.3(b)(1). Lost productivity costs are not included in the Information Collection Request (ICR) analysis under the PRA.    See responses above related to the RFI and minor servicing exception.  See response below regarding the 3 additional minutes per machine comment.</w:t>
      </w:r>
    </w:p>
    <w:p w:rsidRPr="00C566CC" w:rsidR="00246AF0" w:rsidP="00246AF0" w:rsidRDefault="00246AF0" w14:paraId="52A712AF" w14:textId="77777777">
      <w:pPr>
        <w:widowControl/>
        <w:rPr>
          <w:rFonts w:eastAsiaTheme="minorHAnsi"/>
          <w:sz w:val="23"/>
          <w:szCs w:val="23"/>
        </w:rPr>
      </w:pPr>
    </w:p>
    <w:p w:rsidRPr="00C566CC" w:rsidR="00246AF0" w:rsidP="00246AF0" w:rsidRDefault="00246AF0" w14:paraId="6E84A581" w14:textId="77777777">
      <w:pPr>
        <w:widowControl/>
        <w:rPr>
          <w:rFonts w:ascii="Calibri" w:hAnsi="Calibri" w:cs="Calibri" w:eastAsiaTheme="minorHAnsi"/>
          <w:i/>
          <w:iCs/>
          <w:sz w:val="22"/>
          <w:szCs w:val="22"/>
        </w:rPr>
      </w:pPr>
      <w:r w:rsidRPr="00C566CC">
        <w:rPr>
          <w:rFonts w:eastAsiaTheme="minorHAnsi"/>
          <w:b/>
          <w:sz w:val="23"/>
          <w:szCs w:val="23"/>
        </w:rPr>
        <w:t>5. PMPA Comment</w:t>
      </w:r>
      <w:r w:rsidRPr="00C566CC">
        <w:rPr>
          <w:rFonts w:eastAsiaTheme="minorHAnsi"/>
          <w:sz w:val="23"/>
          <w:szCs w:val="23"/>
        </w:rPr>
        <w:t>:  “</w:t>
      </w:r>
      <w:r w:rsidRPr="00C566CC">
        <w:rPr>
          <w:rFonts w:ascii="Calibri" w:hAnsi="Calibri" w:cs="Calibri" w:eastAsiaTheme="minorHAnsi"/>
          <w:i/>
          <w:iCs/>
          <w:sz w:val="22"/>
          <w:szCs w:val="22"/>
        </w:rPr>
        <w:t xml:space="preserve">In the LOTO Supporting Statement, “OSHA assumes that an authorized worker is a non-supervisory manufacturing worker who requires 15 seconds (.25/60 hours) to provide the required notification (i.e., 10 seconds for applying a lockout/tagout device, and five seconds for removing the device).” OSHA also “OSHA estimates that there are approximately 91,459 authorized workers in very small, high-impact establishments who would have to notify affected workers of the application and removal of lockout/tagout devices (since this practice was not customary and normal in these facilities before the promulgation of the standard) (see Table 1). (91,459 workers = 201,909 establishments x .45297 workers/establishment.).” As it relates to the question of the number of workers in high-impact manufacturing establishments deemed “small” (25-99 FTE), OSHA estimates 91,459 authorized workers. According to PMPA’s industry data for NAICS 332721, 80 percent of employees of establishments between 25 and 100 employees are in production, meaning manufacturing positions. Using the same 2017 County Business Patterns Survey referenced by the OSHA LOTO Supporting Statement, NAICS 332721 on its own has 103,249 employees at 3,791 establishments. Using PMPA’s ratio of 80 percent of employees being in production, for our NAICS alone, that amounts to 82,599 production workers, many of whom operate machinery subject to the regulation. On its own, NAICS 332721 nears the total OSHA estimates for the category of high-impact small establishments. We advise OSHA to review the number of covered establishments and more accurately predict the number of employees affected.” </w:t>
      </w:r>
    </w:p>
    <w:p w:rsidR="00246AF0" w:rsidP="00246AF0" w:rsidRDefault="00246AF0" w14:paraId="71CE2F3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i/>
          <w:color w:val="000000"/>
          <w:sz w:val="23"/>
          <w:szCs w:val="23"/>
        </w:rPr>
      </w:pPr>
    </w:p>
    <w:p w:rsidRPr="002D4ED7" w:rsidR="00246AF0" w:rsidP="00246AF0" w:rsidRDefault="00246AF0" w14:paraId="0DF6137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color w:val="000000"/>
          <w:sz w:val="23"/>
          <w:szCs w:val="23"/>
        </w:rPr>
      </w:pPr>
      <w:r w:rsidRPr="00C566CC">
        <w:rPr>
          <w:rFonts w:eastAsiaTheme="minorHAnsi"/>
          <w:b/>
          <w:i/>
          <w:color w:val="000000"/>
          <w:sz w:val="23"/>
          <w:szCs w:val="23"/>
        </w:rPr>
        <w:t>OSHA Response</w:t>
      </w:r>
      <w:r w:rsidRPr="002D4ED7">
        <w:rPr>
          <w:rFonts w:eastAsiaTheme="minorHAnsi"/>
          <w:color w:val="000000"/>
          <w:sz w:val="23"/>
          <w:szCs w:val="23"/>
        </w:rPr>
        <w:t xml:space="preserve">: The commenter also questions several of the agency’s assumptions and estimates as undercounted.  OSHA’s Information Collection Requests (ICRs) generally mirror the economic assumptions contained in the economic analyses (referred to as the Regulatory Impact Analysis, or RIA) for the rulemaking; OSHA does not have the resources nor OMB approval to collect new data for the purposes of extending OMB approval for its ICRs. The Agency’s underlying legal authority for regulatory action, the Occupational Safety and Health Act, calls for acting on safety and health issues based on the best available evidence.  It is not possible in all cases to obtain empirically-based data on all elements of a regulatory action.  In the case of the LOTO standard, the Agency followed its normal practice and issued a proposed rule and a supporting preliminary economic analysis, took public comments on them, including public hearings, in which a variety of issues were raised, but these assumptions and estimates regarding time estimates were considered to be reasonable.  </w:t>
      </w:r>
    </w:p>
    <w:p w:rsidRPr="002D4ED7" w:rsidR="00246AF0" w:rsidP="00246AF0" w:rsidRDefault="00246AF0" w14:paraId="3454B46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color w:val="000000"/>
          <w:sz w:val="23"/>
          <w:szCs w:val="23"/>
        </w:rPr>
      </w:pPr>
    </w:p>
    <w:p w:rsidRPr="002D4ED7" w:rsidR="00246AF0" w:rsidP="00246AF0" w:rsidRDefault="00246AF0" w14:paraId="309907B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color w:val="000000"/>
          <w:sz w:val="23"/>
          <w:szCs w:val="23"/>
        </w:rPr>
      </w:pPr>
      <w:r w:rsidRPr="002D4ED7">
        <w:rPr>
          <w:rFonts w:eastAsiaTheme="minorHAnsi"/>
          <w:color w:val="000000"/>
          <w:sz w:val="23"/>
          <w:szCs w:val="23"/>
        </w:rPr>
        <w:t xml:space="preserve">The commenter discusses a 6-digit NAICS code that has emerged within the manufacturing sector.  </w:t>
      </w:r>
      <w:r w:rsidR="004C66E6">
        <w:rPr>
          <w:rFonts w:eastAsiaTheme="minorHAnsi"/>
          <w:color w:val="000000"/>
          <w:sz w:val="23"/>
          <w:szCs w:val="23"/>
        </w:rPr>
        <w:t xml:space="preserve">The </w:t>
      </w:r>
      <w:r w:rsidRPr="002D4ED7">
        <w:rPr>
          <w:rFonts w:eastAsiaTheme="minorHAnsi"/>
          <w:color w:val="000000"/>
          <w:sz w:val="23"/>
          <w:szCs w:val="23"/>
        </w:rPr>
        <w:t>Regulatory Impact Analysis for this final rule was dealing with manufacturing at a very aggregated level (2-digit level)</w:t>
      </w:r>
      <w:r>
        <w:rPr>
          <w:rFonts w:eastAsiaTheme="minorHAnsi"/>
          <w:color w:val="000000"/>
          <w:sz w:val="23"/>
          <w:szCs w:val="23"/>
        </w:rPr>
        <w:t>.  The commenter’s industry was included in the original RIA, and by extension, all subsequent ICR analyses.</w:t>
      </w:r>
    </w:p>
    <w:p w:rsidRPr="00C566CC" w:rsidR="00246AF0" w:rsidP="00246AF0" w:rsidRDefault="00246AF0" w14:paraId="79CACC5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eastAsiaTheme="minorHAnsi"/>
          <w:i/>
          <w:iCs/>
          <w:sz w:val="22"/>
          <w:szCs w:val="22"/>
        </w:rPr>
      </w:pPr>
    </w:p>
    <w:p w:rsidRPr="00C566CC" w:rsidR="00246AF0" w:rsidP="00246AF0" w:rsidRDefault="00246AF0" w14:paraId="740D9737" w14:textId="77777777">
      <w:pPr>
        <w:widowControl/>
        <w:rPr>
          <w:rFonts w:ascii="Calibri" w:hAnsi="Calibri" w:cs="Calibri" w:eastAsiaTheme="minorEastAsia"/>
          <w:i/>
          <w:iCs/>
          <w:sz w:val="22"/>
          <w:szCs w:val="22"/>
        </w:rPr>
      </w:pPr>
      <w:r w:rsidRPr="00C566CC">
        <w:rPr>
          <w:rFonts w:eastAsiaTheme="minorHAnsi"/>
          <w:b/>
          <w:sz w:val="23"/>
          <w:szCs w:val="23"/>
        </w:rPr>
        <w:t>6. PMPA Comment</w:t>
      </w:r>
      <w:r w:rsidRPr="00C566CC">
        <w:rPr>
          <w:rFonts w:eastAsiaTheme="minorHAnsi"/>
          <w:sz w:val="23"/>
          <w:szCs w:val="23"/>
        </w:rPr>
        <w:t>:  “</w:t>
      </w:r>
      <w:r w:rsidRPr="00C566CC">
        <w:rPr>
          <w:rFonts w:ascii="Calibri" w:hAnsi="Calibri" w:cs="Calibri" w:eastAsiaTheme="minorEastAsia"/>
          <w:i/>
          <w:iCs/>
          <w:sz w:val="22"/>
          <w:szCs w:val="22"/>
        </w:rPr>
        <w:t xml:space="preserve">Not only does PMPA disagree with the number of establishments affected, but also OSHA’s estimated 15-seconds for applying a lockout/tagout device and removing. PMPA’s evidence shows that under the Minor Service Exception alone, the typical 332721 shop employee spends one full minute of an hour, or 1.0/60. If MSE is replaced by LOTO, the estimate is three minutes to apply, confirm, </w:t>
      </w:r>
      <w:r w:rsidRPr="00C566CC">
        <w:rPr>
          <w:rFonts w:ascii="Calibri" w:hAnsi="Calibri" w:cs="Calibri" w:eastAsiaTheme="minorEastAsia"/>
          <w:i/>
          <w:iCs/>
          <w:sz w:val="22"/>
          <w:szCs w:val="22"/>
        </w:rPr>
        <w:lastRenderedPageBreak/>
        <w:t xml:space="preserve">and remove LOTO per action per machine – a rate of 3.0/60 – well above the OSHA .25/60 burden estimation. While often larger businesses, others throughout the three-digit NAICS of 332, Fabricated Metal Product Manufacturing, with 54,066 establishments will also report a much higher burden than OSHA estimates. Extrapolating the 3.0 minutes reported by PMPA members and multiplying that by the 1,118,211 production employees (80 percent of 1,397,764 employees in the 2017 County Business Patterns Survey), clearly demonstrates OSHA’s undercounting the number of establishments and employees affected and the time burden assessed on NAICS 31-33. </w:t>
      </w:r>
    </w:p>
    <w:p w:rsidRPr="00C566CC" w:rsidR="00246AF0" w:rsidP="00246AF0" w:rsidRDefault="00246AF0" w14:paraId="486F1DFA" w14:textId="77777777">
      <w:pPr>
        <w:widowControl/>
        <w:rPr>
          <w:rFonts w:ascii="Calibri" w:hAnsi="Calibri" w:cs="Calibri" w:eastAsiaTheme="minorHAnsi"/>
          <w:i/>
          <w:iCs/>
          <w:sz w:val="22"/>
          <w:szCs w:val="22"/>
        </w:rPr>
      </w:pPr>
    </w:p>
    <w:p w:rsidRPr="00C566CC" w:rsidR="00246AF0" w:rsidP="00246AF0" w:rsidRDefault="00246AF0" w14:paraId="69DDE98B" w14:textId="77777777">
      <w:pPr>
        <w:widowControl/>
        <w:rPr>
          <w:rFonts w:ascii="Calibri" w:hAnsi="Calibri" w:cs="Calibri" w:eastAsiaTheme="minorHAnsi"/>
          <w:i/>
          <w:iCs/>
          <w:sz w:val="22"/>
          <w:szCs w:val="22"/>
        </w:rPr>
      </w:pPr>
      <w:r w:rsidRPr="00C566CC">
        <w:rPr>
          <w:rFonts w:ascii="Calibri" w:hAnsi="Calibri" w:cs="Calibri" w:eastAsiaTheme="minorHAnsi"/>
          <w:i/>
          <w:iCs/>
          <w:sz w:val="22"/>
          <w:szCs w:val="22"/>
        </w:rPr>
        <w:t xml:space="preserve">Taking that real-world example from the Texas manufacturer in February 2021 with 1,300 tool adjustments and changes per week at 3-minutes per action, that amounts to 65 hours of lost productivity per week for one company – consuming collective time of 1.625 FTEs. PMPA respectfully questions the method used to calculate the estimated time under LOTO as 15-seconds. Were an employee in our industry attempt a full LOTO within 15-seconds they would not only risk their own safety but possibly those of others and damage to machinery and equipment as they physically attempt to maneuver around large equipment. PMPA believes that the estimates provided by OSHA are seriously understated, lack any basis in available fact, and when examined at the finest level of detail, amount to less than the cost of a single tag. Therefore, we question the methods and results justifying OSHA’s request for an adjustment decrease of burden hours or the reduction in the number of high-impact establishments.” </w:t>
      </w:r>
    </w:p>
    <w:p w:rsidR="00246AF0" w:rsidP="00246AF0" w:rsidRDefault="00246AF0" w14:paraId="01555EA7" w14:textId="77777777">
      <w:pPr>
        <w:widowControl/>
        <w:rPr>
          <w:rFonts w:eastAsiaTheme="minorHAnsi"/>
          <w:color w:val="000000"/>
          <w:sz w:val="23"/>
          <w:szCs w:val="23"/>
        </w:rPr>
      </w:pPr>
    </w:p>
    <w:p w:rsidR="00246AF0" w:rsidP="00246AF0" w:rsidRDefault="00246AF0" w14:paraId="431CE863" w14:textId="77777777">
      <w:pPr>
        <w:widowControl/>
        <w:rPr>
          <w:rFonts w:eastAsiaTheme="minorEastAsia"/>
          <w:color w:val="000000" w:themeColor="text1"/>
          <w:sz w:val="23"/>
          <w:szCs w:val="23"/>
        </w:rPr>
      </w:pPr>
      <w:r w:rsidRPr="00C566CC">
        <w:rPr>
          <w:rFonts w:eastAsiaTheme="minorHAnsi"/>
          <w:b/>
          <w:i/>
          <w:color w:val="000000"/>
          <w:sz w:val="23"/>
          <w:szCs w:val="23"/>
        </w:rPr>
        <w:t>OSHA Response</w:t>
      </w:r>
      <w:r w:rsidRPr="002D4ED7">
        <w:rPr>
          <w:rFonts w:eastAsiaTheme="minorHAnsi"/>
          <w:color w:val="000000"/>
          <w:sz w:val="23"/>
          <w:szCs w:val="23"/>
        </w:rPr>
        <w:t xml:space="preserve">: </w:t>
      </w:r>
      <w:r w:rsidRPr="13927BD9">
        <w:rPr>
          <w:rFonts w:eastAsiaTheme="minorEastAsia"/>
          <w:color w:val="000000" w:themeColor="text1"/>
          <w:sz w:val="23"/>
          <w:szCs w:val="23"/>
        </w:rPr>
        <w:t>The commenter disagrees with the agency’s 15 second time estimate for applying and removing a lock.  The commenter references “evidence shows that under the Minor Service Exception alone, the typical 332721 shop employee spends one full minute of an hour, or 1.0/60.” The commenter states, “If MSE is replaced by LOTO, the estimate is three minutes to apply, confirm, and remove LOTO per action per machine – a rate of 3.0/60 – well above the OSHA .25/60 burden estimation.”  The comment also suggests that the burden time for activity under the standard is 3 minutes for the majority of establishments in the 6 digit NAICS code 332721, and suggests that this is also the case for other establishments in the 3 digit NAICS code 332.  Without more specific information about the 3 minute estimate for LOTO activities, the agency cannot determine the validity of this estimate and how it should be applied to all covered activities.</w:t>
      </w:r>
      <w:r>
        <w:rPr>
          <w:rFonts w:eastAsiaTheme="minorEastAsia"/>
          <w:color w:val="000000" w:themeColor="text1"/>
          <w:sz w:val="23"/>
          <w:szCs w:val="23"/>
        </w:rPr>
        <w:t xml:space="preserve">  Regardless, as indicated in #4 above, the ICR reflects the burden created by the required </w:t>
      </w:r>
      <w:r w:rsidRPr="00966956">
        <w:rPr>
          <w:rFonts w:eastAsiaTheme="minorEastAsia"/>
          <w:i/>
          <w:color w:val="000000" w:themeColor="text1"/>
          <w:sz w:val="23"/>
          <w:szCs w:val="23"/>
        </w:rPr>
        <w:t>collection of information</w:t>
      </w:r>
      <w:r>
        <w:rPr>
          <w:rFonts w:eastAsiaTheme="minorEastAsia"/>
          <w:color w:val="000000" w:themeColor="text1"/>
          <w:sz w:val="23"/>
          <w:szCs w:val="23"/>
        </w:rPr>
        <w:t xml:space="preserve">, not the entire time to perform the LOTO operation, as the commenter is describing.  For purposes of the ICR, only the time it takes a </w:t>
      </w:r>
      <w:r w:rsidRPr="008A3413">
        <w:rPr>
          <w:rFonts w:eastAsiaTheme="minorEastAsia"/>
          <w:color w:val="000000" w:themeColor="text1"/>
          <w:sz w:val="23"/>
          <w:szCs w:val="23"/>
        </w:rPr>
        <w:t xml:space="preserve">worker to notify </w:t>
      </w:r>
      <w:r>
        <w:rPr>
          <w:rFonts w:eastAsiaTheme="minorEastAsia"/>
          <w:color w:val="000000" w:themeColor="text1"/>
          <w:sz w:val="23"/>
          <w:szCs w:val="23"/>
        </w:rPr>
        <w:t xml:space="preserve">other </w:t>
      </w:r>
      <w:r w:rsidRPr="008A3413">
        <w:rPr>
          <w:rFonts w:eastAsiaTheme="minorEastAsia"/>
          <w:color w:val="000000" w:themeColor="text1"/>
          <w:sz w:val="23"/>
          <w:szCs w:val="23"/>
        </w:rPr>
        <w:t xml:space="preserve">affected workers </w:t>
      </w:r>
      <w:r>
        <w:rPr>
          <w:rFonts w:eastAsiaTheme="minorEastAsia"/>
          <w:color w:val="000000" w:themeColor="text1"/>
          <w:sz w:val="23"/>
          <w:szCs w:val="23"/>
        </w:rPr>
        <w:t xml:space="preserve">that they will be applying a lockout or tagout device is factored into the burden. </w:t>
      </w:r>
    </w:p>
    <w:p w:rsidR="00246AF0" w:rsidP="00246AF0" w:rsidRDefault="00246AF0" w14:paraId="470BEEE3" w14:textId="77777777">
      <w:pPr>
        <w:widowControl/>
        <w:rPr>
          <w:rFonts w:eastAsiaTheme="minorEastAsia"/>
          <w:color w:val="000000" w:themeColor="text1"/>
          <w:sz w:val="23"/>
          <w:szCs w:val="23"/>
        </w:rPr>
      </w:pPr>
    </w:p>
    <w:p w:rsidR="00246AF0" w:rsidP="00246AF0" w:rsidRDefault="00246AF0" w14:paraId="2FD8665D" w14:textId="77777777">
      <w:pPr>
        <w:widowControl/>
        <w:rPr>
          <w:rFonts w:eastAsiaTheme="minorHAnsi"/>
          <w:color w:val="000000"/>
          <w:sz w:val="23"/>
          <w:szCs w:val="23"/>
        </w:rPr>
      </w:pPr>
      <w:r>
        <w:rPr>
          <w:rFonts w:eastAsiaTheme="minorEastAsia"/>
          <w:color w:val="000000" w:themeColor="text1"/>
          <w:sz w:val="23"/>
          <w:szCs w:val="23"/>
        </w:rPr>
        <w:t xml:space="preserve">While OSHA will take the commenter’s suggestion under advisement for potential future rulemakings, it believes that the current analysis accurately captures the current paperwork burden.  </w:t>
      </w:r>
    </w:p>
    <w:p w:rsidR="00246AF0" w:rsidP="00246AF0" w:rsidRDefault="00246AF0" w14:paraId="1BDBC6D8" w14:textId="77777777">
      <w:pPr>
        <w:widowControl/>
        <w:rPr>
          <w:rFonts w:eastAsiaTheme="minorHAnsi"/>
          <w:color w:val="000000"/>
          <w:sz w:val="23"/>
          <w:szCs w:val="23"/>
        </w:rPr>
      </w:pPr>
    </w:p>
    <w:p w:rsidRPr="00C566CC" w:rsidR="00246AF0" w:rsidP="00246AF0" w:rsidRDefault="00246AF0" w14:paraId="596803C4" w14:textId="77777777">
      <w:pPr>
        <w:widowControl/>
        <w:rPr>
          <w:rFonts w:ascii="Calibri" w:hAnsi="Calibri" w:cs="Calibri" w:eastAsiaTheme="minorHAnsi"/>
          <w:i/>
          <w:iCs/>
          <w:sz w:val="22"/>
          <w:szCs w:val="22"/>
        </w:rPr>
      </w:pPr>
      <w:r w:rsidRPr="00C566CC">
        <w:rPr>
          <w:rFonts w:eastAsiaTheme="minorHAnsi"/>
          <w:b/>
          <w:color w:val="000000"/>
          <w:sz w:val="23"/>
          <w:szCs w:val="23"/>
        </w:rPr>
        <w:t>7. PMPA Comment</w:t>
      </w:r>
      <w:r>
        <w:rPr>
          <w:rFonts w:eastAsiaTheme="minorHAnsi"/>
          <w:color w:val="000000"/>
          <w:sz w:val="23"/>
          <w:szCs w:val="23"/>
        </w:rPr>
        <w:t xml:space="preserve">: </w:t>
      </w:r>
      <w:r w:rsidRPr="00C566CC">
        <w:rPr>
          <w:rFonts w:ascii="Calibri" w:hAnsi="Calibri" w:cs="Calibri" w:eastAsiaTheme="minorHAnsi"/>
          <w:i/>
          <w:iCs/>
          <w:sz w:val="22"/>
          <w:szCs w:val="22"/>
        </w:rPr>
        <w:t>“Production employees, supervisors, and management are always looking for ways to reduce the burden, particularly on smaller employers. However, actions taken under the auspices of reducing the burden should not come at the expense of sound policy, privacy, and safety. There is a significant belief among industry that proposals to move more reporting online are seen as hostile to business interests and employees, and appear to minimize the upcoming escalation of such costs in our shops as we deal with changes likely as the agency revisits its lockout/tagout regulations. The PMPA is on record concerned about the use of electronic data submissions by regulators that the federal</w:t>
      </w:r>
    </w:p>
    <w:p w:rsidRPr="00C566CC" w:rsidR="00246AF0" w:rsidP="00246AF0" w:rsidRDefault="00246AF0" w14:paraId="066551FE" w14:textId="77777777">
      <w:pPr>
        <w:widowControl/>
        <w:rPr>
          <w:rFonts w:ascii="Calibri" w:hAnsi="Calibri" w:cs="Calibri" w:eastAsiaTheme="minorHAnsi"/>
          <w:i/>
          <w:iCs/>
          <w:sz w:val="22"/>
          <w:szCs w:val="22"/>
        </w:rPr>
      </w:pPr>
      <w:r w:rsidRPr="00C566CC">
        <w:rPr>
          <w:rFonts w:ascii="Calibri" w:hAnsi="Calibri" w:cs="Calibri" w:eastAsiaTheme="minorHAnsi"/>
          <w:i/>
          <w:iCs/>
          <w:sz w:val="22"/>
          <w:szCs w:val="22"/>
        </w:rPr>
        <w:t xml:space="preserve">government subsequently makes public with little or no explanation. A prime example is the public release of 300A information, which does not in any way improve workplace safety but does create a false impression of unsafe industries, lead to increased insurance costs, and most importantly, steer young </w:t>
      </w:r>
      <w:r w:rsidRPr="00C566CC">
        <w:rPr>
          <w:rFonts w:ascii="Calibri" w:hAnsi="Calibri" w:cs="Calibri" w:eastAsiaTheme="minorHAnsi"/>
          <w:i/>
          <w:iCs/>
          <w:sz w:val="22"/>
          <w:szCs w:val="22"/>
        </w:rPr>
        <w:lastRenderedPageBreak/>
        <w:t>people away from family-sustaining careers in manufacturing by falsely reinforcing the misperception of manufacturing as dark, dirty, and dangerous. While using automated and other technologies to transmit information may at first look appear to relieve the immediate reporting burden on the establishment, the collection, use, and possible release of such information remains a significant concern and business and privacy risk to both employees and employers.”</w:t>
      </w:r>
    </w:p>
    <w:p w:rsidRPr="002D4ED7" w:rsidR="00246AF0" w:rsidP="00246AF0" w:rsidRDefault="00246AF0" w14:paraId="7807444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eastAsiaTheme="minorHAnsi"/>
          <w:i/>
          <w:iCs/>
          <w:color w:val="4472C4"/>
          <w:sz w:val="22"/>
          <w:szCs w:val="22"/>
        </w:rPr>
      </w:pPr>
    </w:p>
    <w:p w:rsidRPr="002D4ED7" w:rsidR="00246AF0" w:rsidP="00246AF0" w:rsidRDefault="00246AF0" w14:paraId="49D445A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color w:val="000000"/>
          <w:sz w:val="23"/>
          <w:szCs w:val="23"/>
        </w:rPr>
      </w:pPr>
      <w:r w:rsidRPr="00C566CC">
        <w:rPr>
          <w:rFonts w:eastAsiaTheme="minorHAnsi"/>
          <w:b/>
          <w:i/>
          <w:color w:val="000000"/>
          <w:sz w:val="23"/>
          <w:szCs w:val="23"/>
        </w:rPr>
        <w:t>OSHA Response</w:t>
      </w:r>
      <w:r w:rsidRPr="002D4ED7">
        <w:rPr>
          <w:rFonts w:eastAsiaTheme="minorHAnsi"/>
          <w:color w:val="000000"/>
          <w:sz w:val="23"/>
          <w:szCs w:val="23"/>
        </w:rPr>
        <w:t xml:space="preserve">:  The scope of the ICR includes only the information collection requirements of 29 CFR 1910.147. There are no OSHA submission requirements in 29 CFR 1910.147 and this ICR does not create any new requirements. The ICR is simply noting the use of electronic recordkeeping for employer use as a potential method for reducing burden. OSHA allows for various methods of compliance and does not require the use of technology identified by the commenter.  </w:t>
      </w:r>
    </w:p>
    <w:p w:rsidRPr="002D4ED7" w:rsidR="00246AF0" w:rsidP="00246AF0" w:rsidRDefault="00246AF0" w14:paraId="6F818929" w14:textId="77777777">
      <w:pPr>
        <w:rPr>
          <w:rFonts w:eastAsiaTheme="minorHAnsi"/>
          <w:color w:val="000000"/>
          <w:sz w:val="23"/>
          <w:szCs w:val="23"/>
        </w:rPr>
      </w:pPr>
    </w:p>
    <w:p w:rsidR="00246AF0" w:rsidP="00246AF0" w:rsidRDefault="00246AF0" w14:paraId="5777D42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eastAsiaTheme="minorHAnsi"/>
          <w:i/>
          <w:iCs/>
          <w:color w:val="4472C4"/>
          <w:sz w:val="22"/>
          <w:szCs w:val="22"/>
        </w:rPr>
      </w:pPr>
      <w:r w:rsidRPr="002D4ED7">
        <w:rPr>
          <w:rFonts w:eastAsiaTheme="minorHAnsi"/>
          <w:color w:val="000000"/>
          <w:sz w:val="23"/>
          <w:szCs w:val="23"/>
        </w:rPr>
        <w:t>The OSHA 300A form is an information collection requirement of 29 CFR 1904, which is approved under OMB Control Number 1218-0176.  (See:</w:t>
      </w:r>
      <w:r w:rsidRPr="002D4ED7">
        <w:t xml:space="preserve"> </w:t>
      </w:r>
      <w:hyperlink w:history="1" r:id="rId12">
        <w:r w:rsidRPr="00472BBA">
          <w:rPr>
            <w:rStyle w:val="Hyperlink"/>
            <w:rFonts w:eastAsiaTheme="minorHAnsi"/>
            <w:sz w:val="23"/>
            <w:szCs w:val="23"/>
          </w:rPr>
          <w:t>https://www.reginfo.gov/public/do/PRAOMBHistory?ombControlNumber=1218-0176</w:t>
        </w:r>
      </w:hyperlink>
      <w:r w:rsidRPr="002D4ED7">
        <w:rPr>
          <w:rFonts w:eastAsiaTheme="minorHAnsi"/>
          <w:color w:val="000000"/>
          <w:sz w:val="23"/>
          <w:szCs w:val="23"/>
        </w:rPr>
        <w:t>)</w:t>
      </w:r>
      <w:r>
        <w:rPr>
          <w:rFonts w:eastAsiaTheme="minorHAnsi"/>
          <w:color w:val="000000"/>
          <w:sz w:val="23"/>
          <w:szCs w:val="23"/>
        </w:rPr>
        <w:t>.</w:t>
      </w:r>
      <w:r w:rsidRPr="002D4ED7">
        <w:rPr>
          <w:rFonts w:eastAsiaTheme="minorHAnsi"/>
          <w:color w:val="000000"/>
          <w:sz w:val="23"/>
          <w:szCs w:val="23"/>
        </w:rPr>
        <w:t xml:space="preserve"> We have referred this aspect of the comment to OSHA’s recordkeeping office for further consideration</w:t>
      </w:r>
      <w:r w:rsidRPr="00496A5E">
        <w:rPr>
          <w:rFonts w:ascii="Calibri" w:hAnsi="Calibri" w:cs="Calibri" w:eastAsiaTheme="minorHAnsi"/>
          <w:i/>
          <w:iCs/>
          <w:color w:val="4472C4"/>
          <w:sz w:val="22"/>
          <w:szCs w:val="22"/>
        </w:rPr>
        <w:t>.</w:t>
      </w:r>
    </w:p>
    <w:p w:rsidRPr="00246AF0" w:rsidR="00246AF0" w:rsidP="00246AF0" w:rsidRDefault="00246AF0" w14:paraId="2B1258C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eastAsiaTheme="minorHAnsi"/>
          <w:i/>
          <w:iCs/>
          <w:color w:val="4472C4"/>
          <w:sz w:val="22"/>
          <w:szCs w:val="22"/>
        </w:rPr>
      </w:pPr>
    </w:p>
    <w:p w:rsidR="008B2D2E" w:rsidP="00F5061F" w:rsidRDefault="008B2D2E" w14:paraId="79E55D4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FB77D5" w:rsidR="00FB77D5" w:rsidP="00FB77D5" w:rsidRDefault="00FB77D5" w14:paraId="6F385E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bookmarkStart w:name="1910.147(c)(4)(ii)(A)" w:id="5"/>
      <w:bookmarkEnd w:id="5"/>
      <w:r w:rsidRPr="00FB77D5">
        <w:rPr>
          <w:b/>
          <w:bCs/>
        </w:rPr>
        <w:t>9.  Explain any decision to provide any payments or gifts to respondents, other than remuneration of contractors or grantees.</w:t>
      </w:r>
    </w:p>
    <w:p w:rsidR="006C03C9" w:rsidP="00F5061F" w:rsidRDefault="006C03C9" w14:paraId="608C9D7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47F54" w:rsidP="00F5061F" w:rsidRDefault="00947F54" w14:paraId="0D82054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will </w:t>
      </w:r>
      <w:r>
        <w:rPr>
          <w:u w:val="single"/>
        </w:rPr>
        <w:t>not</w:t>
      </w:r>
      <w:r>
        <w:t xml:space="preserve"> provide payments or gifts to the respondents.</w:t>
      </w:r>
    </w:p>
    <w:p w:rsidR="00947F54" w:rsidP="00F5061F" w:rsidRDefault="00947F54" w14:paraId="5010170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FB77D5" w:rsidR="00FB77D5" w:rsidP="00FB77D5" w:rsidRDefault="00FB77D5" w14:paraId="144F68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FB77D5">
        <w:rPr>
          <w:b/>
          <w:bCs/>
        </w:rPr>
        <w:t>10.  Describe any assurance of confidentiality provided to respondents and the basis for the assurance in statute, regulation, or agency policy.</w:t>
      </w:r>
    </w:p>
    <w:p w:rsidR="006C03C9" w:rsidP="00F5061F" w:rsidRDefault="006C03C9" w14:paraId="456494C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47F54" w:rsidP="00F5061F" w:rsidRDefault="00947F54" w14:paraId="3EAD597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6A4AA0">
        <w:t xml:space="preserve">information collection requirements </w:t>
      </w:r>
      <w:r>
        <w:t>specified by the Standard do not involve confidential information.</w:t>
      </w:r>
    </w:p>
    <w:p w:rsidR="006C03C9" w:rsidP="006C03C9" w:rsidRDefault="006C03C9" w14:paraId="1B4DC7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FB77D5" w:rsidR="00FB77D5" w:rsidP="00FB77D5" w:rsidRDefault="00FB77D5" w14:paraId="11E3C1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FB77D5">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7F54" w:rsidP="00F5061F" w:rsidRDefault="00947F54" w14:paraId="697393A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47F54" w:rsidP="00F5061F" w:rsidRDefault="00947F54" w14:paraId="11F54B8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None of the provisions in the Standard require sensitive information.</w:t>
      </w:r>
    </w:p>
    <w:p w:rsidR="006C03C9" w:rsidP="006C03C9" w:rsidRDefault="006C03C9" w14:paraId="0A5E972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FB77D5" w:rsidR="00FB77D5" w:rsidP="00FB77D5" w:rsidRDefault="00FB77D5" w14:paraId="69D8FC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FB77D5">
        <w:rPr>
          <w:b/>
          <w:bCs/>
        </w:rPr>
        <w:t>12.  Provide estimates of the hour burden of the collection of information.  The statement should:</w:t>
      </w:r>
    </w:p>
    <w:p w:rsidRPr="00FB77D5" w:rsidR="00FB77D5" w:rsidP="00FB77D5" w:rsidRDefault="00FB77D5" w14:paraId="445D50B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FB77D5" w:rsidR="00FB77D5" w:rsidP="00FB77D5" w:rsidRDefault="00FB77D5" w14:paraId="4AEF403F" w14:textId="77777777">
      <w:pPr>
        <w:widowControl/>
        <w:numPr>
          <w:ilvl w:val="0"/>
          <w:numId w:val="2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FB77D5">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w:t>
      </w:r>
      <w:r w:rsidRPr="00FB77D5">
        <w:rPr>
          <w:b/>
          <w:bCs/>
        </w:rPr>
        <w:lastRenderedPageBreak/>
        <w:t>range of estimated hour burden, and explain the reasons for the variance.  General, estimates should not include burden hours for customary and usual business practices.</w:t>
      </w:r>
    </w:p>
    <w:p w:rsidRPr="00FB77D5" w:rsidR="00FB77D5" w:rsidP="00FB77D5" w:rsidRDefault="00FB77D5" w14:paraId="578085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FB77D5" w:rsidR="00FB77D5" w:rsidP="00FB77D5" w:rsidRDefault="00FB77D5" w14:paraId="78963BE7" w14:textId="77777777">
      <w:pPr>
        <w:widowControl/>
        <w:numPr>
          <w:ilvl w:val="0"/>
          <w:numId w:val="2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B77D5">
        <w:rPr>
          <w:b/>
        </w:rPr>
        <w:t xml:space="preserve">If this </w:t>
      </w:r>
      <w:r w:rsidRPr="00FB77D5">
        <w:rPr>
          <w:b/>
          <w:bCs/>
        </w:rPr>
        <w:t>request for approval covers more than one form, provide separate hour burden estimates for each form.</w:t>
      </w:r>
    </w:p>
    <w:p w:rsidRPr="00FB77D5" w:rsidR="00FB77D5" w:rsidP="00FB77D5" w:rsidRDefault="00FB77D5" w14:paraId="3685143D" w14:textId="77777777">
      <w:pPr>
        <w:ind w:left="720"/>
        <w:rPr>
          <w:rFonts w:ascii="Courier 12cpi" w:hAnsi="Courier 12cpi"/>
        </w:rPr>
      </w:pPr>
    </w:p>
    <w:p w:rsidRPr="00FB77D5" w:rsidR="00FB77D5" w:rsidP="00FB77D5" w:rsidRDefault="00FB77D5" w14:paraId="2A6643CD" w14:textId="77777777">
      <w:pPr>
        <w:widowControl/>
        <w:numPr>
          <w:ilvl w:val="0"/>
          <w:numId w:val="2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FB77D5">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FB77D5">
        <w:rPr>
          <w:b/>
          <w:bCs/>
          <w:color w:val="000000"/>
        </w:rPr>
        <w:t xml:space="preserve"> </w:t>
      </w:r>
    </w:p>
    <w:p w:rsidR="00003F8A" w:rsidP="00F5061F" w:rsidRDefault="00003F8A" w14:paraId="3043C89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B700F3" w:rsidR="00947F54" w:rsidP="00F5061F" w:rsidRDefault="00947F54" w14:paraId="33724C4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Pr="0042740F" w:rsidR="0042740F" w:rsidP="0042740F" w:rsidRDefault="0042740F" w14:paraId="42E40A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2740F">
        <w:rPr>
          <w:b/>
        </w:rPr>
        <w:t>Respondent Burden Hour and Cost Burden Determinations</w:t>
      </w:r>
    </w:p>
    <w:p w:rsidR="00B42AC9" w:rsidP="00B42AC9" w:rsidRDefault="00B42AC9" w14:paraId="4172618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bookmarkStart w:name="_GoBack" w:id="6"/>
      <w:bookmarkEnd w:id="6"/>
    </w:p>
    <w:p w:rsidRPr="0057659A" w:rsidR="00A62D6A" w:rsidP="00497AE3" w:rsidRDefault="00C80A23" w14:paraId="5C1554C2" w14:textId="7B6A7F2F">
      <w:pPr>
        <w:widowControl/>
        <w:autoSpaceDE/>
        <w:autoSpaceDN/>
        <w:adjustRightInd/>
        <w:rPr>
          <w:szCs w:val="22"/>
        </w:rPr>
      </w:pPr>
      <w:r w:rsidRPr="008016F3">
        <w:rPr>
          <w:szCs w:val="22"/>
        </w:rPr>
        <w:t>For this Information</w:t>
      </w:r>
      <w:r>
        <w:rPr>
          <w:szCs w:val="22"/>
        </w:rPr>
        <w:t xml:space="preserve"> </w:t>
      </w:r>
      <w:r w:rsidRPr="008016F3">
        <w:rPr>
          <w:szCs w:val="22"/>
        </w:rPr>
        <w:t xml:space="preserve">Collection Request (ICR), </w:t>
      </w:r>
      <w:r>
        <w:rPr>
          <w:szCs w:val="22"/>
        </w:rPr>
        <w:t>i</w:t>
      </w:r>
      <w:r w:rsidRPr="008016F3" w:rsidR="00A62D6A">
        <w:rPr>
          <w:szCs w:val="22"/>
        </w:rPr>
        <w:t>n deriving establishment and employment figures for the three impact groups</w:t>
      </w:r>
      <w:r w:rsidR="0073736D">
        <w:rPr>
          <w:szCs w:val="22"/>
        </w:rPr>
        <w:t xml:space="preserve"> affected by the standard (described below)</w:t>
      </w:r>
      <w:r w:rsidRPr="008016F3" w:rsidR="00A62D6A">
        <w:rPr>
          <w:szCs w:val="22"/>
        </w:rPr>
        <w:t>, the Agency updated the total number of establishments from the previ</w:t>
      </w:r>
      <w:r w:rsidR="00A62D6A">
        <w:rPr>
          <w:szCs w:val="22"/>
        </w:rPr>
        <w:t>ous ICR using U.S. Census Bureau 2019 data (2017</w:t>
      </w:r>
      <w:r w:rsidRPr="008016F3" w:rsidR="00A62D6A">
        <w:rPr>
          <w:szCs w:val="22"/>
        </w:rPr>
        <w:t xml:space="preserve"> County Business Patterns</w:t>
      </w:r>
      <w:r w:rsidR="00A62D6A">
        <w:rPr>
          <w:szCs w:val="22"/>
        </w:rPr>
        <w:t>).</w:t>
      </w:r>
      <w:r w:rsidRPr="0057659A" w:rsidR="0057659A">
        <w:rPr>
          <w:rStyle w:val="FootnoteReference"/>
          <w:sz w:val="22"/>
          <w:szCs w:val="22"/>
          <w:vertAlign w:val="superscript"/>
        </w:rPr>
        <w:footnoteReference w:id="4"/>
      </w:r>
      <w:r w:rsidR="00A62D6A">
        <w:rPr>
          <w:szCs w:val="22"/>
        </w:rPr>
        <w:t xml:space="preserve"> </w:t>
      </w:r>
      <w:r w:rsidRPr="008016F3" w:rsidR="00A62D6A">
        <w:rPr>
          <w:szCs w:val="22"/>
        </w:rPr>
        <w:t xml:space="preserve">The Agency applied percentages obtained from the </w:t>
      </w:r>
      <w:r w:rsidRPr="008016F3" w:rsidR="0073736D">
        <w:rPr>
          <w:szCs w:val="22"/>
        </w:rPr>
        <w:t xml:space="preserve">Regulatory Impact Analysis (RIA) performed on the final Standard </w:t>
      </w:r>
      <w:r w:rsidRPr="008016F3" w:rsidR="00A62D6A">
        <w:rPr>
          <w:szCs w:val="22"/>
        </w:rPr>
        <w:t xml:space="preserve">to these updated figures to estimate the number of high- and low-impact establishments having authorized </w:t>
      </w:r>
      <w:r w:rsidR="00A62D6A">
        <w:rPr>
          <w:szCs w:val="22"/>
        </w:rPr>
        <w:t>worker</w:t>
      </w:r>
      <w:r w:rsidRPr="008016F3" w:rsidR="00A62D6A">
        <w:rPr>
          <w:szCs w:val="22"/>
        </w:rPr>
        <w:t xml:space="preserve">s, as well as the number of authorized and affected </w:t>
      </w:r>
      <w:r w:rsidR="00A62D6A">
        <w:rPr>
          <w:szCs w:val="22"/>
        </w:rPr>
        <w:t>worker</w:t>
      </w:r>
      <w:r w:rsidRPr="008016F3" w:rsidR="00A62D6A">
        <w:rPr>
          <w:szCs w:val="22"/>
        </w:rPr>
        <w:t>s at these establishments</w:t>
      </w:r>
      <w:r w:rsidR="0057659A">
        <w:rPr>
          <w:szCs w:val="22"/>
        </w:rPr>
        <w:t xml:space="preserve">.  These estimates are available at the end of this Supporting Statement in </w:t>
      </w:r>
      <w:r w:rsidRPr="0057659A" w:rsidR="00A62D6A">
        <w:rPr>
          <w:szCs w:val="22"/>
        </w:rPr>
        <w:t>Tables 1</w:t>
      </w:r>
      <w:r w:rsidR="0057659A">
        <w:rPr>
          <w:szCs w:val="22"/>
        </w:rPr>
        <w:t xml:space="preserve">, </w:t>
      </w:r>
      <w:r w:rsidRPr="0057659A" w:rsidR="0057659A">
        <w:rPr>
          <w:bCs/>
          <w:color w:val="000000"/>
        </w:rPr>
        <w:t>“Establ</w:t>
      </w:r>
      <w:r w:rsidR="00B4681A">
        <w:rPr>
          <w:bCs/>
          <w:color w:val="000000"/>
        </w:rPr>
        <w:t>ishments and Employment for the</w:t>
      </w:r>
      <w:r w:rsidRPr="0057659A" w:rsidR="0057659A">
        <w:rPr>
          <w:bCs/>
          <w:color w:val="000000"/>
        </w:rPr>
        <w:t xml:space="preserve"> Manufacturing </w:t>
      </w:r>
      <w:r w:rsidR="00B4681A">
        <w:rPr>
          <w:bCs/>
          <w:color w:val="000000"/>
        </w:rPr>
        <w:t>Sector (</w:t>
      </w:r>
      <w:r w:rsidRPr="0057659A" w:rsidR="0057659A">
        <w:rPr>
          <w:bCs/>
          <w:color w:val="000000"/>
        </w:rPr>
        <w:t>High-Impact Industries</w:t>
      </w:r>
      <w:r w:rsidR="00B4681A">
        <w:rPr>
          <w:bCs/>
          <w:color w:val="000000"/>
        </w:rPr>
        <w:t>)</w:t>
      </w:r>
      <w:r w:rsidRPr="0057659A" w:rsidR="0057659A">
        <w:rPr>
          <w:bCs/>
          <w:color w:val="000000"/>
        </w:rPr>
        <w:t>”</w:t>
      </w:r>
      <w:r w:rsidR="00497AE3">
        <w:rPr>
          <w:bCs/>
          <w:color w:val="000000"/>
        </w:rPr>
        <w:t xml:space="preserve"> </w:t>
      </w:r>
      <w:r w:rsidRPr="0057659A" w:rsidR="00A62D6A">
        <w:rPr>
          <w:szCs w:val="22"/>
        </w:rPr>
        <w:t>and 2</w:t>
      </w:r>
      <w:r w:rsidRPr="0057659A" w:rsidR="0057659A">
        <w:rPr>
          <w:szCs w:val="22"/>
        </w:rPr>
        <w:t>, “</w:t>
      </w:r>
      <w:r w:rsidRPr="0057659A" w:rsidR="0057659A">
        <w:rPr>
          <w:bCs/>
          <w:color w:val="000000"/>
        </w:rPr>
        <w:t>Establishments and Employment in Low-Impact Industries</w:t>
      </w:r>
      <w:r w:rsidRPr="0057659A" w:rsidR="00A62D6A">
        <w:rPr>
          <w:szCs w:val="22"/>
        </w:rPr>
        <w:t>.</w:t>
      </w:r>
      <w:r w:rsidRPr="0057659A" w:rsidR="0057659A">
        <w:rPr>
          <w:szCs w:val="22"/>
        </w:rPr>
        <w:t>”</w:t>
      </w:r>
      <w:r w:rsidR="00B96BBE">
        <w:rPr>
          <w:szCs w:val="22"/>
        </w:rPr>
        <w:t xml:space="preserve">  </w:t>
      </w:r>
    </w:p>
    <w:p w:rsidR="00A62D6A" w:rsidP="00B42AC9" w:rsidRDefault="00A62D6A" w14:paraId="39617DF4" w14:textId="77777777">
      <w:pPr>
        <w:rPr>
          <w:szCs w:val="22"/>
        </w:rPr>
      </w:pPr>
    </w:p>
    <w:p w:rsidRPr="008016F3" w:rsidR="00B42AC9" w:rsidP="00B42AC9" w:rsidRDefault="00B96BBE" w14:paraId="6C29CD8F" w14:textId="2B5F243C">
      <w:pPr>
        <w:rPr>
          <w:szCs w:val="22"/>
        </w:rPr>
      </w:pPr>
      <w:r>
        <w:rPr>
          <w:szCs w:val="22"/>
        </w:rPr>
        <w:t xml:space="preserve">In Tables 1 and 2, </w:t>
      </w:r>
      <w:r w:rsidRPr="008016F3" w:rsidR="00B42AC9">
        <w:rPr>
          <w:szCs w:val="22"/>
        </w:rPr>
        <w:t>OSHA u</w:t>
      </w:r>
      <w:r w:rsidR="00A62D6A">
        <w:rPr>
          <w:szCs w:val="22"/>
        </w:rPr>
        <w:t xml:space="preserve">ses </w:t>
      </w:r>
      <w:r w:rsidRPr="008016F3" w:rsidR="00B42AC9">
        <w:rPr>
          <w:szCs w:val="22"/>
        </w:rPr>
        <w:t>an industry-classification scheme from the</w:t>
      </w:r>
      <w:r w:rsidR="0073736D">
        <w:rPr>
          <w:szCs w:val="22"/>
        </w:rPr>
        <w:t xml:space="preserve"> RIA</w:t>
      </w:r>
      <w:r w:rsidRPr="008016F3" w:rsidR="00B42AC9">
        <w:rPr>
          <w:szCs w:val="22"/>
        </w:rPr>
        <w:t>.</w:t>
      </w:r>
      <w:r w:rsidRPr="00ED4F28" w:rsidR="00B42AC9">
        <w:rPr>
          <w:rStyle w:val="FootnoteReference"/>
          <w:sz w:val="22"/>
          <w:szCs w:val="22"/>
          <w:vertAlign w:val="superscript"/>
        </w:rPr>
        <w:footnoteReference w:id="5"/>
      </w:r>
      <w:r w:rsidRPr="008016F3" w:rsidR="00B42AC9">
        <w:rPr>
          <w:szCs w:val="22"/>
        </w:rPr>
        <w:t xml:space="preserve"> </w:t>
      </w:r>
      <w:r w:rsidR="00B42AC9">
        <w:rPr>
          <w:szCs w:val="22"/>
        </w:rPr>
        <w:t xml:space="preserve"> </w:t>
      </w:r>
      <w:r w:rsidRPr="008016F3" w:rsidR="00B42AC9">
        <w:rPr>
          <w:szCs w:val="22"/>
        </w:rPr>
        <w:t xml:space="preserve">This scheme classifies industries covered by the Standard into the following three groups: high-impact, low-impact, and zero- or negligible-impact. </w:t>
      </w:r>
      <w:r w:rsidR="00B42AC9">
        <w:rPr>
          <w:szCs w:val="22"/>
        </w:rPr>
        <w:t xml:space="preserve"> </w:t>
      </w:r>
      <w:r w:rsidRPr="008016F3" w:rsidR="00B42AC9">
        <w:rPr>
          <w:szCs w:val="22"/>
        </w:rPr>
        <w:t>The high-impact group consists of all manufacturing industries (i.e., North American Industrial Classification System (NAICS) Codes 31-33 while the low-impact group includes industries in the following sectors: transportation, communications, utilities, wholesale-trade, retail-food, and several industries in the service sector (i.e., personal services</w:t>
      </w:r>
      <w:r w:rsidR="00B42AC9">
        <w:rPr>
          <w:szCs w:val="22"/>
        </w:rPr>
        <w:t xml:space="preserve">, business services, automotive </w:t>
      </w:r>
      <w:r w:rsidRPr="008016F3" w:rsidR="00B42AC9">
        <w:rPr>
          <w:szCs w:val="22"/>
        </w:rPr>
        <w:t>repair, miscellaneous repair, and amusement services.</w:t>
      </w:r>
      <w:r w:rsidR="0074770D">
        <w:rPr>
          <w:szCs w:val="22"/>
        </w:rPr>
        <w:t xml:space="preserve"> See Table 2 for a detailed listing of the specific industries included in each sector. Also note that electrical generation, transmission, and distribution industries are excluded from the utility sector as establishment</w:t>
      </w:r>
      <w:r w:rsidR="002362ED">
        <w:rPr>
          <w:szCs w:val="22"/>
        </w:rPr>
        <w:t>s</w:t>
      </w:r>
      <w:r w:rsidR="0074770D">
        <w:rPr>
          <w:szCs w:val="22"/>
        </w:rPr>
        <w:t xml:space="preserve"> in these industries are explicitly not in scope for the standard. Finally, i</w:t>
      </w:r>
      <w:r w:rsidRPr="008016F3" w:rsidR="00B42AC9">
        <w:rPr>
          <w:szCs w:val="22"/>
        </w:rPr>
        <w:t xml:space="preserve">ncluded in the zero- or negligible-impact group </w:t>
      </w:r>
      <w:r w:rsidR="000A3E11">
        <w:rPr>
          <w:szCs w:val="22"/>
        </w:rPr>
        <w:t>is</w:t>
      </w:r>
      <w:r w:rsidRPr="008016F3" w:rsidR="000A3E11">
        <w:rPr>
          <w:szCs w:val="22"/>
        </w:rPr>
        <w:t xml:space="preserve"> </w:t>
      </w:r>
      <w:r w:rsidRPr="008016F3" w:rsidR="00B42AC9">
        <w:rPr>
          <w:szCs w:val="22"/>
        </w:rPr>
        <w:t xml:space="preserve">industries found to have little potential for an accident </w:t>
      </w:r>
      <w:r w:rsidRPr="008016F3" w:rsidR="00B42AC9">
        <w:rPr>
          <w:szCs w:val="22"/>
        </w:rPr>
        <w:lastRenderedPageBreak/>
        <w:t>involving hazardous-energy release. These industries include retail trade, finance, insurance, real estate, service, and public-administration industries not classified as high- or low-impact groups.</w:t>
      </w:r>
    </w:p>
    <w:p w:rsidRPr="008016F3" w:rsidR="00B42AC9" w:rsidP="00B42AC9" w:rsidRDefault="00B42AC9" w14:paraId="1ABFD193" w14:textId="77777777">
      <w:pPr>
        <w:rPr>
          <w:szCs w:val="22"/>
        </w:rPr>
      </w:pPr>
    </w:p>
    <w:p w:rsidRPr="008016F3" w:rsidR="00B42AC9" w:rsidP="00B42AC9" w:rsidRDefault="00B42AC9" w14:paraId="4BD7BA29" w14:textId="77777777">
      <w:pPr>
        <w:rPr>
          <w:szCs w:val="22"/>
        </w:rPr>
      </w:pPr>
      <w:r w:rsidRPr="008016F3">
        <w:rPr>
          <w:szCs w:val="22"/>
        </w:rPr>
        <w:t xml:space="preserve">Regarding the time estimates for performing the wide variety of information collections required by the Standard, OSHA is using the estimates from the previous ICR. </w:t>
      </w:r>
      <w:r>
        <w:rPr>
          <w:szCs w:val="22"/>
        </w:rPr>
        <w:t xml:space="preserve"> </w:t>
      </w:r>
      <w:r w:rsidRPr="008016F3">
        <w:rPr>
          <w:szCs w:val="22"/>
        </w:rPr>
        <w:t xml:space="preserve">These estimates appear to be reasonable because the Agency based them </w:t>
      </w:r>
      <w:r w:rsidR="003B7F76">
        <w:rPr>
          <w:szCs w:val="22"/>
        </w:rPr>
        <w:t xml:space="preserve">on the </w:t>
      </w:r>
      <w:r w:rsidRPr="008016F3">
        <w:rPr>
          <w:szCs w:val="22"/>
        </w:rPr>
        <w:t xml:space="preserve">data from the RIA which was available for public review and comment when it was published in the final Standard. </w:t>
      </w:r>
      <w:r>
        <w:rPr>
          <w:szCs w:val="22"/>
        </w:rPr>
        <w:t xml:space="preserve"> </w:t>
      </w:r>
      <w:r w:rsidR="000A3E11">
        <w:rPr>
          <w:szCs w:val="22"/>
        </w:rPr>
        <w:t>Also</w:t>
      </w:r>
      <w:r w:rsidRPr="008016F3">
        <w:rPr>
          <w:szCs w:val="22"/>
        </w:rPr>
        <w:t xml:space="preserve">, most of the establishments engaged in performing these information collections have many years of experience in doing so; therefore, these times probably are upper-bound estimates. </w:t>
      </w:r>
    </w:p>
    <w:p w:rsidR="00764103" w:rsidP="00764103" w:rsidRDefault="00764103" w14:paraId="2E0D94DB" w14:textId="77777777">
      <w:pPr>
        <w:widowControl/>
        <w:rPr>
          <w:b/>
        </w:rPr>
      </w:pPr>
    </w:p>
    <w:p w:rsidRPr="00E97935" w:rsidR="00764103" w:rsidP="00764103" w:rsidRDefault="00764103" w14:paraId="5A1466DB" w14:textId="77777777">
      <w:pPr>
        <w:widowControl/>
        <w:rPr>
          <w:b/>
        </w:rPr>
      </w:pPr>
      <w:r w:rsidRPr="00E97935">
        <w:rPr>
          <w:b/>
        </w:rPr>
        <w:t>Wage Rate Determinations</w:t>
      </w:r>
    </w:p>
    <w:p w:rsidR="0041697A" w:rsidP="0041697A" w:rsidRDefault="0041697A" w14:paraId="5BBABC78" w14:textId="77777777"/>
    <w:p w:rsidRPr="00E97935" w:rsidR="0041697A" w:rsidP="0041697A" w:rsidRDefault="0041697A" w14:paraId="25DD2A6D" w14:textId="77777777">
      <w:r w:rsidRPr="00100FC9">
        <w:t xml:space="preserve">The Agency determined the wage rate from mean hourly wage earnings to represent the cost of employee time.  For the relevant standard occupational classification category, OSHA </w:t>
      </w:r>
      <w:r w:rsidRPr="00100FC9">
        <w:rPr>
          <w:rFonts w:eastAsia="Calibri"/>
        </w:rPr>
        <w:t xml:space="preserve">used the wage rates reported in the Bureau of Labor Statistics, U.S. Department of Labor, </w:t>
      </w:r>
      <w:r w:rsidRPr="00100FC9">
        <w:rPr>
          <w:rFonts w:eastAsia="Calibri"/>
          <w:i/>
        </w:rPr>
        <w:t>Occupational Employment Statistics</w:t>
      </w:r>
      <w:r w:rsidRPr="00100FC9">
        <w:rPr>
          <w:rFonts w:eastAsia="Calibri"/>
        </w:rPr>
        <w:t xml:space="preserve"> (OES), May 201</w:t>
      </w:r>
      <w:r>
        <w:rPr>
          <w:rFonts w:eastAsia="Calibri"/>
        </w:rPr>
        <w:t>9</w:t>
      </w:r>
      <w:r w:rsidRPr="00100FC9">
        <w:rPr>
          <w:rFonts w:eastAsia="Calibri"/>
        </w:rPr>
        <w:t xml:space="preserve"> [date accessed:</w:t>
      </w:r>
      <w:r>
        <w:rPr>
          <w:rFonts w:eastAsia="Calibri"/>
        </w:rPr>
        <w:t xml:space="preserve"> </w:t>
      </w:r>
      <w:r w:rsidR="008A0D26">
        <w:rPr>
          <w:rFonts w:eastAsia="Calibri"/>
        </w:rPr>
        <w:t>September 22</w:t>
      </w:r>
      <w:r>
        <w:rPr>
          <w:rFonts w:eastAsia="Calibri"/>
        </w:rPr>
        <w:t>, 2020</w:t>
      </w:r>
      <w:r w:rsidRPr="00100FC9">
        <w:rPr>
          <w:rFonts w:eastAsia="Calibri"/>
        </w:rPr>
        <w:t xml:space="preserve">)]. </w:t>
      </w:r>
      <w:r w:rsidRPr="00E97935">
        <w:t xml:space="preserve">(OES data is available at </w:t>
      </w:r>
      <w:hyperlink w:history="1" r:id="rId13">
        <w:r>
          <w:rPr>
            <w:rStyle w:val="Hyperlink"/>
          </w:rPr>
          <w:t>https://www.bls.gov/oes/tables.htm</w:t>
        </w:r>
      </w:hyperlink>
      <w:r>
        <w:rPr>
          <w:color w:val="1F497D"/>
        </w:rPr>
        <w:t xml:space="preserve">. </w:t>
      </w:r>
      <w:r w:rsidRPr="00E97935">
        <w:t xml:space="preserve">To access a wage rate, select the year, “Occupation Profiles,” and the Standard Occupational Classification (SOC) code.)  </w:t>
      </w:r>
    </w:p>
    <w:p w:rsidR="0041697A" w:rsidP="0041697A" w:rsidRDefault="0041697A" w14:paraId="30B1617A" w14:textId="77777777">
      <w:pPr>
        <w:rPr>
          <w:color w:val="1F497D"/>
        </w:rPr>
      </w:pPr>
    </w:p>
    <w:p w:rsidR="0041697A" w:rsidP="00255B26" w:rsidRDefault="0041697A" w14:paraId="1FF562E8" w14:textId="77777777">
      <w:pPr>
        <w:pStyle w:val="Default"/>
      </w:pPr>
      <w:r>
        <w:t xml:space="preserve">To derive the loaded hourly wage rate presented in the table below, the agency used data from the Bureau of Labor Statistics’ (BLS) </w:t>
      </w:r>
      <w:r>
        <w:rPr>
          <w:i/>
          <w:iCs/>
        </w:rPr>
        <w:t>Occupational Employment Statistics (OES</w:t>
      </w:r>
      <w:r>
        <w:rPr>
          <w:iCs/>
        </w:rPr>
        <w:t xml:space="preserve">), as described in the paragraph above.  Then, the agency applied to the wage rates a </w:t>
      </w:r>
      <w:r>
        <w:t xml:space="preserve">fringe benefit markup based on data found in Table 2 of the following BLS release: </w:t>
      </w:r>
      <w:r>
        <w:rPr>
          <w:i/>
          <w:iCs/>
        </w:rPr>
        <w:t xml:space="preserve">Employer Costs for Employee Compensation </w:t>
      </w:r>
      <w:r>
        <w:t>news release text, released 10:00 AM (EDT), June 2020 (</w:t>
      </w:r>
      <w:hyperlink w:history="1" r:id="rId14">
        <w:r w:rsidRPr="00162F55">
          <w:rPr>
            <w:color w:val="0000FF"/>
            <w:u w:val="single"/>
          </w:rPr>
          <w:t>https://www.bls.gov/news.release/archives/ecec_06182020.htm</w:t>
        </w:r>
      </w:hyperlink>
      <w:r>
        <w:t>)</w:t>
      </w:r>
      <w:r>
        <w:rPr>
          <w:i/>
          <w:iCs/>
        </w:rPr>
        <w:t xml:space="preserve"> </w:t>
      </w:r>
      <w:r>
        <w:t xml:space="preserve">BLS reported that for civilian workers, fringe benefits accounted for 31.3 percent of total compensation and wages accounted for the remaining 68.7 percent.  To calculate the loaded hourly wage for each occupation, the agency divided the mean hourly wage rate by 1 minus the fringe benefits. </w:t>
      </w:r>
      <w:r w:rsidR="00A701F4">
        <w:t xml:space="preserve"> These results are summarized in table 1</w:t>
      </w:r>
    </w:p>
    <w:p w:rsidR="00764103" w:rsidP="00076617" w:rsidRDefault="00764103" w14:paraId="23E0331A" w14:textId="77777777">
      <w:pPr>
        <w:spacing w:after="200"/>
      </w:pPr>
      <w:r w:rsidRPr="00E23363">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9"/>
        <w:gridCol w:w="1705"/>
        <w:gridCol w:w="1665"/>
        <w:gridCol w:w="1555"/>
        <w:gridCol w:w="2249"/>
      </w:tblGrid>
      <w:tr w:rsidRPr="0042740F" w:rsidR="0042740F" w:rsidTr="00CE4760" w14:paraId="2802C98B" w14:textId="77777777">
        <w:tc>
          <w:tcPr>
            <w:tcW w:w="9576" w:type="dxa"/>
            <w:gridSpan w:val="5"/>
            <w:shd w:val="clear" w:color="auto" w:fill="auto"/>
          </w:tcPr>
          <w:p w:rsidRPr="0042740F" w:rsidR="0042740F" w:rsidP="0042740F" w:rsidRDefault="00A701F4" w14:paraId="6B153799" w14:textId="77777777">
            <w:pPr>
              <w:widowControl/>
              <w:tabs>
                <w:tab w:val="left" w:pos="-1440"/>
              </w:tabs>
              <w:autoSpaceDE/>
              <w:autoSpaceDN/>
              <w:adjustRightInd/>
              <w:jc w:val="center"/>
              <w:rPr>
                <w:b/>
                <w:szCs w:val="22"/>
              </w:rPr>
            </w:pPr>
            <w:r>
              <w:rPr>
                <w:b/>
                <w:szCs w:val="22"/>
              </w:rPr>
              <w:t xml:space="preserve">Table 1: </w:t>
            </w:r>
            <w:r w:rsidRPr="0042740F" w:rsidR="0042740F">
              <w:rPr>
                <w:b/>
                <w:szCs w:val="22"/>
              </w:rPr>
              <w:t>WAGE HOUR ESTIMATES</w:t>
            </w:r>
            <w:r w:rsidR="0041697A">
              <w:rPr>
                <w:b/>
                <w:szCs w:val="22"/>
              </w:rPr>
              <w:t xml:space="preserve"> (2020)</w:t>
            </w:r>
          </w:p>
        </w:tc>
      </w:tr>
      <w:tr w:rsidRPr="0042740F" w:rsidR="0042740F" w:rsidTr="002A7B37" w14:paraId="4F24206B" w14:textId="77777777">
        <w:tc>
          <w:tcPr>
            <w:tcW w:w="2358" w:type="dxa"/>
            <w:shd w:val="clear" w:color="auto" w:fill="auto"/>
          </w:tcPr>
          <w:p w:rsidRPr="0042740F" w:rsidR="0042740F" w:rsidP="0042740F" w:rsidRDefault="0042740F" w14:paraId="0DFA8EC6" w14:textId="77777777">
            <w:pPr>
              <w:widowControl/>
              <w:tabs>
                <w:tab w:val="left" w:pos="-1440"/>
              </w:tabs>
              <w:autoSpaceDE/>
              <w:autoSpaceDN/>
              <w:adjustRightInd/>
              <w:rPr>
                <w:b/>
                <w:szCs w:val="22"/>
              </w:rPr>
            </w:pPr>
            <w:r w:rsidRPr="0042740F">
              <w:rPr>
                <w:b/>
                <w:szCs w:val="22"/>
              </w:rPr>
              <w:t>Occupational Title</w:t>
            </w:r>
          </w:p>
        </w:tc>
        <w:tc>
          <w:tcPr>
            <w:tcW w:w="1710" w:type="dxa"/>
            <w:shd w:val="clear" w:color="auto" w:fill="auto"/>
          </w:tcPr>
          <w:p w:rsidRPr="0042740F" w:rsidR="0042740F" w:rsidP="0042740F" w:rsidRDefault="0042740F" w14:paraId="6043FB06" w14:textId="77777777">
            <w:pPr>
              <w:widowControl/>
              <w:tabs>
                <w:tab w:val="left" w:pos="-1440"/>
              </w:tabs>
              <w:autoSpaceDE/>
              <w:autoSpaceDN/>
              <w:adjustRightInd/>
              <w:rPr>
                <w:b/>
                <w:szCs w:val="22"/>
              </w:rPr>
            </w:pPr>
            <w:r w:rsidRPr="0042740F">
              <w:rPr>
                <w:b/>
                <w:szCs w:val="22"/>
              </w:rPr>
              <w:t>Standard Occupation Code</w:t>
            </w:r>
          </w:p>
        </w:tc>
        <w:tc>
          <w:tcPr>
            <w:tcW w:w="1677" w:type="dxa"/>
            <w:shd w:val="clear" w:color="auto" w:fill="auto"/>
          </w:tcPr>
          <w:p w:rsidRPr="0042740F" w:rsidR="0042740F" w:rsidP="0042740F" w:rsidRDefault="0042740F" w14:paraId="2B01FEC1" w14:textId="77777777">
            <w:pPr>
              <w:widowControl/>
              <w:tabs>
                <w:tab w:val="left" w:pos="-1440"/>
              </w:tabs>
              <w:autoSpaceDE/>
              <w:autoSpaceDN/>
              <w:adjustRightInd/>
              <w:rPr>
                <w:b/>
                <w:szCs w:val="22"/>
              </w:rPr>
            </w:pPr>
            <w:r w:rsidRPr="0042740F">
              <w:rPr>
                <w:b/>
                <w:szCs w:val="22"/>
              </w:rPr>
              <w:t>Mean Hour Wage Rate</w:t>
            </w:r>
            <w:r w:rsidR="00E7026D">
              <w:rPr>
                <w:b/>
                <w:szCs w:val="22"/>
              </w:rPr>
              <w:t xml:space="preserve"> (A)</w:t>
            </w:r>
          </w:p>
        </w:tc>
        <w:tc>
          <w:tcPr>
            <w:tcW w:w="1563" w:type="dxa"/>
            <w:shd w:val="clear" w:color="auto" w:fill="auto"/>
          </w:tcPr>
          <w:p w:rsidRPr="0042740F" w:rsidR="0042740F" w:rsidP="0041697A" w:rsidRDefault="0042740F" w14:paraId="06970955" w14:textId="77777777">
            <w:pPr>
              <w:widowControl/>
              <w:tabs>
                <w:tab w:val="left" w:pos="-1440"/>
              </w:tabs>
              <w:autoSpaceDE/>
              <w:autoSpaceDN/>
              <w:adjustRightInd/>
              <w:rPr>
                <w:b/>
                <w:szCs w:val="22"/>
              </w:rPr>
            </w:pPr>
            <w:r w:rsidRPr="0042740F">
              <w:rPr>
                <w:b/>
                <w:szCs w:val="22"/>
              </w:rPr>
              <w:t xml:space="preserve">Fringe Benefits </w:t>
            </w:r>
            <w:r w:rsidR="00E7026D">
              <w:rPr>
                <w:b/>
                <w:szCs w:val="22"/>
              </w:rPr>
              <w:t>(B)</w:t>
            </w:r>
          </w:p>
        </w:tc>
        <w:tc>
          <w:tcPr>
            <w:tcW w:w="2268" w:type="dxa"/>
            <w:shd w:val="clear" w:color="auto" w:fill="auto"/>
          </w:tcPr>
          <w:p w:rsidR="0042740F" w:rsidP="0042740F" w:rsidRDefault="0042740F" w14:paraId="6B4DC5D6" w14:textId="77777777">
            <w:pPr>
              <w:widowControl/>
              <w:tabs>
                <w:tab w:val="left" w:pos="-1440"/>
              </w:tabs>
              <w:autoSpaceDE/>
              <w:autoSpaceDN/>
              <w:adjustRightInd/>
              <w:rPr>
                <w:b/>
                <w:szCs w:val="22"/>
              </w:rPr>
            </w:pPr>
            <w:r w:rsidRPr="0042740F">
              <w:rPr>
                <w:b/>
                <w:szCs w:val="22"/>
              </w:rPr>
              <w:t xml:space="preserve">Loaded </w:t>
            </w:r>
            <w:r w:rsidR="0041697A">
              <w:rPr>
                <w:b/>
                <w:szCs w:val="22"/>
              </w:rPr>
              <w:t>H</w:t>
            </w:r>
            <w:r w:rsidRPr="0042740F">
              <w:rPr>
                <w:b/>
                <w:szCs w:val="22"/>
              </w:rPr>
              <w:t>ourly Wage Rate</w:t>
            </w:r>
          </w:p>
          <w:p w:rsidRPr="0042740F" w:rsidR="00E7026D" w:rsidP="0042740F" w:rsidRDefault="00E7026D" w14:paraId="21AB9948" w14:textId="77777777">
            <w:pPr>
              <w:widowControl/>
              <w:tabs>
                <w:tab w:val="left" w:pos="-1440"/>
              </w:tabs>
              <w:autoSpaceDE/>
              <w:autoSpaceDN/>
              <w:adjustRightInd/>
              <w:rPr>
                <w:b/>
                <w:szCs w:val="22"/>
              </w:rPr>
            </w:pPr>
            <w:r>
              <w:rPr>
                <w:b/>
                <w:bCs/>
              </w:rPr>
              <w:t>(C) = (A)/((1-(B))</w:t>
            </w:r>
          </w:p>
        </w:tc>
      </w:tr>
      <w:tr w:rsidRPr="0042740F" w:rsidR="0042740F" w:rsidTr="002A7B37" w14:paraId="7290967C" w14:textId="77777777">
        <w:tc>
          <w:tcPr>
            <w:tcW w:w="2358" w:type="dxa"/>
            <w:shd w:val="clear" w:color="auto" w:fill="auto"/>
          </w:tcPr>
          <w:p w:rsidRPr="0042740F" w:rsidR="0042740F" w:rsidP="006A4AA0" w:rsidRDefault="00605F38" w14:paraId="37FC8ABA" w14:textId="77777777">
            <w:pPr>
              <w:widowControl/>
              <w:tabs>
                <w:tab w:val="left" w:pos="-1440"/>
              </w:tabs>
              <w:autoSpaceDE/>
              <w:autoSpaceDN/>
              <w:adjustRightInd/>
              <w:rPr>
                <w:szCs w:val="22"/>
              </w:rPr>
            </w:pPr>
            <w:hyperlink w:history="1" r:id="rId15">
              <w:r w:rsidRPr="00BE47A0" w:rsidR="006A4AA0">
                <w:rPr>
                  <w:szCs w:val="22"/>
                </w:rPr>
                <w:t>First-Line Supervisors of Production and Operating Workers</w:t>
              </w:r>
            </w:hyperlink>
            <w:r w:rsidRPr="006A4AA0" w:rsidR="006A4AA0">
              <w:rPr>
                <w:szCs w:val="22"/>
              </w:rPr>
              <w:t xml:space="preserve"> </w:t>
            </w:r>
            <w:r w:rsidR="00145EA2">
              <w:rPr>
                <w:szCs w:val="22"/>
              </w:rPr>
              <w:t>(Supervisor)</w:t>
            </w:r>
          </w:p>
        </w:tc>
        <w:tc>
          <w:tcPr>
            <w:tcW w:w="1710" w:type="dxa"/>
            <w:shd w:val="clear" w:color="auto" w:fill="auto"/>
          </w:tcPr>
          <w:p w:rsidRPr="0042740F" w:rsidR="0042740F" w:rsidP="0042740F" w:rsidRDefault="00145EA2" w14:paraId="6E62E3F3" w14:textId="77777777">
            <w:pPr>
              <w:widowControl/>
              <w:tabs>
                <w:tab w:val="left" w:pos="-1440"/>
              </w:tabs>
              <w:autoSpaceDE/>
              <w:autoSpaceDN/>
              <w:adjustRightInd/>
              <w:rPr>
                <w:szCs w:val="22"/>
              </w:rPr>
            </w:pPr>
            <w:r>
              <w:rPr>
                <w:szCs w:val="22"/>
              </w:rPr>
              <w:t>51-1011</w:t>
            </w:r>
          </w:p>
        </w:tc>
        <w:tc>
          <w:tcPr>
            <w:tcW w:w="1677" w:type="dxa"/>
            <w:shd w:val="clear" w:color="auto" w:fill="auto"/>
          </w:tcPr>
          <w:p w:rsidRPr="0042740F" w:rsidR="0042740F" w:rsidP="0042740F" w:rsidRDefault="00145EA2" w14:paraId="62CFCE12" w14:textId="77777777">
            <w:pPr>
              <w:widowControl/>
              <w:tabs>
                <w:tab w:val="left" w:pos="-1440"/>
              </w:tabs>
              <w:autoSpaceDE/>
              <w:autoSpaceDN/>
              <w:adjustRightInd/>
              <w:rPr>
                <w:szCs w:val="22"/>
              </w:rPr>
            </w:pPr>
            <w:r>
              <w:rPr>
                <w:szCs w:val="22"/>
              </w:rPr>
              <w:t>$</w:t>
            </w:r>
            <w:r w:rsidR="008A0D26">
              <w:rPr>
                <w:szCs w:val="22"/>
              </w:rPr>
              <w:t>31.35</w:t>
            </w:r>
          </w:p>
        </w:tc>
        <w:tc>
          <w:tcPr>
            <w:tcW w:w="1563" w:type="dxa"/>
            <w:shd w:val="clear" w:color="auto" w:fill="auto"/>
          </w:tcPr>
          <w:p w:rsidRPr="0042740F" w:rsidR="0042740F" w:rsidP="0042740F" w:rsidRDefault="00145EA2" w14:paraId="59217EDA" w14:textId="77777777">
            <w:pPr>
              <w:widowControl/>
              <w:tabs>
                <w:tab w:val="left" w:pos="-1440"/>
              </w:tabs>
              <w:autoSpaceDE/>
              <w:autoSpaceDN/>
              <w:adjustRightInd/>
              <w:rPr>
                <w:szCs w:val="22"/>
              </w:rPr>
            </w:pPr>
            <w:r>
              <w:rPr>
                <w:szCs w:val="22"/>
              </w:rPr>
              <w:t>.</w:t>
            </w:r>
            <w:r w:rsidR="000D2550">
              <w:rPr>
                <w:szCs w:val="22"/>
              </w:rPr>
              <w:t>313</w:t>
            </w:r>
          </w:p>
        </w:tc>
        <w:tc>
          <w:tcPr>
            <w:tcW w:w="2268" w:type="dxa"/>
            <w:shd w:val="clear" w:color="auto" w:fill="auto"/>
          </w:tcPr>
          <w:p w:rsidRPr="0042740F" w:rsidR="0042740F" w:rsidP="0042740F" w:rsidRDefault="00145EA2" w14:paraId="750C43C3" w14:textId="77777777">
            <w:pPr>
              <w:widowControl/>
              <w:tabs>
                <w:tab w:val="left" w:pos="-1440"/>
              </w:tabs>
              <w:autoSpaceDE/>
              <w:autoSpaceDN/>
              <w:adjustRightInd/>
              <w:rPr>
                <w:szCs w:val="22"/>
              </w:rPr>
            </w:pPr>
            <w:r>
              <w:rPr>
                <w:szCs w:val="22"/>
              </w:rPr>
              <w:t>$</w:t>
            </w:r>
            <w:r w:rsidR="008A0D26">
              <w:rPr>
                <w:szCs w:val="22"/>
              </w:rPr>
              <w:t>45.63</w:t>
            </w:r>
          </w:p>
        </w:tc>
      </w:tr>
      <w:tr w:rsidRPr="0042740F" w:rsidR="0042740F" w:rsidTr="002A7B37" w14:paraId="12B0B0E2" w14:textId="77777777">
        <w:tc>
          <w:tcPr>
            <w:tcW w:w="2358" w:type="dxa"/>
            <w:shd w:val="clear" w:color="auto" w:fill="auto"/>
          </w:tcPr>
          <w:p w:rsidRPr="0042740F" w:rsidR="0042740F" w:rsidP="0042740F" w:rsidRDefault="006A4AA0" w14:paraId="2FE9FC9F" w14:textId="77777777">
            <w:pPr>
              <w:widowControl/>
              <w:tabs>
                <w:tab w:val="left" w:pos="-1440"/>
              </w:tabs>
              <w:autoSpaceDE/>
              <w:autoSpaceDN/>
              <w:adjustRightInd/>
              <w:rPr>
                <w:szCs w:val="22"/>
              </w:rPr>
            </w:pPr>
            <w:r>
              <w:rPr>
                <w:szCs w:val="22"/>
              </w:rPr>
              <w:t>Production Occupations (</w:t>
            </w:r>
            <w:r w:rsidR="00145EA2">
              <w:rPr>
                <w:szCs w:val="22"/>
              </w:rPr>
              <w:t>Non-supervisory manufacturing worker</w:t>
            </w:r>
            <w:r>
              <w:rPr>
                <w:szCs w:val="22"/>
              </w:rPr>
              <w:t>)</w:t>
            </w:r>
          </w:p>
        </w:tc>
        <w:tc>
          <w:tcPr>
            <w:tcW w:w="1710" w:type="dxa"/>
            <w:shd w:val="clear" w:color="auto" w:fill="auto"/>
          </w:tcPr>
          <w:p w:rsidRPr="0042740F" w:rsidR="0042740F" w:rsidP="0042740F" w:rsidRDefault="00145EA2" w14:paraId="3E8D370E" w14:textId="77777777">
            <w:pPr>
              <w:widowControl/>
              <w:tabs>
                <w:tab w:val="left" w:pos="-1440"/>
              </w:tabs>
              <w:autoSpaceDE/>
              <w:autoSpaceDN/>
              <w:adjustRightInd/>
              <w:rPr>
                <w:szCs w:val="22"/>
              </w:rPr>
            </w:pPr>
            <w:r>
              <w:rPr>
                <w:szCs w:val="22"/>
              </w:rPr>
              <w:t>51-0000</w:t>
            </w:r>
          </w:p>
        </w:tc>
        <w:tc>
          <w:tcPr>
            <w:tcW w:w="1677" w:type="dxa"/>
            <w:shd w:val="clear" w:color="auto" w:fill="auto"/>
          </w:tcPr>
          <w:p w:rsidRPr="0042740F" w:rsidR="0042740F" w:rsidP="0042740F" w:rsidRDefault="00145EA2" w14:paraId="4A85DF04" w14:textId="77777777">
            <w:pPr>
              <w:widowControl/>
              <w:tabs>
                <w:tab w:val="left" w:pos="-1440"/>
              </w:tabs>
              <w:autoSpaceDE/>
              <w:autoSpaceDN/>
              <w:adjustRightInd/>
              <w:rPr>
                <w:szCs w:val="22"/>
              </w:rPr>
            </w:pPr>
            <w:r>
              <w:rPr>
                <w:szCs w:val="22"/>
              </w:rPr>
              <w:t>$</w:t>
            </w:r>
            <w:r w:rsidR="008A0D26">
              <w:rPr>
                <w:szCs w:val="22"/>
              </w:rPr>
              <w:t>19.30</w:t>
            </w:r>
          </w:p>
        </w:tc>
        <w:tc>
          <w:tcPr>
            <w:tcW w:w="1563" w:type="dxa"/>
            <w:shd w:val="clear" w:color="auto" w:fill="auto"/>
          </w:tcPr>
          <w:p w:rsidRPr="0042740F" w:rsidR="0042740F" w:rsidP="0042740F" w:rsidRDefault="00145EA2" w14:paraId="0CC96882" w14:textId="77777777">
            <w:pPr>
              <w:widowControl/>
              <w:tabs>
                <w:tab w:val="left" w:pos="-1440"/>
              </w:tabs>
              <w:autoSpaceDE/>
              <w:autoSpaceDN/>
              <w:adjustRightInd/>
              <w:rPr>
                <w:szCs w:val="22"/>
              </w:rPr>
            </w:pPr>
            <w:r>
              <w:rPr>
                <w:szCs w:val="22"/>
              </w:rPr>
              <w:t>.</w:t>
            </w:r>
            <w:r w:rsidR="000D2550">
              <w:rPr>
                <w:szCs w:val="22"/>
              </w:rPr>
              <w:t>313</w:t>
            </w:r>
          </w:p>
        </w:tc>
        <w:tc>
          <w:tcPr>
            <w:tcW w:w="2268" w:type="dxa"/>
            <w:shd w:val="clear" w:color="auto" w:fill="auto"/>
          </w:tcPr>
          <w:p w:rsidRPr="0042740F" w:rsidR="0042740F" w:rsidP="0042740F" w:rsidRDefault="00145EA2" w14:paraId="25BB04B7" w14:textId="77777777">
            <w:pPr>
              <w:widowControl/>
              <w:tabs>
                <w:tab w:val="left" w:pos="-1440"/>
              </w:tabs>
              <w:autoSpaceDE/>
              <w:autoSpaceDN/>
              <w:adjustRightInd/>
              <w:rPr>
                <w:szCs w:val="22"/>
              </w:rPr>
            </w:pPr>
            <w:r>
              <w:rPr>
                <w:szCs w:val="22"/>
              </w:rPr>
              <w:t>$</w:t>
            </w:r>
            <w:r w:rsidR="007226BC">
              <w:rPr>
                <w:szCs w:val="22"/>
              </w:rPr>
              <w:t>28.09</w:t>
            </w:r>
          </w:p>
        </w:tc>
      </w:tr>
      <w:tr w:rsidRPr="0042740F" w:rsidR="0042740F" w:rsidTr="002A7B37" w14:paraId="26DB46CB" w14:textId="77777777">
        <w:tc>
          <w:tcPr>
            <w:tcW w:w="2358" w:type="dxa"/>
            <w:shd w:val="clear" w:color="auto" w:fill="auto"/>
          </w:tcPr>
          <w:p w:rsidRPr="0042740F" w:rsidR="0042740F" w:rsidP="0042740F" w:rsidRDefault="00605F38" w14:paraId="1F7E7DC2" w14:textId="77777777">
            <w:pPr>
              <w:widowControl/>
              <w:tabs>
                <w:tab w:val="left" w:pos="-1440"/>
              </w:tabs>
              <w:autoSpaceDE/>
              <w:autoSpaceDN/>
              <w:adjustRightInd/>
              <w:rPr>
                <w:szCs w:val="22"/>
              </w:rPr>
            </w:pPr>
            <w:hyperlink w:history="1" r:id="rId16">
              <w:r w:rsidRPr="006A4AA0" w:rsidR="006A4AA0">
                <w:rPr>
                  <w:szCs w:val="22"/>
                </w:rPr>
                <w:t>Secretaries and Administrative Assistants, Except Legal, Medical, and Executive</w:t>
              </w:r>
            </w:hyperlink>
            <w:r w:rsidR="006A4AA0">
              <w:rPr>
                <w:szCs w:val="22"/>
              </w:rPr>
              <w:t xml:space="preserve"> (Secretary)</w:t>
            </w:r>
          </w:p>
        </w:tc>
        <w:tc>
          <w:tcPr>
            <w:tcW w:w="1710" w:type="dxa"/>
            <w:shd w:val="clear" w:color="auto" w:fill="auto"/>
          </w:tcPr>
          <w:p w:rsidRPr="0042740F" w:rsidR="0042740F" w:rsidP="0042740F" w:rsidRDefault="00145EA2" w14:paraId="52AB4308" w14:textId="77777777">
            <w:pPr>
              <w:widowControl/>
              <w:tabs>
                <w:tab w:val="left" w:pos="-1440"/>
              </w:tabs>
              <w:autoSpaceDE/>
              <w:autoSpaceDN/>
              <w:adjustRightInd/>
              <w:rPr>
                <w:szCs w:val="22"/>
              </w:rPr>
            </w:pPr>
            <w:r>
              <w:rPr>
                <w:szCs w:val="22"/>
              </w:rPr>
              <w:t>43-6014</w:t>
            </w:r>
          </w:p>
        </w:tc>
        <w:tc>
          <w:tcPr>
            <w:tcW w:w="1677" w:type="dxa"/>
            <w:shd w:val="clear" w:color="auto" w:fill="auto"/>
          </w:tcPr>
          <w:p w:rsidRPr="0042740F" w:rsidR="0042740F" w:rsidP="0042740F" w:rsidRDefault="00145EA2" w14:paraId="0F3775A8" w14:textId="77777777">
            <w:pPr>
              <w:widowControl/>
              <w:tabs>
                <w:tab w:val="left" w:pos="-1440"/>
              </w:tabs>
              <w:autoSpaceDE/>
              <w:autoSpaceDN/>
              <w:adjustRightInd/>
              <w:rPr>
                <w:szCs w:val="22"/>
              </w:rPr>
            </w:pPr>
            <w:r>
              <w:rPr>
                <w:szCs w:val="22"/>
              </w:rPr>
              <w:t>$</w:t>
            </w:r>
            <w:r w:rsidR="008A0D26">
              <w:rPr>
                <w:szCs w:val="22"/>
              </w:rPr>
              <w:t>18.84</w:t>
            </w:r>
          </w:p>
        </w:tc>
        <w:tc>
          <w:tcPr>
            <w:tcW w:w="1563" w:type="dxa"/>
            <w:shd w:val="clear" w:color="auto" w:fill="auto"/>
          </w:tcPr>
          <w:p w:rsidRPr="0042740F" w:rsidR="0042740F" w:rsidP="0042740F" w:rsidRDefault="00145EA2" w14:paraId="5DA96926" w14:textId="77777777">
            <w:pPr>
              <w:widowControl/>
              <w:tabs>
                <w:tab w:val="left" w:pos="-1440"/>
              </w:tabs>
              <w:autoSpaceDE/>
              <w:autoSpaceDN/>
              <w:adjustRightInd/>
              <w:rPr>
                <w:szCs w:val="22"/>
              </w:rPr>
            </w:pPr>
            <w:r>
              <w:rPr>
                <w:szCs w:val="22"/>
              </w:rPr>
              <w:t>.</w:t>
            </w:r>
            <w:r w:rsidR="000D2550">
              <w:rPr>
                <w:szCs w:val="22"/>
              </w:rPr>
              <w:t>313</w:t>
            </w:r>
          </w:p>
        </w:tc>
        <w:tc>
          <w:tcPr>
            <w:tcW w:w="2268" w:type="dxa"/>
            <w:shd w:val="clear" w:color="auto" w:fill="auto"/>
          </w:tcPr>
          <w:p w:rsidRPr="0042740F" w:rsidR="0042740F" w:rsidP="0042740F" w:rsidRDefault="00145EA2" w14:paraId="4733BCB5" w14:textId="77777777">
            <w:pPr>
              <w:widowControl/>
              <w:tabs>
                <w:tab w:val="left" w:pos="-1440"/>
              </w:tabs>
              <w:autoSpaceDE/>
              <w:autoSpaceDN/>
              <w:adjustRightInd/>
              <w:rPr>
                <w:szCs w:val="22"/>
              </w:rPr>
            </w:pPr>
            <w:r>
              <w:rPr>
                <w:szCs w:val="22"/>
              </w:rPr>
              <w:t>$</w:t>
            </w:r>
            <w:r w:rsidR="007226BC">
              <w:rPr>
                <w:szCs w:val="22"/>
              </w:rPr>
              <w:t>27.42</w:t>
            </w:r>
          </w:p>
        </w:tc>
      </w:tr>
    </w:tbl>
    <w:p w:rsidRPr="008016F3" w:rsidR="00B42AC9" w:rsidP="00076617" w:rsidRDefault="00B42AC9" w14:paraId="4537A7D2" w14:textId="77777777">
      <w:pPr>
        <w:keepNext/>
        <w:widowControl/>
        <w:autoSpaceDE/>
        <w:autoSpaceDN/>
        <w:adjustRightInd/>
        <w:ind w:firstLine="720"/>
        <w:rPr>
          <w:szCs w:val="22"/>
        </w:rPr>
      </w:pPr>
      <w:r>
        <w:rPr>
          <w:szCs w:val="22"/>
        </w:rPr>
        <w:tab/>
      </w:r>
      <w:r>
        <w:rPr>
          <w:szCs w:val="22"/>
        </w:rPr>
        <w:tab/>
      </w:r>
      <w:r>
        <w:rPr>
          <w:szCs w:val="22"/>
        </w:rPr>
        <w:tab/>
      </w:r>
    </w:p>
    <w:p w:rsidRPr="008016F3" w:rsidR="00B42AC9" w:rsidP="00B42AC9" w:rsidRDefault="00B42AC9" w14:paraId="032E0779" w14:textId="77777777">
      <w:pPr>
        <w:rPr>
          <w:szCs w:val="22"/>
        </w:rPr>
      </w:pPr>
      <w:r w:rsidRPr="008016F3">
        <w:rPr>
          <w:szCs w:val="22"/>
        </w:rPr>
        <w:t>The following sections summarize the methodology used to estimate the number of burden hours and the costs resulting from the information</w:t>
      </w:r>
      <w:r>
        <w:rPr>
          <w:szCs w:val="22"/>
        </w:rPr>
        <w:t xml:space="preserve"> </w:t>
      </w:r>
      <w:r w:rsidRPr="008016F3">
        <w:rPr>
          <w:szCs w:val="22"/>
        </w:rPr>
        <w:t>collection requirements of the Standard.</w:t>
      </w:r>
    </w:p>
    <w:p w:rsidRPr="008016F3" w:rsidR="00B42AC9" w:rsidP="00B42AC9" w:rsidRDefault="00B42AC9" w14:paraId="17E15AD1" w14:textId="77777777">
      <w:pPr>
        <w:rPr>
          <w:szCs w:val="22"/>
        </w:rPr>
      </w:pPr>
    </w:p>
    <w:p w:rsidRPr="0036668F" w:rsidR="00B42AC9" w:rsidP="00B42AC9" w:rsidRDefault="00B42AC9" w14:paraId="3B65BDB3" w14:textId="77777777">
      <w:pPr>
        <w:tabs>
          <w:tab w:val="left" w:pos="540"/>
        </w:tabs>
        <w:rPr>
          <w:b/>
          <w:szCs w:val="22"/>
        </w:rPr>
      </w:pPr>
      <w:r w:rsidRPr="0036668F">
        <w:rPr>
          <w:b/>
          <w:szCs w:val="22"/>
        </w:rPr>
        <w:t>(A)</w:t>
      </w:r>
      <w:r>
        <w:rPr>
          <w:b/>
          <w:szCs w:val="22"/>
        </w:rPr>
        <w:tab/>
      </w:r>
      <w:r w:rsidRPr="0036668F">
        <w:rPr>
          <w:b/>
          <w:szCs w:val="22"/>
        </w:rPr>
        <w:t>Energy-Control Procedure (paragraph (c)(4)(i))</w:t>
      </w:r>
    </w:p>
    <w:p w:rsidRPr="0036668F" w:rsidR="00B42AC9" w:rsidP="00B42AC9" w:rsidRDefault="00B42AC9" w14:paraId="492B483B" w14:textId="77777777">
      <w:pPr>
        <w:rPr>
          <w:szCs w:val="22"/>
        </w:rPr>
      </w:pPr>
    </w:p>
    <w:p w:rsidRPr="0036668F" w:rsidR="00B42AC9" w:rsidP="00B42AC9" w:rsidRDefault="00B42AC9" w14:paraId="1C7ECEDC" w14:textId="77777777">
      <w:pPr>
        <w:rPr>
          <w:szCs w:val="22"/>
        </w:rPr>
      </w:pPr>
      <w:r>
        <w:rPr>
          <w:szCs w:val="22"/>
        </w:rPr>
        <w:t xml:space="preserve">OSHA estimates that </w:t>
      </w:r>
      <w:r w:rsidR="008A0D26">
        <w:rPr>
          <w:szCs w:val="22"/>
        </w:rPr>
        <w:t>25,092</w:t>
      </w:r>
      <w:r w:rsidR="00526631">
        <w:rPr>
          <w:szCs w:val="22"/>
        </w:rPr>
        <w:t xml:space="preserve"> </w:t>
      </w:r>
      <w:r w:rsidRPr="0036668F">
        <w:rPr>
          <w:szCs w:val="22"/>
        </w:rPr>
        <w:t xml:space="preserve">high-impact establishments develop new procedures annually. </w:t>
      </w:r>
      <w:r>
        <w:rPr>
          <w:szCs w:val="22"/>
        </w:rPr>
        <w:t xml:space="preserve"> </w:t>
      </w:r>
      <w:r w:rsidRPr="0036668F">
        <w:rPr>
          <w:szCs w:val="22"/>
        </w:rPr>
        <w:t>The time to perform this activity ranges from 2 to 8</w:t>
      </w:r>
      <w:r>
        <w:rPr>
          <w:szCs w:val="22"/>
        </w:rPr>
        <w:t>0</w:t>
      </w:r>
      <w:r w:rsidRPr="0036668F">
        <w:rPr>
          <w:szCs w:val="22"/>
        </w:rPr>
        <w:t xml:space="preserve"> hours. </w:t>
      </w:r>
      <w:r>
        <w:rPr>
          <w:szCs w:val="22"/>
        </w:rPr>
        <w:t xml:space="preserve"> </w:t>
      </w:r>
      <w:r w:rsidR="000A3E11">
        <w:rPr>
          <w:szCs w:val="22"/>
        </w:rPr>
        <w:t>Also</w:t>
      </w:r>
      <w:r>
        <w:rPr>
          <w:szCs w:val="22"/>
        </w:rPr>
        <w:t xml:space="preserve">, </w:t>
      </w:r>
      <w:r w:rsidR="0094402E">
        <w:rPr>
          <w:szCs w:val="22"/>
        </w:rPr>
        <w:t xml:space="preserve">48,266 </w:t>
      </w:r>
      <w:r w:rsidRPr="0036668F">
        <w:rPr>
          <w:szCs w:val="22"/>
        </w:rPr>
        <w:t xml:space="preserve">low-impact establishments will </w:t>
      </w:r>
      <w:r w:rsidR="0067552F">
        <w:rPr>
          <w:szCs w:val="22"/>
        </w:rPr>
        <w:t>develop</w:t>
      </w:r>
      <w:r w:rsidRPr="0036668F" w:rsidR="0067552F">
        <w:rPr>
          <w:szCs w:val="22"/>
        </w:rPr>
        <w:t xml:space="preserve"> </w:t>
      </w:r>
      <w:r w:rsidRPr="0036668F">
        <w:rPr>
          <w:szCs w:val="22"/>
        </w:rPr>
        <w:t xml:space="preserve">new procedures. </w:t>
      </w:r>
      <w:r>
        <w:rPr>
          <w:szCs w:val="22"/>
        </w:rPr>
        <w:t xml:space="preserve"> </w:t>
      </w:r>
      <w:r w:rsidRPr="0036668F">
        <w:rPr>
          <w:szCs w:val="22"/>
        </w:rPr>
        <w:t>The time for low-impact establishments to develop procedures is estimated at 2 hours.</w:t>
      </w:r>
      <w:r>
        <w:rPr>
          <w:szCs w:val="22"/>
        </w:rPr>
        <w:t xml:space="preserve"> </w:t>
      </w:r>
      <w:r w:rsidRPr="0036668F">
        <w:rPr>
          <w:szCs w:val="22"/>
        </w:rPr>
        <w:t xml:space="preserve"> (See Table 3 for </w:t>
      </w:r>
      <w:r w:rsidR="000A3E11">
        <w:rPr>
          <w:szCs w:val="22"/>
        </w:rPr>
        <w:t xml:space="preserve">a </w:t>
      </w:r>
      <w:r w:rsidRPr="0036668F">
        <w:rPr>
          <w:szCs w:val="22"/>
        </w:rPr>
        <w:t>specific number of establishments in each size category for both high- and low-impact establishments; the burden hour for each size establishment; and details as to how OSHA arrived at the number of establishments.)</w:t>
      </w:r>
    </w:p>
    <w:p w:rsidRPr="0036668F" w:rsidR="00B42AC9" w:rsidP="00B42AC9" w:rsidRDefault="00B42AC9" w14:paraId="47D29614" w14:textId="77777777">
      <w:pPr>
        <w:rPr>
          <w:szCs w:val="22"/>
        </w:rPr>
      </w:pPr>
    </w:p>
    <w:p w:rsidRPr="0036668F" w:rsidR="00B42AC9" w:rsidP="00B42AC9" w:rsidRDefault="005220C4" w14:paraId="74D45408" w14:textId="77777777">
      <w:pPr>
        <w:rPr>
          <w:szCs w:val="22"/>
        </w:rPr>
      </w:pPr>
      <w:r>
        <w:rPr>
          <w:szCs w:val="22"/>
        </w:rPr>
        <w:t xml:space="preserve">The Agency also estimates that </w:t>
      </w:r>
      <w:r w:rsidR="000A3E11">
        <w:rPr>
          <w:szCs w:val="22"/>
        </w:rPr>
        <w:t>every year</w:t>
      </w:r>
      <w:r w:rsidRPr="0036668F" w:rsidR="00B42AC9">
        <w:rPr>
          <w:szCs w:val="22"/>
        </w:rPr>
        <w:t>, a supervisor takes from 30 minutes (</w:t>
      </w:r>
      <w:r w:rsidR="00A62D6A">
        <w:rPr>
          <w:szCs w:val="22"/>
        </w:rPr>
        <w:t>30/60</w:t>
      </w:r>
      <w:r w:rsidRPr="0036668F" w:rsidR="00B42AC9">
        <w:rPr>
          <w:szCs w:val="22"/>
        </w:rPr>
        <w:t xml:space="preserve"> hour</w:t>
      </w:r>
      <w:r w:rsidR="000A3E11">
        <w:rPr>
          <w:szCs w:val="22"/>
        </w:rPr>
        <w:t>s</w:t>
      </w:r>
      <w:r w:rsidRPr="0036668F" w:rsidR="00B42AC9">
        <w:rPr>
          <w:szCs w:val="22"/>
        </w:rPr>
        <w:t>) to 20 hours</w:t>
      </w:r>
      <w:r w:rsidR="00B42AC9">
        <w:rPr>
          <w:szCs w:val="22"/>
        </w:rPr>
        <w:t xml:space="preserve"> to update procedures in the </w:t>
      </w:r>
      <w:r w:rsidR="008A0D26">
        <w:rPr>
          <w:szCs w:val="22"/>
        </w:rPr>
        <w:t>250,917</w:t>
      </w:r>
      <w:r w:rsidR="007D2CAB">
        <w:rPr>
          <w:szCs w:val="22"/>
        </w:rPr>
        <w:t xml:space="preserve"> </w:t>
      </w:r>
      <w:r w:rsidRPr="0036668F" w:rsidR="00B42AC9">
        <w:rPr>
          <w:szCs w:val="22"/>
        </w:rPr>
        <w:t xml:space="preserve">high-impact establishments and 30 minutes to update </w:t>
      </w:r>
      <w:r w:rsidR="00B42AC9">
        <w:rPr>
          <w:szCs w:val="22"/>
        </w:rPr>
        <w:t xml:space="preserve">procedures in the </w:t>
      </w:r>
      <w:r w:rsidR="008A0D26">
        <w:rPr>
          <w:szCs w:val="22"/>
        </w:rPr>
        <w:t>4</w:t>
      </w:r>
      <w:r w:rsidR="00280F15">
        <w:rPr>
          <w:szCs w:val="22"/>
        </w:rPr>
        <w:t>82,64</w:t>
      </w:r>
      <w:r w:rsidR="0069642C">
        <w:rPr>
          <w:szCs w:val="22"/>
        </w:rPr>
        <w:t>9</w:t>
      </w:r>
      <w:r w:rsidR="007D2CAB">
        <w:rPr>
          <w:szCs w:val="22"/>
        </w:rPr>
        <w:t xml:space="preserve"> </w:t>
      </w:r>
      <w:r w:rsidRPr="0036668F" w:rsidR="00B42AC9">
        <w:rPr>
          <w:szCs w:val="22"/>
        </w:rPr>
        <w:t xml:space="preserve">low-impact establishments affected. </w:t>
      </w:r>
      <w:r w:rsidR="00B42AC9">
        <w:rPr>
          <w:szCs w:val="22"/>
        </w:rPr>
        <w:t xml:space="preserve"> </w:t>
      </w:r>
      <w:r w:rsidRPr="0036668F" w:rsidR="00B42AC9">
        <w:rPr>
          <w:szCs w:val="22"/>
        </w:rPr>
        <w:t xml:space="preserve">(See Table 3 for </w:t>
      </w:r>
      <w:r w:rsidR="000A3E11">
        <w:rPr>
          <w:szCs w:val="22"/>
        </w:rPr>
        <w:t xml:space="preserve">a </w:t>
      </w:r>
      <w:r w:rsidRPr="0036668F" w:rsidR="00B42AC9">
        <w:rPr>
          <w:szCs w:val="22"/>
        </w:rPr>
        <w:t>specific number of establishments in each size category for both high- and low-impact establishments; the burden hour for each size establishment; and details as to how OSHA arrived at the number of establishments.)</w:t>
      </w:r>
    </w:p>
    <w:p w:rsidR="006F3DDE" w:rsidP="00B42AC9" w:rsidRDefault="006F3DDE" w14:paraId="10A89DC9" w14:textId="77777777">
      <w:pPr>
        <w:ind w:left="2610" w:hanging="1890"/>
        <w:rPr>
          <w:b/>
          <w:szCs w:val="22"/>
        </w:rPr>
      </w:pPr>
    </w:p>
    <w:p w:rsidRPr="0036668F" w:rsidR="00B42AC9" w:rsidP="00B42AC9" w:rsidRDefault="00B42AC9" w14:paraId="2FB9EAA2" w14:textId="77777777">
      <w:pPr>
        <w:ind w:left="2610" w:hanging="1890"/>
        <w:rPr>
          <w:szCs w:val="22"/>
        </w:rPr>
      </w:pPr>
      <w:r w:rsidRPr="0036668F">
        <w:rPr>
          <w:b/>
          <w:szCs w:val="22"/>
        </w:rPr>
        <w:t>Burden Hours:</w:t>
      </w:r>
      <w:r>
        <w:rPr>
          <w:szCs w:val="22"/>
        </w:rPr>
        <w:tab/>
      </w:r>
      <w:r w:rsidR="008A0D26">
        <w:rPr>
          <w:szCs w:val="22"/>
        </w:rPr>
        <w:t>25,092</w:t>
      </w:r>
      <w:r w:rsidR="00D46CB9">
        <w:rPr>
          <w:szCs w:val="22"/>
        </w:rPr>
        <w:t xml:space="preserve"> </w:t>
      </w:r>
      <w:r w:rsidRPr="0036668F">
        <w:rPr>
          <w:szCs w:val="22"/>
        </w:rPr>
        <w:t xml:space="preserve">high-impact establishments (new procedures) </w:t>
      </w:r>
      <w:r>
        <w:rPr>
          <w:szCs w:val="22"/>
        </w:rPr>
        <w:t>x</w:t>
      </w:r>
      <w:r w:rsidRPr="0036668F">
        <w:rPr>
          <w:szCs w:val="22"/>
        </w:rPr>
        <w:t xml:space="preserve"> range of 2 to 80 hours = </w:t>
      </w:r>
      <w:r w:rsidR="008A0D26">
        <w:rPr>
          <w:b/>
          <w:szCs w:val="22"/>
        </w:rPr>
        <w:t>183,2</w:t>
      </w:r>
      <w:r w:rsidR="0094402E">
        <w:rPr>
          <w:b/>
          <w:szCs w:val="22"/>
        </w:rPr>
        <w:t>7</w:t>
      </w:r>
      <w:r w:rsidR="008A0D26">
        <w:rPr>
          <w:b/>
          <w:szCs w:val="22"/>
        </w:rPr>
        <w:t>6.</w:t>
      </w:r>
      <w:r w:rsidR="0094402E">
        <w:rPr>
          <w:b/>
          <w:szCs w:val="22"/>
        </w:rPr>
        <w:t>00</w:t>
      </w:r>
      <w:r>
        <w:rPr>
          <w:szCs w:val="22"/>
        </w:rPr>
        <w:t xml:space="preserve"> </w:t>
      </w:r>
      <w:r w:rsidRPr="0036668F">
        <w:rPr>
          <w:szCs w:val="22"/>
        </w:rPr>
        <w:t xml:space="preserve">(See Table 3 for </w:t>
      </w:r>
      <w:r w:rsidR="000A3E11">
        <w:rPr>
          <w:szCs w:val="22"/>
        </w:rPr>
        <w:t xml:space="preserve">a </w:t>
      </w:r>
      <w:r w:rsidRPr="0036668F">
        <w:rPr>
          <w:szCs w:val="22"/>
        </w:rPr>
        <w:t>specific number of establishments in each size category for both high- and low-impact establishments; the burden hour for each size establishment; and details as to how OSHA arrived at the number of establishments.)</w:t>
      </w:r>
    </w:p>
    <w:p w:rsidR="00B42AC9" w:rsidP="00B42AC9" w:rsidRDefault="00B42AC9" w14:paraId="0A6B0EB0" w14:textId="77777777">
      <w:pPr>
        <w:ind w:left="2610" w:hanging="1890"/>
        <w:rPr>
          <w:szCs w:val="22"/>
        </w:rPr>
      </w:pPr>
    </w:p>
    <w:p w:rsidRPr="0036668F" w:rsidR="00B42AC9" w:rsidP="00B42AC9" w:rsidRDefault="00B42AC9" w14:paraId="481F3481" w14:textId="77777777">
      <w:pPr>
        <w:ind w:left="2610" w:hanging="1890"/>
        <w:rPr>
          <w:szCs w:val="22"/>
        </w:rPr>
      </w:pPr>
      <w:r>
        <w:rPr>
          <w:szCs w:val="22"/>
        </w:rPr>
        <w:tab/>
      </w:r>
      <w:r w:rsidR="00280F15">
        <w:rPr>
          <w:szCs w:val="22"/>
        </w:rPr>
        <w:t>48,26</w:t>
      </w:r>
      <w:r w:rsidR="0011128F">
        <w:rPr>
          <w:szCs w:val="22"/>
        </w:rPr>
        <w:t>6</w:t>
      </w:r>
      <w:r w:rsidR="00526631">
        <w:rPr>
          <w:szCs w:val="22"/>
        </w:rPr>
        <w:t xml:space="preserve"> </w:t>
      </w:r>
      <w:r w:rsidRPr="0036668F">
        <w:rPr>
          <w:szCs w:val="22"/>
        </w:rPr>
        <w:t xml:space="preserve">low-impact establishments (new procedures) </w:t>
      </w:r>
      <w:r>
        <w:rPr>
          <w:szCs w:val="22"/>
        </w:rPr>
        <w:t>x</w:t>
      </w:r>
      <w:r w:rsidRPr="0036668F">
        <w:rPr>
          <w:szCs w:val="22"/>
        </w:rPr>
        <w:t xml:space="preserve"> 2 hours = </w:t>
      </w:r>
      <w:r w:rsidR="00F07EBF">
        <w:rPr>
          <w:b/>
          <w:szCs w:val="22"/>
        </w:rPr>
        <w:t>9</w:t>
      </w:r>
      <w:r w:rsidR="00280F15">
        <w:rPr>
          <w:b/>
          <w:szCs w:val="22"/>
        </w:rPr>
        <w:t>6,5</w:t>
      </w:r>
      <w:r w:rsidR="0011128F">
        <w:rPr>
          <w:b/>
          <w:szCs w:val="22"/>
        </w:rPr>
        <w:t>32</w:t>
      </w:r>
      <w:r w:rsidR="00280F15">
        <w:rPr>
          <w:b/>
          <w:szCs w:val="22"/>
        </w:rPr>
        <w:t>.</w:t>
      </w:r>
      <w:r w:rsidR="000B4416">
        <w:rPr>
          <w:b/>
          <w:szCs w:val="22"/>
        </w:rPr>
        <w:t>00</w:t>
      </w:r>
      <w:r w:rsidR="00CF1A22">
        <w:rPr>
          <w:szCs w:val="22"/>
        </w:rPr>
        <w:t xml:space="preserve"> </w:t>
      </w:r>
      <w:r w:rsidRPr="000C1EEF">
        <w:rPr>
          <w:b/>
          <w:szCs w:val="22"/>
        </w:rPr>
        <w:t>hours</w:t>
      </w:r>
      <w:r>
        <w:rPr>
          <w:szCs w:val="22"/>
        </w:rPr>
        <w:t xml:space="preserve"> </w:t>
      </w:r>
      <w:r w:rsidRPr="0036668F">
        <w:rPr>
          <w:szCs w:val="22"/>
        </w:rPr>
        <w:t xml:space="preserve">(See Table 3 for </w:t>
      </w:r>
      <w:r w:rsidR="000A3E11">
        <w:rPr>
          <w:szCs w:val="22"/>
        </w:rPr>
        <w:t xml:space="preserve">a </w:t>
      </w:r>
      <w:r w:rsidRPr="0036668F">
        <w:rPr>
          <w:szCs w:val="22"/>
        </w:rPr>
        <w:t>specific number of establishments in each size category for both high- and low-impact establishments</w:t>
      </w:r>
      <w:r w:rsidR="0074770D">
        <w:rPr>
          <w:szCs w:val="22"/>
        </w:rPr>
        <w:t>,</w:t>
      </w:r>
      <w:r w:rsidRPr="0036668F">
        <w:rPr>
          <w:szCs w:val="22"/>
        </w:rPr>
        <w:t xml:space="preserve"> the burden hour for each size establishment; and details as to how OSHA arrived at the number of establishments.)</w:t>
      </w:r>
    </w:p>
    <w:p w:rsidRPr="0036668F" w:rsidR="00B42AC9" w:rsidP="00B42AC9" w:rsidRDefault="00B42AC9" w14:paraId="702E0609" w14:textId="77777777">
      <w:pPr>
        <w:ind w:left="2610" w:hanging="1890"/>
        <w:rPr>
          <w:szCs w:val="22"/>
        </w:rPr>
      </w:pPr>
    </w:p>
    <w:p w:rsidRPr="0036668F" w:rsidR="00B42AC9" w:rsidP="00B42AC9" w:rsidRDefault="00B42AC9" w14:paraId="30AA8AEB" w14:textId="77777777">
      <w:pPr>
        <w:ind w:left="2610" w:hanging="1890"/>
        <w:rPr>
          <w:szCs w:val="22"/>
        </w:rPr>
      </w:pPr>
      <w:r>
        <w:rPr>
          <w:szCs w:val="22"/>
        </w:rPr>
        <w:tab/>
      </w:r>
      <w:r w:rsidR="00F07EBF">
        <w:rPr>
          <w:szCs w:val="22"/>
        </w:rPr>
        <w:t>250,917</w:t>
      </w:r>
      <w:r w:rsidR="00D46CB9">
        <w:rPr>
          <w:szCs w:val="22"/>
        </w:rPr>
        <w:t xml:space="preserve"> </w:t>
      </w:r>
      <w:r w:rsidRPr="0036668F">
        <w:rPr>
          <w:szCs w:val="22"/>
        </w:rPr>
        <w:t xml:space="preserve">high-impact establishments (updating) </w:t>
      </w:r>
      <w:r>
        <w:rPr>
          <w:szCs w:val="22"/>
        </w:rPr>
        <w:t>x</w:t>
      </w:r>
      <w:r w:rsidRPr="0036668F">
        <w:rPr>
          <w:szCs w:val="22"/>
        </w:rPr>
        <w:t xml:space="preserve"> range of </w:t>
      </w:r>
      <w:r w:rsidR="00A62D6A">
        <w:rPr>
          <w:szCs w:val="22"/>
        </w:rPr>
        <w:t>30/60</w:t>
      </w:r>
      <w:r w:rsidRPr="0036668F">
        <w:rPr>
          <w:szCs w:val="22"/>
        </w:rPr>
        <w:t xml:space="preserve"> to 20 hours = </w:t>
      </w:r>
      <w:r w:rsidR="00F07EBF">
        <w:rPr>
          <w:b/>
          <w:szCs w:val="22"/>
        </w:rPr>
        <w:t>532,0</w:t>
      </w:r>
      <w:r w:rsidR="00343B8A">
        <w:rPr>
          <w:b/>
          <w:szCs w:val="22"/>
        </w:rPr>
        <w:t>92</w:t>
      </w:r>
      <w:r w:rsidR="00F07EBF">
        <w:rPr>
          <w:b/>
          <w:szCs w:val="22"/>
        </w:rPr>
        <w:t>.50</w:t>
      </w:r>
      <w:r w:rsidR="00CF1A22">
        <w:rPr>
          <w:szCs w:val="22"/>
        </w:rPr>
        <w:t xml:space="preserve"> </w:t>
      </w:r>
      <w:r w:rsidRPr="0029740E">
        <w:rPr>
          <w:b/>
          <w:szCs w:val="22"/>
        </w:rPr>
        <w:t>h</w:t>
      </w:r>
      <w:r w:rsidRPr="000C1EEF">
        <w:rPr>
          <w:b/>
          <w:szCs w:val="22"/>
        </w:rPr>
        <w:t xml:space="preserve">ours </w:t>
      </w:r>
      <w:r w:rsidRPr="0036668F">
        <w:rPr>
          <w:szCs w:val="22"/>
        </w:rPr>
        <w:t xml:space="preserve">(See Table 3 for </w:t>
      </w:r>
      <w:r w:rsidR="000A3E11">
        <w:rPr>
          <w:szCs w:val="22"/>
        </w:rPr>
        <w:t xml:space="preserve">a </w:t>
      </w:r>
      <w:r w:rsidRPr="0036668F">
        <w:rPr>
          <w:szCs w:val="22"/>
        </w:rPr>
        <w:t>specific number of establishments in each size category for both high- and low-impact establishments; the burden hour for each size establishment; and details as to how OSHA arrived at the number of establishments.)</w:t>
      </w:r>
    </w:p>
    <w:p w:rsidRPr="0036668F" w:rsidR="00B42AC9" w:rsidP="00B42AC9" w:rsidRDefault="00B42AC9" w14:paraId="19A038C2" w14:textId="77777777">
      <w:pPr>
        <w:ind w:left="2610" w:hanging="1890"/>
        <w:rPr>
          <w:szCs w:val="22"/>
        </w:rPr>
      </w:pPr>
    </w:p>
    <w:p w:rsidRPr="0036668F" w:rsidR="00B42AC9" w:rsidP="00B42AC9" w:rsidRDefault="00B42AC9" w14:paraId="32AE26B8" w14:textId="77777777">
      <w:pPr>
        <w:ind w:left="2610" w:hanging="1890"/>
        <w:rPr>
          <w:szCs w:val="22"/>
        </w:rPr>
      </w:pPr>
      <w:r>
        <w:rPr>
          <w:szCs w:val="22"/>
        </w:rPr>
        <w:tab/>
      </w:r>
      <w:r w:rsidR="00280F15">
        <w:rPr>
          <w:szCs w:val="22"/>
        </w:rPr>
        <w:t>482,64</w:t>
      </w:r>
      <w:r w:rsidR="0011128F">
        <w:rPr>
          <w:szCs w:val="22"/>
        </w:rPr>
        <w:t>9</w:t>
      </w:r>
      <w:r w:rsidRPr="0036668F" w:rsidR="007F5E02">
        <w:rPr>
          <w:szCs w:val="22"/>
        </w:rPr>
        <w:t xml:space="preserve"> </w:t>
      </w:r>
      <w:r w:rsidRPr="0036668F">
        <w:rPr>
          <w:szCs w:val="22"/>
        </w:rPr>
        <w:t xml:space="preserve">low-impact establishments </w:t>
      </w:r>
      <w:r>
        <w:rPr>
          <w:szCs w:val="22"/>
        </w:rPr>
        <w:t>x</w:t>
      </w:r>
      <w:r w:rsidRPr="0036668F">
        <w:rPr>
          <w:szCs w:val="22"/>
        </w:rPr>
        <w:t xml:space="preserve"> </w:t>
      </w:r>
      <w:r w:rsidR="00A62D6A">
        <w:rPr>
          <w:szCs w:val="22"/>
        </w:rPr>
        <w:t>30/60</w:t>
      </w:r>
      <w:r w:rsidRPr="0036668F">
        <w:rPr>
          <w:szCs w:val="22"/>
        </w:rPr>
        <w:t xml:space="preserve"> hour = </w:t>
      </w:r>
      <w:r w:rsidR="00F07EBF">
        <w:rPr>
          <w:b/>
          <w:szCs w:val="22"/>
        </w:rPr>
        <w:t>24</w:t>
      </w:r>
      <w:r w:rsidR="00280F15">
        <w:rPr>
          <w:b/>
          <w:szCs w:val="22"/>
        </w:rPr>
        <w:t>1,324.</w:t>
      </w:r>
      <w:r w:rsidR="0011128F">
        <w:rPr>
          <w:b/>
          <w:szCs w:val="22"/>
        </w:rPr>
        <w:t>5</w:t>
      </w:r>
      <w:r w:rsidR="00280F15">
        <w:rPr>
          <w:b/>
          <w:szCs w:val="22"/>
        </w:rPr>
        <w:t>0</w:t>
      </w:r>
      <w:r w:rsidRPr="00076617" w:rsidR="00CF1A22">
        <w:rPr>
          <w:b/>
          <w:szCs w:val="22"/>
        </w:rPr>
        <w:t xml:space="preserve"> </w:t>
      </w:r>
      <w:r w:rsidRPr="00CF1A22">
        <w:rPr>
          <w:b/>
          <w:szCs w:val="22"/>
        </w:rPr>
        <w:t>hours</w:t>
      </w:r>
      <w:r w:rsidRPr="000C1EEF">
        <w:rPr>
          <w:b/>
          <w:szCs w:val="22"/>
        </w:rPr>
        <w:t xml:space="preserve"> </w:t>
      </w:r>
      <w:r w:rsidRPr="0036668F">
        <w:rPr>
          <w:szCs w:val="22"/>
        </w:rPr>
        <w:t xml:space="preserve">(See Table 3 for </w:t>
      </w:r>
      <w:r w:rsidR="000A3E11">
        <w:rPr>
          <w:szCs w:val="22"/>
        </w:rPr>
        <w:t xml:space="preserve">a </w:t>
      </w:r>
      <w:r w:rsidRPr="0036668F">
        <w:rPr>
          <w:szCs w:val="22"/>
        </w:rPr>
        <w:t xml:space="preserve">specific number of establishments in each size category for both high- and low-impact establishments; the burden hour </w:t>
      </w:r>
      <w:r w:rsidRPr="0036668F">
        <w:rPr>
          <w:szCs w:val="22"/>
        </w:rPr>
        <w:lastRenderedPageBreak/>
        <w:t>for each size establishment; and details as to how OSHA arrived at the number of establishments.)</w:t>
      </w:r>
    </w:p>
    <w:p w:rsidRPr="0036668F" w:rsidR="00B42AC9" w:rsidP="00B42AC9" w:rsidRDefault="00B42AC9" w14:paraId="5E103C2E" w14:textId="77777777">
      <w:pPr>
        <w:ind w:left="2610" w:hanging="1890"/>
        <w:rPr>
          <w:szCs w:val="22"/>
        </w:rPr>
      </w:pPr>
    </w:p>
    <w:p w:rsidRPr="0029740E" w:rsidR="00B42AC9" w:rsidP="00B42AC9" w:rsidRDefault="00B42AC9" w14:paraId="2FE19AA9" w14:textId="5911B808">
      <w:pPr>
        <w:tabs>
          <w:tab w:val="left" w:pos="3960"/>
        </w:tabs>
        <w:ind w:left="2610" w:hanging="1890"/>
        <w:rPr>
          <w:b/>
          <w:szCs w:val="22"/>
        </w:rPr>
      </w:pPr>
      <w:r>
        <w:rPr>
          <w:b/>
          <w:szCs w:val="22"/>
        </w:rPr>
        <w:t xml:space="preserve">Total </w:t>
      </w:r>
      <w:r w:rsidRPr="0036668F">
        <w:rPr>
          <w:b/>
          <w:szCs w:val="22"/>
        </w:rPr>
        <w:t>Burden Hours</w:t>
      </w:r>
      <w:r>
        <w:rPr>
          <w:b/>
          <w:szCs w:val="22"/>
        </w:rPr>
        <w:t xml:space="preserve"> for (A)</w:t>
      </w:r>
      <w:r w:rsidRPr="000C1EEF">
        <w:rPr>
          <w:szCs w:val="22"/>
        </w:rPr>
        <w:t>:</w:t>
      </w:r>
      <w:r>
        <w:rPr>
          <w:b/>
          <w:szCs w:val="22"/>
        </w:rPr>
        <w:tab/>
      </w:r>
      <w:r w:rsidR="00F07EBF">
        <w:rPr>
          <w:szCs w:val="22"/>
        </w:rPr>
        <w:t>183,</w:t>
      </w:r>
      <w:r w:rsidR="0053110C">
        <w:rPr>
          <w:szCs w:val="22"/>
        </w:rPr>
        <w:t>276</w:t>
      </w:r>
      <w:r w:rsidR="00297710">
        <w:rPr>
          <w:szCs w:val="22"/>
        </w:rPr>
        <w:t>.00</w:t>
      </w:r>
      <w:r w:rsidR="0053110C">
        <w:rPr>
          <w:szCs w:val="22"/>
        </w:rPr>
        <w:t xml:space="preserve"> </w:t>
      </w:r>
      <w:r w:rsidDel="0053110C" w:rsidR="0053110C">
        <w:rPr>
          <w:szCs w:val="22"/>
        </w:rPr>
        <w:t xml:space="preserve"> </w:t>
      </w:r>
      <w:r w:rsidRPr="007E5355">
        <w:rPr>
          <w:szCs w:val="22"/>
        </w:rPr>
        <w:t xml:space="preserve">+ </w:t>
      </w:r>
      <w:r w:rsidR="00F07EBF">
        <w:rPr>
          <w:szCs w:val="22"/>
        </w:rPr>
        <w:t>9</w:t>
      </w:r>
      <w:r w:rsidR="00280F15">
        <w:rPr>
          <w:szCs w:val="22"/>
        </w:rPr>
        <w:t>6,</w:t>
      </w:r>
      <w:r w:rsidR="0011128F">
        <w:rPr>
          <w:szCs w:val="22"/>
        </w:rPr>
        <w:t>532.00</w:t>
      </w:r>
      <w:r w:rsidRPr="00CF1A22" w:rsidR="00CF1A22">
        <w:rPr>
          <w:szCs w:val="22"/>
        </w:rPr>
        <w:t xml:space="preserve"> </w:t>
      </w:r>
      <w:r w:rsidRPr="007E5355">
        <w:rPr>
          <w:szCs w:val="22"/>
        </w:rPr>
        <w:t xml:space="preserve">+ </w:t>
      </w:r>
      <w:r w:rsidR="00F07EBF">
        <w:rPr>
          <w:szCs w:val="22"/>
        </w:rPr>
        <w:t>532,0</w:t>
      </w:r>
      <w:r w:rsidR="0011128F">
        <w:rPr>
          <w:szCs w:val="22"/>
        </w:rPr>
        <w:t>92</w:t>
      </w:r>
      <w:r w:rsidR="00F07EBF">
        <w:rPr>
          <w:szCs w:val="22"/>
        </w:rPr>
        <w:t>.50</w:t>
      </w:r>
      <w:r w:rsidR="00CF1A22">
        <w:rPr>
          <w:b/>
          <w:szCs w:val="22"/>
        </w:rPr>
        <w:t xml:space="preserve"> </w:t>
      </w:r>
      <w:r w:rsidRPr="00C80A23">
        <w:rPr>
          <w:szCs w:val="22"/>
        </w:rPr>
        <w:t xml:space="preserve">+ </w:t>
      </w:r>
      <w:r w:rsidRPr="00010410" w:rsidR="00F07EBF">
        <w:rPr>
          <w:szCs w:val="22"/>
        </w:rPr>
        <w:t>24</w:t>
      </w:r>
      <w:r w:rsidRPr="00010410" w:rsidR="00280F15">
        <w:rPr>
          <w:szCs w:val="22"/>
        </w:rPr>
        <w:t>1,324.</w:t>
      </w:r>
      <w:r w:rsidR="0011128F">
        <w:rPr>
          <w:szCs w:val="22"/>
        </w:rPr>
        <w:t>5</w:t>
      </w:r>
      <w:r w:rsidRPr="00010410" w:rsidR="00280F15">
        <w:rPr>
          <w:szCs w:val="22"/>
        </w:rPr>
        <w:t>0</w:t>
      </w:r>
      <w:r w:rsidRPr="00010410">
        <w:rPr>
          <w:b/>
          <w:szCs w:val="22"/>
        </w:rPr>
        <w:t>=</w:t>
      </w:r>
      <w:r w:rsidRPr="0029740E">
        <w:rPr>
          <w:b/>
          <w:szCs w:val="22"/>
        </w:rPr>
        <w:t xml:space="preserve"> </w:t>
      </w:r>
    </w:p>
    <w:p w:rsidRPr="000C1EEF" w:rsidR="00B42AC9" w:rsidP="00B42AC9" w:rsidRDefault="00B42AC9" w14:paraId="7CF71916" w14:textId="77777777">
      <w:pPr>
        <w:tabs>
          <w:tab w:val="left" w:pos="3960"/>
        </w:tabs>
        <w:ind w:left="2610" w:hanging="1890"/>
        <w:rPr>
          <w:szCs w:val="22"/>
        </w:rPr>
      </w:pPr>
      <w:r>
        <w:rPr>
          <w:b/>
          <w:szCs w:val="22"/>
        </w:rPr>
        <w:tab/>
      </w:r>
      <w:r>
        <w:rPr>
          <w:b/>
          <w:szCs w:val="22"/>
        </w:rPr>
        <w:tab/>
      </w:r>
      <w:r w:rsidR="00F07EBF">
        <w:rPr>
          <w:b/>
          <w:szCs w:val="22"/>
        </w:rPr>
        <w:t>1,0</w:t>
      </w:r>
      <w:r w:rsidR="00280F15">
        <w:rPr>
          <w:b/>
          <w:szCs w:val="22"/>
        </w:rPr>
        <w:t>53,</w:t>
      </w:r>
      <w:r w:rsidR="0011128F">
        <w:rPr>
          <w:b/>
          <w:szCs w:val="22"/>
        </w:rPr>
        <w:t>225.00</w:t>
      </w:r>
    </w:p>
    <w:p w:rsidRPr="0036668F" w:rsidR="00B42AC9" w:rsidP="00B42AC9" w:rsidRDefault="00B42AC9" w14:paraId="2E8A5D13" w14:textId="77777777">
      <w:pPr>
        <w:tabs>
          <w:tab w:val="left" w:pos="3960"/>
        </w:tabs>
        <w:ind w:left="2160" w:firstLine="720"/>
        <w:rPr>
          <w:szCs w:val="22"/>
        </w:rPr>
      </w:pPr>
      <w:r w:rsidRPr="000C1EEF">
        <w:rPr>
          <w:szCs w:val="22"/>
        </w:rPr>
        <w:t xml:space="preserve">   </w:t>
      </w:r>
      <w:r w:rsidRPr="000C1EEF">
        <w:rPr>
          <w:b/>
          <w:szCs w:val="22"/>
        </w:rPr>
        <w:t>Cost</w:t>
      </w:r>
      <w:r w:rsidRPr="000C1EEF">
        <w:rPr>
          <w:szCs w:val="22"/>
        </w:rPr>
        <w:t xml:space="preserve">: </w:t>
      </w:r>
      <w:r w:rsidRPr="000C1EEF">
        <w:rPr>
          <w:szCs w:val="22"/>
        </w:rPr>
        <w:tab/>
      </w:r>
      <w:r w:rsidR="00F07EBF">
        <w:rPr>
          <w:bCs/>
          <w:szCs w:val="22"/>
        </w:rPr>
        <w:t>1,05</w:t>
      </w:r>
      <w:r w:rsidR="00280F15">
        <w:rPr>
          <w:bCs/>
          <w:szCs w:val="22"/>
        </w:rPr>
        <w:t>3,2</w:t>
      </w:r>
      <w:r w:rsidR="0011128F">
        <w:rPr>
          <w:bCs/>
          <w:szCs w:val="22"/>
        </w:rPr>
        <w:t>25.00</w:t>
      </w:r>
      <w:r w:rsidR="00CF1A22">
        <w:rPr>
          <w:b/>
          <w:bCs/>
          <w:szCs w:val="22"/>
        </w:rPr>
        <w:t xml:space="preserve"> </w:t>
      </w:r>
      <w:r w:rsidRPr="000C1EEF">
        <w:rPr>
          <w:szCs w:val="22"/>
        </w:rPr>
        <w:t>burden hours x</w:t>
      </w:r>
      <w:r>
        <w:rPr>
          <w:szCs w:val="22"/>
        </w:rPr>
        <w:t xml:space="preserve"> $</w:t>
      </w:r>
      <w:r w:rsidR="00CA2251">
        <w:rPr>
          <w:szCs w:val="22"/>
        </w:rPr>
        <w:t>45.63</w:t>
      </w:r>
      <w:r w:rsidRPr="000C1EEF">
        <w:rPr>
          <w:szCs w:val="22"/>
        </w:rPr>
        <w:t xml:space="preserve"> = </w:t>
      </w:r>
      <w:r w:rsidRPr="000C1EEF">
        <w:rPr>
          <w:b/>
          <w:szCs w:val="22"/>
        </w:rPr>
        <w:t>$</w:t>
      </w:r>
      <w:r w:rsidR="00F07EBF">
        <w:rPr>
          <w:b/>
          <w:szCs w:val="22"/>
        </w:rPr>
        <w:t>4</w:t>
      </w:r>
      <w:r w:rsidR="00CD228E">
        <w:rPr>
          <w:b/>
          <w:szCs w:val="22"/>
        </w:rPr>
        <w:t>8,0</w:t>
      </w:r>
      <w:r w:rsidR="0011128F">
        <w:rPr>
          <w:b/>
          <w:szCs w:val="22"/>
        </w:rPr>
        <w:t>58,656.75</w:t>
      </w:r>
    </w:p>
    <w:p w:rsidRPr="0036668F" w:rsidR="00B42AC9" w:rsidP="00B42AC9" w:rsidRDefault="00B42AC9" w14:paraId="0D2173F4" w14:textId="77777777">
      <w:pPr>
        <w:rPr>
          <w:szCs w:val="22"/>
        </w:rPr>
      </w:pPr>
    </w:p>
    <w:p w:rsidRPr="0036668F" w:rsidR="00B42AC9" w:rsidP="00B42AC9" w:rsidRDefault="00B42AC9" w14:paraId="576A0725" w14:textId="77777777">
      <w:pPr>
        <w:tabs>
          <w:tab w:val="left" w:pos="540"/>
        </w:tabs>
        <w:rPr>
          <w:b/>
          <w:szCs w:val="22"/>
        </w:rPr>
      </w:pPr>
      <w:r w:rsidRPr="0036668F">
        <w:rPr>
          <w:b/>
          <w:szCs w:val="22"/>
        </w:rPr>
        <w:t>(B)</w:t>
      </w:r>
      <w:r w:rsidRPr="0036668F">
        <w:rPr>
          <w:b/>
          <w:szCs w:val="22"/>
        </w:rPr>
        <w:tab/>
        <w:t>Periodic Inspection (Paragraph (c)(6)(ii))</w:t>
      </w:r>
    </w:p>
    <w:p w:rsidRPr="0036668F" w:rsidR="00B42AC9" w:rsidP="00B42AC9" w:rsidRDefault="00B42AC9" w14:paraId="19A0F66D" w14:textId="77777777">
      <w:pPr>
        <w:rPr>
          <w:szCs w:val="22"/>
        </w:rPr>
      </w:pPr>
    </w:p>
    <w:p w:rsidRPr="0036668F" w:rsidR="00B42AC9" w:rsidP="00B42AC9" w:rsidRDefault="00B42AC9" w14:paraId="4F1A8139" w14:textId="77777777">
      <w:pPr>
        <w:rPr>
          <w:szCs w:val="22"/>
        </w:rPr>
      </w:pPr>
      <w:r w:rsidRPr="0036668F">
        <w:rPr>
          <w:szCs w:val="22"/>
        </w:rPr>
        <w:t>OSHA assumes that a supervisor takes 20 minutes (</w:t>
      </w:r>
      <w:r w:rsidR="00A62D6A">
        <w:rPr>
          <w:szCs w:val="22"/>
        </w:rPr>
        <w:t>20/60</w:t>
      </w:r>
      <w:r w:rsidRPr="0036668F">
        <w:rPr>
          <w:szCs w:val="22"/>
        </w:rPr>
        <w:t xml:space="preserve"> hour</w:t>
      </w:r>
      <w:r w:rsidR="000A3E11">
        <w:rPr>
          <w:szCs w:val="22"/>
        </w:rPr>
        <w:t>s</w:t>
      </w:r>
      <w:r w:rsidRPr="0036668F">
        <w:rPr>
          <w:szCs w:val="22"/>
        </w:rPr>
        <w:t xml:space="preserve">) to inspect an </w:t>
      </w:r>
      <w:r>
        <w:rPr>
          <w:szCs w:val="22"/>
        </w:rPr>
        <w:t>e</w:t>
      </w:r>
      <w:r w:rsidRPr="0036668F">
        <w:rPr>
          <w:szCs w:val="22"/>
        </w:rPr>
        <w:t xml:space="preserve">stablishment’s energy-control procedure once a year and to prepare and maintain the inspection certificate. </w:t>
      </w:r>
      <w:r>
        <w:rPr>
          <w:szCs w:val="22"/>
        </w:rPr>
        <w:t xml:space="preserve"> </w:t>
      </w:r>
      <w:r w:rsidRPr="0036668F">
        <w:rPr>
          <w:szCs w:val="22"/>
        </w:rPr>
        <w:t xml:space="preserve">Therefore, the estimated total yearly burden hours and cost resulting from this </w:t>
      </w:r>
      <w:r w:rsidR="006A4AA0">
        <w:rPr>
          <w:szCs w:val="22"/>
        </w:rPr>
        <w:t xml:space="preserve">information collection </w:t>
      </w:r>
      <w:r w:rsidRPr="0036668F">
        <w:rPr>
          <w:szCs w:val="22"/>
        </w:rPr>
        <w:t xml:space="preserve">requirement are: </w:t>
      </w:r>
    </w:p>
    <w:p w:rsidRPr="0036668F" w:rsidR="00B42AC9" w:rsidP="00B42AC9" w:rsidRDefault="00B42AC9" w14:paraId="46DC4870" w14:textId="77777777">
      <w:pPr>
        <w:rPr>
          <w:szCs w:val="22"/>
        </w:rPr>
      </w:pPr>
    </w:p>
    <w:p w:rsidRPr="0036668F" w:rsidR="00B42AC9" w:rsidP="00B42AC9" w:rsidRDefault="00B42AC9" w14:paraId="0BD3DDA3" w14:textId="77777777">
      <w:pPr>
        <w:ind w:left="2610" w:hanging="1890"/>
        <w:rPr>
          <w:szCs w:val="22"/>
        </w:rPr>
      </w:pPr>
      <w:r w:rsidRPr="0036668F">
        <w:rPr>
          <w:b/>
          <w:szCs w:val="22"/>
        </w:rPr>
        <w:t>Burden Hours:</w:t>
      </w:r>
      <w:r w:rsidRPr="0036668F">
        <w:rPr>
          <w:b/>
          <w:szCs w:val="22"/>
        </w:rPr>
        <w:tab/>
      </w:r>
      <w:r w:rsidR="00CA2251">
        <w:rPr>
          <w:szCs w:val="22"/>
        </w:rPr>
        <w:t>290,560</w:t>
      </w:r>
      <w:r w:rsidR="00417AB8">
        <w:rPr>
          <w:szCs w:val="22"/>
        </w:rPr>
        <w:t xml:space="preserve"> </w:t>
      </w:r>
      <w:r w:rsidRPr="0036668F">
        <w:rPr>
          <w:szCs w:val="22"/>
        </w:rPr>
        <w:t>high</w:t>
      </w:r>
      <w:r>
        <w:rPr>
          <w:szCs w:val="22"/>
        </w:rPr>
        <w:t xml:space="preserve">-impact </w:t>
      </w:r>
      <w:r w:rsidR="008672ED">
        <w:rPr>
          <w:szCs w:val="22"/>
        </w:rPr>
        <w:t xml:space="preserve">establishments </w:t>
      </w:r>
      <w:r>
        <w:rPr>
          <w:szCs w:val="22"/>
        </w:rPr>
        <w:t>x</w:t>
      </w:r>
      <w:r w:rsidRPr="0036668F">
        <w:rPr>
          <w:szCs w:val="22"/>
        </w:rPr>
        <w:t xml:space="preserve"> </w:t>
      </w:r>
      <w:r w:rsidR="00A62D6A">
        <w:rPr>
          <w:szCs w:val="22"/>
        </w:rPr>
        <w:t>20/60</w:t>
      </w:r>
      <w:r w:rsidRPr="0036668F">
        <w:rPr>
          <w:szCs w:val="22"/>
        </w:rPr>
        <w:t xml:space="preserve"> hour = </w:t>
      </w:r>
      <w:r w:rsidR="008672ED">
        <w:rPr>
          <w:szCs w:val="22"/>
        </w:rPr>
        <w:t>96,853.33</w:t>
      </w:r>
      <w:r w:rsidR="007565C7">
        <w:rPr>
          <w:szCs w:val="22"/>
        </w:rPr>
        <w:t xml:space="preserve"> </w:t>
      </w:r>
      <w:r w:rsidRPr="0036668F">
        <w:rPr>
          <w:b/>
          <w:szCs w:val="22"/>
        </w:rPr>
        <w:t>hours</w:t>
      </w:r>
    </w:p>
    <w:p w:rsidRPr="00F21F52" w:rsidR="00B42AC9" w:rsidP="00B42AC9" w:rsidRDefault="00B42AC9" w14:paraId="59EA6DBC" w14:textId="17CDF8DE">
      <w:pPr>
        <w:ind w:left="2610" w:hanging="1170"/>
        <w:rPr>
          <w:sz w:val="22"/>
          <w:szCs w:val="22"/>
          <w:vertAlign w:val="superscript"/>
        </w:rPr>
      </w:pPr>
      <w:r>
        <w:rPr>
          <w:b/>
          <w:szCs w:val="22"/>
        </w:rPr>
        <w:t xml:space="preserve">     </w:t>
      </w:r>
      <w:r w:rsidRPr="0036668F">
        <w:rPr>
          <w:b/>
          <w:szCs w:val="22"/>
        </w:rPr>
        <w:t xml:space="preserve">Cost: </w:t>
      </w:r>
      <w:r w:rsidRPr="0036668F">
        <w:rPr>
          <w:b/>
          <w:szCs w:val="22"/>
        </w:rPr>
        <w:tab/>
      </w:r>
      <w:r w:rsidRPr="00F21F52" w:rsidR="008672ED">
        <w:rPr>
          <w:szCs w:val="22"/>
        </w:rPr>
        <w:t>96,</w:t>
      </w:r>
      <w:r w:rsidRPr="00F21F52" w:rsidR="00CE4DDC">
        <w:rPr>
          <w:szCs w:val="22"/>
        </w:rPr>
        <w:t>85</w:t>
      </w:r>
      <w:r w:rsidR="00CE4DDC">
        <w:rPr>
          <w:szCs w:val="22"/>
        </w:rPr>
        <w:t>3</w:t>
      </w:r>
      <w:r w:rsidRPr="00F21F52" w:rsidR="008672ED">
        <w:rPr>
          <w:szCs w:val="22"/>
        </w:rPr>
        <w:t>.33</w:t>
      </w:r>
      <w:r w:rsidR="008672ED">
        <w:rPr>
          <w:b/>
          <w:szCs w:val="22"/>
        </w:rPr>
        <w:t xml:space="preserve"> </w:t>
      </w:r>
      <w:r>
        <w:rPr>
          <w:szCs w:val="22"/>
        </w:rPr>
        <w:t>burden hours x</w:t>
      </w:r>
      <w:r w:rsidRPr="0036668F">
        <w:rPr>
          <w:szCs w:val="22"/>
        </w:rPr>
        <w:t xml:space="preserve"> $</w:t>
      </w:r>
      <w:r w:rsidR="00CA2251">
        <w:rPr>
          <w:szCs w:val="22"/>
        </w:rPr>
        <w:t>45.63</w:t>
      </w:r>
      <w:r w:rsidRPr="0036668F">
        <w:rPr>
          <w:szCs w:val="22"/>
        </w:rPr>
        <w:t xml:space="preserve"> = </w:t>
      </w:r>
      <w:r w:rsidRPr="00F21F52">
        <w:rPr>
          <w:szCs w:val="22"/>
        </w:rPr>
        <w:t>$</w:t>
      </w:r>
      <w:r w:rsidRPr="00F21F52" w:rsidR="008672ED">
        <w:rPr>
          <w:szCs w:val="22"/>
        </w:rPr>
        <w:t>4,419,417.60</w:t>
      </w:r>
      <w:r w:rsidR="008672ED">
        <w:rPr>
          <w:b/>
          <w:szCs w:val="22"/>
        </w:rPr>
        <w:t xml:space="preserve"> </w:t>
      </w:r>
    </w:p>
    <w:p w:rsidR="008672ED" w:rsidP="008672ED" w:rsidRDefault="008672ED" w14:paraId="1180B5FE" w14:textId="77777777">
      <w:pPr>
        <w:ind w:left="2610" w:hanging="1890"/>
        <w:rPr>
          <w:b/>
          <w:szCs w:val="22"/>
        </w:rPr>
      </w:pPr>
    </w:p>
    <w:p w:rsidRPr="008672ED" w:rsidR="008672ED" w:rsidP="008672ED" w:rsidRDefault="008672ED" w14:paraId="11D28BF2" w14:textId="77777777">
      <w:pPr>
        <w:ind w:left="2610" w:hanging="1890"/>
        <w:rPr>
          <w:szCs w:val="22"/>
        </w:rPr>
      </w:pPr>
      <w:r w:rsidRPr="0036668F">
        <w:rPr>
          <w:b/>
          <w:szCs w:val="22"/>
        </w:rPr>
        <w:t>Burden Hours:</w:t>
      </w:r>
      <w:r w:rsidRPr="0036668F">
        <w:rPr>
          <w:b/>
          <w:szCs w:val="22"/>
        </w:rPr>
        <w:tab/>
      </w:r>
      <w:r w:rsidR="002C5644">
        <w:rPr>
          <w:szCs w:val="22"/>
        </w:rPr>
        <w:t>482,649</w:t>
      </w:r>
      <w:r>
        <w:rPr>
          <w:szCs w:val="22"/>
        </w:rPr>
        <w:t xml:space="preserve"> low-impact establishments</w:t>
      </w:r>
      <w:r w:rsidRPr="0036668F">
        <w:rPr>
          <w:szCs w:val="22"/>
        </w:rPr>
        <w:t xml:space="preserve"> </w:t>
      </w:r>
      <w:r>
        <w:rPr>
          <w:szCs w:val="22"/>
        </w:rPr>
        <w:t>x</w:t>
      </w:r>
      <w:r w:rsidRPr="0036668F">
        <w:rPr>
          <w:szCs w:val="22"/>
        </w:rPr>
        <w:t xml:space="preserve"> </w:t>
      </w:r>
      <w:r>
        <w:rPr>
          <w:szCs w:val="22"/>
        </w:rPr>
        <w:t>20/60</w:t>
      </w:r>
      <w:r w:rsidRPr="0036668F">
        <w:rPr>
          <w:szCs w:val="22"/>
        </w:rPr>
        <w:t xml:space="preserve"> hour = </w:t>
      </w:r>
      <w:r>
        <w:rPr>
          <w:szCs w:val="22"/>
        </w:rPr>
        <w:t>160,</w:t>
      </w:r>
      <w:r w:rsidR="002C5644">
        <w:rPr>
          <w:szCs w:val="22"/>
        </w:rPr>
        <w:t>883.00</w:t>
      </w:r>
      <w:r w:rsidRPr="008672ED">
        <w:rPr>
          <w:szCs w:val="22"/>
        </w:rPr>
        <w:t xml:space="preserve"> </w:t>
      </w:r>
      <w:r w:rsidRPr="00F21F52">
        <w:rPr>
          <w:szCs w:val="22"/>
        </w:rPr>
        <w:t>hours</w:t>
      </w:r>
    </w:p>
    <w:p w:rsidRPr="00F21F52" w:rsidR="00B42AC9" w:rsidP="008672ED" w:rsidRDefault="008672ED" w14:paraId="554F7F01" w14:textId="77777777">
      <w:pPr>
        <w:rPr>
          <w:szCs w:val="22"/>
        </w:rPr>
      </w:pPr>
      <w:r w:rsidRPr="00F21F52">
        <w:rPr>
          <w:szCs w:val="22"/>
        </w:rPr>
        <w:t xml:space="preserve">     </w:t>
      </w:r>
      <w:r w:rsidRPr="00F21F52">
        <w:rPr>
          <w:szCs w:val="22"/>
        </w:rPr>
        <w:tab/>
      </w:r>
      <w:r w:rsidRPr="00F21F52">
        <w:rPr>
          <w:szCs w:val="22"/>
        </w:rPr>
        <w:tab/>
        <w:t xml:space="preserve">    Cost:      </w:t>
      </w:r>
      <w:r w:rsidRPr="002C5644" w:rsidR="002C5644">
        <w:rPr>
          <w:szCs w:val="22"/>
        </w:rPr>
        <w:t>160,883.00</w:t>
      </w:r>
      <w:r w:rsidRPr="00F21F52">
        <w:rPr>
          <w:szCs w:val="22"/>
        </w:rPr>
        <w:t xml:space="preserve"> </w:t>
      </w:r>
      <w:r w:rsidRPr="008672ED">
        <w:rPr>
          <w:szCs w:val="22"/>
        </w:rPr>
        <w:t>burden hours x $</w:t>
      </w:r>
      <w:r w:rsidRPr="008B2950">
        <w:rPr>
          <w:szCs w:val="22"/>
        </w:rPr>
        <w:t xml:space="preserve">45.63 = </w:t>
      </w:r>
      <w:r w:rsidRPr="00F21F52">
        <w:rPr>
          <w:szCs w:val="22"/>
        </w:rPr>
        <w:t>$7,341,</w:t>
      </w:r>
      <w:r w:rsidR="002C5644">
        <w:rPr>
          <w:szCs w:val="22"/>
        </w:rPr>
        <w:t>091.29</w:t>
      </w:r>
    </w:p>
    <w:p w:rsidRPr="0036668F" w:rsidR="008672ED" w:rsidP="008672ED" w:rsidRDefault="008672ED" w14:paraId="65C83D20" w14:textId="77777777">
      <w:pPr>
        <w:rPr>
          <w:szCs w:val="22"/>
        </w:rPr>
      </w:pPr>
    </w:p>
    <w:p w:rsidRPr="0036668F" w:rsidR="00B42AC9" w:rsidP="00B42AC9" w:rsidRDefault="00B42AC9" w14:paraId="4DDDE6D1" w14:textId="77777777">
      <w:pPr>
        <w:tabs>
          <w:tab w:val="left" w:pos="540"/>
        </w:tabs>
        <w:rPr>
          <w:szCs w:val="22"/>
        </w:rPr>
      </w:pPr>
      <w:r w:rsidRPr="0036668F">
        <w:rPr>
          <w:b/>
          <w:szCs w:val="22"/>
        </w:rPr>
        <w:t>(C)</w:t>
      </w:r>
      <w:r>
        <w:rPr>
          <w:b/>
          <w:szCs w:val="22"/>
        </w:rPr>
        <w:tab/>
      </w:r>
      <w:r w:rsidRPr="0036668F">
        <w:rPr>
          <w:b/>
          <w:szCs w:val="22"/>
        </w:rPr>
        <w:t xml:space="preserve">Training </w:t>
      </w:r>
      <w:r w:rsidR="00070CC6">
        <w:rPr>
          <w:b/>
          <w:szCs w:val="22"/>
        </w:rPr>
        <w:t>Certification Records</w:t>
      </w:r>
      <w:r w:rsidRPr="0036668F">
        <w:rPr>
          <w:b/>
          <w:szCs w:val="22"/>
        </w:rPr>
        <w:t xml:space="preserve"> (Paragraph (c)(7</w:t>
      </w:r>
      <w:r w:rsidRPr="0036668F" w:rsidR="00A30D8F">
        <w:rPr>
          <w:b/>
          <w:szCs w:val="22"/>
        </w:rPr>
        <w:t>)</w:t>
      </w:r>
      <w:r w:rsidR="00070CC6">
        <w:rPr>
          <w:b/>
          <w:szCs w:val="22"/>
        </w:rPr>
        <w:t>(iv</w:t>
      </w:r>
      <w:r w:rsidRPr="0036668F">
        <w:rPr>
          <w:b/>
          <w:szCs w:val="22"/>
        </w:rPr>
        <w:t>))</w:t>
      </w:r>
    </w:p>
    <w:p w:rsidRPr="0036668F" w:rsidR="00B42AC9" w:rsidP="00B42AC9" w:rsidRDefault="00B42AC9" w14:paraId="54ECB2DF" w14:textId="77777777">
      <w:pPr>
        <w:rPr>
          <w:szCs w:val="22"/>
        </w:rPr>
      </w:pPr>
    </w:p>
    <w:p w:rsidRPr="0036668F" w:rsidR="00B42AC9" w:rsidP="00B42AC9" w:rsidRDefault="00B42AC9" w14:paraId="1796F1C7" w14:textId="77777777">
      <w:pPr>
        <w:rPr>
          <w:szCs w:val="22"/>
        </w:rPr>
      </w:pPr>
      <w:r>
        <w:rPr>
          <w:szCs w:val="22"/>
        </w:rPr>
        <w:t xml:space="preserve">The Agency estimates that </w:t>
      </w:r>
      <w:r w:rsidR="00CA2251">
        <w:rPr>
          <w:szCs w:val="22"/>
        </w:rPr>
        <w:t>5.</w:t>
      </w:r>
      <w:r w:rsidR="007853FF">
        <w:rPr>
          <w:szCs w:val="22"/>
        </w:rPr>
        <w:t>59</w:t>
      </w:r>
      <w:r w:rsidR="007F5E02">
        <w:rPr>
          <w:szCs w:val="22"/>
        </w:rPr>
        <w:t xml:space="preserve"> </w:t>
      </w:r>
      <w:r w:rsidRPr="0036668F">
        <w:rPr>
          <w:szCs w:val="22"/>
        </w:rPr>
        <w:t xml:space="preserve">million </w:t>
      </w:r>
      <w:r w:rsidR="008562B0">
        <w:rPr>
          <w:szCs w:val="22"/>
        </w:rPr>
        <w:t>worker</w:t>
      </w:r>
      <w:r w:rsidRPr="0036668F">
        <w:rPr>
          <w:szCs w:val="22"/>
        </w:rPr>
        <w:t xml:space="preserve">s </w:t>
      </w:r>
      <w:r w:rsidR="00A82B3E">
        <w:rPr>
          <w:szCs w:val="22"/>
        </w:rPr>
        <w:t>(i.e.,</w:t>
      </w:r>
      <w:r w:rsidR="00CA2251">
        <w:rPr>
          <w:szCs w:val="22"/>
        </w:rPr>
        <w:t xml:space="preserve"> 5,</w:t>
      </w:r>
      <w:r w:rsidR="008B70CC">
        <w:rPr>
          <w:szCs w:val="22"/>
        </w:rPr>
        <w:t>594,964</w:t>
      </w:r>
      <w:r w:rsidR="00A82B3E">
        <w:rPr>
          <w:szCs w:val="22"/>
        </w:rPr>
        <w:t xml:space="preserve">) </w:t>
      </w:r>
      <w:r w:rsidRPr="0036668F">
        <w:rPr>
          <w:szCs w:val="22"/>
        </w:rPr>
        <w:t xml:space="preserve">covered by the Standard require training each year (i.e., the total number of </w:t>
      </w:r>
      <w:r w:rsidRPr="00031353">
        <w:rPr>
          <w:szCs w:val="22"/>
        </w:rPr>
        <w:t xml:space="preserve">authorized and affected </w:t>
      </w:r>
      <w:r w:rsidR="008562B0">
        <w:rPr>
          <w:szCs w:val="22"/>
        </w:rPr>
        <w:t>worker</w:t>
      </w:r>
      <w:r w:rsidRPr="00031353">
        <w:rPr>
          <w:szCs w:val="22"/>
        </w:rPr>
        <w:t>s</w:t>
      </w:r>
      <w:r w:rsidRPr="0036668F">
        <w:rPr>
          <w:szCs w:val="22"/>
        </w:rPr>
        <w:t xml:space="preserve"> in high- and low-impact establishments listed in Tables 1 and 2). </w:t>
      </w:r>
      <w:r w:rsidR="00070CC6">
        <w:rPr>
          <w:szCs w:val="22"/>
        </w:rPr>
        <w:t>T</w:t>
      </w:r>
      <w:r w:rsidRPr="0036668F" w:rsidR="00A30D8F">
        <w:rPr>
          <w:szCs w:val="22"/>
        </w:rPr>
        <w:t>his</w:t>
      </w:r>
      <w:r w:rsidRPr="0036668F">
        <w:rPr>
          <w:szCs w:val="22"/>
        </w:rPr>
        <w:t xml:space="preserve"> provision specifies that employers must prepare, maintain</w:t>
      </w:r>
      <w:r w:rsidR="000A3E11">
        <w:rPr>
          <w:szCs w:val="22"/>
        </w:rPr>
        <w:t>,</w:t>
      </w:r>
      <w:r w:rsidRPr="0036668F">
        <w:rPr>
          <w:szCs w:val="22"/>
        </w:rPr>
        <w:t xml:space="preserve"> and disclose training records. </w:t>
      </w:r>
      <w:r>
        <w:rPr>
          <w:szCs w:val="22"/>
        </w:rPr>
        <w:t xml:space="preserve"> </w:t>
      </w:r>
      <w:r w:rsidRPr="0036668F">
        <w:rPr>
          <w:szCs w:val="22"/>
        </w:rPr>
        <w:t>The Agency assumes that each year, employers have to prepare and maintain training records for 23 percent</w:t>
      </w:r>
      <w:r w:rsidRPr="00C80A23" w:rsidR="00764704">
        <w:rPr>
          <w:szCs w:val="22"/>
        </w:rPr>
        <w:t xml:space="preserve">, or </w:t>
      </w:r>
      <w:r w:rsidRPr="00010410" w:rsidR="00CA2251">
        <w:rPr>
          <w:szCs w:val="22"/>
        </w:rPr>
        <w:t>1,</w:t>
      </w:r>
      <w:r w:rsidRPr="00010410" w:rsidR="008B70CC">
        <w:rPr>
          <w:szCs w:val="22"/>
        </w:rPr>
        <w:t>286,8</w:t>
      </w:r>
      <w:r w:rsidRPr="00010410" w:rsidR="00160C20">
        <w:rPr>
          <w:szCs w:val="22"/>
        </w:rPr>
        <w:t>4</w:t>
      </w:r>
      <w:r w:rsidRPr="00010410" w:rsidR="008B70CC">
        <w:rPr>
          <w:szCs w:val="22"/>
        </w:rPr>
        <w:t>2</w:t>
      </w:r>
      <w:r w:rsidRPr="00010410">
        <w:rPr>
          <w:szCs w:val="22"/>
        </w:rPr>
        <w:t xml:space="preserve"> of </w:t>
      </w:r>
      <w:r w:rsidRPr="00010410" w:rsidR="00764704">
        <w:rPr>
          <w:szCs w:val="22"/>
        </w:rPr>
        <w:t xml:space="preserve"> (</w:t>
      </w:r>
      <w:r w:rsidRPr="00010410" w:rsidR="009A722F">
        <w:rPr>
          <w:szCs w:val="22"/>
        </w:rPr>
        <w:t>1,</w:t>
      </w:r>
      <w:r w:rsidRPr="00010410" w:rsidR="008B70CC">
        <w:rPr>
          <w:szCs w:val="22"/>
        </w:rPr>
        <w:t>286,8</w:t>
      </w:r>
      <w:r w:rsidRPr="00010410" w:rsidR="00160C20">
        <w:rPr>
          <w:szCs w:val="22"/>
        </w:rPr>
        <w:t>4</w:t>
      </w:r>
      <w:r w:rsidRPr="00010410" w:rsidR="008B70CC">
        <w:rPr>
          <w:szCs w:val="22"/>
        </w:rPr>
        <w:t>2</w:t>
      </w:r>
      <w:r w:rsidRPr="00010410" w:rsidR="00764704">
        <w:rPr>
          <w:szCs w:val="22"/>
        </w:rPr>
        <w:t xml:space="preserve"> =</w:t>
      </w:r>
      <w:r w:rsidR="00764704">
        <w:rPr>
          <w:szCs w:val="22"/>
        </w:rPr>
        <w:t xml:space="preserve"> </w:t>
      </w:r>
      <w:r w:rsidR="009A722F">
        <w:rPr>
          <w:szCs w:val="22"/>
        </w:rPr>
        <w:t>7</w:t>
      </w:r>
      <w:r w:rsidR="008B70CC">
        <w:rPr>
          <w:szCs w:val="22"/>
        </w:rPr>
        <w:t>73,20</w:t>
      </w:r>
      <w:r w:rsidR="008B7180">
        <w:rPr>
          <w:szCs w:val="22"/>
        </w:rPr>
        <w:t>9</w:t>
      </w:r>
      <w:r w:rsidR="00764704">
        <w:rPr>
          <w:szCs w:val="22"/>
        </w:rPr>
        <w:t xml:space="preserve"> establishments x </w:t>
      </w:r>
      <w:r w:rsidR="009A722F">
        <w:rPr>
          <w:szCs w:val="22"/>
        </w:rPr>
        <w:t>1.</w:t>
      </w:r>
      <w:r w:rsidRPr="005D5566" w:rsidR="009A722F">
        <w:rPr>
          <w:szCs w:val="22"/>
        </w:rPr>
        <w:t>6</w:t>
      </w:r>
      <w:r w:rsidRPr="005D5566" w:rsidR="008B70CC">
        <w:rPr>
          <w:szCs w:val="22"/>
        </w:rPr>
        <w:t>6</w:t>
      </w:r>
      <w:r w:rsidR="008B7180">
        <w:rPr>
          <w:szCs w:val="22"/>
        </w:rPr>
        <w:t>42874</w:t>
      </w:r>
      <w:r w:rsidRPr="00FD03C6" w:rsidR="00764704">
        <w:rPr>
          <w:szCs w:val="22"/>
        </w:rPr>
        <w:t xml:space="preserve">) </w:t>
      </w:r>
      <w:r w:rsidRPr="00255B26" w:rsidR="009E230C">
        <w:rPr>
          <w:szCs w:val="22"/>
        </w:rPr>
        <w:t>t</w:t>
      </w:r>
      <w:r w:rsidRPr="00FD03C6">
        <w:rPr>
          <w:szCs w:val="22"/>
        </w:rPr>
        <w:t xml:space="preserve">hese </w:t>
      </w:r>
      <w:r w:rsidRPr="00FD03C6" w:rsidR="008562B0">
        <w:rPr>
          <w:szCs w:val="22"/>
        </w:rPr>
        <w:t>worker</w:t>
      </w:r>
      <w:r w:rsidRPr="00FD03C6">
        <w:rPr>
          <w:szCs w:val="22"/>
        </w:rPr>
        <w:t>s (</w:t>
      </w:r>
      <w:r w:rsidRPr="0036668F">
        <w:rPr>
          <w:szCs w:val="22"/>
        </w:rPr>
        <w:t xml:space="preserve">i.e., new </w:t>
      </w:r>
      <w:r w:rsidR="008562B0">
        <w:rPr>
          <w:szCs w:val="22"/>
        </w:rPr>
        <w:t>worker</w:t>
      </w:r>
      <w:r w:rsidRPr="0036668F">
        <w:rPr>
          <w:szCs w:val="22"/>
        </w:rPr>
        <w:t xml:space="preserve">s and </w:t>
      </w:r>
      <w:r w:rsidR="008562B0">
        <w:rPr>
          <w:szCs w:val="22"/>
        </w:rPr>
        <w:t>worker</w:t>
      </w:r>
      <w:r w:rsidRPr="0036668F">
        <w:rPr>
          <w:szCs w:val="22"/>
        </w:rPr>
        <w:t xml:space="preserve">s who require training), as well as maintain training records for the remaining </w:t>
      </w:r>
      <w:r w:rsidR="009A722F">
        <w:rPr>
          <w:szCs w:val="22"/>
        </w:rPr>
        <w:t>4,</w:t>
      </w:r>
      <w:r w:rsidR="008B70CC">
        <w:rPr>
          <w:szCs w:val="22"/>
        </w:rPr>
        <w:t>308,122</w:t>
      </w:r>
      <w:r>
        <w:rPr>
          <w:szCs w:val="22"/>
        </w:rPr>
        <w:t xml:space="preserve"> </w:t>
      </w:r>
      <w:r w:rsidR="008562B0">
        <w:rPr>
          <w:szCs w:val="22"/>
        </w:rPr>
        <w:t>worker</w:t>
      </w:r>
      <w:r w:rsidRPr="0036668F">
        <w:rPr>
          <w:szCs w:val="22"/>
        </w:rPr>
        <w:t>s</w:t>
      </w:r>
      <w:r w:rsidR="00764704">
        <w:rPr>
          <w:szCs w:val="22"/>
        </w:rPr>
        <w:t xml:space="preserve"> (</w:t>
      </w:r>
      <w:r w:rsidR="009A722F">
        <w:rPr>
          <w:szCs w:val="22"/>
        </w:rPr>
        <w:t>4,3</w:t>
      </w:r>
      <w:r w:rsidR="008B70CC">
        <w:rPr>
          <w:szCs w:val="22"/>
        </w:rPr>
        <w:t>08,122</w:t>
      </w:r>
      <w:r w:rsidR="00764704">
        <w:rPr>
          <w:szCs w:val="22"/>
        </w:rPr>
        <w:t xml:space="preserve"> = </w:t>
      </w:r>
      <w:r w:rsidR="009A722F">
        <w:rPr>
          <w:szCs w:val="22"/>
        </w:rPr>
        <w:t>7</w:t>
      </w:r>
      <w:r w:rsidR="008B70CC">
        <w:rPr>
          <w:szCs w:val="22"/>
        </w:rPr>
        <w:t>7</w:t>
      </w:r>
      <w:r w:rsidR="00445312">
        <w:rPr>
          <w:szCs w:val="22"/>
        </w:rPr>
        <w:t>3,</w:t>
      </w:r>
      <w:r w:rsidR="008B70CC">
        <w:rPr>
          <w:szCs w:val="22"/>
        </w:rPr>
        <w:t>20</w:t>
      </w:r>
      <w:r w:rsidR="008B7180">
        <w:rPr>
          <w:szCs w:val="22"/>
        </w:rPr>
        <w:t>9</w:t>
      </w:r>
      <w:r w:rsidR="00764704">
        <w:rPr>
          <w:szCs w:val="22"/>
        </w:rPr>
        <w:t xml:space="preserve"> establishments x </w:t>
      </w:r>
      <w:r w:rsidR="009A722F">
        <w:rPr>
          <w:szCs w:val="22"/>
        </w:rPr>
        <w:t>5.</w:t>
      </w:r>
      <w:r w:rsidR="008B70CC">
        <w:rPr>
          <w:szCs w:val="22"/>
        </w:rPr>
        <w:t>57</w:t>
      </w:r>
      <w:r w:rsidR="001F20D1">
        <w:rPr>
          <w:szCs w:val="22"/>
        </w:rPr>
        <w:t>174322</w:t>
      </w:r>
      <w:r w:rsidR="00764704">
        <w:rPr>
          <w:szCs w:val="22"/>
        </w:rPr>
        <w:t>)</w:t>
      </w:r>
      <w:r w:rsidRPr="0036668F">
        <w:rPr>
          <w:szCs w:val="22"/>
        </w:rPr>
        <w:t>.</w:t>
      </w:r>
      <w:r w:rsidRPr="00F21F52" w:rsidR="003B664C">
        <w:rPr>
          <w:rStyle w:val="FootnoteReference"/>
          <w:sz w:val="22"/>
          <w:szCs w:val="22"/>
          <w:vertAlign w:val="superscript"/>
        </w:rPr>
        <w:footnoteReference w:id="6"/>
      </w:r>
      <w:r w:rsidRPr="00F21F52" w:rsidR="003B664C">
        <w:rPr>
          <w:sz w:val="22"/>
          <w:vertAlign w:val="superscript"/>
        </w:rPr>
        <w:t xml:space="preserve"> </w:t>
      </w:r>
      <w:r w:rsidR="003B664C">
        <w:rPr>
          <w:szCs w:val="22"/>
        </w:rPr>
        <w:t xml:space="preserve"> </w:t>
      </w:r>
      <w:r w:rsidRPr="0036668F">
        <w:rPr>
          <w:szCs w:val="22"/>
        </w:rPr>
        <w:t>In this regard, OSHA believes that a secretary spends 3 minutes (</w:t>
      </w:r>
      <w:r w:rsidR="00633BF6">
        <w:rPr>
          <w:szCs w:val="22"/>
        </w:rPr>
        <w:t>3/60</w:t>
      </w:r>
      <w:r w:rsidRPr="0036668F">
        <w:rPr>
          <w:szCs w:val="22"/>
        </w:rPr>
        <w:t xml:space="preserve"> hour) preparing and maintaining the record for the 23 percent of </w:t>
      </w:r>
      <w:r w:rsidR="008562B0">
        <w:rPr>
          <w:szCs w:val="22"/>
        </w:rPr>
        <w:t>worker</w:t>
      </w:r>
      <w:r w:rsidRPr="0036668F">
        <w:rPr>
          <w:szCs w:val="22"/>
        </w:rPr>
        <w:t>s who are new or require retraining; and, another 1 minute (</w:t>
      </w:r>
      <w:r w:rsidR="00633BF6">
        <w:rPr>
          <w:szCs w:val="22"/>
        </w:rPr>
        <w:t>1/60</w:t>
      </w:r>
      <w:r w:rsidRPr="0036668F">
        <w:rPr>
          <w:szCs w:val="22"/>
        </w:rPr>
        <w:t xml:space="preserve"> hour) maintaining the already prepared record for the remaining </w:t>
      </w:r>
      <w:r w:rsidR="008562B0">
        <w:rPr>
          <w:szCs w:val="22"/>
        </w:rPr>
        <w:t>worker</w:t>
      </w:r>
      <w:r w:rsidRPr="0036668F">
        <w:rPr>
          <w:szCs w:val="22"/>
        </w:rPr>
        <w:t xml:space="preserve">s (77 percent). </w:t>
      </w:r>
      <w:r>
        <w:rPr>
          <w:szCs w:val="22"/>
        </w:rPr>
        <w:t xml:space="preserve"> </w:t>
      </w:r>
      <w:r w:rsidRPr="0036668F">
        <w:rPr>
          <w:szCs w:val="22"/>
        </w:rPr>
        <w:t>Accordingly, the annual burden</w:t>
      </w:r>
      <w:r>
        <w:rPr>
          <w:szCs w:val="22"/>
        </w:rPr>
        <w:t xml:space="preserve"> </w:t>
      </w:r>
      <w:r w:rsidRPr="0036668F">
        <w:rPr>
          <w:szCs w:val="22"/>
        </w:rPr>
        <w:t xml:space="preserve">hour and cost estimates for the </w:t>
      </w:r>
      <w:r w:rsidR="006A4AA0">
        <w:rPr>
          <w:szCs w:val="22"/>
        </w:rPr>
        <w:t xml:space="preserve">information collection </w:t>
      </w:r>
      <w:r w:rsidRPr="0036668F">
        <w:rPr>
          <w:szCs w:val="22"/>
        </w:rPr>
        <w:t xml:space="preserve">requirements associated with this training requirement are: </w:t>
      </w:r>
    </w:p>
    <w:p w:rsidRPr="0036668F" w:rsidR="00B42AC9" w:rsidP="00B42AC9" w:rsidRDefault="00B42AC9" w14:paraId="14C60DD4" w14:textId="77777777">
      <w:pPr>
        <w:rPr>
          <w:szCs w:val="22"/>
        </w:rPr>
      </w:pPr>
    </w:p>
    <w:p w:rsidRPr="0036668F" w:rsidR="00B42AC9" w:rsidP="00B42AC9" w:rsidRDefault="00B42AC9" w14:paraId="0D0D29C7" w14:textId="77777777">
      <w:pPr>
        <w:ind w:left="2610" w:hanging="1890"/>
        <w:rPr>
          <w:szCs w:val="22"/>
        </w:rPr>
      </w:pPr>
      <w:r w:rsidRPr="0036668F">
        <w:rPr>
          <w:b/>
          <w:szCs w:val="22"/>
        </w:rPr>
        <w:t>Burden Hours:</w:t>
      </w:r>
      <w:r w:rsidRPr="0036668F">
        <w:rPr>
          <w:b/>
          <w:szCs w:val="22"/>
        </w:rPr>
        <w:tab/>
      </w:r>
      <w:r w:rsidR="001F20D1">
        <w:rPr>
          <w:b/>
          <w:szCs w:val="22"/>
        </w:rPr>
        <w:t>(</w:t>
      </w:r>
      <w:r w:rsidR="008B7180">
        <w:rPr>
          <w:szCs w:val="22"/>
        </w:rPr>
        <w:t>1,28</w:t>
      </w:r>
      <w:r w:rsidR="009C0DA5">
        <w:rPr>
          <w:szCs w:val="22"/>
        </w:rPr>
        <w:t>6,842</w:t>
      </w:r>
      <w:r w:rsidR="00764704">
        <w:rPr>
          <w:szCs w:val="22"/>
        </w:rPr>
        <w:t xml:space="preserve"> </w:t>
      </w:r>
      <w:r w:rsidR="008B7180">
        <w:rPr>
          <w:szCs w:val="22"/>
        </w:rPr>
        <w:t>training records</w:t>
      </w:r>
      <w:r w:rsidR="001F20D1">
        <w:rPr>
          <w:szCs w:val="22"/>
        </w:rPr>
        <w:t xml:space="preserve"> – new/retraining </w:t>
      </w:r>
      <w:r>
        <w:rPr>
          <w:szCs w:val="22"/>
        </w:rPr>
        <w:t>x</w:t>
      </w:r>
      <w:r w:rsidRPr="0036668F">
        <w:rPr>
          <w:szCs w:val="22"/>
        </w:rPr>
        <w:t xml:space="preserve"> </w:t>
      </w:r>
      <w:r w:rsidR="00633BF6">
        <w:rPr>
          <w:szCs w:val="22"/>
        </w:rPr>
        <w:t>3/60</w:t>
      </w:r>
      <w:r w:rsidRPr="0036668F">
        <w:rPr>
          <w:szCs w:val="22"/>
        </w:rPr>
        <w:t xml:space="preserve"> hour</w:t>
      </w:r>
      <w:r w:rsidR="001F20D1">
        <w:rPr>
          <w:szCs w:val="22"/>
        </w:rPr>
        <w:t>)</w:t>
      </w:r>
      <w:r w:rsidRPr="0036668F">
        <w:rPr>
          <w:szCs w:val="22"/>
        </w:rPr>
        <w:t xml:space="preserve"> + (</w:t>
      </w:r>
      <w:r w:rsidR="008B7180">
        <w:rPr>
          <w:szCs w:val="22"/>
        </w:rPr>
        <w:t>4,30</w:t>
      </w:r>
      <w:r w:rsidR="009C0DA5">
        <w:rPr>
          <w:szCs w:val="22"/>
        </w:rPr>
        <w:t>8,122</w:t>
      </w:r>
      <w:r w:rsidR="008B7180">
        <w:rPr>
          <w:szCs w:val="22"/>
        </w:rPr>
        <w:t xml:space="preserve"> training records </w:t>
      </w:r>
      <w:r w:rsidR="001F20D1">
        <w:rPr>
          <w:szCs w:val="22"/>
        </w:rPr>
        <w:t xml:space="preserve">– remaining workers </w:t>
      </w:r>
      <w:r w:rsidR="008B7180">
        <w:rPr>
          <w:szCs w:val="22"/>
        </w:rPr>
        <w:t>x</w:t>
      </w:r>
      <w:r w:rsidRPr="0036668F">
        <w:rPr>
          <w:szCs w:val="22"/>
        </w:rPr>
        <w:t xml:space="preserve"> </w:t>
      </w:r>
      <w:r w:rsidR="00633BF6">
        <w:rPr>
          <w:szCs w:val="22"/>
        </w:rPr>
        <w:t>1/60</w:t>
      </w:r>
      <w:r w:rsidRPr="0036668F">
        <w:rPr>
          <w:szCs w:val="22"/>
        </w:rPr>
        <w:t xml:space="preserve"> hour) = </w:t>
      </w:r>
      <w:r w:rsidR="001F20D1">
        <w:rPr>
          <w:szCs w:val="22"/>
        </w:rPr>
        <w:t xml:space="preserve">136,144.13 </w:t>
      </w:r>
      <w:r w:rsidRPr="0036668F">
        <w:rPr>
          <w:b/>
          <w:szCs w:val="22"/>
        </w:rPr>
        <w:t>hours</w:t>
      </w:r>
    </w:p>
    <w:p w:rsidR="00B42AC9" w:rsidP="00B42AC9" w:rsidRDefault="00B42AC9" w14:paraId="4D086DC4" w14:textId="77777777">
      <w:pPr>
        <w:ind w:left="2610" w:hanging="1170"/>
        <w:rPr>
          <w:b/>
          <w:szCs w:val="22"/>
        </w:rPr>
      </w:pPr>
      <w:r>
        <w:rPr>
          <w:b/>
          <w:szCs w:val="22"/>
        </w:rPr>
        <w:t xml:space="preserve">    </w:t>
      </w:r>
      <w:r w:rsidRPr="0036668F">
        <w:rPr>
          <w:b/>
          <w:szCs w:val="22"/>
        </w:rPr>
        <w:t>Cost:</w:t>
      </w:r>
      <w:r w:rsidRPr="0036668F">
        <w:rPr>
          <w:szCs w:val="22"/>
        </w:rPr>
        <w:tab/>
      </w:r>
      <w:r w:rsidR="001F20D1">
        <w:rPr>
          <w:b/>
          <w:szCs w:val="22"/>
        </w:rPr>
        <w:t xml:space="preserve">136,144.13 </w:t>
      </w:r>
      <w:r>
        <w:rPr>
          <w:szCs w:val="22"/>
        </w:rPr>
        <w:t xml:space="preserve">burden </w:t>
      </w:r>
      <w:r w:rsidRPr="0036668F">
        <w:rPr>
          <w:szCs w:val="22"/>
        </w:rPr>
        <w:t xml:space="preserve">hours </w:t>
      </w:r>
      <w:r>
        <w:rPr>
          <w:szCs w:val="22"/>
        </w:rPr>
        <w:t>x $</w:t>
      </w:r>
      <w:r w:rsidR="009A722F">
        <w:rPr>
          <w:szCs w:val="22"/>
        </w:rPr>
        <w:t>27.42</w:t>
      </w:r>
      <w:r w:rsidRPr="0036668F">
        <w:rPr>
          <w:szCs w:val="22"/>
        </w:rPr>
        <w:t xml:space="preserve"> = </w:t>
      </w:r>
      <w:r w:rsidRPr="009B3407">
        <w:rPr>
          <w:b/>
          <w:szCs w:val="22"/>
        </w:rPr>
        <w:t>$</w:t>
      </w:r>
      <w:r w:rsidR="001F20D1">
        <w:rPr>
          <w:b/>
          <w:szCs w:val="22"/>
        </w:rPr>
        <w:t>3,733,072.1</w:t>
      </w:r>
      <w:r w:rsidR="009C0DA5">
        <w:rPr>
          <w:b/>
          <w:szCs w:val="22"/>
        </w:rPr>
        <w:t>3</w:t>
      </w:r>
    </w:p>
    <w:p w:rsidRPr="0036668F" w:rsidR="00B42AC9" w:rsidP="00B42AC9" w:rsidRDefault="00B42AC9" w14:paraId="5767D410" w14:textId="77777777">
      <w:pPr>
        <w:ind w:left="2610" w:hanging="1170"/>
        <w:rPr>
          <w:szCs w:val="22"/>
        </w:rPr>
      </w:pPr>
    </w:p>
    <w:p w:rsidRPr="0036668F" w:rsidR="00B42AC9" w:rsidP="00B42AC9" w:rsidRDefault="00B42AC9" w14:paraId="453F5E2D" w14:textId="77777777">
      <w:pPr>
        <w:tabs>
          <w:tab w:val="left" w:pos="540"/>
        </w:tabs>
        <w:rPr>
          <w:b/>
          <w:szCs w:val="22"/>
        </w:rPr>
      </w:pPr>
      <w:r w:rsidRPr="0036668F">
        <w:rPr>
          <w:b/>
          <w:szCs w:val="22"/>
        </w:rPr>
        <w:t>(D)</w:t>
      </w:r>
      <w:r>
        <w:rPr>
          <w:b/>
          <w:szCs w:val="22"/>
        </w:rPr>
        <w:tab/>
      </w:r>
      <w:r w:rsidRPr="0036668F">
        <w:rPr>
          <w:b/>
          <w:szCs w:val="22"/>
        </w:rPr>
        <w:t>Notification of Employees (Paragraph (c)(9))</w:t>
      </w:r>
    </w:p>
    <w:p w:rsidRPr="0036668F" w:rsidR="00B42AC9" w:rsidP="00B42AC9" w:rsidRDefault="00B42AC9" w14:paraId="2B0CC18F" w14:textId="77777777">
      <w:pPr>
        <w:rPr>
          <w:b/>
          <w:szCs w:val="22"/>
        </w:rPr>
      </w:pPr>
    </w:p>
    <w:p w:rsidR="005553EC" w:rsidP="00B42AC9" w:rsidRDefault="00B42AC9" w14:paraId="236A634B" w14:textId="77777777">
      <w:pPr>
        <w:rPr>
          <w:szCs w:val="22"/>
        </w:rPr>
      </w:pPr>
      <w:r w:rsidRPr="0036668F">
        <w:rPr>
          <w:szCs w:val="22"/>
        </w:rPr>
        <w:t xml:space="preserve">OSHA has determined that the average number of lockout or tagout events that occur annually </w:t>
      </w:r>
      <w:r w:rsidRPr="0036668F" w:rsidR="003B7F76">
        <w:rPr>
          <w:szCs w:val="22"/>
        </w:rPr>
        <w:t>var</w:t>
      </w:r>
      <w:r w:rsidR="003B7F76">
        <w:rPr>
          <w:szCs w:val="22"/>
        </w:rPr>
        <w:t>ies</w:t>
      </w:r>
      <w:r w:rsidRPr="0036668F" w:rsidR="003B7F76">
        <w:rPr>
          <w:szCs w:val="22"/>
        </w:rPr>
        <w:t xml:space="preserve"> </w:t>
      </w:r>
      <w:r w:rsidRPr="0036668F">
        <w:rPr>
          <w:szCs w:val="22"/>
        </w:rPr>
        <w:t xml:space="preserve">by the size of the establishment and whether the establishment is in a high-impact or low-impact industry. </w:t>
      </w:r>
      <w:r>
        <w:rPr>
          <w:szCs w:val="22"/>
        </w:rPr>
        <w:t xml:space="preserve"> </w:t>
      </w:r>
      <w:r w:rsidRPr="0036668F">
        <w:rPr>
          <w:szCs w:val="22"/>
        </w:rPr>
        <w:t xml:space="preserve">OSHA estimates that there are approximately </w:t>
      </w:r>
      <w:r w:rsidR="009A722F">
        <w:t>91,459</w:t>
      </w:r>
      <w:r w:rsidR="00400CE1">
        <w:t xml:space="preserve"> </w:t>
      </w:r>
      <w:r w:rsidRPr="0036668F">
        <w:rPr>
          <w:szCs w:val="22"/>
        </w:rPr>
        <w:t xml:space="preserve">authorized </w:t>
      </w:r>
      <w:r w:rsidR="008562B0">
        <w:rPr>
          <w:szCs w:val="22"/>
        </w:rPr>
        <w:t>worker</w:t>
      </w:r>
      <w:r w:rsidRPr="0036668F">
        <w:rPr>
          <w:szCs w:val="22"/>
        </w:rPr>
        <w:t>s</w:t>
      </w:r>
      <w:r w:rsidRPr="009B3407">
        <w:rPr>
          <w:rStyle w:val="FootnoteReference"/>
          <w:szCs w:val="22"/>
          <w:vertAlign w:val="superscript"/>
        </w:rPr>
        <w:footnoteReference w:id="7"/>
      </w:r>
      <w:r w:rsidRPr="009B3407">
        <w:rPr>
          <w:szCs w:val="22"/>
          <w:vertAlign w:val="superscript"/>
        </w:rPr>
        <w:t xml:space="preserve"> </w:t>
      </w:r>
      <w:r w:rsidRPr="0036668F">
        <w:rPr>
          <w:szCs w:val="22"/>
        </w:rPr>
        <w:t>in very small, high-impact establishments</w:t>
      </w:r>
      <w:r w:rsidR="00D620EB">
        <w:rPr>
          <w:szCs w:val="22"/>
        </w:rPr>
        <w:t xml:space="preserve"> </w:t>
      </w:r>
      <w:r w:rsidRPr="0036668F">
        <w:rPr>
          <w:szCs w:val="22"/>
        </w:rPr>
        <w:t xml:space="preserve">who would have to notify affected </w:t>
      </w:r>
      <w:r w:rsidR="008562B0">
        <w:rPr>
          <w:szCs w:val="22"/>
        </w:rPr>
        <w:t>worker</w:t>
      </w:r>
      <w:r w:rsidRPr="0036668F">
        <w:rPr>
          <w:szCs w:val="22"/>
        </w:rPr>
        <w:t xml:space="preserve">s of the application and removal of lockout/tagout devices (since this practice was not customary and normal in these facilities </w:t>
      </w:r>
      <w:r w:rsidR="000A3E11">
        <w:rPr>
          <w:szCs w:val="22"/>
        </w:rPr>
        <w:t>before</w:t>
      </w:r>
      <w:r w:rsidRPr="0036668F">
        <w:rPr>
          <w:szCs w:val="22"/>
        </w:rPr>
        <w:t xml:space="preserve"> the promulgation of the standard) (see Table 1). </w:t>
      </w:r>
      <w:r w:rsidR="005553EC">
        <w:rPr>
          <w:szCs w:val="22"/>
        </w:rPr>
        <w:t>(</w:t>
      </w:r>
      <w:r w:rsidR="000F3B62">
        <w:rPr>
          <w:szCs w:val="22"/>
        </w:rPr>
        <w:t>91,459</w:t>
      </w:r>
      <w:r w:rsidR="005553EC">
        <w:rPr>
          <w:szCs w:val="22"/>
        </w:rPr>
        <w:t xml:space="preserve"> workers = </w:t>
      </w:r>
      <w:r w:rsidR="008E6CC5">
        <w:rPr>
          <w:szCs w:val="22"/>
        </w:rPr>
        <w:t xml:space="preserve">201,909 </w:t>
      </w:r>
      <w:r w:rsidR="005553EC">
        <w:rPr>
          <w:szCs w:val="22"/>
        </w:rPr>
        <w:t xml:space="preserve">establishments x </w:t>
      </w:r>
      <w:r w:rsidR="000F3B62">
        <w:rPr>
          <w:szCs w:val="22"/>
        </w:rPr>
        <w:t>.45</w:t>
      </w:r>
      <w:r w:rsidR="009D28B6">
        <w:rPr>
          <w:szCs w:val="22"/>
        </w:rPr>
        <w:t>297</w:t>
      </w:r>
      <w:r w:rsidR="005553EC">
        <w:rPr>
          <w:szCs w:val="22"/>
        </w:rPr>
        <w:t xml:space="preserve"> workers/establishment.</w:t>
      </w:r>
      <w:r w:rsidRPr="00F21F52" w:rsidR="005553EC">
        <w:rPr>
          <w:rStyle w:val="FootnoteReference"/>
          <w:vertAlign w:val="superscript"/>
        </w:rPr>
        <w:t>)</w:t>
      </w:r>
      <w:r w:rsidR="005553EC">
        <w:rPr>
          <w:szCs w:val="22"/>
        </w:rPr>
        <w:t xml:space="preserve"> </w:t>
      </w:r>
    </w:p>
    <w:p w:rsidR="005553EC" w:rsidP="00B42AC9" w:rsidRDefault="005553EC" w14:paraId="436FEDA4" w14:textId="77777777">
      <w:pPr>
        <w:rPr>
          <w:szCs w:val="22"/>
        </w:rPr>
      </w:pPr>
    </w:p>
    <w:p w:rsidR="005553EC" w:rsidP="00B42AC9" w:rsidRDefault="00B42AC9" w14:paraId="37FC8BAA" w14:textId="77777777">
      <w:pPr>
        <w:rPr>
          <w:szCs w:val="22"/>
        </w:rPr>
      </w:pPr>
      <w:r w:rsidRPr="0036668F">
        <w:rPr>
          <w:szCs w:val="22"/>
        </w:rPr>
        <w:t xml:space="preserve">OSHA estimates that, on average, there are 75 maintenance or servicing operations conducted annually in each very small, high-impact establishment. </w:t>
      </w:r>
      <w:r>
        <w:rPr>
          <w:szCs w:val="22"/>
        </w:rPr>
        <w:t xml:space="preserve"> </w:t>
      </w:r>
      <w:r w:rsidRPr="0036668F">
        <w:rPr>
          <w:szCs w:val="22"/>
        </w:rPr>
        <w:t xml:space="preserve">For other high-impact establishments, it is estimated that there are approximately </w:t>
      </w:r>
      <w:r w:rsidR="000F3B62">
        <w:rPr>
          <w:szCs w:val="22"/>
        </w:rPr>
        <w:t>273,173</w:t>
      </w:r>
      <w:r w:rsidR="00400CE1">
        <w:rPr>
          <w:szCs w:val="22"/>
        </w:rPr>
        <w:t xml:space="preserve"> </w:t>
      </w:r>
      <w:r w:rsidRPr="0036668F">
        <w:rPr>
          <w:szCs w:val="22"/>
        </w:rPr>
        <w:t xml:space="preserve">authorized </w:t>
      </w:r>
      <w:r w:rsidR="008562B0">
        <w:rPr>
          <w:szCs w:val="22"/>
        </w:rPr>
        <w:t>worker</w:t>
      </w:r>
      <w:r w:rsidRPr="0036668F">
        <w:rPr>
          <w:szCs w:val="22"/>
        </w:rPr>
        <w:t xml:space="preserve">s in establishments who would have to notify affected </w:t>
      </w:r>
      <w:r w:rsidR="008562B0">
        <w:rPr>
          <w:szCs w:val="22"/>
        </w:rPr>
        <w:t>worker</w:t>
      </w:r>
      <w:r w:rsidRPr="0036668F">
        <w:rPr>
          <w:szCs w:val="22"/>
        </w:rPr>
        <w:t>s of the application and removal of lockout/tagout devices (see Table 1).</w:t>
      </w:r>
      <w:r>
        <w:rPr>
          <w:szCs w:val="22"/>
        </w:rPr>
        <w:t xml:space="preserve"> </w:t>
      </w:r>
      <w:r w:rsidRPr="0036668F">
        <w:rPr>
          <w:szCs w:val="22"/>
        </w:rPr>
        <w:t xml:space="preserve"> It is estimated that, on average, there will be 150 such maintenance or service operations conducted annually in each of these establishments. </w:t>
      </w:r>
      <w:r>
        <w:rPr>
          <w:szCs w:val="22"/>
        </w:rPr>
        <w:t xml:space="preserve"> </w:t>
      </w:r>
      <w:r w:rsidR="005553EC">
        <w:rPr>
          <w:szCs w:val="22"/>
        </w:rPr>
        <w:t>(</w:t>
      </w:r>
      <w:r w:rsidR="000F3B62">
        <w:rPr>
          <w:szCs w:val="22"/>
        </w:rPr>
        <w:t>273,173</w:t>
      </w:r>
      <w:r w:rsidR="005553EC">
        <w:rPr>
          <w:szCs w:val="22"/>
        </w:rPr>
        <w:t xml:space="preserve"> workers = </w:t>
      </w:r>
      <w:r w:rsidR="000F3B62">
        <w:rPr>
          <w:szCs w:val="22"/>
        </w:rPr>
        <w:t>88,651</w:t>
      </w:r>
      <w:r w:rsidR="005553EC">
        <w:rPr>
          <w:szCs w:val="22"/>
        </w:rPr>
        <w:t xml:space="preserve"> high-impact, other than very small establishments x </w:t>
      </w:r>
      <w:r w:rsidR="000F3B62">
        <w:rPr>
          <w:szCs w:val="22"/>
        </w:rPr>
        <w:t>3.08</w:t>
      </w:r>
      <w:r w:rsidR="00742666">
        <w:rPr>
          <w:szCs w:val="22"/>
        </w:rPr>
        <w:t>144</w:t>
      </w:r>
      <w:r w:rsidR="005553EC">
        <w:rPr>
          <w:szCs w:val="22"/>
        </w:rPr>
        <w:t xml:space="preserve"> workers/establishment.) </w:t>
      </w:r>
    </w:p>
    <w:p w:rsidR="005553EC" w:rsidP="00B42AC9" w:rsidRDefault="005553EC" w14:paraId="6E86BF7D" w14:textId="77777777">
      <w:pPr>
        <w:rPr>
          <w:szCs w:val="22"/>
        </w:rPr>
      </w:pPr>
    </w:p>
    <w:p w:rsidRPr="0036668F" w:rsidR="00B42AC9" w:rsidP="00B42AC9" w:rsidRDefault="00B42AC9" w14:paraId="426D0A3B" w14:textId="77777777">
      <w:pPr>
        <w:rPr>
          <w:szCs w:val="22"/>
        </w:rPr>
      </w:pPr>
      <w:r w:rsidRPr="0036668F">
        <w:rPr>
          <w:szCs w:val="22"/>
        </w:rPr>
        <w:t xml:space="preserve">Additionally, </w:t>
      </w:r>
      <w:r w:rsidR="000A3E11">
        <w:rPr>
          <w:szCs w:val="22"/>
        </w:rPr>
        <w:t>716,948 authorized workers in low-impact establishments</w:t>
      </w:r>
      <w:r w:rsidRPr="0036668F">
        <w:rPr>
          <w:szCs w:val="22"/>
        </w:rPr>
        <w:t xml:space="preserve"> would have to notify affected </w:t>
      </w:r>
      <w:r w:rsidR="008562B0">
        <w:rPr>
          <w:szCs w:val="22"/>
        </w:rPr>
        <w:t>worker</w:t>
      </w:r>
      <w:r w:rsidRPr="0036668F">
        <w:rPr>
          <w:szCs w:val="22"/>
        </w:rPr>
        <w:t xml:space="preserve">s of the application and removal of lockout/tagout devices (see Table 2). </w:t>
      </w:r>
      <w:r>
        <w:rPr>
          <w:szCs w:val="22"/>
        </w:rPr>
        <w:t xml:space="preserve"> </w:t>
      </w:r>
      <w:r w:rsidRPr="0036668F">
        <w:rPr>
          <w:szCs w:val="22"/>
        </w:rPr>
        <w:t xml:space="preserve">These </w:t>
      </w:r>
      <w:r w:rsidR="008562B0">
        <w:rPr>
          <w:szCs w:val="22"/>
        </w:rPr>
        <w:t>worker</w:t>
      </w:r>
      <w:r w:rsidRPr="0036668F">
        <w:rPr>
          <w:szCs w:val="22"/>
        </w:rPr>
        <w:t xml:space="preserve">s are estimated to perform, on average, 12 maintenance or servicing operations annually for each low-impact establishment. </w:t>
      </w:r>
      <w:r w:rsidR="005553EC">
        <w:rPr>
          <w:szCs w:val="22"/>
        </w:rPr>
        <w:t>(</w:t>
      </w:r>
      <w:r w:rsidR="000F3B62">
        <w:rPr>
          <w:szCs w:val="22"/>
        </w:rPr>
        <w:t>7</w:t>
      </w:r>
      <w:r w:rsidR="006537AD">
        <w:rPr>
          <w:szCs w:val="22"/>
        </w:rPr>
        <w:t>16,948</w:t>
      </w:r>
      <w:r w:rsidR="005553EC">
        <w:rPr>
          <w:szCs w:val="22"/>
        </w:rPr>
        <w:t xml:space="preserve"> workers = </w:t>
      </w:r>
      <w:r w:rsidR="00435EC3">
        <w:rPr>
          <w:szCs w:val="22"/>
        </w:rPr>
        <w:t>4</w:t>
      </w:r>
      <w:r w:rsidR="006537AD">
        <w:rPr>
          <w:szCs w:val="22"/>
        </w:rPr>
        <w:t>82,64</w:t>
      </w:r>
      <w:r w:rsidR="00742666">
        <w:rPr>
          <w:szCs w:val="22"/>
        </w:rPr>
        <w:t>9</w:t>
      </w:r>
      <w:r w:rsidR="005553EC">
        <w:rPr>
          <w:szCs w:val="22"/>
        </w:rPr>
        <w:t xml:space="preserve"> low-impact establishments x </w:t>
      </w:r>
      <w:r w:rsidR="00435EC3">
        <w:rPr>
          <w:szCs w:val="22"/>
        </w:rPr>
        <w:t>1.</w:t>
      </w:r>
      <w:r w:rsidR="006537AD">
        <w:rPr>
          <w:szCs w:val="22"/>
        </w:rPr>
        <w:t>4</w:t>
      </w:r>
      <w:r w:rsidR="00742666">
        <w:rPr>
          <w:szCs w:val="22"/>
        </w:rPr>
        <w:t>8544</w:t>
      </w:r>
      <w:r w:rsidR="00677E49">
        <w:rPr>
          <w:szCs w:val="22"/>
        </w:rPr>
        <w:t>39</w:t>
      </w:r>
      <w:r w:rsidR="005553EC">
        <w:rPr>
          <w:szCs w:val="22"/>
        </w:rPr>
        <w:t xml:space="preserve"> workers/establishment.)</w:t>
      </w:r>
    </w:p>
    <w:p w:rsidRPr="0036668F" w:rsidR="00B42AC9" w:rsidP="00B42AC9" w:rsidRDefault="00B42AC9" w14:paraId="6C2E61F5" w14:textId="77777777">
      <w:pPr>
        <w:rPr>
          <w:szCs w:val="22"/>
        </w:rPr>
      </w:pPr>
    </w:p>
    <w:p w:rsidRPr="0036668F" w:rsidR="00B42AC9" w:rsidP="00B42AC9" w:rsidRDefault="00B42AC9" w14:paraId="4A70DCC1" w14:textId="77777777">
      <w:pPr>
        <w:rPr>
          <w:szCs w:val="22"/>
        </w:rPr>
      </w:pPr>
      <w:r w:rsidRPr="0036668F">
        <w:rPr>
          <w:szCs w:val="22"/>
        </w:rPr>
        <w:t xml:space="preserve">OSHA estimates that a total of </w:t>
      </w:r>
      <w:r w:rsidR="00435EC3">
        <w:rPr>
          <w:szCs w:val="22"/>
        </w:rPr>
        <w:t>56,</w:t>
      </w:r>
      <w:r w:rsidR="009E230C">
        <w:rPr>
          <w:szCs w:val="22"/>
        </w:rPr>
        <w:t>4</w:t>
      </w:r>
      <w:r w:rsidR="006537AD">
        <w:rPr>
          <w:szCs w:val="22"/>
        </w:rPr>
        <w:t>38,</w:t>
      </w:r>
      <w:r w:rsidR="00460D2B">
        <w:rPr>
          <w:szCs w:val="22"/>
        </w:rPr>
        <w:t>691</w:t>
      </w:r>
      <w:r w:rsidR="0040571B">
        <w:rPr>
          <w:szCs w:val="22"/>
        </w:rPr>
        <w:t xml:space="preserve"> </w:t>
      </w:r>
      <w:r w:rsidRPr="004F1729">
        <w:rPr>
          <w:szCs w:val="22"/>
        </w:rPr>
        <w:t>lockout</w:t>
      </w:r>
      <w:r w:rsidRPr="0036668F">
        <w:rPr>
          <w:szCs w:val="22"/>
        </w:rPr>
        <w:t xml:space="preserve"> or tagout events occur annually where notification (not customarily performed) is needed. </w:t>
      </w:r>
      <w:r>
        <w:rPr>
          <w:szCs w:val="22"/>
        </w:rPr>
        <w:t xml:space="preserve"> </w:t>
      </w:r>
      <w:r w:rsidRPr="0036668F">
        <w:rPr>
          <w:szCs w:val="22"/>
        </w:rPr>
        <w:t xml:space="preserve">OSHA assumes that an authorized </w:t>
      </w:r>
      <w:r w:rsidR="008562B0">
        <w:rPr>
          <w:szCs w:val="22"/>
        </w:rPr>
        <w:t>worker</w:t>
      </w:r>
      <w:r w:rsidRPr="0036668F">
        <w:rPr>
          <w:szCs w:val="22"/>
        </w:rPr>
        <w:t xml:space="preserve"> is a non-supervisory manufacturing worker who requires 15 seconds (</w:t>
      </w:r>
      <w:r w:rsidR="00633BF6">
        <w:rPr>
          <w:szCs w:val="22"/>
        </w:rPr>
        <w:t>.25/60</w:t>
      </w:r>
      <w:r w:rsidRPr="0036668F">
        <w:rPr>
          <w:szCs w:val="22"/>
        </w:rPr>
        <w:t xml:space="preserve"> hour</w:t>
      </w:r>
      <w:r w:rsidR="003B7F76">
        <w:rPr>
          <w:szCs w:val="22"/>
        </w:rPr>
        <w:t>s</w:t>
      </w:r>
      <w:r w:rsidRPr="0036668F">
        <w:rPr>
          <w:szCs w:val="22"/>
        </w:rPr>
        <w:t xml:space="preserve">) to provide the required notification (i.e., 10 seconds for applying a lockout/tagout device, and five seconds for removing the device). </w:t>
      </w:r>
      <w:r>
        <w:rPr>
          <w:szCs w:val="22"/>
        </w:rPr>
        <w:t xml:space="preserve"> </w:t>
      </w:r>
      <w:r w:rsidRPr="0036668F">
        <w:rPr>
          <w:szCs w:val="22"/>
        </w:rPr>
        <w:t xml:space="preserve">Accordingly, the total annual burden hour and cost estimates for this notification are: </w:t>
      </w:r>
    </w:p>
    <w:p w:rsidRPr="0036668F" w:rsidR="00B42AC9" w:rsidP="00B42AC9" w:rsidRDefault="00B42AC9" w14:paraId="66D1AF8D" w14:textId="77777777">
      <w:pPr>
        <w:rPr>
          <w:szCs w:val="22"/>
        </w:rPr>
      </w:pPr>
    </w:p>
    <w:p w:rsidRPr="0036668F" w:rsidR="00B42AC9" w:rsidP="00B42AC9" w:rsidRDefault="00B42AC9" w14:paraId="1548B374" w14:textId="77777777">
      <w:pPr>
        <w:rPr>
          <w:szCs w:val="22"/>
        </w:rPr>
      </w:pPr>
      <w:r w:rsidRPr="0036668F">
        <w:rPr>
          <w:szCs w:val="22"/>
        </w:rPr>
        <w:tab/>
      </w:r>
      <w:r w:rsidRPr="0036668F">
        <w:rPr>
          <w:szCs w:val="22"/>
          <w:u w:val="single"/>
        </w:rPr>
        <w:t>High-impact, very small establishments</w:t>
      </w:r>
      <w:r w:rsidRPr="0036668F">
        <w:rPr>
          <w:szCs w:val="22"/>
        </w:rPr>
        <w:t>:</w:t>
      </w:r>
    </w:p>
    <w:p w:rsidRPr="0036668F" w:rsidR="00B42AC9" w:rsidP="00B42AC9" w:rsidRDefault="00D620EB" w14:paraId="21192CF4" w14:textId="77777777">
      <w:pPr>
        <w:ind w:left="1440"/>
        <w:rPr>
          <w:szCs w:val="22"/>
        </w:rPr>
      </w:pPr>
      <w:r>
        <w:t>(</w:t>
      </w:r>
      <w:r w:rsidR="00435EC3">
        <w:t>201,909</w:t>
      </w:r>
      <w:r>
        <w:t xml:space="preserve"> establish</w:t>
      </w:r>
      <w:r w:rsidR="00A43BA1">
        <w:t xml:space="preserve">ments x </w:t>
      </w:r>
      <w:r w:rsidR="00435EC3">
        <w:t>.45</w:t>
      </w:r>
      <w:r w:rsidR="003F29B1">
        <w:t>297</w:t>
      </w:r>
      <w:r>
        <w:t xml:space="preserve"> workers/establishment</w:t>
      </w:r>
      <w:r>
        <w:rPr>
          <w:szCs w:val="22"/>
        </w:rPr>
        <w:t>s)</w:t>
      </w:r>
      <w:r w:rsidRPr="0036668F" w:rsidR="00B42AC9">
        <w:rPr>
          <w:szCs w:val="22"/>
        </w:rPr>
        <w:t xml:space="preserve"> </w:t>
      </w:r>
      <w:r w:rsidR="00B42AC9">
        <w:rPr>
          <w:szCs w:val="22"/>
        </w:rPr>
        <w:t>x</w:t>
      </w:r>
      <w:r w:rsidRPr="0036668F" w:rsidR="00B42AC9">
        <w:rPr>
          <w:szCs w:val="22"/>
        </w:rPr>
        <w:t xml:space="preserve"> 75 operations/year = </w:t>
      </w:r>
      <w:r w:rsidR="00435EC3">
        <w:rPr>
          <w:szCs w:val="22"/>
        </w:rPr>
        <w:t>6,859,4</w:t>
      </w:r>
      <w:r w:rsidR="003F29B1">
        <w:rPr>
          <w:szCs w:val="22"/>
        </w:rPr>
        <w:t>04</w:t>
      </w:r>
      <w:r w:rsidR="008E3FB0">
        <w:rPr>
          <w:szCs w:val="22"/>
        </w:rPr>
        <w:t xml:space="preserve"> </w:t>
      </w:r>
      <w:r w:rsidRPr="0036668F" w:rsidR="00B42AC9">
        <w:rPr>
          <w:szCs w:val="22"/>
        </w:rPr>
        <w:t>events/year</w:t>
      </w:r>
    </w:p>
    <w:p w:rsidRPr="0036668F" w:rsidR="00B42AC9" w:rsidP="00B42AC9" w:rsidRDefault="00B42AC9" w14:paraId="5DDE4EE0" w14:textId="77777777">
      <w:pPr>
        <w:rPr>
          <w:szCs w:val="22"/>
        </w:rPr>
      </w:pPr>
    </w:p>
    <w:p w:rsidRPr="0036668F" w:rsidR="00B42AC9" w:rsidP="00B42AC9" w:rsidRDefault="00B42AC9" w14:paraId="3484D718" w14:textId="77777777">
      <w:pPr>
        <w:rPr>
          <w:szCs w:val="22"/>
        </w:rPr>
      </w:pPr>
      <w:r w:rsidRPr="0036668F">
        <w:rPr>
          <w:szCs w:val="22"/>
        </w:rPr>
        <w:tab/>
      </w:r>
      <w:r w:rsidRPr="0036668F">
        <w:rPr>
          <w:szCs w:val="22"/>
          <w:u w:val="single"/>
        </w:rPr>
        <w:t>High-impact, other than very small establishments</w:t>
      </w:r>
      <w:r w:rsidRPr="0036668F">
        <w:rPr>
          <w:szCs w:val="22"/>
        </w:rPr>
        <w:t>:</w:t>
      </w:r>
    </w:p>
    <w:p w:rsidRPr="0036668F" w:rsidR="00B42AC9" w:rsidP="00FD1DA6" w:rsidRDefault="00D620EB" w14:paraId="673C86E3" w14:textId="16B7C98D">
      <w:pPr>
        <w:ind w:left="1440"/>
        <w:rPr>
          <w:szCs w:val="22"/>
        </w:rPr>
      </w:pPr>
      <w:r>
        <w:rPr>
          <w:szCs w:val="22"/>
        </w:rPr>
        <w:t>(</w:t>
      </w:r>
      <w:r w:rsidR="00435EC3">
        <w:rPr>
          <w:szCs w:val="22"/>
        </w:rPr>
        <w:t>88,651</w:t>
      </w:r>
      <w:r w:rsidR="00A43BA1">
        <w:rPr>
          <w:szCs w:val="22"/>
        </w:rPr>
        <w:t xml:space="preserve"> establishments x </w:t>
      </w:r>
      <w:r w:rsidR="00435EC3">
        <w:rPr>
          <w:szCs w:val="22"/>
        </w:rPr>
        <w:t>3.08</w:t>
      </w:r>
      <w:r w:rsidR="00460D2B">
        <w:rPr>
          <w:szCs w:val="22"/>
        </w:rPr>
        <w:t>144</w:t>
      </w:r>
      <w:r>
        <w:rPr>
          <w:szCs w:val="22"/>
        </w:rPr>
        <w:t xml:space="preserve"> workers/establishment) </w:t>
      </w:r>
      <w:r w:rsidR="00B42AC9">
        <w:rPr>
          <w:szCs w:val="22"/>
        </w:rPr>
        <w:t>x</w:t>
      </w:r>
      <w:r w:rsidRPr="0036668F" w:rsidR="00B42AC9">
        <w:rPr>
          <w:szCs w:val="22"/>
        </w:rPr>
        <w:t xml:space="preserve"> 150 operations/year = </w:t>
      </w:r>
      <w:r w:rsidR="00435EC3">
        <w:rPr>
          <w:szCs w:val="22"/>
        </w:rPr>
        <w:t>40,9</w:t>
      </w:r>
      <w:r w:rsidR="00677E49">
        <w:rPr>
          <w:szCs w:val="22"/>
        </w:rPr>
        <w:t>7</w:t>
      </w:r>
      <w:r w:rsidR="004B7987">
        <w:rPr>
          <w:szCs w:val="22"/>
        </w:rPr>
        <w:t>5,</w:t>
      </w:r>
      <w:r w:rsidR="00677E49">
        <w:rPr>
          <w:szCs w:val="22"/>
        </w:rPr>
        <w:t>911</w:t>
      </w:r>
      <w:r w:rsidR="008E3FB0">
        <w:rPr>
          <w:szCs w:val="22"/>
        </w:rPr>
        <w:t xml:space="preserve"> </w:t>
      </w:r>
      <w:r w:rsidRPr="0036668F" w:rsidR="00B42AC9">
        <w:rPr>
          <w:szCs w:val="22"/>
        </w:rPr>
        <w:t>events/year</w:t>
      </w:r>
    </w:p>
    <w:p w:rsidRPr="0036668F" w:rsidR="00B42AC9" w:rsidP="00B42AC9" w:rsidRDefault="00B42AC9" w14:paraId="180FA422" w14:textId="77777777">
      <w:pPr>
        <w:rPr>
          <w:szCs w:val="22"/>
        </w:rPr>
      </w:pPr>
    </w:p>
    <w:p w:rsidRPr="0036668F" w:rsidR="00B42AC9" w:rsidP="00B42AC9" w:rsidRDefault="00B42AC9" w14:paraId="2B1874E2" w14:textId="77777777">
      <w:pPr>
        <w:rPr>
          <w:szCs w:val="22"/>
        </w:rPr>
      </w:pPr>
      <w:r w:rsidRPr="0036668F">
        <w:rPr>
          <w:szCs w:val="22"/>
        </w:rPr>
        <w:tab/>
      </w:r>
      <w:r w:rsidRPr="0036668F">
        <w:rPr>
          <w:szCs w:val="22"/>
          <w:u w:val="single"/>
        </w:rPr>
        <w:t>Low-impact establishments</w:t>
      </w:r>
      <w:r w:rsidRPr="0036668F">
        <w:rPr>
          <w:szCs w:val="22"/>
        </w:rPr>
        <w:t xml:space="preserve">: </w:t>
      </w:r>
    </w:p>
    <w:p w:rsidRPr="0036668F" w:rsidR="00B42AC9" w:rsidP="00B42AC9" w:rsidRDefault="00D620EB" w14:paraId="6448D558" w14:textId="77777777">
      <w:pPr>
        <w:ind w:left="1440"/>
        <w:rPr>
          <w:szCs w:val="22"/>
        </w:rPr>
      </w:pPr>
      <w:r>
        <w:rPr>
          <w:szCs w:val="22"/>
        </w:rPr>
        <w:t>(</w:t>
      </w:r>
      <w:r w:rsidR="00435EC3">
        <w:rPr>
          <w:szCs w:val="22"/>
        </w:rPr>
        <w:t>4</w:t>
      </w:r>
      <w:r w:rsidR="00D0580C">
        <w:rPr>
          <w:szCs w:val="22"/>
        </w:rPr>
        <w:t>82,64</w:t>
      </w:r>
      <w:r w:rsidR="007B7661">
        <w:rPr>
          <w:szCs w:val="22"/>
        </w:rPr>
        <w:t>9</w:t>
      </w:r>
      <w:r>
        <w:rPr>
          <w:szCs w:val="22"/>
        </w:rPr>
        <w:t xml:space="preserve"> establishments x </w:t>
      </w:r>
      <w:r w:rsidR="00435EC3">
        <w:rPr>
          <w:szCs w:val="22"/>
        </w:rPr>
        <w:t>1.</w:t>
      </w:r>
      <w:r w:rsidR="00D0580C">
        <w:rPr>
          <w:szCs w:val="22"/>
        </w:rPr>
        <w:t>4</w:t>
      </w:r>
      <w:r w:rsidR="00460D2B">
        <w:rPr>
          <w:szCs w:val="22"/>
        </w:rPr>
        <w:t>854439</w:t>
      </w:r>
      <w:r w:rsidR="00A43BA1">
        <w:rPr>
          <w:szCs w:val="22"/>
        </w:rPr>
        <w:t xml:space="preserve"> </w:t>
      </w:r>
      <w:r>
        <w:rPr>
          <w:szCs w:val="22"/>
        </w:rPr>
        <w:t xml:space="preserve">workers/establishment) </w:t>
      </w:r>
      <w:r w:rsidR="00B42AC9">
        <w:rPr>
          <w:szCs w:val="22"/>
        </w:rPr>
        <w:t>x</w:t>
      </w:r>
      <w:r w:rsidRPr="0036668F" w:rsidR="00B42AC9">
        <w:rPr>
          <w:szCs w:val="22"/>
        </w:rPr>
        <w:t xml:space="preserve"> 12 operations/year = </w:t>
      </w:r>
      <w:r w:rsidR="00435EC3">
        <w:rPr>
          <w:szCs w:val="22"/>
        </w:rPr>
        <w:t>8,</w:t>
      </w:r>
      <w:r w:rsidR="00D0580C">
        <w:rPr>
          <w:szCs w:val="22"/>
        </w:rPr>
        <w:t>6</w:t>
      </w:r>
      <w:r w:rsidR="00460D2B">
        <w:rPr>
          <w:szCs w:val="22"/>
        </w:rPr>
        <w:t>03,376</w:t>
      </w:r>
      <w:r w:rsidR="008E3FB0">
        <w:rPr>
          <w:szCs w:val="22"/>
        </w:rPr>
        <w:t xml:space="preserve"> </w:t>
      </w:r>
      <w:r w:rsidRPr="0036668F" w:rsidR="00B42AC9">
        <w:rPr>
          <w:szCs w:val="22"/>
        </w:rPr>
        <w:t>events/year</w:t>
      </w:r>
    </w:p>
    <w:p w:rsidRPr="0036668F" w:rsidR="00B42AC9" w:rsidP="00B42AC9" w:rsidRDefault="00B42AC9" w14:paraId="592D899A" w14:textId="77777777">
      <w:pPr>
        <w:rPr>
          <w:szCs w:val="22"/>
        </w:rPr>
      </w:pPr>
    </w:p>
    <w:p w:rsidRPr="0036668F" w:rsidR="00B42AC9" w:rsidP="00B42AC9" w:rsidRDefault="00B42AC9" w14:paraId="4304C3B8" w14:textId="77777777">
      <w:pPr>
        <w:ind w:left="2610" w:hanging="1890"/>
        <w:rPr>
          <w:szCs w:val="22"/>
        </w:rPr>
      </w:pPr>
      <w:r w:rsidRPr="0036668F">
        <w:rPr>
          <w:b/>
          <w:szCs w:val="22"/>
        </w:rPr>
        <w:lastRenderedPageBreak/>
        <w:t>Burden Hours:</w:t>
      </w:r>
      <w:r w:rsidRPr="0036668F">
        <w:rPr>
          <w:b/>
          <w:szCs w:val="22"/>
        </w:rPr>
        <w:tab/>
      </w:r>
      <w:r w:rsidR="00435EC3">
        <w:rPr>
          <w:szCs w:val="22"/>
        </w:rPr>
        <w:t>56,</w:t>
      </w:r>
      <w:r w:rsidR="00460D2B">
        <w:rPr>
          <w:szCs w:val="22"/>
        </w:rPr>
        <w:t>438,691</w:t>
      </w:r>
      <w:r w:rsidR="008E3FB0">
        <w:rPr>
          <w:szCs w:val="22"/>
        </w:rPr>
        <w:t xml:space="preserve"> </w:t>
      </w:r>
      <w:r>
        <w:rPr>
          <w:szCs w:val="22"/>
        </w:rPr>
        <w:t>notifications x</w:t>
      </w:r>
      <w:r w:rsidRPr="0036668F">
        <w:rPr>
          <w:szCs w:val="22"/>
        </w:rPr>
        <w:t xml:space="preserve"> </w:t>
      </w:r>
      <w:r w:rsidR="009C0DA5">
        <w:rPr>
          <w:szCs w:val="22"/>
        </w:rPr>
        <w:t>0</w:t>
      </w:r>
      <w:r w:rsidR="00633BF6">
        <w:rPr>
          <w:szCs w:val="22"/>
        </w:rPr>
        <w:t>.25/60</w:t>
      </w:r>
      <w:r w:rsidRPr="0036668F">
        <w:rPr>
          <w:szCs w:val="22"/>
        </w:rPr>
        <w:t xml:space="preserve"> hour =</w:t>
      </w:r>
      <w:r w:rsidRPr="0029740E">
        <w:rPr>
          <w:b/>
          <w:szCs w:val="22"/>
        </w:rPr>
        <w:t xml:space="preserve"> </w:t>
      </w:r>
      <w:r w:rsidR="00460D2B">
        <w:rPr>
          <w:b/>
          <w:szCs w:val="22"/>
        </w:rPr>
        <w:t>235,161.21</w:t>
      </w:r>
      <w:r w:rsidR="00F95387">
        <w:rPr>
          <w:b/>
          <w:szCs w:val="22"/>
        </w:rPr>
        <w:t xml:space="preserve"> </w:t>
      </w:r>
      <w:r w:rsidRPr="00A0023A">
        <w:rPr>
          <w:b/>
          <w:szCs w:val="22"/>
        </w:rPr>
        <w:t>hours</w:t>
      </w:r>
    </w:p>
    <w:p w:rsidRPr="0036668F" w:rsidR="00B42AC9" w:rsidP="00F21F52" w:rsidRDefault="00B42AC9" w14:paraId="28D53D77" w14:textId="4714F6EB">
      <w:pPr>
        <w:tabs>
          <w:tab w:val="left" w:pos="720"/>
          <w:tab w:val="left" w:pos="1440"/>
          <w:tab w:val="left" w:pos="2160"/>
          <w:tab w:val="left" w:pos="2880"/>
          <w:tab w:val="left" w:pos="3600"/>
          <w:tab w:val="left" w:pos="4320"/>
          <w:tab w:val="left" w:pos="5040"/>
          <w:tab w:val="left" w:pos="5760"/>
          <w:tab w:val="left" w:pos="6480"/>
          <w:tab w:val="left" w:pos="7200"/>
          <w:tab w:val="left" w:pos="8780"/>
        </w:tabs>
        <w:ind w:left="2610" w:hanging="1170"/>
        <w:rPr>
          <w:szCs w:val="22"/>
        </w:rPr>
      </w:pPr>
      <w:r>
        <w:rPr>
          <w:b/>
          <w:szCs w:val="22"/>
        </w:rPr>
        <w:t xml:space="preserve">     </w:t>
      </w:r>
      <w:r w:rsidRPr="0036668F">
        <w:rPr>
          <w:b/>
          <w:szCs w:val="22"/>
        </w:rPr>
        <w:t>Cost:</w:t>
      </w:r>
      <w:r w:rsidRPr="0036668F">
        <w:rPr>
          <w:b/>
          <w:szCs w:val="22"/>
        </w:rPr>
        <w:tab/>
      </w:r>
      <w:r w:rsidR="00460D2B">
        <w:rPr>
          <w:b/>
          <w:szCs w:val="22"/>
        </w:rPr>
        <w:t>235,161.21</w:t>
      </w:r>
      <w:r>
        <w:rPr>
          <w:b/>
          <w:szCs w:val="22"/>
        </w:rPr>
        <w:t xml:space="preserve"> </w:t>
      </w:r>
      <w:r>
        <w:rPr>
          <w:szCs w:val="22"/>
        </w:rPr>
        <w:t xml:space="preserve">burden </w:t>
      </w:r>
      <w:r w:rsidRPr="0036668F">
        <w:rPr>
          <w:szCs w:val="22"/>
        </w:rPr>
        <w:t xml:space="preserve">hours </w:t>
      </w:r>
      <w:r>
        <w:rPr>
          <w:szCs w:val="22"/>
        </w:rPr>
        <w:t>x $</w:t>
      </w:r>
      <w:r w:rsidR="004826EF">
        <w:rPr>
          <w:szCs w:val="22"/>
        </w:rPr>
        <w:t>28.09</w:t>
      </w:r>
      <w:r w:rsidR="007F5E02">
        <w:rPr>
          <w:szCs w:val="22"/>
        </w:rPr>
        <w:t xml:space="preserve"> </w:t>
      </w:r>
      <w:r w:rsidRPr="0036668F">
        <w:rPr>
          <w:szCs w:val="22"/>
        </w:rPr>
        <w:t xml:space="preserve">= </w:t>
      </w:r>
      <w:r w:rsidRPr="00A0023A">
        <w:rPr>
          <w:b/>
          <w:szCs w:val="22"/>
        </w:rPr>
        <w:t>$</w:t>
      </w:r>
      <w:r w:rsidR="00460D2B">
        <w:rPr>
          <w:b/>
          <w:szCs w:val="22"/>
        </w:rPr>
        <w:t>6,605,</w:t>
      </w:r>
      <w:r w:rsidR="004B7987">
        <w:rPr>
          <w:b/>
          <w:szCs w:val="22"/>
        </w:rPr>
        <w:t>6</w:t>
      </w:r>
      <w:r w:rsidR="00460D2B">
        <w:rPr>
          <w:b/>
          <w:szCs w:val="22"/>
        </w:rPr>
        <w:t>78.4</w:t>
      </w:r>
      <w:r w:rsidR="00AE71CE">
        <w:rPr>
          <w:b/>
          <w:szCs w:val="22"/>
        </w:rPr>
        <w:t>3</w:t>
      </w:r>
    </w:p>
    <w:p w:rsidRPr="0036668F" w:rsidR="00B42AC9" w:rsidP="00B42AC9" w:rsidRDefault="00B42AC9" w14:paraId="17A3CCFC" w14:textId="77777777">
      <w:pPr>
        <w:rPr>
          <w:szCs w:val="22"/>
        </w:rPr>
      </w:pPr>
    </w:p>
    <w:p w:rsidRPr="0036668F" w:rsidR="00B42AC9" w:rsidP="00B42AC9" w:rsidRDefault="00B42AC9" w14:paraId="01FB8F5B" w14:textId="77777777">
      <w:pPr>
        <w:tabs>
          <w:tab w:val="left" w:pos="540"/>
        </w:tabs>
        <w:rPr>
          <w:b/>
          <w:szCs w:val="22"/>
        </w:rPr>
      </w:pPr>
      <w:r w:rsidRPr="0036668F">
        <w:rPr>
          <w:b/>
          <w:szCs w:val="22"/>
        </w:rPr>
        <w:t>(E)</w:t>
      </w:r>
      <w:r>
        <w:rPr>
          <w:b/>
          <w:szCs w:val="22"/>
        </w:rPr>
        <w:tab/>
        <w:t>O</w:t>
      </w:r>
      <w:r w:rsidRPr="0036668F">
        <w:rPr>
          <w:b/>
          <w:szCs w:val="22"/>
        </w:rPr>
        <w:t>utside Personnel (Contractors, etc.) (Paragraph (f)(2)(i))</w:t>
      </w:r>
    </w:p>
    <w:p w:rsidRPr="0036668F" w:rsidR="00B42AC9" w:rsidP="00B42AC9" w:rsidRDefault="00B42AC9" w14:paraId="2AB74531" w14:textId="77777777">
      <w:pPr>
        <w:rPr>
          <w:szCs w:val="22"/>
        </w:rPr>
      </w:pPr>
    </w:p>
    <w:p w:rsidRPr="0036668F" w:rsidR="00B42AC9" w:rsidP="00B42AC9" w:rsidRDefault="00B42AC9" w14:paraId="53E625F2" w14:textId="77777777">
      <w:pPr>
        <w:rPr>
          <w:szCs w:val="22"/>
        </w:rPr>
      </w:pPr>
      <w:r w:rsidRPr="0036668F">
        <w:rPr>
          <w:szCs w:val="22"/>
        </w:rPr>
        <w:t xml:space="preserve">Paragraph (f)(2)(i) requires onsite and outside (contractor) employers to notify each other of their respective LO/TO procedures. </w:t>
      </w:r>
      <w:r>
        <w:rPr>
          <w:szCs w:val="22"/>
        </w:rPr>
        <w:t xml:space="preserve"> </w:t>
      </w:r>
      <w:r w:rsidRPr="0036668F">
        <w:rPr>
          <w:szCs w:val="22"/>
        </w:rPr>
        <w:t>Notification of respective LO/TO procedures takes 5 minutes (</w:t>
      </w:r>
      <w:r w:rsidR="00633BF6">
        <w:rPr>
          <w:szCs w:val="22"/>
        </w:rPr>
        <w:t>5/60</w:t>
      </w:r>
      <w:r w:rsidRPr="0036668F">
        <w:rPr>
          <w:szCs w:val="22"/>
        </w:rPr>
        <w:t xml:space="preserve"> hour</w:t>
      </w:r>
      <w:r w:rsidR="000A3E11">
        <w:rPr>
          <w:szCs w:val="22"/>
        </w:rPr>
        <w:t>s</w:t>
      </w:r>
      <w:r w:rsidRPr="0036668F">
        <w:rPr>
          <w:szCs w:val="22"/>
        </w:rPr>
        <w:t xml:space="preserve">) for the onsite and outside contractor to meet and discuss respective LO/TO procedures. </w:t>
      </w:r>
      <w:r>
        <w:rPr>
          <w:szCs w:val="22"/>
        </w:rPr>
        <w:t xml:space="preserve"> </w:t>
      </w:r>
      <w:r w:rsidRPr="0036668F">
        <w:rPr>
          <w:szCs w:val="22"/>
        </w:rPr>
        <w:t>As both the onsite employer and outside contractor attend the five-minute meeting, the Agency assumes a total of 10 minutes (</w:t>
      </w:r>
      <w:r w:rsidR="00633BF6">
        <w:rPr>
          <w:szCs w:val="22"/>
        </w:rPr>
        <w:t>10/60</w:t>
      </w:r>
      <w:r w:rsidRPr="0036668F">
        <w:rPr>
          <w:szCs w:val="22"/>
        </w:rPr>
        <w:t xml:space="preserve"> hour</w:t>
      </w:r>
      <w:r w:rsidR="000A3E11">
        <w:rPr>
          <w:szCs w:val="22"/>
        </w:rPr>
        <w:t>s</w:t>
      </w:r>
      <w:r w:rsidRPr="0036668F">
        <w:rPr>
          <w:szCs w:val="22"/>
        </w:rPr>
        <w:t xml:space="preserve">) for this requirement. </w:t>
      </w:r>
    </w:p>
    <w:p w:rsidRPr="0036668F" w:rsidR="00B42AC9" w:rsidP="00B42AC9" w:rsidRDefault="00B42AC9" w14:paraId="3F4A87C9" w14:textId="77777777">
      <w:pPr>
        <w:rPr>
          <w:szCs w:val="22"/>
        </w:rPr>
      </w:pPr>
    </w:p>
    <w:p w:rsidRPr="0036668F" w:rsidR="00B42AC9" w:rsidP="00B42AC9" w:rsidRDefault="00B42AC9" w14:paraId="2947FFD0" w14:textId="77777777">
      <w:pPr>
        <w:rPr>
          <w:szCs w:val="22"/>
        </w:rPr>
      </w:pPr>
      <w:r w:rsidRPr="0036668F">
        <w:rPr>
          <w:szCs w:val="22"/>
        </w:rPr>
        <w:t>A supervisor/manager, at a wage rate of $</w:t>
      </w:r>
      <w:r w:rsidR="004826EF">
        <w:rPr>
          <w:szCs w:val="22"/>
        </w:rPr>
        <w:t>45.63</w:t>
      </w:r>
      <w:r w:rsidRPr="0036668F">
        <w:rPr>
          <w:szCs w:val="22"/>
        </w:rPr>
        <w:t xml:space="preserve"> per hour will perform the notifications. Further, OSHA believes that contractors are involved in 10 percent of all lockout/tagout events. </w:t>
      </w:r>
      <w:r>
        <w:rPr>
          <w:szCs w:val="22"/>
        </w:rPr>
        <w:t xml:space="preserve"> </w:t>
      </w:r>
      <w:r w:rsidRPr="0036668F">
        <w:rPr>
          <w:szCs w:val="22"/>
        </w:rPr>
        <w:t xml:space="preserve">As determined above, there are </w:t>
      </w:r>
      <w:r w:rsidR="004826EF">
        <w:rPr>
          <w:b/>
          <w:szCs w:val="22"/>
        </w:rPr>
        <w:t>56,</w:t>
      </w:r>
      <w:r w:rsidR="00DD4F65">
        <w:rPr>
          <w:b/>
          <w:szCs w:val="22"/>
        </w:rPr>
        <w:t>4</w:t>
      </w:r>
      <w:r w:rsidR="00460D2B">
        <w:rPr>
          <w:b/>
          <w:szCs w:val="22"/>
        </w:rPr>
        <w:t>38,691</w:t>
      </w:r>
      <w:r w:rsidR="00084A86">
        <w:rPr>
          <w:b/>
          <w:szCs w:val="22"/>
        </w:rPr>
        <w:t xml:space="preserve"> </w:t>
      </w:r>
      <w:r w:rsidRPr="0036668F">
        <w:rPr>
          <w:szCs w:val="22"/>
        </w:rPr>
        <w:t xml:space="preserve">lockout/tagout events annually that require </w:t>
      </w:r>
      <w:r w:rsidR="008562B0">
        <w:rPr>
          <w:szCs w:val="22"/>
        </w:rPr>
        <w:t>worker</w:t>
      </w:r>
      <w:r w:rsidRPr="0036668F">
        <w:rPr>
          <w:szCs w:val="22"/>
        </w:rPr>
        <w:t>s to be notified (</w:t>
      </w:r>
      <w:r w:rsidR="004826EF">
        <w:rPr>
          <w:b/>
          <w:szCs w:val="22"/>
        </w:rPr>
        <w:t>56,</w:t>
      </w:r>
      <w:r w:rsidR="00460D2B">
        <w:rPr>
          <w:b/>
          <w:szCs w:val="22"/>
        </w:rPr>
        <w:t>438,691</w:t>
      </w:r>
      <w:r w:rsidR="00084A86">
        <w:rPr>
          <w:b/>
          <w:szCs w:val="22"/>
        </w:rPr>
        <w:t xml:space="preserve"> </w:t>
      </w:r>
      <w:r>
        <w:rPr>
          <w:szCs w:val="22"/>
        </w:rPr>
        <w:t>x</w:t>
      </w:r>
      <w:r w:rsidRPr="0036668F">
        <w:rPr>
          <w:szCs w:val="22"/>
        </w:rPr>
        <w:t xml:space="preserve"> 10% </w:t>
      </w:r>
      <w:r w:rsidRPr="00010410">
        <w:rPr>
          <w:szCs w:val="22"/>
        </w:rPr>
        <w:t xml:space="preserve">= </w:t>
      </w:r>
      <w:r w:rsidRPr="00A302E7" w:rsidR="004826EF">
        <w:rPr>
          <w:b/>
          <w:szCs w:val="22"/>
        </w:rPr>
        <w:t>5,6</w:t>
      </w:r>
      <w:r w:rsidRPr="00A302E7" w:rsidR="00D0580C">
        <w:rPr>
          <w:b/>
          <w:szCs w:val="22"/>
        </w:rPr>
        <w:t>4</w:t>
      </w:r>
      <w:r w:rsidRPr="00A302E7" w:rsidR="00460D2B">
        <w:rPr>
          <w:b/>
          <w:szCs w:val="22"/>
        </w:rPr>
        <w:t>3,869</w:t>
      </w:r>
      <w:r w:rsidR="00084A86">
        <w:rPr>
          <w:szCs w:val="22"/>
        </w:rPr>
        <w:t xml:space="preserve"> </w:t>
      </w:r>
      <w:r w:rsidRPr="0036668F">
        <w:rPr>
          <w:szCs w:val="22"/>
        </w:rPr>
        <w:t>notifications)</w:t>
      </w:r>
      <w:r w:rsidR="005F201E">
        <w:rPr>
          <w:szCs w:val="22"/>
        </w:rPr>
        <w:t xml:space="preserve"> (</w:t>
      </w:r>
      <w:r w:rsidR="004826EF">
        <w:rPr>
          <w:szCs w:val="22"/>
        </w:rPr>
        <w:t>5,6</w:t>
      </w:r>
      <w:r w:rsidR="00D0580C">
        <w:rPr>
          <w:szCs w:val="22"/>
        </w:rPr>
        <w:t>4</w:t>
      </w:r>
      <w:r w:rsidR="00460D2B">
        <w:rPr>
          <w:szCs w:val="22"/>
        </w:rPr>
        <w:t>3,869</w:t>
      </w:r>
      <w:r w:rsidR="005F201E">
        <w:rPr>
          <w:szCs w:val="22"/>
        </w:rPr>
        <w:t xml:space="preserve"> notifications = </w:t>
      </w:r>
      <w:r w:rsidR="004826EF">
        <w:rPr>
          <w:szCs w:val="22"/>
        </w:rPr>
        <w:t>7</w:t>
      </w:r>
      <w:r w:rsidR="00D0580C">
        <w:rPr>
          <w:szCs w:val="22"/>
        </w:rPr>
        <w:t>73,20</w:t>
      </w:r>
      <w:r w:rsidR="001F20D1">
        <w:rPr>
          <w:szCs w:val="22"/>
        </w:rPr>
        <w:t>9</w:t>
      </w:r>
      <w:r w:rsidR="00DD4F65">
        <w:rPr>
          <w:szCs w:val="22"/>
        </w:rPr>
        <w:t xml:space="preserve"> </w:t>
      </w:r>
      <w:r w:rsidR="005F201E">
        <w:rPr>
          <w:szCs w:val="22"/>
        </w:rPr>
        <w:t xml:space="preserve">establishments x </w:t>
      </w:r>
      <w:r w:rsidR="004826EF">
        <w:rPr>
          <w:szCs w:val="22"/>
        </w:rPr>
        <w:t>7.</w:t>
      </w:r>
      <w:r w:rsidR="001F20D1">
        <w:rPr>
          <w:szCs w:val="22"/>
        </w:rPr>
        <w:t>29928001</w:t>
      </w:r>
      <w:r w:rsidR="005F201E">
        <w:rPr>
          <w:szCs w:val="22"/>
        </w:rPr>
        <w:t xml:space="preserve"> notifications per establishment).</w:t>
      </w:r>
    </w:p>
    <w:p w:rsidRPr="0036668F" w:rsidR="00B42AC9" w:rsidP="00B42AC9" w:rsidRDefault="00B42AC9" w14:paraId="4A2DA794" w14:textId="77777777">
      <w:pPr>
        <w:rPr>
          <w:szCs w:val="22"/>
        </w:rPr>
      </w:pPr>
    </w:p>
    <w:p w:rsidRPr="0036668F" w:rsidR="00B42AC9" w:rsidP="00B42AC9" w:rsidRDefault="00B42AC9" w14:paraId="5482AA83" w14:textId="77777777">
      <w:pPr>
        <w:ind w:left="2610" w:hanging="1890"/>
        <w:rPr>
          <w:szCs w:val="22"/>
        </w:rPr>
      </w:pPr>
      <w:r w:rsidRPr="0036668F">
        <w:rPr>
          <w:b/>
          <w:szCs w:val="22"/>
        </w:rPr>
        <w:t>Burden Hours:</w:t>
      </w:r>
      <w:r w:rsidRPr="0036668F">
        <w:rPr>
          <w:b/>
          <w:szCs w:val="22"/>
        </w:rPr>
        <w:tab/>
      </w:r>
      <w:r w:rsidR="008B7180">
        <w:rPr>
          <w:b/>
          <w:szCs w:val="22"/>
        </w:rPr>
        <w:t>5,643,869</w:t>
      </w:r>
      <w:r w:rsidR="005F201E">
        <w:rPr>
          <w:szCs w:val="22"/>
        </w:rPr>
        <w:t xml:space="preserve"> </w:t>
      </w:r>
      <w:r>
        <w:rPr>
          <w:szCs w:val="22"/>
        </w:rPr>
        <w:t>x</w:t>
      </w:r>
      <w:r w:rsidRPr="0036668F">
        <w:rPr>
          <w:szCs w:val="22"/>
        </w:rPr>
        <w:t xml:space="preserve"> </w:t>
      </w:r>
      <w:r w:rsidR="00633BF6">
        <w:rPr>
          <w:szCs w:val="22"/>
        </w:rPr>
        <w:t xml:space="preserve">10/60 </w:t>
      </w:r>
      <w:r w:rsidRPr="0036668F">
        <w:rPr>
          <w:szCs w:val="22"/>
        </w:rPr>
        <w:t xml:space="preserve">hour = </w:t>
      </w:r>
      <w:r w:rsidR="004826EF">
        <w:rPr>
          <w:b/>
          <w:szCs w:val="22"/>
        </w:rPr>
        <w:t>9</w:t>
      </w:r>
      <w:r w:rsidR="007F50EF">
        <w:rPr>
          <w:b/>
          <w:szCs w:val="22"/>
        </w:rPr>
        <w:t>40,</w:t>
      </w:r>
      <w:r w:rsidR="008B7180">
        <w:rPr>
          <w:b/>
          <w:szCs w:val="22"/>
        </w:rPr>
        <w:t>644.83</w:t>
      </w:r>
      <w:r w:rsidRPr="00A0023A">
        <w:rPr>
          <w:b/>
          <w:szCs w:val="22"/>
        </w:rPr>
        <w:t xml:space="preserve"> hours</w:t>
      </w:r>
    </w:p>
    <w:p w:rsidRPr="0036668F" w:rsidR="00B42AC9" w:rsidP="00B42AC9" w:rsidRDefault="00B42AC9" w14:paraId="33D443F3" w14:textId="77777777">
      <w:pPr>
        <w:ind w:left="2610" w:hanging="1170"/>
        <w:rPr>
          <w:szCs w:val="22"/>
        </w:rPr>
      </w:pPr>
      <w:r>
        <w:rPr>
          <w:b/>
          <w:szCs w:val="22"/>
        </w:rPr>
        <w:t xml:space="preserve">     </w:t>
      </w:r>
      <w:r w:rsidRPr="0036668F">
        <w:rPr>
          <w:b/>
          <w:szCs w:val="22"/>
        </w:rPr>
        <w:t>Cost:</w:t>
      </w:r>
      <w:r w:rsidRPr="0036668F">
        <w:rPr>
          <w:b/>
          <w:szCs w:val="22"/>
        </w:rPr>
        <w:tab/>
      </w:r>
      <w:r w:rsidR="004826EF">
        <w:rPr>
          <w:b/>
          <w:szCs w:val="22"/>
        </w:rPr>
        <w:t>9</w:t>
      </w:r>
      <w:r w:rsidR="008B7180">
        <w:rPr>
          <w:b/>
          <w:szCs w:val="22"/>
        </w:rPr>
        <w:t>40,644.83</w:t>
      </w:r>
      <w:r w:rsidR="00094761">
        <w:rPr>
          <w:b/>
          <w:szCs w:val="22"/>
        </w:rPr>
        <w:t xml:space="preserve"> </w:t>
      </w:r>
      <w:r>
        <w:rPr>
          <w:szCs w:val="22"/>
        </w:rPr>
        <w:t>hours x</w:t>
      </w:r>
      <w:r w:rsidRPr="0036668F">
        <w:rPr>
          <w:szCs w:val="22"/>
        </w:rPr>
        <w:t xml:space="preserve"> $</w:t>
      </w:r>
      <w:r w:rsidR="004826EF">
        <w:rPr>
          <w:szCs w:val="22"/>
        </w:rPr>
        <w:t>45.63</w:t>
      </w:r>
      <w:r w:rsidRPr="0036668F">
        <w:rPr>
          <w:szCs w:val="22"/>
        </w:rPr>
        <w:t xml:space="preserve"> = </w:t>
      </w:r>
      <w:r w:rsidRPr="00A0023A">
        <w:rPr>
          <w:b/>
          <w:szCs w:val="22"/>
        </w:rPr>
        <w:t>$</w:t>
      </w:r>
      <w:r w:rsidR="00F75D95">
        <w:rPr>
          <w:b/>
          <w:szCs w:val="22"/>
        </w:rPr>
        <w:t>4</w:t>
      </w:r>
      <w:r w:rsidR="007F50EF">
        <w:rPr>
          <w:b/>
          <w:szCs w:val="22"/>
        </w:rPr>
        <w:t>2,</w:t>
      </w:r>
      <w:r w:rsidR="008B7180">
        <w:rPr>
          <w:b/>
          <w:szCs w:val="22"/>
        </w:rPr>
        <w:t>921,623.7</w:t>
      </w:r>
      <w:r w:rsidR="00115D7E">
        <w:rPr>
          <w:b/>
          <w:szCs w:val="22"/>
        </w:rPr>
        <w:t>2</w:t>
      </w:r>
      <w:r w:rsidDel="007F50EF" w:rsidR="00230F8A">
        <w:rPr>
          <w:b/>
          <w:szCs w:val="22"/>
        </w:rPr>
        <w:t xml:space="preserve"> </w:t>
      </w:r>
    </w:p>
    <w:p w:rsidR="0050572C" w:rsidP="00B42AC9" w:rsidRDefault="0050572C" w14:paraId="713F8B61" w14:textId="77777777">
      <w:pPr>
        <w:rPr>
          <w:szCs w:val="22"/>
        </w:rPr>
        <w:sectPr w:rsidR="0050572C" w:rsidSect="007C76DE">
          <w:headerReference w:type="default" r:id="rId17"/>
          <w:footerReference w:type="even" r:id="rId18"/>
          <w:footerReference w:type="default" r:id="rId19"/>
          <w:headerReference w:type="first" r:id="rId20"/>
          <w:footerReference w:type="first" r:id="rId21"/>
          <w:pgSz w:w="12240" w:h="15840" w:code="1"/>
          <w:pgMar w:top="1152" w:right="1267" w:bottom="1296" w:left="1440" w:header="720" w:footer="720" w:gutter="0"/>
          <w:cols w:space="720"/>
          <w:titlePg/>
          <w:docGrid w:linePitch="360"/>
        </w:sectPr>
      </w:pPr>
    </w:p>
    <w:p w:rsidR="00B42AC9" w:rsidP="00B42AC9" w:rsidRDefault="00B42AC9" w14:paraId="2DD2FABB" w14:textId="77777777">
      <w:pPr>
        <w:rPr>
          <w:szCs w:val="22"/>
        </w:rPr>
      </w:pPr>
    </w:p>
    <w:p w:rsidR="00DD4F65" w:rsidP="00F5061F" w:rsidRDefault="00DD4F65" w14:paraId="11E9A06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tbl>
      <w:tblPr>
        <w:tblW w:w="13045" w:type="dxa"/>
        <w:jc w:val="center"/>
        <w:tblLayout w:type="fixed"/>
        <w:tblLook w:val="04A0" w:firstRow="1" w:lastRow="0" w:firstColumn="1" w:lastColumn="0" w:noHBand="0" w:noVBand="1"/>
      </w:tblPr>
      <w:tblGrid>
        <w:gridCol w:w="2605"/>
        <w:gridCol w:w="1620"/>
        <w:gridCol w:w="1530"/>
        <w:gridCol w:w="1530"/>
        <w:gridCol w:w="1170"/>
        <w:gridCol w:w="1440"/>
        <w:gridCol w:w="1260"/>
        <w:gridCol w:w="1890"/>
      </w:tblGrid>
      <w:tr w:rsidRPr="00DD4F65" w:rsidR="00DD4F65" w:rsidTr="00FF5F6D" w14:paraId="7F7A58B3" w14:textId="77777777">
        <w:trPr>
          <w:cantSplit/>
          <w:tblHeader/>
          <w:jc w:val="center"/>
        </w:trPr>
        <w:tc>
          <w:tcPr>
            <w:tcW w:w="13045" w:type="dxa"/>
            <w:gridSpan w:val="8"/>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D4F65" w:rsidR="00DD4F65" w:rsidP="005830E0" w:rsidRDefault="00DD4F65" w14:paraId="4ABAE89B" w14:textId="77777777">
            <w:pPr>
              <w:widowControl/>
              <w:autoSpaceDE/>
              <w:autoSpaceDN/>
              <w:adjustRightInd/>
              <w:jc w:val="center"/>
              <w:rPr>
                <w:b/>
                <w:bCs/>
                <w:color w:val="000000"/>
                <w:sz w:val="20"/>
                <w:szCs w:val="20"/>
              </w:rPr>
            </w:pPr>
            <w:bookmarkStart w:name="RANGE!B4:I57" w:id="7"/>
            <w:r w:rsidRPr="29B41BB9">
              <w:rPr>
                <w:b/>
                <w:bCs/>
                <w:color w:val="000000" w:themeColor="text1"/>
                <w:sz w:val="20"/>
                <w:szCs w:val="20"/>
              </w:rPr>
              <w:t>Table A12</w:t>
            </w:r>
            <w:r w:rsidRPr="29B41BB9">
              <w:rPr>
                <w:color w:val="000000" w:themeColor="text1"/>
                <w:sz w:val="20"/>
                <w:szCs w:val="20"/>
              </w:rPr>
              <w:t> </w:t>
            </w:r>
            <w:r w:rsidRPr="29B41BB9">
              <w:rPr>
                <w:b/>
                <w:bCs/>
                <w:color w:val="000000" w:themeColor="text1"/>
                <w:sz w:val="20"/>
                <w:szCs w:val="20"/>
              </w:rPr>
              <w:t>- Estimated Annualized Respondent Cost</w:t>
            </w:r>
            <w:r w:rsidRPr="29B41BB9" w:rsidR="00C523C3">
              <w:rPr>
                <w:b/>
                <w:bCs/>
                <w:color w:val="000000" w:themeColor="text1"/>
                <w:sz w:val="20"/>
                <w:szCs w:val="20"/>
              </w:rPr>
              <w:t xml:space="preserve"> and Hour Burden</w:t>
            </w:r>
            <w:bookmarkEnd w:id="7"/>
          </w:p>
        </w:tc>
      </w:tr>
      <w:tr w:rsidRPr="00DD4F65" w:rsidR="007C76DE" w:rsidTr="00FF5F6D" w14:paraId="3E790358" w14:textId="77777777">
        <w:trPr>
          <w:cantSplit/>
          <w:tblHeader/>
          <w:jc w:val="center"/>
        </w:trPr>
        <w:tc>
          <w:tcPr>
            <w:tcW w:w="26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D4F65" w:rsidR="00DD4F65" w:rsidP="00DD4F65" w:rsidRDefault="00DD4F65" w14:paraId="13A9B56E" w14:textId="77777777">
            <w:pPr>
              <w:widowControl/>
              <w:autoSpaceDE/>
              <w:autoSpaceDN/>
              <w:adjustRightInd/>
              <w:jc w:val="center"/>
              <w:rPr>
                <w:b/>
                <w:bCs/>
                <w:color w:val="000000"/>
              </w:rPr>
            </w:pPr>
            <w:r w:rsidRPr="00DD4F65">
              <w:rPr>
                <w:b/>
                <w:bCs/>
                <w:color w:val="000000"/>
              </w:rPr>
              <w:t> </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DD4F65" w:rsidR="00DD4F65" w:rsidP="00DD4F65" w:rsidRDefault="00DD4F65" w14:paraId="70A1EDBD" w14:textId="77777777">
            <w:pPr>
              <w:widowControl/>
              <w:autoSpaceDE/>
              <w:autoSpaceDN/>
              <w:adjustRightInd/>
              <w:rPr>
                <w:rFonts w:ascii="Arial" w:hAnsi="Arial" w:cs="Arial"/>
                <w:color w:val="000000"/>
                <w:sz w:val="20"/>
                <w:szCs w:val="20"/>
              </w:rPr>
            </w:pPr>
            <w:r w:rsidRPr="00DD4F65">
              <w:rPr>
                <w:rFonts w:ascii="Arial" w:hAnsi="Arial" w:cs="Arial"/>
                <w:color w:val="000000"/>
                <w:sz w:val="20"/>
                <w:szCs w:val="20"/>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DD4F65" w:rsidR="00DD4F65" w:rsidP="00DD4F65" w:rsidRDefault="00DD4F65" w14:paraId="0F2A4F05" w14:textId="77777777">
            <w:pPr>
              <w:widowControl/>
              <w:autoSpaceDE/>
              <w:autoSpaceDN/>
              <w:adjustRightInd/>
              <w:rPr>
                <w:rFonts w:ascii="Arial" w:hAnsi="Arial" w:cs="Arial"/>
                <w:color w:val="000000"/>
                <w:sz w:val="20"/>
                <w:szCs w:val="20"/>
              </w:rPr>
            </w:pPr>
            <w:r w:rsidRPr="00DD4F65">
              <w:rPr>
                <w:rFonts w:ascii="Arial" w:hAnsi="Arial" w:cs="Arial"/>
                <w:color w:val="000000"/>
                <w:sz w:val="20"/>
                <w:szCs w:val="20"/>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DD4F65" w:rsidR="00DD4F65" w:rsidP="00DD4F65" w:rsidRDefault="00DD4F65" w14:paraId="652620E5" w14:textId="77777777">
            <w:pPr>
              <w:widowControl/>
              <w:autoSpaceDE/>
              <w:autoSpaceDN/>
              <w:adjustRightInd/>
              <w:rPr>
                <w:rFonts w:ascii="Arial" w:hAnsi="Arial" w:cs="Arial"/>
                <w:color w:val="000000"/>
                <w:sz w:val="20"/>
                <w:szCs w:val="20"/>
              </w:rPr>
            </w:pPr>
            <w:r w:rsidRPr="00DD4F65">
              <w:rPr>
                <w:rFonts w:ascii="Arial" w:hAnsi="Arial" w:cs="Arial"/>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DD4F65" w:rsidR="00DD4F65" w:rsidP="00DD4F65" w:rsidRDefault="00DD4F65" w14:paraId="02C8E63C" w14:textId="77777777">
            <w:pPr>
              <w:widowControl/>
              <w:autoSpaceDE/>
              <w:autoSpaceDN/>
              <w:adjustRightInd/>
              <w:rPr>
                <w:rFonts w:ascii="Arial" w:hAnsi="Arial" w:cs="Arial"/>
                <w:color w:val="000000"/>
                <w:sz w:val="20"/>
                <w:szCs w:val="20"/>
              </w:rPr>
            </w:pPr>
            <w:r w:rsidRPr="00DD4F65">
              <w:rPr>
                <w:rFonts w:ascii="Arial" w:hAnsi="Arial" w:cs="Arial"/>
                <w:color w:val="000000"/>
                <w:sz w:val="20"/>
                <w:szCs w:val="20"/>
              </w:rPr>
              <w:t> </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DD4F65" w:rsidR="00DD4F65" w:rsidP="00DD4F65" w:rsidRDefault="00DD4F65" w14:paraId="703534A1" w14:textId="77777777">
            <w:pPr>
              <w:widowControl/>
              <w:autoSpaceDE/>
              <w:autoSpaceDN/>
              <w:adjustRightInd/>
              <w:rPr>
                <w:rFonts w:ascii="Arial" w:hAnsi="Arial" w:cs="Arial"/>
                <w:color w:val="000000"/>
                <w:sz w:val="20"/>
                <w:szCs w:val="20"/>
              </w:rPr>
            </w:pPr>
            <w:r w:rsidRPr="00DD4F65">
              <w:rPr>
                <w:rFonts w:ascii="Arial" w:hAnsi="Arial" w:cs="Arial"/>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DD4F65" w:rsidR="00DD4F65" w:rsidP="00DD4F65" w:rsidRDefault="00DD4F65" w14:paraId="44310478" w14:textId="77777777">
            <w:pPr>
              <w:widowControl/>
              <w:autoSpaceDE/>
              <w:autoSpaceDN/>
              <w:adjustRightInd/>
              <w:rPr>
                <w:rFonts w:ascii="Arial" w:hAnsi="Arial" w:cs="Arial"/>
                <w:color w:val="000000"/>
                <w:sz w:val="20"/>
                <w:szCs w:val="20"/>
              </w:rPr>
            </w:pPr>
            <w:r w:rsidRPr="00DD4F65">
              <w:rPr>
                <w:rFonts w:ascii="Arial" w:hAnsi="Arial" w:cs="Arial"/>
                <w:color w:val="000000"/>
                <w:sz w:val="20"/>
                <w:szCs w:val="20"/>
              </w:rPr>
              <w:t> </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DD4F65" w:rsidR="00DD4F65" w:rsidP="00DD4F65" w:rsidRDefault="00DD4F65" w14:paraId="27854371" w14:textId="77777777">
            <w:pPr>
              <w:widowControl/>
              <w:autoSpaceDE/>
              <w:autoSpaceDN/>
              <w:adjustRightInd/>
              <w:rPr>
                <w:rFonts w:ascii="Arial" w:hAnsi="Arial" w:cs="Arial"/>
                <w:color w:val="000000"/>
                <w:sz w:val="20"/>
                <w:szCs w:val="20"/>
              </w:rPr>
            </w:pPr>
            <w:r w:rsidRPr="00DD4F65">
              <w:rPr>
                <w:rFonts w:ascii="Arial" w:hAnsi="Arial" w:cs="Arial"/>
                <w:color w:val="000000"/>
                <w:sz w:val="20"/>
                <w:szCs w:val="20"/>
              </w:rPr>
              <w:t> </w:t>
            </w:r>
          </w:p>
        </w:tc>
      </w:tr>
      <w:tr w:rsidRPr="00DD4F65" w:rsidR="007C76DE" w:rsidTr="00FF5F6D" w14:paraId="008BA2AD" w14:textId="77777777">
        <w:trPr>
          <w:cantSplit/>
          <w:trHeight w:val="230"/>
          <w:tblHeader/>
          <w:jc w:val="center"/>
        </w:trPr>
        <w:tc>
          <w:tcPr>
            <w:tcW w:w="260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438210C6" w14:textId="77777777">
            <w:pPr>
              <w:widowControl/>
              <w:autoSpaceDE/>
              <w:autoSpaceDN/>
              <w:adjustRightInd/>
              <w:jc w:val="center"/>
              <w:rPr>
                <w:b/>
                <w:bCs/>
                <w:color w:val="000000"/>
                <w:sz w:val="20"/>
                <w:szCs w:val="20"/>
              </w:rPr>
            </w:pPr>
            <w:r w:rsidRPr="00DD4F65">
              <w:rPr>
                <w:b/>
                <w:bCs/>
                <w:color w:val="000000"/>
                <w:sz w:val="20"/>
                <w:szCs w:val="20"/>
              </w:rPr>
              <w:t>Information Collection Requirement</w:t>
            </w:r>
            <w:r w:rsidR="006C03C9">
              <w:rPr>
                <w:b/>
                <w:bCs/>
                <w:color w:val="000000"/>
                <w:sz w:val="20"/>
                <w:szCs w:val="20"/>
              </w:rPr>
              <w:t>s</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FF5F6D" w:rsidRDefault="00DD4F65" w14:paraId="6FCA528B" w14:textId="77777777">
            <w:pPr>
              <w:widowControl/>
              <w:autoSpaceDE/>
              <w:autoSpaceDN/>
              <w:adjustRightInd/>
              <w:jc w:val="center"/>
              <w:rPr>
                <w:b/>
                <w:bCs/>
                <w:color w:val="000000"/>
                <w:sz w:val="20"/>
                <w:szCs w:val="20"/>
              </w:rPr>
            </w:pPr>
            <w:r w:rsidRPr="00DD4F65">
              <w:rPr>
                <w:b/>
                <w:bCs/>
                <w:color w:val="000000"/>
                <w:sz w:val="20"/>
                <w:szCs w:val="20"/>
              </w:rPr>
              <w:t>No. of Respondent</w:t>
            </w:r>
            <w:r w:rsidR="007C76DE">
              <w:rPr>
                <w:b/>
                <w:bCs/>
                <w:color w:val="000000"/>
                <w:sz w:val="20"/>
                <w:szCs w:val="20"/>
              </w:rPr>
              <w:t xml:space="preserve">s </w:t>
            </w:r>
          </w:p>
        </w:tc>
        <w:tc>
          <w:tcPr>
            <w:tcW w:w="153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A67501" w:rsidRDefault="00DD4F65" w14:paraId="3FCD9DCD" w14:textId="77777777">
            <w:pPr>
              <w:widowControl/>
              <w:autoSpaceDE/>
              <w:autoSpaceDN/>
              <w:adjustRightInd/>
              <w:jc w:val="center"/>
              <w:rPr>
                <w:b/>
                <w:bCs/>
                <w:color w:val="000000"/>
                <w:sz w:val="20"/>
                <w:szCs w:val="20"/>
              </w:rPr>
            </w:pPr>
            <w:r w:rsidRPr="00DD4F65">
              <w:rPr>
                <w:b/>
                <w:bCs/>
                <w:color w:val="000000"/>
                <w:sz w:val="20"/>
                <w:szCs w:val="20"/>
              </w:rPr>
              <w:t xml:space="preserve">No of Responses per Respondent </w:t>
            </w:r>
          </w:p>
        </w:tc>
        <w:tc>
          <w:tcPr>
            <w:tcW w:w="153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6C03C9" w:rsidRDefault="00DD4F65" w14:paraId="4E2B8C53" w14:textId="77777777">
            <w:pPr>
              <w:widowControl/>
              <w:autoSpaceDE/>
              <w:autoSpaceDN/>
              <w:adjustRightInd/>
              <w:jc w:val="center"/>
              <w:rPr>
                <w:b/>
                <w:bCs/>
                <w:color w:val="000000"/>
                <w:sz w:val="20"/>
                <w:szCs w:val="20"/>
              </w:rPr>
            </w:pPr>
            <w:r w:rsidRPr="00DD4F65">
              <w:rPr>
                <w:b/>
                <w:bCs/>
                <w:color w:val="000000"/>
                <w:sz w:val="20"/>
                <w:szCs w:val="20"/>
              </w:rPr>
              <w:t>Total Responses</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FF5F6D" w14:paraId="77B33799" w14:textId="77777777">
            <w:pPr>
              <w:widowControl/>
              <w:autoSpaceDE/>
              <w:autoSpaceDN/>
              <w:adjustRightInd/>
              <w:jc w:val="center"/>
              <w:rPr>
                <w:b/>
                <w:bCs/>
                <w:color w:val="000000"/>
                <w:sz w:val="20"/>
                <w:szCs w:val="20"/>
              </w:rPr>
            </w:pPr>
            <w:r>
              <w:rPr>
                <w:b/>
                <w:bCs/>
                <w:color w:val="000000"/>
                <w:sz w:val="20"/>
                <w:szCs w:val="20"/>
              </w:rPr>
              <w:t>Avg. Burden (In Hours</w:t>
            </w:r>
            <w:r w:rsidRPr="00DD4F65" w:rsidR="00DD4F65">
              <w:rPr>
                <w:b/>
                <w:bCs/>
                <w:color w:val="000000"/>
                <w:sz w:val="20"/>
                <w:szCs w:val="20"/>
              </w:rPr>
              <w:t xml:space="preserve">) </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3168D48E" w14:textId="77777777">
            <w:pPr>
              <w:widowControl/>
              <w:autoSpaceDE/>
              <w:autoSpaceDN/>
              <w:adjustRightInd/>
              <w:jc w:val="center"/>
              <w:rPr>
                <w:b/>
                <w:bCs/>
                <w:color w:val="000000"/>
                <w:sz w:val="20"/>
                <w:szCs w:val="20"/>
              </w:rPr>
            </w:pPr>
            <w:r w:rsidRPr="00DD4F65">
              <w:rPr>
                <w:b/>
                <w:bCs/>
                <w:color w:val="000000"/>
                <w:sz w:val="20"/>
                <w:szCs w:val="20"/>
              </w:rPr>
              <w:t xml:space="preserve">Total Burden Hours </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5830E0" w14:paraId="1DAF1BB0" w14:textId="77777777">
            <w:pPr>
              <w:widowControl/>
              <w:autoSpaceDE/>
              <w:autoSpaceDN/>
              <w:adjustRightInd/>
              <w:jc w:val="center"/>
              <w:rPr>
                <w:b/>
                <w:bCs/>
                <w:color w:val="000000"/>
                <w:sz w:val="20"/>
                <w:szCs w:val="20"/>
              </w:rPr>
            </w:pPr>
            <w:r>
              <w:rPr>
                <w:b/>
                <w:bCs/>
                <w:color w:val="000000"/>
                <w:sz w:val="20"/>
                <w:szCs w:val="20"/>
              </w:rPr>
              <w:t xml:space="preserve">Hourly </w:t>
            </w:r>
            <w:r w:rsidRPr="00DD4F65" w:rsidR="00DD4F65">
              <w:rPr>
                <w:b/>
                <w:bCs/>
                <w:color w:val="000000"/>
                <w:sz w:val="20"/>
                <w:szCs w:val="20"/>
              </w:rPr>
              <w:t xml:space="preserve">Wage Rate </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61C5E915" w14:textId="77777777">
            <w:pPr>
              <w:widowControl/>
              <w:autoSpaceDE/>
              <w:autoSpaceDN/>
              <w:adjustRightInd/>
              <w:jc w:val="center"/>
              <w:rPr>
                <w:b/>
                <w:bCs/>
                <w:color w:val="000000"/>
                <w:sz w:val="20"/>
                <w:szCs w:val="20"/>
              </w:rPr>
            </w:pPr>
            <w:r w:rsidRPr="00DD4F65">
              <w:rPr>
                <w:b/>
                <w:bCs/>
                <w:color w:val="000000"/>
                <w:sz w:val="20"/>
                <w:szCs w:val="20"/>
              </w:rPr>
              <w:t>Total Burden Cost</w:t>
            </w:r>
          </w:p>
        </w:tc>
      </w:tr>
      <w:tr w:rsidRPr="00DD4F65" w:rsidR="007C76DE" w:rsidTr="00FF5F6D" w14:paraId="7638B36B" w14:textId="77777777">
        <w:trPr>
          <w:cantSplit/>
          <w:trHeight w:val="276"/>
          <w:tblHeader/>
          <w:jc w:val="center"/>
        </w:trPr>
        <w:tc>
          <w:tcPr>
            <w:tcW w:w="2605" w:type="dxa"/>
            <w:vMerge/>
            <w:tcBorders>
              <w:top w:val="single" w:color="auto" w:sz="4" w:space="0"/>
              <w:left w:val="single" w:color="auto" w:sz="4" w:space="0"/>
              <w:bottom w:val="single" w:color="auto" w:sz="4" w:space="0"/>
              <w:right w:val="single" w:color="auto" w:sz="4" w:space="0"/>
            </w:tcBorders>
            <w:vAlign w:val="center"/>
            <w:hideMark/>
          </w:tcPr>
          <w:p w:rsidRPr="00DD4F65" w:rsidR="00DD4F65" w:rsidP="00DD4F65" w:rsidRDefault="00DD4F65" w14:paraId="07EC6460" w14:textId="77777777">
            <w:pPr>
              <w:widowControl/>
              <w:autoSpaceDE/>
              <w:autoSpaceDN/>
              <w:adjustRightInd/>
              <w:rPr>
                <w:b/>
                <w:bCs/>
                <w:color w:val="000000"/>
                <w:sz w:val="20"/>
                <w:szCs w:val="20"/>
              </w:rPr>
            </w:pPr>
          </w:p>
        </w:tc>
        <w:tc>
          <w:tcPr>
            <w:tcW w:w="1620" w:type="dxa"/>
            <w:vMerge/>
            <w:tcBorders>
              <w:top w:val="single" w:color="auto" w:sz="4" w:space="0"/>
              <w:left w:val="single" w:color="auto" w:sz="4" w:space="0"/>
              <w:bottom w:val="single" w:color="auto" w:sz="4" w:space="0"/>
              <w:right w:val="single" w:color="auto" w:sz="4" w:space="0"/>
            </w:tcBorders>
            <w:vAlign w:val="center"/>
            <w:hideMark/>
          </w:tcPr>
          <w:p w:rsidRPr="00DD4F65" w:rsidR="00DD4F65" w:rsidP="00DD4F65" w:rsidRDefault="00DD4F65" w14:paraId="12D359B9" w14:textId="77777777">
            <w:pPr>
              <w:widowControl/>
              <w:autoSpaceDE/>
              <w:autoSpaceDN/>
              <w:adjustRightInd/>
              <w:rPr>
                <w:b/>
                <w:bCs/>
                <w:color w:val="000000"/>
                <w:sz w:val="20"/>
                <w:szCs w:val="20"/>
              </w:rPr>
            </w:pPr>
          </w:p>
        </w:tc>
        <w:tc>
          <w:tcPr>
            <w:tcW w:w="1530" w:type="dxa"/>
            <w:vMerge/>
            <w:tcBorders>
              <w:top w:val="single" w:color="auto" w:sz="4" w:space="0"/>
              <w:left w:val="single" w:color="auto" w:sz="4" w:space="0"/>
              <w:bottom w:val="single" w:color="auto" w:sz="4" w:space="0"/>
              <w:right w:val="single" w:color="auto" w:sz="4" w:space="0"/>
            </w:tcBorders>
            <w:vAlign w:val="center"/>
            <w:hideMark/>
          </w:tcPr>
          <w:p w:rsidRPr="00DD4F65" w:rsidR="00DD4F65" w:rsidP="00DD4F65" w:rsidRDefault="00DD4F65" w14:paraId="5125B894" w14:textId="77777777">
            <w:pPr>
              <w:widowControl/>
              <w:autoSpaceDE/>
              <w:autoSpaceDN/>
              <w:adjustRightInd/>
              <w:rPr>
                <w:b/>
                <w:bCs/>
                <w:color w:val="000000"/>
                <w:sz w:val="20"/>
                <w:szCs w:val="20"/>
              </w:rPr>
            </w:pPr>
          </w:p>
        </w:tc>
        <w:tc>
          <w:tcPr>
            <w:tcW w:w="1530" w:type="dxa"/>
            <w:vMerge/>
            <w:tcBorders>
              <w:top w:val="single" w:color="auto" w:sz="4" w:space="0"/>
              <w:left w:val="single" w:color="auto" w:sz="4" w:space="0"/>
              <w:bottom w:val="single" w:color="auto" w:sz="4" w:space="0"/>
              <w:right w:val="single" w:color="auto" w:sz="4" w:space="0"/>
            </w:tcBorders>
            <w:vAlign w:val="center"/>
            <w:hideMark/>
          </w:tcPr>
          <w:p w:rsidRPr="00DD4F65" w:rsidR="00DD4F65" w:rsidP="00DD4F65" w:rsidRDefault="00DD4F65" w14:paraId="2F26E7F6" w14:textId="77777777">
            <w:pPr>
              <w:widowControl/>
              <w:autoSpaceDE/>
              <w:autoSpaceDN/>
              <w:adjustRightInd/>
              <w:rPr>
                <w:b/>
                <w:bCs/>
                <w:color w:val="000000"/>
                <w:sz w:val="20"/>
                <w:szCs w:val="20"/>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DD4F65" w:rsidR="00DD4F65" w:rsidP="00DD4F65" w:rsidRDefault="00DD4F65" w14:paraId="029D909A" w14:textId="77777777">
            <w:pPr>
              <w:widowControl/>
              <w:autoSpaceDE/>
              <w:autoSpaceDN/>
              <w:adjustRightInd/>
              <w:rPr>
                <w:b/>
                <w:bCs/>
                <w:color w:val="000000"/>
                <w:sz w:val="20"/>
                <w:szCs w:val="20"/>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DD4F65" w:rsidR="00DD4F65" w:rsidP="00DD4F65" w:rsidRDefault="00DD4F65" w14:paraId="71C11B51" w14:textId="77777777">
            <w:pPr>
              <w:widowControl/>
              <w:autoSpaceDE/>
              <w:autoSpaceDN/>
              <w:adjustRightInd/>
              <w:rPr>
                <w:b/>
                <w:bCs/>
                <w:color w:val="000000"/>
                <w:sz w:val="20"/>
                <w:szCs w:val="20"/>
              </w:rPr>
            </w:pP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DD4F65" w:rsidR="00DD4F65" w:rsidP="00DD4F65" w:rsidRDefault="00DD4F65" w14:paraId="1841D530" w14:textId="77777777">
            <w:pPr>
              <w:widowControl/>
              <w:autoSpaceDE/>
              <w:autoSpaceDN/>
              <w:adjustRightInd/>
              <w:rPr>
                <w:b/>
                <w:bCs/>
                <w:color w:val="000000"/>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DD4F65" w:rsidR="00DD4F65" w:rsidP="00DD4F65" w:rsidRDefault="00DD4F65" w14:paraId="309C4610" w14:textId="77777777">
            <w:pPr>
              <w:widowControl/>
              <w:autoSpaceDE/>
              <w:autoSpaceDN/>
              <w:adjustRightInd/>
              <w:rPr>
                <w:b/>
                <w:bCs/>
                <w:color w:val="000000"/>
                <w:sz w:val="20"/>
                <w:szCs w:val="20"/>
              </w:rPr>
            </w:pPr>
          </w:p>
        </w:tc>
      </w:tr>
      <w:tr w:rsidRPr="00DD4F65" w:rsidR="007C76DE" w:rsidTr="00FF5F6D" w14:paraId="5F8F176B"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78480761" w14:textId="77777777">
            <w:pPr>
              <w:widowControl/>
              <w:autoSpaceDE/>
              <w:autoSpaceDN/>
              <w:adjustRightInd/>
              <w:rPr>
                <w:b/>
                <w:bCs/>
                <w:color w:val="000000"/>
                <w:sz w:val="20"/>
                <w:szCs w:val="20"/>
              </w:rPr>
            </w:pPr>
            <w:r w:rsidRPr="00DD4F65">
              <w:rPr>
                <w:b/>
                <w:bCs/>
                <w:color w:val="000000"/>
                <w:sz w:val="20"/>
                <w:szCs w:val="20"/>
              </w:rPr>
              <w:t>(A)  Energy-Control Procedure (paragraph (c)(4)(i))</w:t>
            </w:r>
          </w:p>
        </w:tc>
        <w:tc>
          <w:tcPr>
            <w:tcW w:w="10440" w:type="dxa"/>
            <w:gridSpan w:val="7"/>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E5009A6" w14:textId="77777777">
            <w:pPr>
              <w:widowControl/>
              <w:autoSpaceDE/>
              <w:autoSpaceDN/>
              <w:adjustRightInd/>
              <w:rPr>
                <w:color w:val="000000"/>
                <w:sz w:val="22"/>
                <w:szCs w:val="22"/>
              </w:rPr>
            </w:pPr>
            <w:r w:rsidRPr="00DD4F65">
              <w:rPr>
                <w:color w:val="000000"/>
                <w:sz w:val="22"/>
                <w:szCs w:val="22"/>
              </w:rPr>
              <w:t> </w:t>
            </w:r>
          </w:p>
        </w:tc>
      </w:tr>
      <w:tr w:rsidRPr="00DD4F65" w:rsidR="007C76DE" w:rsidTr="00FF5F6D" w14:paraId="0DA80AEA"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0F82564A" w14:textId="77777777">
            <w:pPr>
              <w:widowControl/>
              <w:autoSpaceDE/>
              <w:autoSpaceDN/>
              <w:adjustRightInd/>
              <w:rPr>
                <w:i/>
                <w:iCs/>
                <w:color w:val="000000"/>
                <w:sz w:val="20"/>
                <w:szCs w:val="20"/>
              </w:rPr>
            </w:pPr>
            <w:r w:rsidRPr="00DD4F65">
              <w:rPr>
                <w:i/>
                <w:iCs/>
                <w:color w:val="000000"/>
                <w:sz w:val="20"/>
                <w:szCs w:val="20"/>
              </w:rPr>
              <w:t>1. High-impact establishments (new procedures)</w:t>
            </w:r>
          </w:p>
        </w:tc>
        <w:tc>
          <w:tcPr>
            <w:tcW w:w="10440" w:type="dxa"/>
            <w:gridSpan w:val="7"/>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635165F" w14:textId="77777777">
            <w:pPr>
              <w:widowControl/>
              <w:autoSpaceDE/>
              <w:autoSpaceDN/>
              <w:adjustRightInd/>
              <w:jc w:val="center"/>
              <w:rPr>
                <w:color w:val="000000"/>
                <w:sz w:val="22"/>
                <w:szCs w:val="22"/>
              </w:rPr>
            </w:pPr>
            <w:r w:rsidRPr="00DD4F65">
              <w:rPr>
                <w:color w:val="000000"/>
                <w:sz w:val="22"/>
                <w:szCs w:val="22"/>
              </w:rPr>
              <w:t> </w:t>
            </w:r>
          </w:p>
        </w:tc>
      </w:tr>
      <w:tr w:rsidRPr="00DD4F65" w:rsidR="007C76DE" w:rsidTr="00FF5F6D" w14:paraId="00D08930"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02B762AB" w14:textId="77777777">
            <w:pPr>
              <w:widowControl/>
              <w:autoSpaceDE/>
              <w:autoSpaceDN/>
              <w:adjustRightInd/>
              <w:rPr>
                <w:i/>
                <w:iCs/>
                <w:color w:val="000000"/>
                <w:sz w:val="20"/>
                <w:szCs w:val="20"/>
              </w:rPr>
            </w:pPr>
            <w:r w:rsidRPr="00DD4F65">
              <w:rPr>
                <w:i/>
                <w:iCs/>
                <w:color w:val="000000"/>
                <w:sz w:val="20"/>
                <w:szCs w:val="20"/>
              </w:rPr>
              <w:t>Very Small</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5050DB50" w14:textId="77777777">
            <w:pPr>
              <w:widowControl/>
              <w:autoSpaceDE/>
              <w:autoSpaceDN/>
              <w:adjustRightInd/>
              <w:jc w:val="center"/>
              <w:rPr>
                <w:color w:val="000000"/>
                <w:sz w:val="22"/>
                <w:szCs w:val="22"/>
              </w:rPr>
            </w:pPr>
            <w:r w:rsidRPr="00DD4F65">
              <w:rPr>
                <w:color w:val="000000"/>
                <w:sz w:val="22"/>
                <w:szCs w:val="22"/>
              </w:rPr>
              <w:t>18,374</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8FA77D0"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BD338AF" w14:textId="77777777">
            <w:pPr>
              <w:widowControl/>
              <w:autoSpaceDE/>
              <w:autoSpaceDN/>
              <w:adjustRightInd/>
              <w:jc w:val="center"/>
              <w:rPr>
                <w:color w:val="000000"/>
                <w:sz w:val="22"/>
                <w:szCs w:val="22"/>
              </w:rPr>
            </w:pPr>
            <w:r w:rsidRPr="00DD4F65">
              <w:rPr>
                <w:color w:val="000000"/>
                <w:sz w:val="22"/>
                <w:szCs w:val="22"/>
              </w:rPr>
              <w:t>18,374</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1326E6A" w14:textId="77777777">
            <w:pPr>
              <w:widowControl/>
              <w:autoSpaceDE/>
              <w:autoSpaceDN/>
              <w:adjustRightInd/>
              <w:jc w:val="center"/>
              <w:rPr>
                <w:color w:val="000000"/>
                <w:sz w:val="22"/>
                <w:szCs w:val="22"/>
              </w:rPr>
            </w:pPr>
            <w:r w:rsidRPr="00DD4F65">
              <w:rPr>
                <w:color w:val="000000"/>
                <w:sz w:val="22"/>
                <w:szCs w:val="22"/>
              </w:rPr>
              <w:t>2</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6C28E03" w14:textId="77777777">
            <w:pPr>
              <w:widowControl/>
              <w:autoSpaceDE/>
              <w:autoSpaceDN/>
              <w:adjustRightInd/>
              <w:jc w:val="center"/>
              <w:rPr>
                <w:color w:val="000000"/>
                <w:sz w:val="22"/>
                <w:szCs w:val="22"/>
              </w:rPr>
            </w:pPr>
            <w:r w:rsidRPr="00DD4F65">
              <w:rPr>
                <w:color w:val="000000"/>
                <w:sz w:val="22"/>
                <w:szCs w:val="22"/>
              </w:rPr>
              <w:t>36,74</w:t>
            </w:r>
            <w:r w:rsidR="00285A7E">
              <w:rPr>
                <w:color w:val="000000"/>
                <w:sz w:val="22"/>
                <w:szCs w:val="22"/>
              </w:rPr>
              <w:t>8.00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0CEB0BA"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285A7E" w:rsidRDefault="00DD4F65" w14:paraId="445EB848" w14:textId="77777777">
            <w:pPr>
              <w:widowControl/>
              <w:autoSpaceDE/>
              <w:autoSpaceDN/>
              <w:adjustRightInd/>
              <w:jc w:val="center"/>
              <w:rPr>
                <w:color w:val="000000"/>
                <w:sz w:val="22"/>
                <w:szCs w:val="22"/>
              </w:rPr>
            </w:pPr>
            <w:r w:rsidRPr="00DD4F65">
              <w:rPr>
                <w:color w:val="000000"/>
                <w:sz w:val="22"/>
                <w:szCs w:val="22"/>
              </w:rPr>
              <w:t>$1,676,</w:t>
            </w:r>
            <w:r w:rsidR="00285A7E">
              <w:rPr>
                <w:color w:val="000000"/>
                <w:sz w:val="22"/>
                <w:szCs w:val="22"/>
              </w:rPr>
              <w:t>811.24</w:t>
            </w:r>
          </w:p>
        </w:tc>
      </w:tr>
      <w:tr w:rsidRPr="00DD4F65" w:rsidR="007C76DE" w:rsidTr="00FF5F6D" w14:paraId="0ACF8747"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5B2BA08C" w14:textId="77777777">
            <w:pPr>
              <w:widowControl/>
              <w:autoSpaceDE/>
              <w:autoSpaceDN/>
              <w:adjustRightInd/>
              <w:rPr>
                <w:i/>
                <w:iCs/>
                <w:color w:val="000000"/>
                <w:sz w:val="20"/>
                <w:szCs w:val="20"/>
              </w:rPr>
            </w:pPr>
            <w:r w:rsidRPr="00DD4F65">
              <w:rPr>
                <w:i/>
                <w:iCs/>
                <w:color w:val="000000"/>
                <w:sz w:val="20"/>
                <w:szCs w:val="20"/>
              </w:rPr>
              <w:t>Small</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3BAF7D9" w14:textId="77777777">
            <w:pPr>
              <w:widowControl/>
              <w:autoSpaceDE/>
              <w:autoSpaceDN/>
              <w:adjustRightInd/>
              <w:jc w:val="center"/>
              <w:rPr>
                <w:color w:val="000000"/>
                <w:sz w:val="22"/>
                <w:szCs w:val="22"/>
              </w:rPr>
            </w:pPr>
            <w:r w:rsidRPr="00DD4F65">
              <w:rPr>
                <w:color w:val="000000"/>
                <w:sz w:val="22"/>
                <w:szCs w:val="22"/>
              </w:rPr>
              <w:t>5,064</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6C30EBC"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419000A" w14:textId="77777777">
            <w:pPr>
              <w:widowControl/>
              <w:autoSpaceDE/>
              <w:autoSpaceDN/>
              <w:adjustRightInd/>
              <w:jc w:val="center"/>
              <w:rPr>
                <w:color w:val="000000"/>
                <w:sz w:val="22"/>
                <w:szCs w:val="22"/>
              </w:rPr>
            </w:pPr>
            <w:r w:rsidRPr="00DD4F65">
              <w:rPr>
                <w:color w:val="000000"/>
                <w:sz w:val="22"/>
                <w:szCs w:val="22"/>
              </w:rPr>
              <w:t>5,064</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6E234CE2" w14:textId="77777777">
            <w:pPr>
              <w:widowControl/>
              <w:autoSpaceDE/>
              <w:autoSpaceDN/>
              <w:adjustRightInd/>
              <w:jc w:val="center"/>
              <w:rPr>
                <w:color w:val="000000"/>
                <w:sz w:val="22"/>
                <w:szCs w:val="22"/>
              </w:rPr>
            </w:pPr>
            <w:r w:rsidRPr="00DD4F65">
              <w:rPr>
                <w:color w:val="000000"/>
                <w:sz w:val="22"/>
                <w:szCs w:val="22"/>
              </w:rPr>
              <w:t>12</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5B495E5B" w14:textId="77777777">
            <w:pPr>
              <w:widowControl/>
              <w:autoSpaceDE/>
              <w:autoSpaceDN/>
              <w:adjustRightInd/>
              <w:jc w:val="center"/>
              <w:rPr>
                <w:color w:val="000000"/>
                <w:sz w:val="22"/>
                <w:szCs w:val="22"/>
              </w:rPr>
            </w:pPr>
            <w:r w:rsidRPr="00DD4F65">
              <w:rPr>
                <w:color w:val="000000"/>
                <w:sz w:val="22"/>
                <w:szCs w:val="22"/>
              </w:rPr>
              <w:t>60,76</w:t>
            </w:r>
            <w:r w:rsidR="00285A7E">
              <w:rPr>
                <w:color w:val="000000"/>
                <w:sz w:val="22"/>
                <w:szCs w:val="22"/>
              </w:rPr>
              <w:t>8.00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8B5A466"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7D3728" w:rsidRDefault="00DD4F65" w14:paraId="5B70A0A3" w14:textId="0A515FEE">
            <w:pPr>
              <w:widowControl/>
              <w:autoSpaceDE/>
              <w:autoSpaceDN/>
              <w:adjustRightInd/>
              <w:jc w:val="center"/>
              <w:rPr>
                <w:color w:val="000000"/>
                <w:sz w:val="22"/>
                <w:szCs w:val="22"/>
              </w:rPr>
            </w:pPr>
            <w:r w:rsidRPr="00DD4F65">
              <w:rPr>
                <w:color w:val="000000"/>
                <w:sz w:val="22"/>
                <w:szCs w:val="22"/>
              </w:rPr>
              <w:t>$2,</w:t>
            </w:r>
            <w:r w:rsidRPr="00DD4F65" w:rsidR="007D3728">
              <w:rPr>
                <w:color w:val="000000"/>
                <w:sz w:val="22"/>
                <w:szCs w:val="22"/>
              </w:rPr>
              <w:t>77</w:t>
            </w:r>
            <w:r w:rsidR="007D3728">
              <w:rPr>
                <w:color w:val="000000"/>
                <w:sz w:val="22"/>
                <w:szCs w:val="22"/>
              </w:rPr>
              <w:t>2</w:t>
            </w:r>
            <w:r w:rsidRPr="00DD4F65">
              <w:rPr>
                <w:color w:val="000000"/>
                <w:sz w:val="22"/>
                <w:szCs w:val="22"/>
              </w:rPr>
              <w:t>,</w:t>
            </w:r>
            <w:r w:rsidR="00285A7E">
              <w:rPr>
                <w:color w:val="000000"/>
                <w:sz w:val="22"/>
                <w:szCs w:val="22"/>
              </w:rPr>
              <w:t>843.84</w:t>
            </w:r>
          </w:p>
        </w:tc>
      </w:tr>
      <w:tr w:rsidRPr="00DD4F65" w:rsidR="007C76DE" w:rsidTr="00FF5F6D" w14:paraId="2BDF6AF1"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56855E26" w14:textId="77777777">
            <w:pPr>
              <w:widowControl/>
              <w:autoSpaceDE/>
              <w:autoSpaceDN/>
              <w:adjustRightInd/>
              <w:rPr>
                <w:i/>
                <w:iCs/>
                <w:color w:val="000000"/>
                <w:sz w:val="20"/>
                <w:szCs w:val="20"/>
              </w:rPr>
            </w:pPr>
            <w:r w:rsidRPr="00DD4F65">
              <w:rPr>
                <w:i/>
                <w:iCs/>
                <w:color w:val="000000"/>
                <w:sz w:val="20"/>
                <w:szCs w:val="20"/>
              </w:rPr>
              <w:t>Medium</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5579A9DA" w14:textId="77777777">
            <w:pPr>
              <w:widowControl/>
              <w:autoSpaceDE/>
              <w:autoSpaceDN/>
              <w:adjustRightInd/>
              <w:jc w:val="center"/>
              <w:rPr>
                <w:color w:val="000000"/>
                <w:sz w:val="22"/>
                <w:szCs w:val="22"/>
              </w:rPr>
            </w:pPr>
            <w:r w:rsidRPr="00DD4F65">
              <w:rPr>
                <w:color w:val="000000"/>
                <w:sz w:val="22"/>
                <w:szCs w:val="22"/>
              </w:rPr>
              <w:t>1,164</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775E610"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107D3CC" w14:textId="77777777">
            <w:pPr>
              <w:widowControl/>
              <w:autoSpaceDE/>
              <w:autoSpaceDN/>
              <w:adjustRightInd/>
              <w:jc w:val="center"/>
              <w:rPr>
                <w:color w:val="000000"/>
                <w:sz w:val="22"/>
                <w:szCs w:val="22"/>
              </w:rPr>
            </w:pPr>
            <w:r w:rsidRPr="00DD4F65">
              <w:rPr>
                <w:color w:val="000000"/>
                <w:sz w:val="22"/>
                <w:szCs w:val="22"/>
              </w:rPr>
              <w:t>1,164</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645506BC" w14:textId="77777777">
            <w:pPr>
              <w:widowControl/>
              <w:autoSpaceDE/>
              <w:autoSpaceDN/>
              <w:adjustRightInd/>
              <w:jc w:val="center"/>
              <w:rPr>
                <w:color w:val="000000"/>
                <w:sz w:val="22"/>
                <w:szCs w:val="22"/>
              </w:rPr>
            </w:pPr>
            <w:r w:rsidRPr="00DD4F65">
              <w:rPr>
                <w:color w:val="000000"/>
                <w:sz w:val="22"/>
                <w:szCs w:val="22"/>
              </w:rPr>
              <w:t>40</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CF03B08" w14:textId="77777777">
            <w:pPr>
              <w:widowControl/>
              <w:autoSpaceDE/>
              <w:autoSpaceDN/>
              <w:adjustRightInd/>
              <w:jc w:val="center"/>
              <w:rPr>
                <w:color w:val="000000"/>
                <w:sz w:val="22"/>
                <w:szCs w:val="22"/>
              </w:rPr>
            </w:pPr>
            <w:r w:rsidRPr="00DD4F65">
              <w:rPr>
                <w:color w:val="000000"/>
                <w:sz w:val="22"/>
                <w:szCs w:val="22"/>
              </w:rPr>
              <w:t>46,56</w:t>
            </w:r>
            <w:r w:rsidR="00285A7E">
              <w:rPr>
                <w:color w:val="000000"/>
                <w:sz w:val="22"/>
                <w:szCs w:val="22"/>
              </w:rPr>
              <w:t>0.00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715687E"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B56614C" w14:textId="77777777">
            <w:pPr>
              <w:widowControl/>
              <w:autoSpaceDE/>
              <w:autoSpaceDN/>
              <w:adjustRightInd/>
              <w:jc w:val="center"/>
              <w:rPr>
                <w:color w:val="000000"/>
                <w:sz w:val="22"/>
                <w:szCs w:val="22"/>
              </w:rPr>
            </w:pPr>
            <w:r w:rsidRPr="00DD4F65">
              <w:rPr>
                <w:color w:val="000000"/>
                <w:sz w:val="22"/>
                <w:szCs w:val="22"/>
              </w:rPr>
              <w:t>$2,124,</w:t>
            </w:r>
            <w:r w:rsidR="00285A7E">
              <w:rPr>
                <w:color w:val="000000"/>
                <w:sz w:val="22"/>
                <w:szCs w:val="22"/>
              </w:rPr>
              <w:t>532.80</w:t>
            </w:r>
          </w:p>
        </w:tc>
      </w:tr>
      <w:tr w:rsidRPr="00DD4F65" w:rsidR="007C76DE" w:rsidTr="00FF5F6D" w14:paraId="5CF4E433"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35165A38" w14:textId="77777777">
            <w:pPr>
              <w:widowControl/>
              <w:autoSpaceDE/>
              <w:autoSpaceDN/>
              <w:adjustRightInd/>
              <w:rPr>
                <w:i/>
                <w:iCs/>
                <w:color w:val="000000"/>
                <w:sz w:val="20"/>
                <w:szCs w:val="20"/>
              </w:rPr>
            </w:pPr>
            <w:r w:rsidRPr="00DD4F65">
              <w:rPr>
                <w:i/>
                <w:iCs/>
                <w:color w:val="000000"/>
                <w:sz w:val="20"/>
                <w:szCs w:val="20"/>
              </w:rPr>
              <w:t>Large</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58FF8CD" w14:textId="77777777">
            <w:pPr>
              <w:widowControl/>
              <w:autoSpaceDE/>
              <w:autoSpaceDN/>
              <w:adjustRightInd/>
              <w:jc w:val="center"/>
              <w:rPr>
                <w:color w:val="000000"/>
                <w:sz w:val="22"/>
                <w:szCs w:val="22"/>
              </w:rPr>
            </w:pPr>
            <w:r w:rsidRPr="00DD4F65">
              <w:rPr>
                <w:color w:val="000000"/>
                <w:sz w:val="22"/>
                <w:szCs w:val="22"/>
              </w:rPr>
              <w:t>490</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6F489DDF"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FDD6634" w14:textId="77777777">
            <w:pPr>
              <w:widowControl/>
              <w:autoSpaceDE/>
              <w:autoSpaceDN/>
              <w:adjustRightInd/>
              <w:jc w:val="center"/>
              <w:rPr>
                <w:color w:val="000000"/>
                <w:sz w:val="22"/>
                <w:szCs w:val="22"/>
              </w:rPr>
            </w:pPr>
            <w:r w:rsidRPr="00DD4F65">
              <w:rPr>
                <w:color w:val="000000"/>
                <w:sz w:val="22"/>
                <w:szCs w:val="22"/>
              </w:rPr>
              <w:t>490</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BA6ABD5" w14:textId="77777777">
            <w:pPr>
              <w:widowControl/>
              <w:autoSpaceDE/>
              <w:autoSpaceDN/>
              <w:adjustRightInd/>
              <w:jc w:val="center"/>
              <w:rPr>
                <w:color w:val="000000"/>
                <w:sz w:val="22"/>
                <w:szCs w:val="22"/>
              </w:rPr>
            </w:pPr>
            <w:r w:rsidRPr="00DD4F65">
              <w:rPr>
                <w:color w:val="000000"/>
                <w:sz w:val="22"/>
                <w:szCs w:val="22"/>
              </w:rPr>
              <w:t>80</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41B0D81" w14:textId="77777777">
            <w:pPr>
              <w:widowControl/>
              <w:autoSpaceDE/>
              <w:autoSpaceDN/>
              <w:adjustRightInd/>
              <w:jc w:val="center"/>
              <w:rPr>
                <w:color w:val="000000"/>
                <w:sz w:val="22"/>
                <w:szCs w:val="22"/>
              </w:rPr>
            </w:pPr>
            <w:r w:rsidRPr="00DD4F65">
              <w:rPr>
                <w:color w:val="000000"/>
                <w:sz w:val="22"/>
                <w:szCs w:val="22"/>
              </w:rPr>
              <w:t>39,</w:t>
            </w:r>
            <w:r w:rsidR="00285A7E">
              <w:rPr>
                <w:color w:val="000000"/>
                <w:sz w:val="22"/>
                <w:szCs w:val="22"/>
              </w:rPr>
              <w:t>200.00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5CE1E2E8"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285A7E" w:rsidRDefault="00DD4F65" w14:paraId="60CABE56" w14:textId="77777777">
            <w:pPr>
              <w:widowControl/>
              <w:autoSpaceDE/>
              <w:autoSpaceDN/>
              <w:adjustRightInd/>
              <w:jc w:val="center"/>
              <w:rPr>
                <w:color w:val="000000"/>
                <w:sz w:val="22"/>
                <w:szCs w:val="22"/>
              </w:rPr>
            </w:pPr>
            <w:r w:rsidRPr="00DD4F65">
              <w:rPr>
                <w:color w:val="000000"/>
                <w:sz w:val="22"/>
                <w:szCs w:val="22"/>
              </w:rPr>
              <w:t>$1,788,</w:t>
            </w:r>
            <w:r w:rsidR="00285A7E">
              <w:rPr>
                <w:color w:val="000000"/>
                <w:sz w:val="22"/>
                <w:szCs w:val="22"/>
              </w:rPr>
              <w:t>696.00</w:t>
            </w:r>
          </w:p>
        </w:tc>
      </w:tr>
      <w:tr w:rsidRPr="00DD4F65" w:rsidR="007C76DE" w:rsidTr="00FF5F6D" w14:paraId="2D9C1811"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39E35524" w14:textId="77777777">
            <w:pPr>
              <w:widowControl/>
              <w:autoSpaceDE/>
              <w:autoSpaceDN/>
              <w:adjustRightInd/>
              <w:rPr>
                <w:i/>
                <w:iCs/>
                <w:color w:val="000000"/>
                <w:sz w:val="20"/>
                <w:szCs w:val="20"/>
              </w:rPr>
            </w:pPr>
            <w:r w:rsidRPr="00DD4F65">
              <w:rPr>
                <w:i/>
                <w:iCs/>
                <w:color w:val="000000"/>
                <w:sz w:val="20"/>
                <w:szCs w:val="20"/>
              </w:rPr>
              <w:t>Sub-total</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61460D09" w14:textId="77777777">
            <w:pPr>
              <w:widowControl/>
              <w:autoSpaceDE/>
              <w:autoSpaceDN/>
              <w:adjustRightInd/>
              <w:jc w:val="center"/>
              <w:rPr>
                <w:color w:val="000000"/>
                <w:sz w:val="22"/>
                <w:szCs w:val="22"/>
              </w:rPr>
            </w:pPr>
            <w:r w:rsidRPr="00DD4F65">
              <w:rPr>
                <w:color w:val="000000"/>
                <w:sz w:val="22"/>
                <w:szCs w:val="22"/>
              </w:rPr>
              <w:t>25,092</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576EECA2" w14:textId="77777777">
            <w:pPr>
              <w:widowControl/>
              <w:autoSpaceDE/>
              <w:autoSpaceDN/>
              <w:adjustRightInd/>
              <w:jc w:val="center"/>
              <w:rPr>
                <w:color w:val="000000"/>
                <w:sz w:val="22"/>
                <w:szCs w:val="22"/>
              </w:rPr>
            </w:pPr>
            <w:r w:rsidRPr="00DD4F65">
              <w:rPr>
                <w:color w:val="000000"/>
                <w:sz w:val="22"/>
                <w:szCs w:val="22"/>
              </w:rPr>
              <w:t>-</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5578DEF0" w14:textId="77777777">
            <w:pPr>
              <w:widowControl/>
              <w:autoSpaceDE/>
              <w:autoSpaceDN/>
              <w:adjustRightInd/>
              <w:jc w:val="center"/>
              <w:rPr>
                <w:color w:val="000000"/>
                <w:sz w:val="22"/>
                <w:szCs w:val="22"/>
              </w:rPr>
            </w:pPr>
            <w:r w:rsidRPr="00DD4F65">
              <w:rPr>
                <w:color w:val="000000"/>
                <w:sz w:val="22"/>
                <w:szCs w:val="22"/>
              </w:rPr>
              <w:t>25,092</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90D8018" w14:textId="77777777">
            <w:pPr>
              <w:widowControl/>
              <w:autoSpaceDE/>
              <w:autoSpaceDN/>
              <w:adjustRightInd/>
              <w:jc w:val="center"/>
              <w:rPr>
                <w:color w:val="000000"/>
                <w:sz w:val="22"/>
                <w:szCs w:val="22"/>
              </w:rPr>
            </w:pPr>
            <w:r w:rsidRPr="00DD4F65">
              <w:rPr>
                <w:color w:val="000000"/>
                <w:sz w:val="22"/>
                <w:szCs w:val="22"/>
              </w:rPr>
              <w:t>-</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5F7E991" w14:textId="77777777">
            <w:pPr>
              <w:widowControl/>
              <w:autoSpaceDE/>
              <w:autoSpaceDN/>
              <w:adjustRightInd/>
              <w:jc w:val="center"/>
              <w:rPr>
                <w:color w:val="000000"/>
                <w:sz w:val="22"/>
                <w:szCs w:val="22"/>
              </w:rPr>
            </w:pPr>
            <w:r w:rsidRPr="00DD4F65">
              <w:rPr>
                <w:color w:val="000000"/>
                <w:sz w:val="22"/>
                <w:szCs w:val="22"/>
              </w:rPr>
              <w:t>183,2</w:t>
            </w:r>
            <w:r w:rsidR="00285A7E">
              <w:rPr>
                <w:color w:val="000000"/>
                <w:sz w:val="22"/>
                <w:szCs w:val="22"/>
              </w:rPr>
              <w:t>76.00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2C83925" w14:textId="77777777">
            <w:pPr>
              <w:widowControl/>
              <w:autoSpaceDE/>
              <w:autoSpaceDN/>
              <w:adjustRightInd/>
              <w:jc w:val="center"/>
              <w:rPr>
                <w:color w:val="000000"/>
                <w:sz w:val="22"/>
                <w:szCs w:val="22"/>
              </w:rPr>
            </w:pPr>
            <w:r w:rsidRPr="00DD4F65">
              <w:rPr>
                <w:color w:val="000000"/>
                <w:sz w:val="22"/>
                <w:szCs w:val="22"/>
              </w:rPr>
              <w:t>-</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5644EF45" w14:textId="77777777">
            <w:pPr>
              <w:widowControl/>
              <w:autoSpaceDE/>
              <w:autoSpaceDN/>
              <w:adjustRightInd/>
              <w:jc w:val="center"/>
              <w:rPr>
                <w:color w:val="000000"/>
                <w:sz w:val="22"/>
                <w:szCs w:val="22"/>
              </w:rPr>
            </w:pPr>
            <w:r w:rsidRPr="00DD4F65">
              <w:rPr>
                <w:color w:val="000000"/>
                <w:sz w:val="22"/>
                <w:szCs w:val="22"/>
              </w:rPr>
              <w:t>$8,36</w:t>
            </w:r>
            <w:r w:rsidR="00285A7E">
              <w:rPr>
                <w:color w:val="000000"/>
                <w:sz w:val="22"/>
                <w:szCs w:val="22"/>
              </w:rPr>
              <w:t>2,883.88</w:t>
            </w:r>
          </w:p>
        </w:tc>
      </w:tr>
      <w:tr w:rsidRPr="00DD4F65" w:rsidR="007C76DE" w:rsidTr="00FF5F6D" w14:paraId="6B1FD21B"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5854012B" w14:textId="77777777">
            <w:pPr>
              <w:widowControl/>
              <w:autoSpaceDE/>
              <w:autoSpaceDN/>
              <w:adjustRightInd/>
              <w:rPr>
                <w:i/>
                <w:iCs/>
                <w:color w:val="000000"/>
                <w:sz w:val="20"/>
                <w:szCs w:val="20"/>
              </w:rPr>
            </w:pPr>
            <w:r w:rsidRPr="00DD4F65">
              <w:rPr>
                <w:i/>
                <w:iCs/>
                <w:color w:val="000000"/>
                <w:sz w:val="20"/>
                <w:szCs w:val="20"/>
              </w:rPr>
              <w:t>2. Low-impact establishments (new procedures)</w:t>
            </w:r>
          </w:p>
        </w:tc>
        <w:tc>
          <w:tcPr>
            <w:tcW w:w="10440" w:type="dxa"/>
            <w:gridSpan w:val="7"/>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9BDA2EB" w14:textId="77777777">
            <w:pPr>
              <w:widowControl/>
              <w:autoSpaceDE/>
              <w:autoSpaceDN/>
              <w:adjustRightInd/>
              <w:jc w:val="center"/>
              <w:rPr>
                <w:color w:val="000000"/>
                <w:sz w:val="22"/>
                <w:szCs w:val="22"/>
              </w:rPr>
            </w:pPr>
            <w:r w:rsidRPr="00DD4F65">
              <w:rPr>
                <w:color w:val="000000"/>
                <w:sz w:val="22"/>
                <w:szCs w:val="22"/>
              </w:rPr>
              <w:t> </w:t>
            </w:r>
          </w:p>
        </w:tc>
      </w:tr>
      <w:tr w:rsidRPr="00DD4F65" w:rsidR="007C76DE" w:rsidTr="00FF5F6D" w14:paraId="5F3E2F12"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3ECC539D" w14:textId="77777777">
            <w:pPr>
              <w:widowControl/>
              <w:autoSpaceDE/>
              <w:autoSpaceDN/>
              <w:adjustRightInd/>
              <w:rPr>
                <w:i/>
                <w:iCs/>
                <w:color w:val="000000"/>
                <w:sz w:val="20"/>
                <w:szCs w:val="20"/>
              </w:rPr>
            </w:pPr>
            <w:r w:rsidRPr="00DD4F65">
              <w:rPr>
                <w:i/>
                <w:iCs/>
                <w:color w:val="000000"/>
                <w:sz w:val="20"/>
                <w:szCs w:val="20"/>
              </w:rPr>
              <w:t>Transportation</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FB086FA" w14:textId="77777777">
            <w:pPr>
              <w:widowControl/>
              <w:autoSpaceDE/>
              <w:autoSpaceDN/>
              <w:adjustRightInd/>
              <w:jc w:val="center"/>
              <w:rPr>
                <w:color w:val="000000"/>
                <w:sz w:val="22"/>
                <w:szCs w:val="22"/>
              </w:rPr>
            </w:pPr>
            <w:r w:rsidRPr="00DD4F65">
              <w:rPr>
                <w:color w:val="000000"/>
                <w:sz w:val="22"/>
                <w:szCs w:val="22"/>
              </w:rPr>
              <w:t>26,718</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236EF99"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092A510" w14:textId="77777777">
            <w:pPr>
              <w:widowControl/>
              <w:autoSpaceDE/>
              <w:autoSpaceDN/>
              <w:adjustRightInd/>
              <w:jc w:val="center"/>
              <w:rPr>
                <w:color w:val="000000"/>
                <w:sz w:val="22"/>
                <w:szCs w:val="22"/>
              </w:rPr>
            </w:pPr>
            <w:r w:rsidRPr="00DD4F65">
              <w:rPr>
                <w:color w:val="000000"/>
                <w:sz w:val="22"/>
                <w:szCs w:val="22"/>
              </w:rPr>
              <w:t>26,718</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54D3209E" w14:textId="77777777">
            <w:pPr>
              <w:widowControl/>
              <w:autoSpaceDE/>
              <w:autoSpaceDN/>
              <w:adjustRightInd/>
              <w:jc w:val="center"/>
              <w:rPr>
                <w:color w:val="000000"/>
                <w:sz w:val="22"/>
                <w:szCs w:val="22"/>
              </w:rPr>
            </w:pPr>
            <w:r w:rsidRPr="00DD4F65">
              <w:rPr>
                <w:color w:val="000000"/>
                <w:sz w:val="22"/>
                <w:szCs w:val="22"/>
              </w:rPr>
              <w:t>2</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2972404" w14:textId="77777777">
            <w:pPr>
              <w:widowControl/>
              <w:autoSpaceDE/>
              <w:autoSpaceDN/>
              <w:adjustRightInd/>
              <w:jc w:val="center"/>
              <w:rPr>
                <w:color w:val="000000"/>
                <w:sz w:val="22"/>
                <w:szCs w:val="22"/>
              </w:rPr>
            </w:pPr>
            <w:r w:rsidRPr="00DD4F65">
              <w:rPr>
                <w:color w:val="000000"/>
                <w:sz w:val="22"/>
                <w:szCs w:val="22"/>
              </w:rPr>
              <w:t>53,436.</w:t>
            </w:r>
            <w:r w:rsidR="00FD12E7">
              <w:rPr>
                <w:color w:val="000000"/>
                <w:sz w:val="22"/>
                <w:szCs w:val="22"/>
              </w:rPr>
              <w:t>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B4D8665"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8299B79" w14:textId="77777777">
            <w:pPr>
              <w:widowControl/>
              <w:autoSpaceDE/>
              <w:autoSpaceDN/>
              <w:adjustRightInd/>
              <w:jc w:val="center"/>
              <w:rPr>
                <w:color w:val="000000"/>
                <w:sz w:val="22"/>
                <w:szCs w:val="22"/>
              </w:rPr>
            </w:pPr>
            <w:r w:rsidRPr="00DD4F65">
              <w:rPr>
                <w:color w:val="000000"/>
                <w:sz w:val="22"/>
                <w:szCs w:val="22"/>
              </w:rPr>
              <w:t>$2,438,</w:t>
            </w:r>
            <w:r w:rsidR="00FD12E7">
              <w:rPr>
                <w:color w:val="000000"/>
                <w:sz w:val="22"/>
                <w:szCs w:val="22"/>
              </w:rPr>
              <w:t>284.68</w:t>
            </w:r>
            <w:r w:rsidRPr="00DD4F65">
              <w:rPr>
                <w:color w:val="000000"/>
                <w:sz w:val="22"/>
                <w:szCs w:val="22"/>
              </w:rPr>
              <w:t xml:space="preserve"> </w:t>
            </w:r>
          </w:p>
        </w:tc>
      </w:tr>
      <w:tr w:rsidRPr="00DD4F65" w:rsidR="007C76DE" w:rsidTr="00FF5F6D" w14:paraId="0F1D32B1"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6FA0B5A1" w14:textId="77777777">
            <w:pPr>
              <w:widowControl/>
              <w:autoSpaceDE/>
              <w:autoSpaceDN/>
              <w:adjustRightInd/>
              <w:rPr>
                <w:i/>
                <w:iCs/>
                <w:color w:val="000000"/>
                <w:sz w:val="20"/>
                <w:szCs w:val="20"/>
              </w:rPr>
            </w:pPr>
            <w:r w:rsidRPr="00DD4F65">
              <w:rPr>
                <w:i/>
                <w:iCs/>
                <w:color w:val="000000"/>
                <w:sz w:val="20"/>
                <w:szCs w:val="20"/>
              </w:rPr>
              <w:t>Communications</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364D781" w14:textId="77777777">
            <w:pPr>
              <w:widowControl/>
              <w:autoSpaceDE/>
              <w:autoSpaceDN/>
              <w:adjustRightInd/>
              <w:jc w:val="center"/>
              <w:rPr>
                <w:color w:val="000000"/>
                <w:sz w:val="22"/>
                <w:szCs w:val="22"/>
              </w:rPr>
            </w:pPr>
            <w:r w:rsidRPr="00DD4F65">
              <w:rPr>
                <w:color w:val="000000"/>
                <w:sz w:val="22"/>
                <w:szCs w:val="22"/>
              </w:rPr>
              <w:t>6,047</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EAC26A3"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D530C96" w14:textId="77777777">
            <w:pPr>
              <w:widowControl/>
              <w:autoSpaceDE/>
              <w:autoSpaceDN/>
              <w:adjustRightInd/>
              <w:jc w:val="center"/>
              <w:rPr>
                <w:color w:val="000000"/>
                <w:sz w:val="22"/>
                <w:szCs w:val="22"/>
              </w:rPr>
            </w:pPr>
            <w:r w:rsidRPr="00DD4F65">
              <w:rPr>
                <w:color w:val="000000"/>
                <w:sz w:val="22"/>
                <w:szCs w:val="22"/>
              </w:rPr>
              <w:t>6,047</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616BA5F" w14:textId="77777777">
            <w:pPr>
              <w:widowControl/>
              <w:autoSpaceDE/>
              <w:autoSpaceDN/>
              <w:adjustRightInd/>
              <w:jc w:val="center"/>
              <w:rPr>
                <w:color w:val="000000"/>
                <w:sz w:val="22"/>
                <w:szCs w:val="22"/>
              </w:rPr>
            </w:pPr>
            <w:r w:rsidRPr="00DD4F65">
              <w:rPr>
                <w:color w:val="000000"/>
                <w:sz w:val="22"/>
                <w:szCs w:val="22"/>
              </w:rPr>
              <w:t>2</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0F8AD39" w14:textId="77777777">
            <w:pPr>
              <w:widowControl/>
              <w:autoSpaceDE/>
              <w:autoSpaceDN/>
              <w:adjustRightInd/>
              <w:jc w:val="center"/>
              <w:rPr>
                <w:color w:val="000000"/>
                <w:sz w:val="22"/>
                <w:szCs w:val="22"/>
              </w:rPr>
            </w:pPr>
            <w:r w:rsidRPr="00DD4F65">
              <w:rPr>
                <w:color w:val="000000"/>
                <w:sz w:val="22"/>
                <w:szCs w:val="22"/>
              </w:rPr>
              <w:t>12,09</w:t>
            </w:r>
            <w:r w:rsidR="00FD12E7">
              <w:rPr>
                <w:color w:val="000000"/>
                <w:sz w:val="22"/>
                <w:szCs w:val="22"/>
              </w:rPr>
              <w:t>4.00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F1A2DF5"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A62106F" w14:textId="77777777">
            <w:pPr>
              <w:widowControl/>
              <w:autoSpaceDE/>
              <w:autoSpaceDN/>
              <w:adjustRightInd/>
              <w:jc w:val="center"/>
              <w:rPr>
                <w:color w:val="000000"/>
                <w:sz w:val="22"/>
                <w:szCs w:val="22"/>
              </w:rPr>
            </w:pPr>
            <w:r w:rsidRPr="00DD4F65">
              <w:rPr>
                <w:color w:val="000000"/>
                <w:sz w:val="22"/>
                <w:szCs w:val="22"/>
              </w:rPr>
              <w:t>$551,8</w:t>
            </w:r>
            <w:r w:rsidR="00FD12E7">
              <w:rPr>
                <w:color w:val="000000"/>
                <w:sz w:val="22"/>
                <w:szCs w:val="22"/>
              </w:rPr>
              <w:t>49.22</w:t>
            </w:r>
            <w:r w:rsidRPr="00DD4F65">
              <w:rPr>
                <w:color w:val="000000"/>
                <w:sz w:val="22"/>
                <w:szCs w:val="22"/>
              </w:rPr>
              <w:t xml:space="preserve"> </w:t>
            </w:r>
          </w:p>
        </w:tc>
      </w:tr>
      <w:tr w:rsidRPr="00DD4F65" w:rsidR="007C76DE" w:rsidTr="00FF5F6D" w14:paraId="1268F3E8"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6E2E64E6" w14:textId="77777777">
            <w:pPr>
              <w:widowControl/>
              <w:autoSpaceDE/>
              <w:autoSpaceDN/>
              <w:adjustRightInd/>
              <w:rPr>
                <w:i/>
                <w:iCs/>
                <w:color w:val="000000"/>
                <w:sz w:val="20"/>
                <w:szCs w:val="20"/>
              </w:rPr>
            </w:pPr>
            <w:r w:rsidRPr="00DD4F65">
              <w:rPr>
                <w:i/>
                <w:iCs/>
                <w:color w:val="000000"/>
                <w:sz w:val="20"/>
                <w:szCs w:val="20"/>
              </w:rPr>
              <w:t>Utilities</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4E1B907" w14:textId="77777777">
            <w:pPr>
              <w:widowControl/>
              <w:autoSpaceDE/>
              <w:autoSpaceDN/>
              <w:adjustRightInd/>
              <w:jc w:val="center"/>
              <w:rPr>
                <w:color w:val="000000"/>
                <w:sz w:val="22"/>
                <w:szCs w:val="22"/>
              </w:rPr>
            </w:pPr>
            <w:r w:rsidRPr="00DD4F65">
              <w:rPr>
                <w:color w:val="000000"/>
                <w:sz w:val="22"/>
                <w:szCs w:val="22"/>
              </w:rPr>
              <w:t>1,344</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6284038E"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D893965" w14:textId="77777777">
            <w:pPr>
              <w:widowControl/>
              <w:autoSpaceDE/>
              <w:autoSpaceDN/>
              <w:adjustRightInd/>
              <w:jc w:val="center"/>
              <w:rPr>
                <w:color w:val="000000"/>
                <w:sz w:val="22"/>
                <w:szCs w:val="22"/>
              </w:rPr>
            </w:pPr>
            <w:r w:rsidRPr="00DD4F65">
              <w:rPr>
                <w:color w:val="000000"/>
                <w:sz w:val="22"/>
                <w:szCs w:val="22"/>
              </w:rPr>
              <w:t>1,344</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46BDD97" w14:textId="77777777">
            <w:pPr>
              <w:widowControl/>
              <w:autoSpaceDE/>
              <w:autoSpaceDN/>
              <w:adjustRightInd/>
              <w:jc w:val="center"/>
              <w:rPr>
                <w:color w:val="000000"/>
                <w:sz w:val="22"/>
                <w:szCs w:val="22"/>
              </w:rPr>
            </w:pPr>
            <w:r w:rsidRPr="00DD4F65">
              <w:rPr>
                <w:color w:val="000000"/>
                <w:sz w:val="22"/>
                <w:szCs w:val="22"/>
              </w:rPr>
              <w:t>2</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920B41D" w14:textId="77777777">
            <w:pPr>
              <w:widowControl/>
              <w:autoSpaceDE/>
              <w:autoSpaceDN/>
              <w:adjustRightInd/>
              <w:jc w:val="center"/>
              <w:rPr>
                <w:color w:val="000000"/>
                <w:sz w:val="22"/>
                <w:szCs w:val="22"/>
              </w:rPr>
            </w:pPr>
            <w:r w:rsidRPr="00DD4F65">
              <w:rPr>
                <w:color w:val="000000"/>
                <w:sz w:val="22"/>
                <w:szCs w:val="22"/>
              </w:rPr>
              <w:t>2,688.00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6AA703C"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3A09460" w14:textId="77777777">
            <w:pPr>
              <w:widowControl/>
              <w:autoSpaceDE/>
              <w:autoSpaceDN/>
              <w:adjustRightInd/>
              <w:jc w:val="center"/>
              <w:rPr>
                <w:color w:val="000000"/>
                <w:sz w:val="22"/>
                <w:szCs w:val="22"/>
              </w:rPr>
            </w:pPr>
            <w:r w:rsidRPr="00DD4F65">
              <w:rPr>
                <w:color w:val="000000"/>
                <w:sz w:val="22"/>
                <w:szCs w:val="22"/>
              </w:rPr>
              <w:t>$122,6</w:t>
            </w:r>
            <w:r w:rsidR="00FD12E7">
              <w:rPr>
                <w:color w:val="000000"/>
                <w:sz w:val="22"/>
                <w:szCs w:val="22"/>
              </w:rPr>
              <w:t>53.44</w:t>
            </w:r>
          </w:p>
        </w:tc>
      </w:tr>
      <w:tr w:rsidRPr="00DD4F65" w:rsidR="007C76DE" w:rsidTr="00FF5F6D" w14:paraId="601BC0BC"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5F61B444" w14:textId="77777777">
            <w:pPr>
              <w:widowControl/>
              <w:autoSpaceDE/>
              <w:autoSpaceDN/>
              <w:adjustRightInd/>
              <w:rPr>
                <w:i/>
                <w:iCs/>
                <w:color w:val="000000"/>
                <w:sz w:val="20"/>
                <w:szCs w:val="20"/>
              </w:rPr>
            </w:pPr>
            <w:r w:rsidRPr="00DD4F65">
              <w:rPr>
                <w:i/>
                <w:iCs/>
                <w:color w:val="000000"/>
                <w:sz w:val="20"/>
                <w:szCs w:val="20"/>
              </w:rPr>
              <w:t>Wholesale Trade</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24D7C41" w14:textId="77777777">
            <w:pPr>
              <w:widowControl/>
              <w:autoSpaceDE/>
              <w:autoSpaceDN/>
              <w:adjustRightInd/>
              <w:jc w:val="center"/>
              <w:rPr>
                <w:color w:val="000000"/>
                <w:sz w:val="22"/>
                <w:szCs w:val="22"/>
              </w:rPr>
            </w:pPr>
            <w:r w:rsidRPr="00DD4F65">
              <w:rPr>
                <w:color w:val="000000"/>
                <w:sz w:val="22"/>
                <w:szCs w:val="22"/>
              </w:rPr>
              <w:t>3,56</w:t>
            </w:r>
            <w:r w:rsidR="00285A7E">
              <w:rPr>
                <w:color w:val="000000"/>
                <w:sz w:val="22"/>
                <w:szCs w:val="22"/>
              </w:rPr>
              <w:t>4</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1A4A481"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447A901" w14:textId="77777777">
            <w:pPr>
              <w:widowControl/>
              <w:autoSpaceDE/>
              <w:autoSpaceDN/>
              <w:adjustRightInd/>
              <w:jc w:val="center"/>
              <w:rPr>
                <w:color w:val="000000"/>
                <w:sz w:val="22"/>
                <w:szCs w:val="22"/>
              </w:rPr>
            </w:pPr>
            <w:r w:rsidRPr="00DD4F65">
              <w:rPr>
                <w:color w:val="000000"/>
                <w:sz w:val="22"/>
                <w:szCs w:val="22"/>
              </w:rPr>
              <w:t>3,56</w:t>
            </w:r>
            <w:r w:rsidR="00285A7E">
              <w:rPr>
                <w:color w:val="000000"/>
                <w:sz w:val="22"/>
                <w:szCs w:val="22"/>
              </w:rPr>
              <w:t>4</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C2B516C" w14:textId="77777777">
            <w:pPr>
              <w:widowControl/>
              <w:autoSpaceDE/>
              <w:autoSpaceDN/>
              <w:adjustRightInd/>
              <w:jc w:val="center"/>
              <w:rPr>
                <w:color w:val="000000"/>
                <w:sz w:val="22"/>
                <w:szCs w:val="22"/>
              </w:rPr>
            </w:pPr>
            <w:r w:rsidRPr="00DD4F65">
              <w:rPr>
                <w:color w:val="000000"/>
                <w:sz w:val="22"/>
                <w:szCs w:val="22"/>
              </w:rPr>
              <w:t>2</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7D3728" w:rsidRDefault="00DD4F65" w14:paraId="44DF6FB4" w14:textId="6ED9D6AB">
            <w:pPr>
              <w:widowControl/>
              <w:autoSpaceDE/>
              <w:autoSpaceDN/>
              <w:adjustRightInd/>
              <w:jc w:val="center"/>
              <w:rPr>
                <w:color w:val="000000"/>
                <w:sz w:val="22"/>
                <w:szCs w:val="22"/>
              </w:rPr>
            </w:pPr>
            <w:r w:rsidRPr="00DD4F65">
              <w:rPr>
                <w:color w:val="000000"/>
                <w:sz w:val="22"/>
                <w:szCs w:val="22"/>
              </w:rPr>
              <w:t>7,</w:t>
            </w:r>
            <w:r w:rsidRPr="00DD4F65" w:rsidR="007D3728">
              <w:rPr>
                <w:color w:val="000000"/>
                <w:sz w:val="22"/>
                <w:szCs w:val="22"/>
              </w:rPr>
              <w:t>12</w:t>
            </w:r>
            <w:r w:rsidR="007D3728">
              <w:rPr>
                <w:color w:val="000000"/>
                <w:sz w:val="22"/>
                <w:szCs w:val="22"/>
              </w:rPr>
              <w:t>8</w:t>
            </w:r>
            <w:r w:rsidRPr="00DD4F65">
              <w:rPr>
                <w:color w:val="000000"/>
                <w:sz w:val="22"/>
                <w:szCs w:val="22"/>
              </w:rPr>
              <w:t>.</w:t>
            </w:r>
            <w:r w:rsidR="00FD12E7">
              <w:rPr>
                <w:color w:val="000000"/>
                <w:sz w:val="22"/>
                <w:szCs w:val="22"/>
              </w:rPr>
              <w:t>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ACD3391"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FD12E7" w:rsidRDefault="00DD4F65" w14:paraId="3D402016" w14:textId="77777777">
            <w:pPr>
              <w:widowControl/>
              <w:autoSpaceDE/>
              <w:autoSpaceDN/>
              <w:adjustRightInd/>
              <w:jc w:val="center"/>
              <w:rPr>
                <w:color w:val="000000"/>
                <w:sz w:val="22"/>
                <w:szCs w:val="22"/>
              </w:rPr>
            </w:pPr>
            <w:r w:rsidRPr="00DD4F65">
              <w:rPr>
                <w:color w:val="000000"/>
                <w:sz w:val="22"/>
                <w:szCs w:val="22"/>
              </w:rPr>
              <w:t>$325,</w:t>
            </w:r>
            <w:r w:rsidR="00483666">
              <w:rPr>
                <w:color w:val="000000"/>
                <w:sz w:val="22"/>
                <w:szCs w:val="22"/>
              </w:rPr>
              <w:t>250.64</w:t>
            </w:r>
            <w:r w:rsidRPr="00DD4F65">
              <w:rPr>
                <w:color w:val="000000"/>
                <w:sz w:val="22"/>
                <w:szCs w:val="22"/>
              </w:rPr>
              <w:t xml:space="preserve"> </w:t>
            </w:r>
          </w:p>
        </w:tc>
      </w:tr>
      <w:tr w:rsidRPr="00DD4F65" w:rsidR="007C76DE" w:rsidTr="00FF5F6D" w14:paraId="5FA9155A"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23BDD6D9" w14:textId="77777777">
            <w:pPr>
              <w:widowControl/>
              <w:autoSpaceDE/>
              <w:autoSpaceDN/>
              <w:adjustRightInd/>
              <w:rPr>
                <w:i/>
                <w:iCs/>
                <w:color w:val="000000"/>
                <w:sz w:val="20"/>
                <w:szCs w:val="20"/>
              </w:rPr>
            </w:pPr>
            <w:r w:rsidRPr="00DD4F65">
              <w:rPr>
                <w:i/>
                <w:iCs/>
                <w:color w:val="000000"/>
                <w:sz w:val="20"/>
                <w:szCs w:val="20"/>
              </w:rPr>
              <w:t>Food Stores</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4E8018C" w14:textId="77777777">
            <w:pPr>
              <w:widowControl/>
              <w:autoSpaceDE/>
              <w:autoSpaceDN/>
              <w:adjustRightInd/>
              <w:jc w:val="center"/>
              <w:rPr>
                <w:color w:val="000000"/>
                <w:sz w:val="22"/>
                <w:szCs w:val="22"/>
              </w:rPr>
            </w:pPr>
            <w:r w:rsidRPr="00DD4F65">
              <w:rPr>
                <w:color w:val="000000"/>
                <w:sz w:val="22"/>
                <w:szCs w:val="22"/>
              </w:rPr>
              <w:t>1,559</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39032FA"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E004F81" w14:textId="77777777">
            <w:pPr>
              <w:widowControl/>
              <w:autoSpaceDE/>
              <w:autoSpaceDN/>
              <w:adjustRightInd/>
              <w:jc w:val="center"/>
              <w:rPr>
                <w:color w:val="000000"/>
                <w:sz w:val="22"/>
                <w:szCs w:val="22"/>
              </w:rPr>
            </w:pPr>
            <w:r w:rsidRPr="00DD4F65">
              <w:rPr>
                <w:color w:val="000000"/>
                <w:sz w:val="22"/>
                <w:szCs w:val="22"/>
              </w:rPr>
              <w:t>1,559</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CF6C190" w14:textId="77777777">
            <w:pPr>
              <w:widowControl/>
              <w:autoSpaceDE/>
              <w:autoSpaceDN/>
              <w:adjustRightInd/>
              <w:jc w:val="center"/>
              <w:rPr>
                <w:color w:val="000000"/>
                <w:sz w:val="22"/>
                <w:szCs w:val="22"/>
              </w:rPr>
            </w:pPr>
            <w:r w:rsidRPr="00DD4F65">
              <w:rPr>
                <w:color w:val="000000"/>
                <w:sz w:val="22"/>
                <w:szCs w:val="22"/>
              </w:rPr>
              <w:t>2</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285A7E" w:rsidRDefault="00DD4F65" w14:paraId="716C5F8A" w14:textId="77777777">
            <w:pPr>
              <w:widowControl/>
              <w:autoSpaceDE/>
              <w:autoSpaceDN/>
              <w:adjustRightInd/>
              <w:jc w:val="center"/>
              <w:rPr>
                <w:color w:val="000000"/>
                <w:sz w:val="22"/>
                <w:szCs w:val="22"/>
              </w:rPr>
            </w:pPr>
            <w:r w:rsidRPr="00DD4F65">
              <w:rPr>
                <w:color w:val="000000"/>
                <w:sz w:val="22"/>
                <w:szCs w:val="22"/>
              </w:rPr>
              <w:t>3,11</w:t>
            </w:r>
            <w:r w:rsidR="00285A7E">
              <w:rPr>
                <w:color w:val="000000"/>
                <w:sz w:val="22"/>
                <w:szCs w:val="22"/>
              </w:rPr>
              <w:t>8</w:t>
            </w:r>
            <w:r w:rsidRPr="00DD4F65">
              <w:rPr>
                <w:color w:val="000000"/>
                <w:sz w:val="22"/>
                <w:szCs w:val="22"/>
              </w:rPr>
              <w:t>.</w:t>
            </w:r>
            <w:r w:rsidR="00FD12E7">
              <w:rPr>
                <w:color w:val="000000"/>
                <w:sz w:val="22"/>
                <w:szCs w:val="22"/>
              </w:rPr>
              <w:t>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659A341B"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67CDDD20" w14:textId="77777777">
            <w:pPr>
              <w:widowControl/>
              <w:autoSpaceDE/>
              <w:autoSpaceDN/>
              <w:adjustRightInd/>
              <w:jc w:val="center"/>
              <w:rPr>
                <w:color w:val="000000"/>
                <w:sz w:val="22"/>
                <w:szCs w:val="22"/>
              </w:rPr>
            </w:pPr>
            <w:r w:rsidRPr="00DD4F65">
              <w:rPr>
                <w:color w:val="000000"/>
                <w:sz w:val="22"/>
                <w:szCs w:val="22"/>
              </w:rPr>
              <w:t>$142,27</w:t>
            </w:r>
            <w:r w:rsidR="00FD12E7">
              <w:rPr>
                <w:color w:val="000000"/>
                <w:sz w:val="22"/>
                <w:szCs w:val="22"/>
              </w:rPr>
              <w:t>4.34</w:t>
            </w:r>
          </w:p>
        </w:tc>
      </w:tr>
      <w:tr w:rsidRPr="00DD4F65" w:rsidR="007C76DE" w:rsidTr="00FF5F6D" w14:paraId="4A33F1AA"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74A4F9C7" w14:textId="77777777">
            <w:pPr>
              <w:widowControl/>
              <w:autoSpaceDE/>
              <w:autoSpaceDN/>
              <w:adjustRightInd/>
              <w:rPr>
                <w:i/>
                <w:iCs/>
                <w:color w:val="000000"/>
                <w:sz w:val="20"/>
                <w:szCs w:val="20"/>
              </w:rPr>
            </w:pPr>
            <w:r w:rsidRPr="00DD4F65">
              <w:rPr>
                <w:i/>
                <w:iCs/>
                <w:color w:val="000000"/>
                <w:sz w:val="20"/>
                <w:szCs w:val="20"/>
              </w:rPr>
              <w:t>Services</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80F508F" w14:textId="77777777">
            <w:pPr>
              <w:widowControl/>
              <w:autoSpaceDE/>
              <w:autoSpaceDN/>
              <w:adjustRightInd/>
              <w:jc w:val="center"/>
              <w:rPr>
                <w:color w:val="000000"/>
                <w:sz w:val="22"/>
                <w:szCs w:val="22"/>
              </w:rPr>
            </w:pPr>
            <w:r w:rsidRPr="00DD4F65">
              <w:rPr>
                <w:color w:val="000000"/>
                <w:sz w:val="22"/>
                <w:szCs w:val="22"/>
              </w:rPr>
              <w:t>9,03</w:t>
            </w:r>
            <w:r w:rsidR="00285A7E">
              <w:rPr>
                <w:color w:val="000000"/>
                <w:sz w:val="22"/>
                <w:szCs w:val="22"/>
              </w:rPr>
              <w:t>4</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E927528"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53A57F6F" w14:textId="77777777">
            <w:pPr>
              <w:widowControl/>
              <w:autoSpaceDE/>
              <w:autoSpaceDN/>
              <w:adjustRightInd/>
              <w:jc w:val="center"/>
              <w:rPr>
                <w:color w:val="000000"/>
                <w:sz w:val="22"/>
                <w:szCs w:val="22"/>
              </w:rPr>
            </w:pPr>
            <w:r w:rsidRPr="00DD4F65">
              <w:rPr>
                <w:color w:val="000000"/>
                <w:sz w:val="22"/>
                <w:szCs w:val="22"/>
              </w:rPr>
              <w:t>9,03</w:t>
            </w:r>
            <w:r w:rsidR="00285A7E">
              <w:rPr>
                <w:color w:val="000000"/>
                <w:sz w:val="22"/>
                <w:szCs w:val="22"/>
              </w:rPr>
              <w:t>4</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F16A190" w14:textId="77777777">
            <w:pPr>
              <w:widowControl/>
              <w:autoSpaceDE/>
              <w:autoSpaceDN/>
              <w:adjustRightInd/>
              <w:jc w:val="center"/>
              <w:rPr>
                <w:color w:val="000000"/>
                <w:sz w:val="22"/>
                <w:szCs w:val="22"/>
              </w:rPr>
            </w:pPr>
            <w:r w:rsidRPr="00DD4F65">
              <w:rPr>
                <w:color w:val="000000"/>
                <w:sz w:val="22"/>
                <w:szCs w:val="22"/>
              </w:rPr>
              <w:t>2</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240DBCA" w14:textId="77777777">
            <w:pPr>
              <w:widowControl/>
              <w:autoSpaceDE/>
              <w:autoSpaceDN/>
              <w:adjustRightInd/>
              <w:jc w:val="center"/>
              <w:rPr>
                <w:color w:val="000000"/>
                <w:sz w:val="22"/>
                <w:szCs w:val="22"/>
              </w:rPr>
            </w:pPr>
            <w:r w:rsidRPr="00DD4F65">
              <w:rPr>
                <w:color w:val="000000"/>
                <w:sz w:val="22"/>
                <w:szCs w:val="22"/>
              </w:rPr>
              <w:t>18,06</w:t>
            </w:r>
            <w:r w:rsidR="00483666">
              <w:rPr>
                <w:color w:val="000000"/>
                <w:sz w:val="22"/>
                <w:szCs w:val="22"/>
              </w:rPr>
              <w:t>8</w:t>
            </w:r>
            <w:r w:rsidRPr="00DD4F65">
              <w:rPr>
                <w:color w:val="000000"/>
                <w:sz w:val="22"/>
                <w:szCs w:val="22"/>
              </w:rPr>
              <w:t>.</w:t>
            </w:r>
            <w:r w:rsidR="00FD12E7">
              <w:rPr>
                <w:color w:val="000000"/>
                <w:sz w:val="22"/>
                <w:szCs w:val="22"/>
              </w:rPr>
              <w:t>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D3CC35A"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FD12E7" w:rsidRDefault="00DD4F65" w14:paraId="5F1F2DFB" w14:textId="77777777">
            <w:pPr>
              <w:widowControl/>
              <w:autoSpaceDE/>
              <w:autoSpaceDN/>
              <w:adjustRightInd/>
              <w:jc w:val="center"/>
              <w:rPr>
                <w:color w:val="000000"/>
                <w:sz w:val="22"/>
                <w:szCs w:val="22"/>
              </w:rPr>
            </w:pPr>
            <w:r w:rsidRPr="00DD4F65">
              <w:rPr>
                <w:color w:val="000000"/>
                <w:sz w:val="22"/>
                <w:szCs w:val="22"/>
              </w:rPr>
              <w:t>$824,</w:t>
            </w:r>
            <w:r w:rsidR="00483666">
              <w:rPr>
                <w:color w:val="000000"/>
                <w:sz w:val="22"/>
                <w:szCs w:val="22"/>
              </w:rPr>
              <w:t>442.84</w:t>
            </w:r>
            <w:r w:rsidRPr="00DD4F65">
              <w:rPr>
                <w:color w:val="000000"/>
                <w:sz w:val="22"/>
                <w:szCs w:val="22"/>
              </w:rPr>
              <w:t xml:space="preserve"> </w:t>
            </w:r>
          </w:p>
        </w:tc>
      </w:tr>
      <w:tr w:rsidRPr="00DD4F65" w:rsidR="007C76DE" w:rsidTr="00FF5F6D" w14:paraId="5DE9E547"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45CAEDC9" w14:textId="77777777">
            <w:pPr>
              <w:widowControl/>
              <w:autoSpaceDE/>
              <w:autoSpaceDN/>
              <w:adjustRightInd/>
              <w:rPr>
                <w:i/>
                <w:iCs/>
                <w:color w:val="000000"/>
                <w:sz w:val="20"/>
                <w:szCs w:val="20"/>
              </w:rPr>
            </w:pPr>
            <w:r w:rsidRPr="00DD4F65">
              <w:rPr>
                <w:i/>
                <w:iCs/>
                <w:color w:val="000000"/>
                <w:sz w:val="20"/>
                <w:szCs w:val="20"/>
              </w:rPr>
              <w:t>Sub-total</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511087F" w14:textId="77777777">
            <w:pPr>
              <w:widowControl/>
              <w:autoSpaceDE/>
              <w:autoSpaceDN/>
              <w:adjustRightInd/>
              <w:jc w:val="center"/>
              <w:rPr>
                <w:color w:val="000000"/>
                <w:sz w:val="22"/>
                <w:szCs w:val="22"/>
              </w:rPr>
            </w:pPr>
            <w:r w:rsidRPr="00DD4F65">
              <w:rPr>
                <w:color w:val="000000"/>
                <w:sz w:val="22"/>
                <w:szCs w:val="22"/>
              </w:rPr>
              <w:t>48,26</w:t>
            </w:r>
            <w:r w:rsidR="00483666">
              <w:rPr>
                <w:color w:val="000000"/>
                <w:sz w:val="22"/>
                <w:szCs w:val="22"/>
              </w:rPr>
              <w:t>6</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97FA6C2" w14:textId="77777777">
            <w:pPr>
              <w:widowControl/>
              <w:autoSpaceDE/>
              <w:autoSpaceDN/>
              <w:adjustRightInd/>
              <w:jc w:val="center"/>
              <w:rPr>
                <w:color w:val="000000"/>
                <w:sz w:val="22"/>
                <w:szCs w:val="22"/>
              </w:rPr>
            </w:pPr>
            <w:r w:rsidRPr="00DD4F65">
              <w:rPr>
                <w:color w:val="000000"/>
                <w:sz w:val="22"/>
                <w:szCs w:val="22"/>
              </w:rPr>
              <w:t>-</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12D4A47" w14:textId="77777777">
            <w:pPr>
              <w:widowControl/>
              <w:autoSpaceDE/>
              <w:autoSpaceDN/>
              <w:adjustRightInd/>
              <w:jc w:val="center"/>
              <w:rPr>
                <w:color w:val="000000"/>
                <w:sz w:val="22"/>
                <w:szCs w:val="22"/>
              </w:rPr>
            </w:pPr>
            <w:r w:rsidRPr="00DD4F65">
              <w:rPr>
                <w:color w:val="000000"/>
                <w:sz w:val="22"/>
                <w:szCs w:val="22"/>
              </w:rPr>
              <w:t>48,26</w:t>
            </w:r>
            <w:r w:rsidR="00483666">
              <w:rPr>
                <w:color w:val="000000"/>
                <w:sz w:val="22"/>
                <w:szCs w:val="22"/>
              </w:rPr>
              <w:t>6</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1874B8E" w14:textId="77777777">
            <w:pPr>
              <w:widowControl/>
              <w:autoSpaceDE/>
              <w:autoSpaceDN/>
              <w:adjustRightInd/>
              <w:jc w:val="center"/>
              <w:rPr>
                <w:color w:val="000000"/>
                <w:sz w:val="22"/>
                <w:szCs w:val="22"/>
              </w:rPr>
            </w:pPr>
            <w:r w:rsidRPr="00DD4F65">
              <w:rPr>
                <w:color w:val="000000"/>
                <w:sz w:val="22"/>
                <w:szCs w:val="22"/>
              </w:rPr>
              <w:t>-</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E6A3E2F" w14:textId="77777777">
            <w:pPr>
              <w:widowControl/>
              <w:autoSpaceDE/>
              <w:autoSpaceDN/>
              <w:adjustRightInd/>
              <w:jc w:val="center"/>
              <w:rPr>
                <w:color w:val="000000"/>
                <w:sz w:val="22"/>
                <w:szCs w:val="22"/>
              </w:rPr>
            </w:pPr>
            <w:r w:rsidRPr="00DD4F65">
              <w:rPr>
                <w:color w:val="000000"/>
                <w:sz w:val="22"/>
                <w:szCs w:val="22"/>
              </w:rPr>
              <w:t>96,5</w:t>
            </w:r>
            <w:r w:rsidR="00483666">
              <w:rPr>
                <w:color w:val="000000"/>
                <w:sz w:val="22"/>
                <w:szCs w:val="22"/>
              </w:rPr>
              <w:t>32.00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CE06260" w14:textId="77777777">
            <w:pPr>
              <w:widowControl/>
              <w:autoSpaceDE/>
              <w:autoSpaceDN/>
              <w:adjustRightInd/>
              <w:jc w:val="center"/>
              <w:rPr>
                <w:color w:val="000000"/>
                <w:sz w:val="22"/>
                <w:szCs w:val="22"/>
              </w:rPr>
            </w:pPr>
            <w:r w:rsidRPr="00DD4F65">
              <w:rPr>
                <w:color w:val="000000"/>
                <w:sz w:val="22"/>
                <w:szCs w:val="22"/>
              </w:rPr>
              <w:t>-</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72ABEE4" w14:textId="77777777">
            <w:pPr>
              <w:widowControl/>
              <w:autoSpaceDE/>
              <w:autoSpaceDN/>
              <w:adjustRightInd/>
              <w:jc w:val="center"/>
              <w:rPr>
                <w:color w:val="000000"/>
                <w:sz w:val="22"/>
                <w:szCs w:val="22"/>
              </w:rPr>
            </w:pPr>
            <w:r w:rsidRPr="00DD4F65">
              <w:rPr>
                <w:color w:val="000000"/>
                <w:sz w:val="22"/>
                <w:szCs w:val="22"/>
              </w:rPr>
              <w:t>$4,404,</w:t>
            </w:r>
            <w:r w:rsidR="00483666">
              <w:rPr>
                <w:color w:val="000000"/>
                <w:sz w:val="22"/>
                <w:szCs w:val="22"/>
              </w:rPr>
              <w:t>755.16</w:t>
            </w:r>
          </w:p>
        </w:tc>
      </w:tr>
      <w:tr w:rsidRPr="00DD4F65" w:rsidR="007C76DE" w:rsidTr="00FF5F6D" w14:paraId="6545B3E8"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710DB453" w14:textId="77777777">
            <w:pPr>
              <w:widowControl/>
              <w:autoSpaceDE/>
              <w:autoSpaceDN/>
              <w:adjustRightInd/>
              <w:rPr>
                <w:i/>
                <w:iCs/>
                <w:color w:val="000000"/>
                <w:sz w:val="20"/>
                <w:szCs w:val="20"/>
              </w:rPr>
            </w:pPr>
            <w:r w:rsidRPr="00DD4F65">
              <w:rPr>
                <w:i/>
                <w:iCs/>
                <w:color w:val="000000"/>
                <w:sz w:val="20"/>
                <w:szCs w:val="20"/>
              </w:rPr>
              <w:t>3. High-impact establishments (updating procedures)</w:t>
            </w:r>
          </w:p>
        </w:tc>
        <w:tc>
          <w:tcPr>
            <w:tcW w:w="10440" w:type="dxa"/>
            <w:gridSpan w:val="7"/>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5CBC4B2" w14:textId="77777777">
            <w:pPr>
              <w:widowControl/>
              <w:autoSpaceDE/>
              <w:autoSpaceDN/>
              <w:adjustRightInd/>
              <w:jc w:val="center"/>
              <w:rPr>
                <w:color w:val="000000"/>
                <w:sz w:val="22"/>
                <w:szCs w:val="22"/>
              </w:rPr>
            </w:pPr>
            <w:r w:rsidRPr="00DD4F65">
              <w:rPr>
                <w:color w:val="000000"/>
                <w:sz w:val="22"/>
                <w:szCs w:val="22"/>
              </w:rPr>
              <w:t> </w:t>
            </w:r>
          </w:p>
        </w:tc>
      </w:tr>
      <w:tr w:rsidRPr="00DD4F65" w:rsidR="007C76DE" w:rsidTr="00FF5F6D" w14:paraId="34D15EFB"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3E13C3EB" w14:textId="77777777">
            <w:pPr>
              <w:widowControl/>
              <w:autoSpaceDE/>
              <w:autoSpaceDN/>
              <w:adjustRightInd/>
              <w:rPr>
                <w:i/>
                <w:iCs/>
                <w:color w:val="000000"/>
                <w:sz w:val="20"/>
                <w:szCs w:val="20"/>
              </w:rPr>
            </w:pPr>
            <w:r w:rsidRPr="00DD4F65">
              <w:rPr>
                <w:i/>
                <w:iCs/>
                <w:color w:val="000000"/>
                <w:sz w:val="20"/>
                <w:szCs w:val="20"/>
              </w:rPr>
              <w:t>Very Small</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74FD2C9" w14:textId="77777777">
            <w:pPr>
              <w:widowControl/>
              <w:autoSpaceDE/>
              <w:autoSpaceDN/>
              <w:adjustRightInd/>
              <w:jc w:val="center"/>
              <w:rPr>
                <w:color w:val="000000"/>
                <w:sz w:val="22"/>
                <w:szCs w:val="22"/>
              </w:rPr>
            </w:pPr>
            <w:r w:rsidRPr="00DD4F65">
              <w:rPr>
                <w:color w:val="000000"/>
                <w:sz w:val="22"/>
                <w:szCs w:val="22"/>
              </w:rPr>
              <w:t>183,737</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6C561646"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DA1708B" w14:textId="77777777">
            <w:pPr>
              <w:widowControl/>
              <w:autoSpaceDE/>
              <w:autoSpaceDN/>
              <w:adjustRightInd/>
              <w:jc w:val="center"/>
              <w:rPr>
                <w:color w:val="000000"/>
                <w:sz w:val="22"/>
                <w:szCs w:val="22"/>
              </w:rPr>
            </w:pPr>
            <w:r w:rsidRPr="00DD4F65">
              <w:rPr>
                <w:color w:val="000000"/>
                <w:sz w:val="22"/>
                <w:szCs w:val="22"/>
              </w:rPr>
              <w:t>183,737</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633BF6" w14:paraId="75675ABC" w14:textId="77777777">
            <w:pPr>
              <w:widowControl/>
              <w:autoSpaceDE/>
              <w:autoSpaceDN/>
              <w:adjustRightInd/>
              <w:jc w:val="center"/>
              <w:rPr>
                <w:color w:val="000000"/>
                <w:sz w:val="22"/>
                <w:szCs w:val="22"/>
              </w:rPr>
            </w:pPr>
            <w:r>
              <w:rPr>
                <w:color w:val="000000"/>
                <w:sz w:val="22"/>
                <w:szCs w:val="22"/>
              </w:rPr>
              <w:t>30/60</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7D3728" w:rsidRDefault="00DD4F65" w14:paraId="1910E120" w14:textId="360D5A94">
            <w:pPr>
              <w:widowControl/>
              <w:autoSpaceDE/>
              <w:autoSpaceDN/>
              <w:adjustRightInd/>
              <w:jc w:val="center"/>
              <w:rPr>
                <w:color w:val="000000"/>
                <w:sz w:val="22"/>
                <w:szCs w:val="22"/>
              </w:rPr>
            </w:pPr>
            <w:r w:rsidRPr="00DD4F65">
              <w:rPr>
                <w:color w:val="000000"/>
                <w:sz w:val="22"/>
                <w:szCs w:val="22"/>
              </w:rPr>
              <w:t>91,868.</w:t>
            </w:r>
            <w:r w:rsidR="007D3728">
              <w:rPr>
                <w:color w:val="000000"/>
                <w:sz w:val="22"/>
                <w:szCs w:val="22"/>
              </w:rPr>
              <w:t>5</w:t>
            </w:r>
            <w:r w:rsidRPr="00DD4F65" w:rsidR="007D3728">
              <w:rPr>
                <w:color w:val="000000"/>
                <w:sz w:val="22"/>
                <w:szCs w:val="22"/>
              </w:rPr>
              <w:t>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79941CC"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483666" w:rsidRDefault="00DD4F65" w14:paraId="0D7DF94B" w14:textId="3958AE5E">
            <w:pPr>
              <w:widowControl/>
              <w:autoSpaceDE/>
              <w:autoSpaceDN/>
              <w:adjustRightInd/>
              <w:jc w:val="center"/>
              <w:rPr>
                <w:color w:val="000000"/>
                <w:sz w:val="22"/>
                <w:szCs w:val="22"/>
              </w:rPr>
            </w:pPr>
            <w:r w:rsidRPr="00DD4F65">
              <w:rPr>
                <w:color w:val="000000"/>
                <w:sz w:val="22"/>
                <w:szCs w:val="22"/>
              </w:rPr>
              <w:t>$4,19</w:t>
            </w:r>
            <w:r w:rsidR="007D3728">
              <w:rPr>
                <w:color w:val="000000"/>
                <w:sz w:val="22"/>
                <w:szCs w:val="22"/>
              </w:rPr>
              <w:t>1</w:t>
            </w:r>
            <w:r w:rsidRPr="00DD4F65">
              <w:rPr>
                <w:color w:val="000000"/>
                <w:sz w:val="22"/>
                <w:szCs w:val="22"/>
              </w:rPr>
              <w:t>,</w:t>
            </w:r>
            <w:r w:rsidR="00483666">
              <w:rPr>
                <w:color w:val="000000"/>
                <w:sz w:val="22"/>
                <w:szCs w:val="22"/>
              </w:rPr>
              <w:t>959.66</w:t>
            </w:r>
            <w:r w:rsidRPr="00DD4F65">
              <w:rPr>
                <w:color w:val="000000"/>
                <w:sz w:val="22"/>
                <w:szCs w:val="22"/>
              </w:rPr>
              <w:t xml:space="preserve"> </w:t>
            </w:r>
          </w:p>
        </w:tc>
      </w:tr>
      <w:tr w:rsidRPr="00DD4F65" w:rsidR="007C76DE" w:rsidTr="00FF5F6D" w14:paraId="0C35B4F7"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5F358784" w14:textId="77777777">
            <w:pPr>
              <w:widowControl/>
              <w:autoSpaceDE/>
              <w:autoSpaceDN/>
              <w:adjustRightInd/>
              <w:rPr>
                <w:i/>
                <w:iCs/>
                <w:color w:val="000000"/>
                <w:sz w:val="20"/>
                <w:szCs w:val="20"/>
              </w:rPr>
            </w:pPr>
            <w:r w:rsidRPr="00DD4F65">
              <w:rPr>
                <w:i/>
                <w:iCs/>
                <w:color w:val="000000"/>
                <w:sz w:val="20"/>
                <w:szCs w:val="20"/>
              </w:rPr>
              <w:t>Small</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39CC5F8" w14:textId="77777777">
            <w:pPr>
              <w:widowControl/>
              <w:autoSpaceDE/>
              <w:autoSpaceDN/>
              <w:adjustRightInd/>
              <w:jc w:val="center"/>
              <w:rPr>
                <w:color w:val="000000"/>
                <w:sz w:val="22"/>
                <w:szCs w:val="22"/>
              </w:rPr>
            </w:pPr>
            <w:r w:rsidRPr="00DD4F65">
              <w:rPr>
                <w:color w:val="000000"/>
                <w:sz w:val="22"/>
                <w:szCs w:val="22"/>
              </w:rPr>
              <w:t>50,641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50638DF7"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64A1287" w14:textId="77777777">
            <w:pPr>
              <w:widowControl/>
              <w:autoSpaceDE/>
              <w:autoSpaceDN/>
              <w:adjustRightInd/>
              <w:jc w:val="center"/>
              <w:rPr>
                <w:color w:val="000000"/>
                <w:sz w:val="22"/>
                <w:szCs w:val="22"/>
              </w:rPr>
            </w:pPr>
            <w:r w:rsidRPr="00DD4F65">
              <w:rPr>
                <w:color w:val="000000"/>
                <w:sz w:val="22"/>
                <w:szCs w:val="22"/>
              </w:rPr>
              <w:t>50,641</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2B577B2" w14:textId="77777777">
            <w:pPr>
              <w:widowControl/>
              <w:autoSpaceDE/>
              <w:autoSpaceDN/>
              <w:adjustRightInd/>
              <w:jc w:val="center"/>
              <w:rPr>
                <w:color w:val="000000"/>
                <w:sz w:val="22"/>
                <w:szCs w:val="22"/>
              </w:rPr>
            </w:pPr>
            <w:r w:rsidRPr="00DD4F65">
              <w:rPr>
                <w:color w:val="000000"/>
                <w:sz w:val="22"/>
                <w:szCs w:val="22"/>
              </w:rPr>
              <w:t>4</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6BDB968" w14:textId="77777777">
            <w:pPr>
              <w:widowControl/>
              <w:autoSpaceDE/>
              <w:autoSpaceDN/>
              <w:adjustRightInd/>
              <w:jc w:val="center"/>
              <w:rPr>
                <w:color w:val="000000"/>
                <w:sz w:val="22"/>
                <w:szCs w:val="22"/>
              </w:rPr>
            </w:pPr>
            <w:r w:rsidRPr="00DD4F65">
              <w:rPr>
                <w:color w:val="000000"/>
                <w:sz w:val="22"/>
                <w:szCs w:val="22"/>
              </w:rPr>
              <w:t>202,56</w:t>
            </w:r>
            <w:r w:rsidR="00483666">
              <w:rPr>
                <w:color w:val="000000"/>
                <w:sz w:val="22"/>
                <w:szCs w:val="22"/>
              </w:rPr>
              <w:t>4.00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677ED180"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483666" w:rsidRDefault="00DD4F65" w14:paraId="07380C1F" w14:textId="77777777">
            <w:pPr>
              <w:widowControl/>
              <w:autoSpaceDE/>
              <w:autoSpaceDN/>
              <w:adjustRightInd/>
              <w:jc w:val="center"/>
              <w:rPr>
                <w:color w:val="000000"/>
                <w:sz w:val="22"/>
                <w:szCs w:val="22"/>
              </w:rPr>
            </w:pPr>
            <w:r w:rsidRPr="00DD4F65">
              <w:rPr>
                <w:color w:val="000000"/>
                <w:sz w:val="22"/>
                <w:szCs w:val="22"/>
              </w:rPr>
              <w:t>$9,</w:t>
            </w:r>
            <w:r w:rsidR="00483666">
              <w:rPr>
                <w:color w:val="000000"/>
                <w:sz w:val="22"/>
                <w:szCs w:val="22"/>
              </w:rPr>
              <w:t>242,955.32</w:t>
            </w:r>
            <w:r w:rsidRPr="00DD4F65">
              <w:rPr>
                <w:color w:val="000000"/>
                <w:sz w:val="22"/>
                <w:szCs w:val="22"/>
              </w:rPr>
              <w:t xml:space="preserve"> </w:t>
            </w:r>
          </w:p>
        </w:tc>
      </w:tr>
      <w:tr w:rsidRPr="00DD4F65" w:rsidR="007C76DE" w:rsidTr="00FF5F6D" w14:paraId="5D6682AA"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036C27F3" w14:textId="77777777">
            <w:pPr>
              <w:widowControl/>
              <w:autoSpaceDE/>
              <w:autoSpaceDN/>
              <w:adjustRightInd/>
              <w:rPr>
                <w:i/>
                <w:iCs/>
                <w:color w:val="000000"/>
                <w:sz w:val="20"/>
                <w:szCs w:val="20"/>
              </w:rPr>
            </w:pPr>
            <w:r w:rsidRPr="00DD4F65">
              <w:rPr>
                <w:i/>
                <w:iCs/>
                <w:color w:val="000000"/>
                <w:sz w:val="20"/>
                <w:szCs w:val="20"/>
              </w:rPr>
              <w:t>Medium</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67453BF0" w14:textId="77777777">
            <w:pPr>
              <w:widowControl/>
              <w:autoSpaceDE/>
              <w:autoSpaceDN/>
              <w:adjustRightInd/>
              <w:jc w:val="center"/>
              <w:rPr>
                <w:color w:val="000000"/>
                <w:sz w:val="22"/>
                <w:szCs w:val="22"/>
              </w:rPr>
            </w:pPr>
            <w:r w:rsidRPr="00DD4F65">
              <w:rPr>
                <w:color w:val="000000"/>
                <w:sz w:val="22"/>
                <w:szCs w:val="22"/>
              </w:rPr>
              <w:t>11,640</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66195BE6"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5E76E1A" w14:textId="77777777">
            <w:pPr>
              <w:widowControl/>
              <w:autoSpaceDE/>
              <w:autoSpaceDN/>
              <w:adjustRightInd/>
              <w:jc w:val="center"/>
              <w:rPr>
                <w:color w:val="000000"/>
                <w:sz w:val="22"/>
                <w:szCs w:val="22"/>
              </w:rPr>
            </w:pPr>
            <w:r w:rsidRPr="00DD4F65">
              <w:rPr>
                <w:color w:val="000000"/>
                <w:sz w:val="22"/>
                <w:szCs w:val="22"/>
              </w:rPr>
              <w:t>11,640</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A77DCB2" w14:textId="77777777">
            <w:pPr>
              <w:widowControl/>
              <w:autoSpaceDE/>
              <w:autoSpaceDN/>
              <w:adjustRightInd/>
              <w:jc w:val="center"/>
              <w:rPr>
                <w:color w:val="000000"/>
                <w:sz w:val="22"/>
                <w:szCs w:val="22"/>
              </w:rPr>
            </w:pPr>
            <w:r w:rsidRPr="00DD4F65">
              <w:rPr>
                <w:color w:val="000000"/>
                <w:sz w:val="22"/>
                <w:szCs w:val="22"/>
              </w:rPr>
              <w:t>12</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35A7F3D" w14:textId="77777777">
            <w:pPr>
              <w:widowControl/>
              <w:autoSpaceDE/>
              <w:autoSpaceDN/>
              <w:adjustRightInd/>
              <w:jc w:val="center"/>
              <w:rPr>
                <w:color w:val="000000"/>
                <w:sz w:val="22"/>
                <w:szCs w:val="22"/>
              </w:rPr>
            </w:pPr>
            <w:r w:rsidRPr="00DD4F65">
              <w:rPr>
                <w:color w:val="000000"/>
                <w:sz w:val="22"/>
                <w:szCs w:val="22"/>
              </w:rPr>
              <w:t>139,68</w:t>
            </w:r>
            <w:r w:rsidR="00483666">
              <w:rPr>
                <w:color w:val="000000"/>
                <w:sz w:val="22"/>
                <w:szCs w:val="22"/>
              </w:rPr>
              <w:t>0.00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1D03A8C"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7D3728" w:rsidRDefault="00DD4F65" w14:paraId="5C630292" w14:textId="1A261462">
            <w:pPr>
              <w:widowControl/>
              <w:autoSpaceDE/>
              <w:autoSpaceDN/>
              <w:adjustRightInd/>
              <w:jc w:val="center"/>
              <w:rPr>
                <w:color w:val="000000"/>
                <w:sz w:val="22"/>
                <w:szCs w:val="22"/>
              </w:rPr>
            </w:pPr>
            <w:r w:rsidRPr="00DD4F65">
              <w:rPr>
                <w:color w:val="000000"/>
                <w:sz w:val="22"/>
                <w:szCs w:val="22"/>
              </w:rPr>
              <w:t>$6,</w:t>
            </w:r>
            <w:r w:rsidRPr="00DD4F65" w:rsidR="007D3728">
              <w:rPr>
                <w:color w:val="000000"/>
                <w:sz w:val="22"/>
                <w:szCs w:val="22"/>
              </w:rPr>
              <w:t>37</w:t>
            </w:r>
            <w:r w:rsidR="007D3728">
              <w:rPr>
                <w:color w:val="000000"/>
                <w:sz w:val="22"/>
                <w:szCs w:val="22"/>
              </w:rPr>
              <w:t>3</w:t>
            </w:r>
            <w:r w:rsidRPr="00DD4F65">
              <w:rPr>
                <w:color w:val="000000"/>
                <w:sz w:val="22"/>
                <w:szCs w:val="22"/>
              </w:rPr>
              <w:t>,</w:t>
            </w:r>
            <w:r w:rsidR="00483666">
              <w:rPr>
                <w:color w:val="000000"/>
                <w:sz w:val="22"/>
                <w:szCs w:val="22"/>
              </w:rPr>
              <w:t>598.40</w:t>
            </w:r>
          </w:p>
        </w:tc>
      </w:tr>
      <w:tr w:rsidRPr="00DD4F65" w:rsidR="007C76DE" w:rsidTr="00FF5F6D" w14:paraId="7102C9E4"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40AF959D" w14:textId="77777777">
            <w:pPr>
              <w:widowControl/>
              <w:autoSpaceDE/>
              <w:autoSpaceDN/>
              <w:adjustRightInd/>
              <w:rPr>
                <w:i/>
                <w:iCs/>
                <w:color w:val="000000"/>
                <w:sz w:val="20"/>
                <w:szCs w:val="20"/>
              </w:rPr>
            </w:pPr>
            <w:r w:rsidRPr="00DD4F65">
              <w:rPr>
                <w:i/>
                <w:iCs/>
                <w:color w:val="000000"/>
                <w:sz w:val="20"/>
                <w:szCs w:val="20"/>
              </w:rPr>
              <w:t>Large</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B0B8A6B" w14:textId="77777777">
            <w:pPr>
              <w:widowControl/>
              <w:autoSpaceDE/>
              <w:autoSpaceDN/>
              <w:adjustRightInd/>
              <w:jc w:val="center"/>
              <w:rPr>
                <w:color w:val="000000"/>
                <w:sz w:val="22"/>
                <w:szCs w:val="22"/>
              </w:rPr>
            </w:pPr>
            <w:r w:rsidRPr="00DD4F65">
              <w:rPr>
                <w:color w:val="000000"/>
                <w:sz w:val="22"/>
                <w:szCs w:val="22"/>
              </w:rPr>
              <w:t>4,899</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4C9F14D"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23B0D4A" w14:textId="77777777">
            <w:pPr>
              <w:widowControl/>
              <w:autoSpaceDE/>
              <w:autoSpaceDN/>
              <w:adjustRightInd/>
              <w:jc w:val="center"/>
              <w:rPr>
                <w:color w:val="000000"/>
                <w:sz w:val="22"/>
                <w:szCs w:val="22"/>
              </w:rPr>
            </w:pPr>
            <w:r w:rsidRPr="00DD4F65">
              <w:rPr>
                <w:color w:val="000000"/>
                <w:sz w:val="22"/>
                <w:szCs w:val="22"/>
              </w:rPr>
              <w:t>4,899</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E797C2B" w14:textId="77777777">
            <w:pPr>
              <w:widowControl/>
              <w:autoSpaceDE/>
              <w:autoSpaceDN/>
              <w:adjustRightInd/>
              <w:jc w:val="center"/>
              <w:rPr>
                <w:color w:val="000000"/>
                <w:sz w:val="22"/>
                <w:szCs w:val="22"/>
              </w:rPr>
            </w:pPr>
            <w:r w:rsidRPr="00DD4F65">
              <w:rPr>
                <w:color w:val="000000"/>
                <w:sz w:val="22"/>
                <w:szCs w:val="22"/>
              </w:rPr>
              <w:t>20</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59D3E84" w14:textId="77777777">
            <w:pPr>
              <w:widowControl/>
              <w:autoSpaceDE/>
              <w:autoSpaceDN/>
              <w:adjustRightInd/>
              <w:jc w:val="center"/>
              <w:rPr>
                <w:color w:val="000000"/>
                <w:sz w:val="22"/>
                <w:szCs w:val="22"/>
              </w:rPr>
            </w:pPr>
            <w:r w:rsidRPr="00DD4F65">
              <w:rPr>
                <w:color w:val="000000"/>
                <w:sz w:val="22"/>
                <w:szCs w:val="22"/>
              </w:rPr>
              <w:t>97,9</w:t>
            </w:r>
            <w:r w:rsidR="00483666">
              <w:rPr>
                <w:color w:val="000000"/>
                <w:sz w:val="22"/>
                <w:szCs w:val="22"/>
              </w:rPr>
              <w:t>80.00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C73FD9B"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8D5113B" w14:textId="77777777">
            <w:pPr>
              <w:widowControl/>
              <w:autoSpaceDE/>
              <w:autoSpaceDN/>
              <w:adjustRightInd/>
              <w:jc w:val="center"/>
              <w:rPr>
                <w:color w:val="000000"/>
                <w:sz w:val="22"/>
                <w:szCs w:val="22"/>
              </w:rPr>
            </w:pPr>
            <w:r w:rsidRPr="00DD4F65">
              <w:rPr>
                <w:color w:val="000000"/>
                <w:sz w:val="22"/>
                <w:szCs w:val="22"/>
              </w:rPr>
              <w:t>$4,470,8</w:t>
            </w:r>
            <w:r w:rsidR="00483666">
              <w:rPr>
                <w:color w:val="000000"/>
                <w:sz w:val="22"/>
                <w:szCs w:val="22"/>
              </w:rPr>
              <w:t>27.40</w:t>
            </w:r>
            <w:r w:rsidRPr="00DD4F65">
              <w:rPr>
                <w:color w:val="000000"/>
                <w:sz w:val="22"/>
                <w:szCs w:val="22"/>
              </w:rPr>
              <w:t xml:space="preserve"> </w:t>
            </w:r>
          </w:p>
        </w:tc>
      </w:tr>
      <w:tr w:rsidRPr="00DD4F65" w:rsidR="007C76DE" w:rsidTr="00FF5F6D" w14:paraId="64968563"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13081848" w14:textId="77777777">
            <w:pPr>
              <w:widowControl/>
              <w:autoSpaceDE/>
              <w:autoSpaceDN/>
              <w:adjustRightInd/>
              <w:rPr>
                <w:i/>
                <w:iCs/>
                <w:color w:val="000000"/>
                <w:sz w:val="20"/>
                <w:szCs w:val="20"/>
              </w:rPr>
            </w:pPr>
            <w:r w:rsidRPr="00DD4F65">
              <w:rPr>
                <w:i/>
                <w:iCs/>
                <w:color w:val="000000"/>
                <w:sz w:val="20"/>
                <w:szCs w:val="20"/>
              </w:rPr>
              <w:t>Sub-total</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8983DBA" w14:textId="77777777">
            <w:pPr>
              <w:widowControl/>
              <w:autoSpaceDE/>
              <w:autoSpaceDN/>
              <w:adjustRightInd/>
              <w:jc w:val="center"/>
              <w:rPr>
                <w:color w:val="000000"/>
                <w:sz w:val="22"/>
                <w:szCs w:val="22"/>
              </w:rPr>
            </w:pPr>
            <w:r w:rsidRPr="00DD4F65">
              <w:rPr>
                <w:color w:val="000000"/>
                <w:sz w:val="22"/>
                <w:szCs w:val="22"/>
              </w:rPr>
              <w:t>250,917</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384CB8E" w14:textId="77777777">
            <w:pPr>
              <w:widowControl/>
              <w:autoSpaceDE/>
              <w:autoSpaceDN/>
              <w:adjustRightInd/>
              <w:jc w:val="center"/>
              <w:rPr>
                <w:color w:val="000000"/>
                <w:sz w:val="22"/>
                <w:szCs w:val="22"/>
              </w:rPr>
            </w:pPr>
            <w:r w:rsidRPr="00DD4F65">
              <w:rPr>
                <w:color w:val="000000"/>
                <w:sz w:val="22"/>
                <w:szCs w:val="22"/>
              </w:rPr>
              <w:t>-</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5881EF42" w14:textId="77777777">
            <w:pPr>
              <w:widowControl/>
              <w:autoSpaceDE/>
              <w:autoSpaceDN/>
              <w:adjustRightInd/>
              <w:jc w:val="center"/>
              <w:rPr>
                <w:color w:val="000000"/>
                <w:sz w:val="22"/>
                <w:szCs w:val="22"/>
              </w:rPr>
            </w:pPr>
            <w:r w:rsidRPr="00DD4F65">
              <w:rPr>
                <w:color w:val="000000"/>
                <w:sz w:val="22"/>
                <w:szCs w:val="22"/>
              </w:rPr>
              <w:t>252,</w:t>
            </w:r>
            <w:r w:rsidR="00483666">
              <w:rPr>
                <w:color w:val="000000"/>
                <w:sz w:val="22"/>
                <w:szCs w:val="22"/>
              </w:rPr>
              <w:t>917</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BC4ADAB" w14:textId="77777777">
            <w:pPr>
              <w:widowControl/>
              <w:autoSpaceDE/>
              <w:autoSpaceDN/>
              <w:adjustRightInd/>
              <w:jc w:val="center"/>
              <w:rPr>
                <w:color w:val="000000"/>
                <w:sz w:val="22"/>
                <w:szCs w:val="22"/>
              </w:rPr>
            </w:pPr>
            <w:r w:rsidRPr="00DD4F65">
              <w:rPr>
                <w:color w:val="000000"/>
                <w:sz w:val="22"/>
                <w:szCs w:val="22"/>
              </w:rPr>
              <w:t>-</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34721CF" w14:textId="77777777">
            <w:pPr>
              <w:widowControl/>
              <w:autoSpaceDE/>
              <w:autoSpaceDN/>
              <w:adjustRightInd/>
              <w:jc w:val="center"/>
              <w:rPr>
                <w:color w:val="000000"/>
                <w:sz w:val="22"/>
                <w:szCs w:val="22"/>
              </w:rPr>
            </w:pPr>
            <w:r w:rsidRPr="00DD4F65">
              <w:rPr>
                <w:color w:val="000000"/>
                <w:sz w:val="22"/>
                <w:szCs w:val="22"/>
              </w:rPr>
              <w:t>532,0</w:t>
            </w:r>
            <w:r w:rsidR="00483666">
              <w:rPr>
                <w:color w:val="000000"/>
                <w:sz w:val="22"/>
                <w:szCs w:val="22"/>
              </w:rPr>
              <w:t>92</w:t>
            </w:r>
            <w:r w:rsidRPr="00DD4F65">
              <w:rPr>
                <w:color w:val="000000"/>
                <w:sz w:val="22"/>
                <w:szCs w:val="22"/>
              </w:rPr>
              <w:t>.50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AE8CDE1" w14:textId="77777777">
            <w:pPr>
              <w:widowControl/>
              <w:autoSpaceDE/>
              <w:autoSpaceDN/>
              <w:adjustRightInd/>
              <w:jc w:val="center"/>
              <w:rPr>
                <w:color w:val="000000"/>
                <w:sz w:val="22"/>
                <w:szCs w:val="22"/>
              </w:rPr>
            </w:pPr>
            <w:r w:rsidRPr="00DD4F65">
              <w:rPr>
                <w:color w:val="000000"/>
                <w:sz w:val="22"/>
                <w:szCs w:val="22"/>
              </w:rPr>
              <w:t>-</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483666" w:rsidRDefault="00DD4F65" w14:paraId="402EF5BF" w14:textId="77777777">
            <w:pPr>
              <w:widowControl/>
              <w:autoSpaceDE/>
              <w:autoSpaceDN/>
              <w:adjustRightInd/>
              <w:jc w:val="center"/>
              <w:rPr>
                <w:color w:val="000000"/>
                <w:sz w:val="22"/>
                <w:szCs w:val="22"/>
              </w:rPr>
            </w:pPr>
            <w:r w:rsidRPr="00DD4F65">
              <w:rPr>
                <w:color w:val="000000"/>
                <w:sz w:val="22"/>
                <w:szCs w:val="22"/>
              </w:rPr>
              <w:t>$24,</w:t>
            </w:r>
            <w:r w:rsidR="00483666">
              <w:rPr>
                <w:color w:val="000000"/>
                <w:sz w:val="22"/>
                <w:szCs w:val="22"/>
              </w:rPr>
              <w:t>279,380.78</w:t>
            </w:r>
            <w:r w:rsidRPr="00DD4F65">
              <w:rPr>
                <w:color w:val="000000"/>
                <w:sz w:val="22"/>
                <w:szCs w:val="22"/>
              </w:rPr>
              <w:t xml:space="preserve"> </w:t>
            </w:r>
          </w:p>
        </w:tc>
      </w:tr>
      <w:tr w:rsidRPr="00DD4F65" w:rsidR="007C76DE" w:rsidTr="00FF5F6D" w14:paraId="528C4658"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7D882178" w14:textId="77777777">
            <w:pPr>
              <w:widowControl/>
              <w:autoSpaceDE/>
              <w:autoSpaceDN/>
              <w:adjustRightInd/>
              <w:rPr>
                <w:i/>
                <w:iCs/>
                <w:color w:val="000000"/>
                <w:sz w:val="20"/>
                <w:szCs w:val="20"/>
              </w:rPr>
            </w:pPr>
            <w:r w:rsidRPr="00DD4F65">
              <w:rPr>
                <w:i/>
                <w:iCs/>
                <w:color w:val="000000"/>
                <w:sz w:val="20"/>
                <w:szCs w:val="20"/>
              </w:rPr>
              <w:lastRenderedPageBreak/>
              <w:t>4. Low-impact establishments (updating procedures)</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6A78F81F" w14:textId="77777777">
            <w:pPr>
              <w:widowControl/>
              <w:autoSpaceDE/>
              <w:autoSpaceDN/>
              <w:adjustRightInd/>
              <w:jc w:val="center"/>
              <w:rPr>
                <w:color w:val="000000"/>
                <w:sz w:val="22"/>
                <w:szCs w:val="22"/>
              </w:rPr>
            </w:pPr>
            <w:r w:rsidRPr="00DD4F65">
              <w:rPr>
                <w:color w:val="000000"/>
                <w:sz w:val="22"/>
                <w:szCs w:val="22"/>
              </w:rPr>
              <w:t> </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3DD39D18" w14:textId="77777777">
            <w:pPr>
              <w:widowControl/>
              <w:autoSpaceDE/>
              <w:autoSpaceDN/>
              <w:adjustRightInd/>
              <w:jc w:val="center"/>
              <w:rPr>
                <w:color w:val="000000"/>
                <w:sz w:val="22"/>
                <w:szCs w:val="22"/>
              </w:rPr>
            </w:pPr>
            <w:r w:rsidRPr="00DD4F65">
              <w:rPr>
                <w:color w:val="000000"/>
                <w:sz w:val="22"/>
                <w:szCs w:val="22"/>
              </w:rPr>
              <w:t> </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7A3E87C5" w14:textId="77777777">
            <w:pPr>
              <w:widowControl/>
              <w:autoSpaceDE/>
              <w:autoSpaceDN/>
              <w:adjustRightInd/>
              <w:jc w:val="center"/>
              <w:rPr>
                <w:color w:val="000000"/>
                <w:sz w:val="22"/>
                <w:szCs w:val="22"/>
              </w:rPr>
            </w:pPr>
            <w:r w:rsidRPr="00DD4F65">
              <w:rPr>
                <w:color w:val="000000"/>
                <w:sz w:val="22"/>
                <w:szCs w:val="22"/>
              </w:rPr>
              <w:t> </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BEB798A" w14:textId="77777777">
            <w:pPr>
              <w:widowControl/>
              <w:autoSpaceDE/>
              <w:autoSpaceDN/>
              <w:adjustRightInd/>
              <w:jc w:val="center"/>
              <w:rPr>
                <w:color w:val="000000"/>
                <w:sz w:val="22"/>
                <w:szCs w:val="22"/>
              </w:rPr>
            </w:pPr>
            <w:r w:rsidRPr="00DD4F65">
              <w:rPr>
                <w:color w:val="000000"/>
                <w:sz w:val="22"/>
                <w:szCs w:val="22"/>
              </w:rPr>
              <w:t> </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3A28F68" w14:textId="77777777">
            <w:pPr>
              <w:widowControl/>
              <w:autoSpaceDE/>
              <w:autoSpaceDN/>
              <w:adjustRightInd/>
              <w:jc w:val="center"/>
              <w:rPr>
                <w:color w:val="000000"/>
                <w:sz w:val="22"/>
                <w:szCs w:val="22"/>
              </w:rPr>
            </w:pPr>
            <w:r w:rsidRPr="00DD4F65">
              <w:rPr>
                <w:color w:val="000000"/>
                <w:sz w:val="22"/>
                <w:szCs w:val="22"/>
              </w:rPr>
              <w:t> </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E644E51" w14:textId="77777777">
            <w:pPr>
              <w:widowControl/>
              <w:autoSpaceDE/>
              <w:autoSpaceDN/>
              <w:adjustRightInd/>
              <w:jc w:val="center"/>
              <w:rPr>
                <w:color w:val="000000"/>
                <w:sz w:val="22"/>
                <w:szCs w:val="22"/>
              </w:rPr>
            </w:pPr>
            <w:r w:rsidRPr="00DD4F65">
              <w:rPr>
                <w:color w:val="000000"/>
                <w:sz w:val="22"/>
                <w:szCs w:val="22"/>
              </w:rPr>
              <w:t>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591D427B" w14:textId="77777777">
            <w:pPr>
              <w:widowControl/>
              <w:autoSpaceDE/>
              <w:autoSpaceDN/>
              <w:adjustRightInd/>
              <w:jc w:val="center"/>
              <w:rPr>
                <w:color w:val="000000"/>
                <w:sz w:val="22"/>
                <w:szCs w:val="22"/>
              </w:rPr>
            </w:pPr>
            <w:r w:rsidRPr="00DD4F65">
              <w:rPr>
                <w:color w:val="000000"/>
                <w:sz w:val="22"/>
                <w:szCs w:val="22"/>
              </w:rPr>
              <w:t> </w:t>
            </w:r>
          </w:p>
        </w:tc>
      </w:tr>
      <w:tr w:rsidRPr="00DD4F65" w:rsidR="00BD4DA5" w:rsidTr="00FF5F6D" w14:paraId="35D5A905"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BD4DA5" w:rsidP="00BD4DA5" w:rsidRDefault="00BD4DA5" w14:paraId="6A7379C1" w14:textId="77777777">
            <w:pPr>
              <w:widowControl/>
              <w:autoSpaceDE/>
              <w:autoSpaceDN/>
              <w:adjustRightInd/>
              <w:rPr>
                <w:i/>
                <w:iCs/>
                <w:color w:val="000000"/>
                <w:sz w:val="20"/>
                <w:szCs w:val="20"/>
              </w:rPr>
            </w:pPr>
            <w:r w:rsidRPr="00DD4F65">
              <w:rPr>
                <w:i/>
                <w:iCs/>
                <w:color w:val="000000"/>
                <w:sz w:val="20"/>
                <w:szCs w:val="20"/>
              </w:rPr>
              <w:t>Transportation</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6B12CE82" w14:textId="77777777">
            <w:pPr>
              <w:widowControl/>
              <w:autoSpaceDE/>
              <w:autoSpaceDN/>
              <w:adjustRightInd/>
              <w:jc w:val="center"/>
              <w:rPr>
                <w:color w:val="000000"/>
                <w:sz w:val="22"/>
                <w:szCs w:val="22"/>
              </w:rPr>
            </w:pPr>
            <w:r w:rsidRPr="00DD4F65">
              <w:rPr>
                <w:color w:val="000000"/>
                <w:sz w:val="22"/>
                <w:szCs w:val="22"/>
              </w:rPr>
              <w:t>267,181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4B89328F"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69656FFD" w14:textId="77777777">
            <w:pPr>
              <w:widowControl/>
              <w:autoSpaceDE/>
              <w:autoSpaceDN/>
              <w:adjustRightInd/>
              <w:jc w:val="center"/>
              <w:rPr>
                <w:color w:val="000000"/>
                <w:sz w:val="22"/>
                <w:szCs w:val="22"/>
              </w:rPr>
            </w:pPr>
            <w:r w:rsidRPr="00DD4F65">
              <w:rPr>
                <w:color w:val="000000"/>
                <w:sz w:val="22"/>
                <w:szCs w:val="22"/>
              </w:rPr>
              <w:t>267,181</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73862728" w14:textId="77777777">
            <w:pPr>
              <w:widowControl/>
              <w:autoSpaceDE/>
              <w:autoSpaceDN/>
              <w:adjustRightInd/>
              <w:jc w:val="center"/>
              <w:rPr>
                <w:color w:val="000000"/>
                <w:sz w:val="22"/>
                <w:szCs w:val="22"/>
              </w:rPr>
            </w:pPr>
            <w:r>
              <w:rPr>
                <w:color w:val="000000"/>
                <w:sz w:val="22"/>
                <w:szCs w:val="22"/>
              </w:rPr>
              <w:t>30/60</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7C991919" w14:textId="77777777">
            <w:pPr>
              <w:widowControl/>
              <w:autoSpaceDE/>
              <w:autoSpaceDN/>
              <w:adjustRightInd/>
              <w:jc w:val="center"/>
              <w:rPr>
                <w:color w:val="000000"/>
                <w:sz w:val="22"/>
                <w:szCs w:val="22"/>
              </w:rPr>
            </w:pPr>
            <w:r w:rsidRPr="00DD4F65">
              <w:rPr>
                <w:color w:val="000000"/>
                <w:sz w:val="22"/>
                <w:szCs w:val="22"/>
              </w:rPr>
              <w:t>133,590.50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1864BFC2"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hideMark/>
          </w:tcPr>
          <w:p w:rsidRPr="00DD4F65" w:rsidR="00BD4DA5" w:rsidP="00BD4DA5" w:rsidRDefault="00BD4DA5" w14:paraId="6C1D29B3" w14:textId="77777777">
            <w:pPr>
              <w:widowControl/>
              <w:autoSpaceDE/>
              <w:autoSpaceDN/>
              <w:adjustRightInd/>
              <w:jc w:val="center"/>
              <w:rPr>
                <w:color w:val="000000"/>
                <w:sz w:val="22"/>
                <w:szCs w:val="22"/>
              </w:rPr>
            </w:pPr>
            <w:r w:rsidRPr="002F7AC9">
              <w:t>$6,095,734.52</w:t>
            </w:r>
          </w:p>
        </w:tc>
      </w:tr>
      <w:tr w:rsidRPr="00DD4F65" w:rsidR="00BD4DA5" w:rsidTr="00FF5F6D" w14:paraId="18ECE712"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BD4DA5" w:rsidP="00BD4DA5" w:rsidRDefault="00BD4DA5" w14:paraId="60C1FB5B" w14:textId="77777777">
            <w:pPr>
              <w:widowControl/>
              <w:autoSpaceDE/>
              <w:autoSpaceDN/>
              <w:adjustRightInd/>
              <w:rPr>
                <w:i/>
                <w:iCs/>
                <w:color w:val="000000"/>
                <w:sz w:val="20"/>
                <w:szCs w:val="20"/>
              </w:rPr>
            </w:pPr>
            <w:r w:rsidRPr="00DD4F65">
              <w:rPr>
                <w:i/>
                <w:iCs/>
                <w:color w:val="000000"/>
                <w:sz w:val="20"/>
                <w:szCs w:val="20"/>
              </w:rPr>
              <w:t>Communications</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0CD4CA66" w14:textId="77777777">
            <w:pPr>
              <w:widowControl/>
              <w:autoSpaceDE/>
              <w:autoSpaceDN/>
              <w:adjustRightInd/>
              <w:jc w:val="center"/>
              <w:rPr>
                <w:color w:val="000000"/>
                <w:sz w:val="22"/>
                <w:szCs w:val="22"/>
              </w:rPr>
            </w:pPr>
            <w:r w:rsidRPr="00DD4F65">
              <w:rPr>
                <w:color w:val="000000"/>
                <w:sz w:val="22"/>
                <w:szCs w:val="22"/>
              </w:rPr>
              <w:t>60,469</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5A655397"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7C44ABF5" w14:textId="77777777">
            <w:pPr>
              <w:widowControl/>
              <w:autoSpaceDE/>
              <w:autoSpaceDN/>
              <w:adjustRightInd/>
              <w:jc w:val="center"/>
              <w:rPr>
                <w:color w:val="000000"/>
                <w:sz w:val="22"/>
                <w:szCs w:val="22"/>
              </w:rPr>
            </w:pPr>
            <w:r w:rsidRPr="00DD4F65">
              <w:rPr>
                <w:color w:val="000000"/>
                <w:sz w:val="22"/>
                <w:szCs w:val="22"/>
              </w:rPr>
              <w:t>60,469</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7185C99E" w14:textId="77777777">
            <w:pPr>
              <w:widowControl/>
              <w:autoSpaceDE/>
              <w:autoSpaceDN/>
              <w:adjustRightInd/>
              <w:jc w:val="center"/>
              <w:rPr>
                <w:color w:val="000000"/>
                <w:sz w:val="22"/>
                <w:szCs w:val="22"/>
              </w:rPr>
            </w:pPr>
            <w:r>
              <w:rPr>
                <w:color w:val="000000"/>
                <w:sz w:val="22"/>
                <w:szCs w:val="22"/>
              </w:rPr>
              <w:t>30/60</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349496BA" w14:textId="77777777">
            <w:pPr>
              <w:widowControl/>
              <w:autoSpaceDE/>
              <w:autoSpaceDN/>
              <w:adjustRightInd/>
              <w:jc w:val="center"/>
              <w:rPr>
                <w:color w:val="000000"/>
                <w:sz w:val="22"/>
                <w:szCs w:val="22"/>
              </w:rPr>
            </w:pPr>
            <w:r w:rsidRPr="00DD4F65">
              <w:rPr>
                <w:color w:val="000000"/>
                <w:sz w:val="22"/>
                <w:szCs w:val="22"/>
              </w:rPr>
              <w:t>30,234.50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43673FCD"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hideMark/>
          </w:tcPr>
          <w:p w:rsidRPr="00DD4F65" w:rsidR="00BD4DA5" w:rsidP="00BD4DA5" w:rsidRDefault="00BD4DA5" w14:paraId="6B077A54" w14:textId="77777777">
            <w:pPr>
              <w:widowControl/>
              <w:autoSpaceDE/>
              <w:autoSpaceDN/>
              <w:adjustRightInd/>
              <w:jc w:val="center"/>
              <w:rPr>
                <w:color w:val="000000"/>
                <w:sz w:val="22"/>
                <w:szCs w:val="22"/>
              </w:rPr>
            </w:pPr>
            <w:r w:rsidRPr="002F7AC9">
              <w:t>$1,379,600.24</w:t>
            </w:r>
          </w:p>
        </w:tc>
      </w:tr>
      <w:tr w:rsidRPr="00DD4F65" w:rsidR="00BD4DA5" w:rsidTr="00FF5F6D" w14:paraId="19E888CD"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BD4DA5" w:rsidP="00BD4DA5" w:rsidRDefault="00BD4DA5" w14:paraId="53696F6F" w14:textId="77777777">
            <w:pPr>
              <w:widowControl/>
              <w:autoSpaceDE/>
              <w:autoSpaceDN/>
              <w:adjustRightInd/>
              <w:rPr>
                <w:i/>
                <w:iCs/>
                <w:color w:val="000000"/>
                <w:sz w:val="20"/>
                <w:szCs w:val="20"/>
              </w:rPr>
            </w:pPr>
            <w:r w:rsidRPr="00DD4F65">
              <w:rPr>
                <w:i/>
                <w:iCs/>
                <w:color w:val="000000"/>
                <w:sz w:val="20"/>
                <w:szCs w:val="20"/>
              </w:rPr>
              <w:t>Utilities</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0EE4E39F" w14:textId="77777777">
            <w:pPr>
              <w:widowControl/>
              <w:autoSpaceDE/>
              <w:autoSpaceDN/>
              <w:adjustRightInd/>
              <w:jc w:val="center"/>
              <w:rPr>
                <w:color w:val="000000"/>
                <w:sz w:val="22"/>
                <w:szCs w:val="22"/>
              </w:rPr>
            </w:pPr>
            <w:r w:rsidRPr="00DD4F65">
              <w:rPr>
                <w:color w:val="000000"/>
                <w:sz w:val="22"/>
                <w:szCs w:val="22"/>
              </w:rPr>
              <w:t>13,440</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7DFD0C9F"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6FDA2300" w14:textId="77777777">
            <w:pPr>
              <w:widowControl/>
              <w:autoSpaceDE/>
              <w:autoSpaceDN/>
              <w:adjustRightInd/>
              <w:jc w:val="center"/>
              <w:rPr>
                <w:color w:val="000000"/>
                <w:sz w:val="22"/>
                <w:szCs w:val="22"/>
              </w:rPr>
            </w:pPr>
            <w:r w:rsidRPr="00DD4F65">
              <w:rPr>
                <w:color w:val="000000"/>
                <w:sz w:val="22"/>
                <w:szCs w:val="22"/>
              </w:rPr>
              <w:t>13,440</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1E7D9EEE" w14:textId="77777777">
            <w:pPr>
              <w:widowControl/>
              <w:autoSpaceDE/>
              <w:autoSpaceDN/>
              <w:adjustRightInd/>
              <w:jc w:val="center"/>
              <w:rPr>
                <w:color w:val="000000"/>
                <w:sz w:val="22"/>
                <w:szCs w:val="22"/>
              </w:rPr>
            </w:pPr>
            <w:r>
              <w:rPr>
                <w:color w:val="000000"/>
                <w:sz w:val="22"/>
                <w:szCs w:val="22"/>
              </w:rPr>
              <w:t>30/60</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5446C18A" w14:textId="77777777">
            <w:pPr>
              <w:widowControl/>
              <w:autoSpaceDE/>
              <w:autoSpaceDN/>
              <w:adjustRightInd/>
              <w:jc w:val="center"/>
              <w:rPr>
                <w:color w:val="000000"/>
                <w:sz w:val="22"/>
                <w:szCs w:val="22"/>
              </w:rPr>
            </w:pPr>
            <w:r w:rsidRPr="00DD4F65">
              <w:rPr>
                <w:color w:val="000000"/>
                <w:sz w:val="22"/>
                <w:szCs w:val="22"/>
              </w:rPr>
              <w:t>6,720.00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397BA400"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hideMark/>
          </w:tcPr>
          <w:p w:rsidRPr="00DD4F65" w:rsidR="00BD4DA5" w:rsidP="00BD4DA5" w:rsidRDefault="00BD4DA5" w14:paraId="574F57CF" w14:textId="77777777">
            <w:pPr>
              <w:widowControl/>
              <w:autoSpaceDE/>
              <w:autoSpaceDN/>
              <w:adjustRightInd/>
              <w:jc w:val="center"/>
              <w:rPr>
                <w:color w:val="000000"/>
                <w:sz w:val="22"/>
                <w:szCs w:val="22"/>
              </w:rPr>
            </w:pPr>
            <w:r w:rsidRPr="002F7AC9">
              <w:t>$306,633.60</w:t>
            </w:r>
          </w:p>
        </w:tc>
      </w:tr>
      <w:tr w:rsidRPr="00DD4F65" w:rsidR="00BD4DA5" w:rsidTr="00FF5F6D" w14:paraId="3D90781F"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BD4DA5" w:rsidP="00BD4DA5" w:rsidRDefault="00BD4DA5" w14:paraId="08D4E9D5" w14:textId="77777777">
            <w:pPr>
              <w:widowControl/>
              <w:autoSpaceDE/>
              <w:autoSpaceDN/>
              <w:adjustRightInd/>
              <w:rPr>
                <w:i/>
                <w:iCs/>
                <w:color w:val="000000"/>
                <w:sz w:val="20"/>
                <w:szCs w:val="20"/>
              </w:rPr>
            </w:pPr>
            <w:r w:rsidRPr="00DD4F65">
              <w:rPr>
                <w:i/>
                <w:iCs/>
                <w:color w:val="000000"/>
                <w:sz w:val="20"/>
                <w:szCs w:val="20"/>
              </w:rPr>
              <w:t>Wholesale Trade</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6B1B3D2F" w14:textId="77777777">
            <w:pPr>
              <w:widowControl/>
              <w:autoSpaceDE/>
              <w:autoSpaceDN/>
              <w:adjustRightInd/>
              <w:jc w:val="center"/>
              <w:rPr>
                <w:color w:val="000000"/>
                <w:sz w:val="22"/>
                <w:szCs w:val="22"/>
              </w:rPr>
            </w:pPr>
            <w:r w:rsidRPr="00DD4F65">
              <w:rPr>
                <w:color w:val="000000"/>
                <w:sz w:val="22"/>
                <w:szCs w:val="22"/>
              </w:rPr>
              <w:t>35,635</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0F0725BE"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203FB2A2" w14:textId="77777777">
            <w:pPr>
              <w:widowControl/>
              <w:autoSpaceDE/>
              <w:autoSpaceDN/>
              <w:adjustRightInd/>
              <w:jc w:val="center"/>
              <w:rPr>
                <w:color w:val="000000"/>
                <w:sz w:val="22"/>
                <w:szCs w:val="22"/>
              </w:rPr>
            </w:pPr>
            <w:r w:rsidRPr="00DD4F65">
              <w:rPr>
                <w:color w:val="000000"/>
                <w:sz w:val="22"/>
                <w:szCs w:val="22"/>
              </w:rPr>
              <w:t>35,635</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46B4A4B4" w14:textId="77777777">
            <w:pPr>
              <w:widowControl/>
              <w:autoSpaceDE/>
              <w:autoSpaceDN/>
              <w:adjustRightInd/>
              <w:jc w:val="center"/>
              <w:rPr>
                <w:color w:val="000000"/>
                <w:sz w:val="22"/>
                <w:szCs w:val="22"/>
              </w:rPr>
            </w:pPr>
            <w:r>
              <w:rPr>
                <w:color w:val="000000"/>
                <w:sz w:val="22"/>
                <w:szCs w:val="22"/>
              </w:rPr>
              <w:t>30/60</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1B1F5B8B" w14:textId="77777777">
            <w:pPr>
              <w:widowControl/>
              <w:autoSpaceDE/>
              <w:autoSpaceDN/>
              <w:adjustRightInd/>
              <w:jc w:val="center"/>
              <w:rPr>
                <w:color w:val="000000"/>
                <w:sz w:val="22"/>
                <w:szCs w:val="22"/>
              </w:rPr>
            </w:pPr>
            <w:r w:rsidRPr="00DD4F65">
              <w:rPr>
                <w:color w:val="000000"/>
                <w:sz w:val="22"/>
                <w:szCs w:val="22"/>
              </w:rPr>
              <w:t>17,817.</w:t>
            </w:r>
            <w:r w:rsidR="007E0C2E">
              <w:rPr>
                <w:color w:val="000000"/>
                <w:sz w:val="22"/>
                <w:szCs w:val="22"/>
              </w:rPr>
              <w:t>50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1D07A848"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hideMark/>
          </w:tcPr>
          <w:p w:rsidRPr="00DD4F65" w:rsidR="00BD4DA5" w:rsidP="00BD4DA5" w:rsidRDefault="007E0C2E" w14:paraId="49CFA241" w14:textId="77777777">
            <w:pPr>
              <w:widowControl/>
              <w:autoSpaceDE/>
              <w:autoSpaceDN/>
              <w:adjustRightInd/>
              <w:jc w:val="center"/>
              <w:rPr>
                <w:color w:val="000000"/>
                <w:sz w:val="22"/>
                <w:szCs w:val="22"/>
              </w:rPr>
            </w:pPr>
            <w:r>
              <w:t>$813,012.53</w:t>
            </w:r>
          </w:p>
        </w:tc>
      </w:tr>
      <w:tr w:rsidRPr="00DD4F65" w:rsidR="00BD4DA5" w:rsidTr="00FF5F6D" w14:paraId="4368B0A1"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BD4DA5" w:rsidP="00BD4DA5" w:rsidRDefault="00BD4DA5" w14:paraId="6A5D154D" w14:textId="77777777">
            <w:pPr>
              <w:widowControl/>
              <w:autoSpaceDE/>
              <w:autoSpaceDN/>
              <w:adjustRightInd/>
              <w:rPr>
                <w:i/>
                <w:iCs/>
                <w:color w:val="000000"/>
                <w:sz w:val="20"/>
                <w:szCs w:val="20"/>
              </w:rPr>
            </w:pPr>
            <w:r w:rsidRPr="00DD4F65">
              <w:rPr>
                <w:i/>
                <w:iCs/>
                <w:color w:val="000000"/>
                <w:sz w:val="20"/>
                <w:szCs w:val="20"/>
              </w:rPr>
              <w:t>Food Stores</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10071539" w14:textId="77777777">
            <w:pPr>
              <w:widowControl/>
              <w:autoSpaceDE/>
              <w:autoSpaceDN/>
              <w:adjustRightInd/>
              <w:jc w:val="center"/>
              <w:rPr>
                <w:color w:val="000000"/>
                <w:sz w:val="22"/>
                <w:szCs w:val="22"/>
              </w:rPr>
            </w:pPr>
            <w:r w:rsidRPr="00DD4F65">
              <w:rPr>
                <w:color w:val="000000"/>
                <w:sz w:val="22"/>
                <w:szCs w:val="22"/>
              </w:rPr>
              <w:t>15,589</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7AC5F4E9"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17517A3F" w14:textId="77777777">
            <w:pPr>
              <w:widowControl/>
              <w:autoSpaceDE/>
              <w:autoSpaceDN/>
              <w:adjustRightInd/>
              <w:jc w:val="center"/>
              <w:rPr>
                <w:color w:val="000000"/>
                <w:sz w:val="22"/>
                <w:szCs w:val="22"/>
              </w:rPr>
            </w:pPr>
            <w:r w:rsidRPr="00DD4F65">
              <w:rPr>
                <w:color w:val="000000"/>
                <w:sz w:val="22"/>
                <w:szCs w:val="22"/>
              </w:rPr>
              <w:t>15,589</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2BCB7012" w14:textId="77777777">
            <w:pPr>
              <w:widowControl/>
              <w:autoSpaceDE/>
              <w:autoSpaceDN/>
              <w:adjustRightInd/>
              <w:jc w:val="center"/>
              <w:rPr>
                <w:color w:val="000000"/>
                <w:sz w:val="22"/>
                <w:szCs w:val="22"/>
              </w:rPr>
            </w:pPr>
            <w:r>
              <w:rPr>
                <w:color w:val="000000"/>
                <w:sz w:val="22"/>
                <w:szCs w:val="22"/>
              </w:rPr>
              <w:t>30/60</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36972A52" w14:textId="77777777">
            <w:pPr>
              <w:widowControl/>
              <w:autoSpaceDE/>
              <w:autoSpaceDN/>
              <w:adjustRightInd/>
              <w:jc w:val="center"/>
              <w:rPr>
                <w:color w:val="000000"/>
                <w:sz w:val="22"/>
                <w:szCs w:val="22"/>
              </w:rPr>
            </w:pPr>
            <w:r w:rsidRPr="00DD4F65">
              <w:rPr>
                <w:color w:val="000000"/>
                <w:sz w:val="22"/>
                <w:szCs w:val="22"/>
              </w:rPr>
              <w:t>7,794.50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603F6613"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hideMark/>
          </w:tcPr>
          <w:p w:rsidRPr="00DD4F65" w:rsidR="00BD4DA5" w:rsidP="00BD4DA5" w:rsidRDefault="007E0C2E" w14:paraId="7B3BE262" w14:textId="77777777">
            <w:pPr>
              <w:widowControl/>
              <w:autoSpaceDE/>
              <w:autoSpaceDN/>
              <w:adjustRightInd/>
              <w:jc w:val="center"/>
              <w:rPr>
                <w:color w:val="000000"/>
                <w:sz w:val="22"/>
                <w:szCs w:val="22"/>
              </w:rPr>
            </w:pPr>
            <w:r>
              <w:t>$355,663.04</w:t>
            </w:r>
          </w:p>
        </w:tc>
      </w:tr>
      <w:tr w:rsidRPr="00DD4F65" w:rsidR="00BD4DA5" w:rsidTr="00FF5F6D" w14:paraId="04BBF73B"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BD4DA5" w:rsidP="00BD4DA5" w:rsidRDefault="00BD4DA5" w14:paraId="224CE10A" w14:textId="77777777">
            <w:pPr>
              <w:widowControl/>
              <w:autoSpaceDE/>
              <w:autoSpaceDN/>
              <w:adjustRightInd/>
              <w:rPr>
                <w:i/>
                <w:iCs/>
                <w:color w:val="000000"/>
                <w:sz w:val="20"/>
                <w:szCs w:val="20"/>
              </w:rPr>
            </w:pPr>
            <w:r w:rsidRPr="00DD4F65">
              <w:rPr>
                <w:i/>
                <w:iCs/>
                <w:color w:val="000000"/>
                <w:sz w:val="20"/>
                <w:szCs w:val="20"/>
              </w:rPr>
              <w:t>Services</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7A61FA38" w14:textId="77777777">
            <w:pPr>
              <w:widowControl/>
              <w:autoSpaceDE/>
              <w:autoSpaceDN/>
              <w:adjustRightInd/>
              <w:jc w:val="center"/>
              <w:rPr>
                <w:color w:val="000000"/>
                <w:sz w:val="22"/>
                <w:szCs w:val="22"/>
              </w:rPr>
            </w:pPr>
            <w:r w:rsidRPr="00DD4F65">
              <w:rPr>
                <w:color w:val="000000"/>
                <w:sz w:val="22"/>
                <w:szCs w:val="22"/>
              </w:rPr>
              <w:t>90,335</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1BC94263"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1304962D" w14:textId="77777777">
            <w:pPr>
              <w:widowControl/>
              <w:autoSpaceDE/>
              <w:autoSpaceDN/>
              <w:adjustRightInd/>
              <w:jc w:val="center"/>
              <w:rPr>
                <w:color w:val="000000"/>
                <w:sz w:val="22"/>
                <w:szCs w:val="22"/>
              </w:rPr>
            </w:pPr>
            <w:r w:rsidRPr="00DD4F65">
              <w:rPr>
                <w:color w:val="000000"/>
                <w:sz w:val="22"/>
                <w:szCs w:val="22"/>
              </w:rPr>
              <w:t>90,335</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3201F764" w14:textId="77777777">
            <w:pPr>
              <w:widowControl/>
              <w:autoSpaceDE/>
              <w:autoSpaceDN/>
              <w:adjustRightInd/>
              <w:jc w:val="center"/>
              <w:rPr>
                <w:color w:val="000000"/>
                <w:sz w:val="22"/>
                <w:szCs w:val="22"/>
              </w:rPr>
            </w:pPr>
            <w:r>
              <w:rPr>
                <w:color w:val="000000"/>
                <w:sz w:val="22"/>
                <w:szCs w:val="22"/>
              </w:rPr>
              <w:t>30/60</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107C9644" w14:textId="77777777">
            <w:pPr>
              <w:widowControl/>
              <w:autoSpaceDE/>
              <w:autoSpaceDN/>
              <w:adjustRightInd/>
              <w:jc w:val="center"/>
              <w:rPr>
                <w:color w:val="000000"/>
                <w:sz w:val="22"/>
                <w:szCs w:val="22"/>
              </w:rPr>
            </w:pPr>
            <w:r w:rsidRPr="00DD4F65">
              <w:rPr>
                <w:color w:val="000000"/>
                <w:sz w:val="22"/>
                <w:szCs w:val="22"/>
              </w:rPr>
              <w:t>45,167.</w:t>
            </w:r>
            <w:r w:rsidR="007E0C2E">
              <w:rPr>
                <w:color w:val="000000"/>
                <w:sz w:val="22"/>
                <w:szCs w:val="22"/>
              </w:rPr>
              <w:t>50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169D6780"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hideMark/>
          </w:tcPr>
          <w:p w:rsidRPr="00DD4F65" w:rsidR="00BD4DA5" w:rsidP="00BD4DA5" w:rsidRDefault="00285A7E" w14:paraId="2F986734" w14:textId="77777777">
            <w:pPr>
              <w:widowControl/>
              <w:autoSpaceDE/>
              <w:autoSpaceDN/>
              <w:adjustRightInd/>
              <w:jc w:val="center"/>
              <w:rPr>
                <w:color w:val="000000"/>
                <w:sz w:val="22"/>
                <w:szCs w:val="22"/>
              </w:rPr>
            </w:pPr>
            <w:r>
              <w:t>$2,060,993.03</w:t>
            </w:r>
          </w:p>
        </w:tc>
      </w:tr>
      <w:tr w:rsidRPr="00DD4F65" w:rsidR="00BD4DA5" w:rsidTr="00FF5F6D" w14:paraId="3E361E6F"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BD4DA5" w:rsidP="00BD4DA5" w:rsidRDefault="00BD4DA5" w14:paraId="3A0854E5" w14:textId="77777777">
            <w:pPr>
              <w:widowControl/>
              <w:autoSpaceDE/>
              <w:autoSpaceDN/>
              <w:adjustRightInd/>
              <w:rPr>
                <w:i/>
                <w:iCs/>
                <w:color w:val="000000"/>
                <w:sz w:val="20"/>
                <w:szCs w:val="20"/>
              </w:rPr>
            </w:pPr>
            <w:r w:rsidRPr="00DD4F65">
              <w:rPr>
                <w:i/>
                <w:iCs/>
                <w:color w:val="000000"/>
                <w:sz w:val="20"/>
                <w:szCs w:val="20"/>
              </w:rPr>
              <w:t>Sub-total</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6CADB373" w14:textId="77777777">
            <w:pPr>
              <w:widowControl/>
              <w:autoSpaceDE/>
              <w:autoSpaceDN/>
              <w:adjustRightInd/>
              <w:jc w:val="center"/>
              <w:rPr>
                <w:color w:val="000000"/>
                <w:sz w:val="22"/>
                <w:szCs w:val="22"/>
              </w:rPr>
            </w:pPr>
            <w:r w:rsidRPr="00DD4F65">
              <w:rPr>
                <w:color w:val="000000"/>
                <w:sz w:val="22"/>
                <w:szCs w:val="22"/>
              </w:rPr>
              <w:t>482,64</w:t>
            </w:r>
            <w:r w:rsidR="007E0C2E">
              <w:rPr>
                <w:color w:val="000000"/>
                <w:sz w:val="22"/>
                <w:szCs w:val="22"/>
              </w:rPr>
              <w:t>9</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5ECA2FF2" w14:textId="77777777">
            <w:pPr>
              <w:widowControl/>
              <w:autoSpaceDE/>
              <w:autoSpaceDN/>
              <w:adjustRightInd/>
              <w:jc w:val="center"/>
              <w:rPr>
                <w:color w:val="000000"/>
                <w:sz w:val="22"/>
                <w:szCs w:val="22"/>
              </w:rPr>
            </w:pPr>
            <w:r w:rsidRPr="00DD4F65">
              <w:rPr>
                <w:color w:val="000000"/>
                <w:sz w:val="22"/>
                <w:szCs w:val="22"/>
              </w:rPr>
              <w:t> </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0D9E49C8" w14:textId="77777777">
            <w:pPr>
              <w:widowControl/>
              <w:autoSpaceDE/>
              <w:autoSpaceDN/>
              <w:adjustRightInd/>
              <w:jc w:val="center"/>
              <w:rPr>
                <w:color w:val="000000"/>
                <w:sz w:val="22"/>
                <w:szCs w:val="22"/>
              </w:rPr>
            </w:pPr>
            <w:r w:rsidRPr="00DD4F65">
              <w:rPr>
                <w:color w:val="000000"/>
                <w:sz w:val="22"/>
                <w:szCs w:val="22"/>
              </w:rPr>
              <w:t>482,64</w:t>
            </w:r>
            <w:r w:rsidR="007E0C2E">
              <w:rPr>
                <w:color w:val="000000"/>
                <w:sz w:val="22"/>
                <w:szCs w:val="22"/>
              </w:rPr>
              <w:t>9</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0C814298" w14:textId="77777777">
            <w:pPr>
              <w:widowControl/>
              <w:autoSpaceDE/>
              <w:autoSpaceDN/>
              <w:adjustRightInd/>
              <w:jc w:val="center"/>
              <w:rPr>
                <w:color w:val="000000"/>
                <w:sz w:val="22"/>
                <w:szCs w:val="22"/>
              </w:rPr>
            </w:pPr>
            <w:r w:rsidRPr="00DD4F65">
              <w:rPr>
                <w:color w:val="000000"/>
                <w:sz w:val="22"/>
                <w:szCs w:val="22"/>
              </w:rPr>
              <w:t> </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55E478E4" w14:textId="77777777">
            <w:pPr>
              <w:widowControl/>
              <w:autoSpaceDE/>
              <w:autoSpaceDN/>
              <w:adjustRightInd/>
              <w:jc w:val="center"/>
              <w:rPr>
                <w:color w:val="000000"/>
                <w:sz w:val="22"/>
                <w:szCs w:val="22"/>
              </w:rPr>
            </w:pPr>
            <w:r w:rsidRPr="00DD4F65">
              <w:rPr>
                <w:color w:val="000000"/>
                <w:sz w:val="22"/>
                <w:szCs w:val="22"/>
              </w:rPr>
              <w:t>241,324.</w:t>
            </w:r>
            <w:r w:rsidR="007E0C2E">
              <w:rPr>
                <w:color w:val="000000"/>
                <w:sz w:val="22"/>
                <w:szCs w:val="22"/>
              </w:rPr>
              <w:t>50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BD4DA5" w:rsidP="00BD4DA5" w:rsidRDefault="00BD4DA5" w14:paraId="38FE9B18" w14:textId="77777777">
            <w:pPr>
              <w:widowControl/>
              <w:autoSpaceDE/>
              <w:autoSpaceDN/>
              <w:adjustRightInd/>
              <w:jc w:val="center"/>
              <w:rPr>
                <w:color w:val="000000"/>
                <w:sz w:val="22"/>
                <w:szCs w:val="22"/>
              </w:rPr>
            </w:pPr>
            <w:r w:rsidRPr="00DD4F65">
              <w:rPr>
                <w:color w:val="000000"/>
                <w:sz w:val="22"/>
                <w:szCs w:val="22"/>
              </w:rPr>
              <w:t>-</w:t>
            </w:r>
          </w:p>
        </w:tc>
        <w:tc>
          <w:tcPr>
            <w:tcW w:w="1890" w:type="dxa"/>
            <w:tcBorders>
              <w:top w:val="single" w:color="auto" w:sz="4" w:space="0"/>
              <w:left w:val="nil"/>
              <w:bottom w:val="single" w:color="auto" w:sz="4" w:space="0"/>
              <w:right w:val="single" w:color="auto" w:sz="4" w:space="0"/>
            </w:tcBorders>
            <w:shd w:val="clear" w:color="auto" w:fill="FFFFFF" w:themeFill="background1"/>
            <w:hideMark/>
          </w:tcPr>
          <w:p w:rsidRPr="00DD4F65" w:rsidR="00BD4DA5" w:rsidP="007E0C2E" w:rsidRDefault="007E0C2E" w14:paraId="1A90C083" w14:textId="77777777">
            <w:pPr>
              <w:widowControl/>
              <w:autoSpaceDE/>
              <w:autoSpaceDN/>
              <w:adjustRightInd/>
              <w:jc w:val="center"/>
              <w:rPr>
                <w:color w:val="000000"/>
                <w:sz w:val="22"/>
                <w:szCs w:val="22"/>
              </w:rPr>
            </w:pPr>
            <w:r>
              <w:t>$11,011,636.94</w:t>
            </w:r>
          </w:p>
        </w:tc>
      </w:tr>
      <w:tr w:rsidRPr="00DD4F65" w:rsidR="007C76DE" w:rsidTr="00FF5F6D" w14:paraId="2449207B"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3D3A4EAF" w14:textId="77777777">
            <w:pPr>
              <w:widowControl/>
              <w:autoSpaceDE/>
              <w:autoSpaceDN/>
              <w:adjustRightInd/>
              <w:rPr>
                <w:b/>
                <w:bCs/>
                <w:color w:val="000000"/>
                <w:sz w:val="20"/>
                <w:szCs w:val="20"/>
              </w:rPr>
            </w:pPr>
            <w:r w:rsidRPr="00DD4F65">
              <w:rPr>
                <w:b/>
                <w:bCs/>
                <w:color w:val="000000"/>
                <w:sz w:val="20"/>
                <w:szCs w:val="20"/>
              </w:rPr>
              <w:t>Total for (A)</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0E9588F" w14:textId="77777777">
            <w:pPr>
              <w:widowControl/>
              <w:autoSpaceDE/>
              <w:autoSpaceDN/>
              <w:adjustRightInd/>
              <w:jc w:val="center"/>
              <w:rPr>
                <w:b/>
                <w:bCs/>
                <w:color w:val="000000"/>
                <w:sz w:val="22"/>
                <w:szCs w:val="22"/>
              </w:rPr>
            </w:pPr>
            <w:r w:rsidRPr="00DD4F65">
              <w:rPr>
                <w:b/>
                <w:bCs/>
                <w:color w:val="000000"/>
                <w:sz w:val="22"/>
                <w:szCs w:val="22"/>
              </w:rPr>
              <w:t>-</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2F71648" w14:textId="77777777">
            <w:pPr>
              <w:widowControl/>
              <w:autoSpaceDE/>
              <w:autoSpaceDN/>
              <w:adjustRightInd/>
              <w:jc w:val="center"/>
              <w:rPr>
                <w:b/>
                <w:bCs/>
                <w:color w:val="000000"/>
                <w:sz w:val="22"/>
                <w:szCs w:val="22"/>
              </w:rPr>
            </w:pPr>
            <w:r w:rsidRPr="00DD4F65">
              <w:rPr>
                <w:b/>
                <w:bCs/>
                <w:color w:val="000000"/>
                <w:sz w:val="22"/>
                <w:szCs w:val="22"/>
              </w:rPr>
              <w:t>-</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C1E81B4" w14:textId="77777777">
            <w:pPr>
              <w:widowControl/>
              <w:autoSpaceDE/>
              <w:autoSpaceDN/>
              <w:adjustRightInd/>
              <w:jc w:val="center"/>
              <w:rPr>
                <w:b/>
                <w:bCs/>
                <w:color w:val="000000"/>
                <w:sz w:val="22"/>
                <w:szCs w:val="22"/>
              </w:rPr>
            </w:pPr>
            <w:r w:rsidRPr="00DD4F65">
              <w:rPr>
                <w:b/>
                <w:bCs/>
                <w:color w:val="000000"/>
                <w:sz w:val="22"/>
                <w:szCs w:val="22"/>
              </w:rPr>
              <w:t>808,</w:t>
            </w:r>
            <w:r w:rsidR="007E0C2E">
              <w:rPr>
                <w:b/>
                <w:bCs/>
                <w:color w:val="000000"/>
                <w:sz w:val="22"/>
                <w:szCs w:val="22"/>
              </w:rPr>
              <w:t>924</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962A88D" w14:textId="77777777">
            <w:pPr>
              <w:widowControl/>
              <w:autoSpaceDE/>
              <w:autoSpaceDN/>
              <w:adjustRightInd/>
              <w:jc w:val="center"/>
              <w:rPr>
                <w:b/>
                <w:bCs/>
                <w:color w:val="000000"/>
                <w:sz w:val="22"/>
                <w:szCs w:val="22"/>
              </w:rPr>
            </w:pPr>
            <w:r w:rsidRPr="00DD4F65">
              <w:rPr>
                <w:b/>
                <w:bCs/>
                <w:color w:val="000000"/>
                <w:sz w:val="22"/>
                <w:szCs w:val="22"/>
              </w:rPr>
              <w:t>-</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8E8F65C" w14:textId="77777777">
            <w:pPr>
              <w:widowControl/>
              <w:autoSpaceDE/>
              <w:autoSpaceDN/>
              <w:adjustRightInd/>
              <w:jc w:val="center"/>
              <w:rPr>
                <w:b/>
                <w:bCs/>
                <w:color w:val="000000"/>
                <w:sz w:val="22"/>
                <w:szCs w:val="22"/>
              </w:rPr>
            </w:pPr>
            <w:r w:rsidRPr="00DD4F65">
              <w:rPr>
                <w:b/>
                <w:bCs/>
                <w:color w:val="000000"/>
                <w:sz w:val="22"/>
                <w:szCs w:val="22"/>
              </w:rPr>
              <w:t>1,053,2</w:t>
            </w:r>
            <w:r w:rsidR="007E0C2E">
              <w:rPr>
                <w:b/>
                <w:bCs/>
                <w:color w:val="000000"/>
                <w:sz w:val="22"/>
                <w:szCs w:val="22"/>
              </w:rPr>
              <w:t>25.00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C401468" w14:textId="77777777">
            <w:pPr>
              <w:widowControl/>
              <w:autoSpaceDE/>
              <w:autoSpaceDN/>
              <w:adjustRightInd/>
              <w:jc w:val="center"/>
              <w:rPr>
                <w:b/>
                <w:bCs/>
                <w:color w:val="000000"/>
                <w:sz w:val="22"/>
                <w:szCs w:val="22"/>
              </w:rPr>
            </w:pPr>
            <w:r w:rsidRPr="00DD4F65">
              <w:rPr>
                <w:b/>
                <w:bCs/>
                <w:color w:val="000000"/>
                <w:sz w:val="22"/>
                <w:szCs w:val="22"/>
              </w:rPr>
              <w:t>-</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BD4DA5" w:rsidRDefault="00DD4F65" w14:paraId="315BA802" w14:textId="77777777">
            <w:pPr>
              <w:widowControl/>
              <w:autoSpaceDE/>
              <w:autoSpaceDN/>
              <w:adjustRightInd/>
              <w:jc w:val="center"/>
              <w:rPr>
                <w:b/>
                <w:bCs/>
                <w:color w:val="000000"/>
                <w:sz w:val="22"/>
                <w:szCs w:val="22"/>
              </w:rPr>
            </w:pPr>
            <w:r w:rsidRPr="00DD4F65">
              <w:rPr>
                <w:b/>
                <w:bCs/>
                <w:color w:val="000000"/>
                <w:sz w:val="22"/>
                <w:szCs w:val="22"/>
              </w:rPr>
              <w:t>$48,</w:t>
            </w:r>
            <w:r w:rsidR="007E0C2E">
              <w:rPr>
                <w:b/>
                <w:bCs/>
                <w:color w:val="000000"/>
                <w:sz w:val="22"/>
                <w:szCs w:val="22"/>
              </w:rPr>
              <w:t>058,656.75</w:t>
            </w:r>
          </w:p>
        </w:tc>
      </w:tr>
      <w:tr w:rsidRPr="00DD4F65" w:rsidR="00DD4F65" w:rsidTr="00FF5F6D" w14:paraId="72246646" w14:textId="77777777">
        <w:trPr>
          <w:cantSplit/>
          <w:jc w:val="center"/>
        </w:trPr>
        <w:tc>
          <w:tcPr>
            <w:tcW w:w="1304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246FDAAA" w14:textId="77777777">
            <w:pPr>
              <w:widowControl/>
              <w:autoSpaceDE/>
              <w:autoSpaceDN/>
              <w:adjustRightInd/>
              <w:rPr>
                <w:i/>
                <w:iCs/>
                <w:color w:val="000000"/>
                <w:sz w:val="20"/>
                <w:szCs w:val="20"/>
              </w:rPr>
            </w:pPr>
            <w:r w:rsidRPr="00DD4F65">
              <w:rPr>
                <w:i/>
                <w:iCs/>
                <w:color w:val="000000"/>
                <w:sz w:val="20"/>
                <w:szCs w:val="20"/>
              </w:rPr>
              <w:t> </w:t>
            </w:r>
          </w:p>
        </w:tc>
      </w:tr>
      <w:tr w:rsidRPr="00DD4F65" w:rsidR="007C76DE" w:rsidTr="00FF5F6D" w14:paraId="7FC36AE7"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7974864F" w14:textId="77777777">
            <w:pPr>
              <w:widowControl/>
              <w:autoSpaceDE/>
              <w:autoSpaceDN/>
              <w:adjustRightInd/>
              <w:rPr>
                <w:b/>
                <w:bCs/>
                <w:color w:val="000000"/>
                <w:sz w:val="20"/>
                <w:szCs w:val="20"/>
              </w:rPr>
            </w:pPr>
            <w:r w:rsidRPr="00DD4F65">
              <w:rPr>
                <w:b/>
                <w:bCs/>
                <w:color w:val="000000"/>
                <w:sz w:val="20"/>
                <w:szCs w:val="20"/>
              </w:rPr>
              <w:t>(B)  Periodic Inspection (paragraph (c)(6)(ii))</w:t>
            </w:r>
          </w:p>
        </w:tc>
        <w:tc>
          <w:tcPr>
            <w:tcW w:w="10440" w:type="dxa"/>
            <w:gridSpan w:val="7"/>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65180B6" w14:textId="77777777">
            <w:pPr>
              <w:widowControl/>
              <w:autoSpaceDE/>
              <w:autoSpaceDN/>
              <w:adjustRightInd/>
              <w:rPr>
                <w:color w:val="000000"/>
                <w:sz w:val="22"/>
                <w:szCs w:val="22"/>
              </w:rPr>
            </w:pPr>
            <w:r w:rsidRPr="00DD4F65">
              <w:rPr>
                <w:color w:val="000000"/>
                <w:sz w:val="22"/>
                <w:szCs w:val="22"/>
              </w:rPr>
              <w:t> </w:t>
            </w:r>
          </w:p>
        </w:tc>
      </w:tr>
      <w:tr w:rsidRPr="00DD4F65" w:rsidR="007C76DE" w:rsidTr="00FF5F6D" w14:paraId="0621C090" w14:textId="77777777">
        <w:trPr>
          <w:cantSplit/>
          <w:jc w:val="center"/>
        </w:trPr>
        <w:tc>
          <w:tcPr>
            <w:tcW w:w="2605" w:type="dxa"/>
            <w:tcBorders>
              <w:top w:val="single" w:color="auto" w:sz="4" w:space="0"/>
              <w:left w:val="single" w:color="auto" w:sz="4" w:space="0"/>
              <w:bottom w:val="single" w:color="auto" w:sz="4" w:space="0"/>
              <w:right w:val="nil"/>
            </w:tcBorders>
            <w:shd w:val="clear" w:color="auto" w:fill="auto"/>
            <w:vAlign w:val="bottom"/>
            <w:hideMark/>
          </w:tcPr>
          <w:p w:rsidRPr="00DD4F65" w:rsidR="00DD4F65" w:rsidP="00DD4F65" w:rsidRDefault="00DD4F65" w14:paraId="06E9273E" w14:textId="77777777">
            <w:pPr>
              <w:widowControl/>
              <w:autoSpaceDE/>
              <w:autoSpaceDN/>
              <w:adjustRightInd/>
              <w:rPr>
                <w:i/>
                <w:iCs/>
                <w:color w:val="000000"/>
                <w:sz w:val="20"/>
                <w:szCs w:val="20"/>
              </w:rPr>
            </w:pPr>
            <w:r w:rsidRPr="00DD4F65">
              <w:rPr>
                <w:i/>
                <w:iCs/>
                <w:color w:val="000000"/>
                <w:sz w:val="20"/>
                <w:szCs w:val="20"/>
              </w:rPr>
              <w:t>High-impact establishments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39932ACC" w14:textId="77777777">
            <w:pPr>
              <w:widowControl/>
              <w:autoSpaceDE/>
              <w:autoSpaceDN/>
              <w:adjustRightInd/>
              <w:jc w:val="center"/>
              <w:rPr>
                <w:color w:val="000000"/>
                <w:sz w:val="22"/>
                <w:szCs w:val="22"/>
              </w:rPr>
            </w:pPr>
            <w:r w:rsidRPr="00DD4F65">
              <w:rPr>
                <w:color w:val="000000"/>
                <w:sz w:val="22"/>
                <w:szCs w:val="22"/>
              </w:rPr>
              <w:t>290,560</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5DDDB391"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1D3EAB41" w14:textId="77777777">
            <w:pPr>
              <w:widowControl/>
              <w:autoSpaceDE/>
              <w:autoSpaceDN/>
              <w:adjustRightInd/>
              <w:jc w:val="center"/>
              <w:rPr>
                <w:color w:val="000000"/>
                <w:sz w:val="22"/>
                <w:szCs w:val="22"/>
              </w:rPr>
            </w:pPr>
            <w:r w:rsidRPr="00DD4F65">
              <w:rPr>
                <w:color w:val="000000"/>
                <w:sz w:val="22"/>
                <w:szCs w:val="22"/>
              </w:rPr>
              <w:t>290,560</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633BF6" w14:paraId="083C8D78" w14:textId="77777777">
            <w:pPr>
              <w:widowControl/>
              <w:autoSpaceDE/>
              <w:autoSpaceDN/>
              <w:adjustRightInd/>
              <w:jc w:val="center"/>
              <w:rPr>
                <w:color w:val="000000"/>
                <w:sz w:val="22"/>
                <w:szCs w:val="22"/>
              </w:rPr>
            </w:pPr>
            <w:r>
              <w:rPr>
                <w:color w:val="000000"/>
                <w:sz w:val="22"/>
                <w:szCs w:val="22"/>
              </w:rPr>
              <w:t>20/60</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C822FF" w14:paraId="160BF88E" w14:textId="77777777">
            <w:pPr>
              <w:widowControl/>
              <w:autoSpaceDE/>
              <w:autoSpaceDN/>
              <w:adjustRightInd/>
              <w:jc w:val="center"/>
              <w:rPr>
                <w:color w:val="000000"/>
                <w:sz w:val="22"/>
                <w:szCs w:val="22"/>
              </w:rPr>
            </w:pPr>
            <w:r>
              <w:rPr>
                <w:color w:val="000000"/>
                <w:sz w:val="22"/>
                <w:szCs w:val="22"/>
              </w:rPr>
              <w:t>96,853.33</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644B2FC2"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BD4DA5" w:rsidRDefault="00DD4F65" w14:paraId="33740CF4" w14:textId="77777777">
            <w:pPr>
              <w:widowControl/>
              <w:autoSpaceDE/>
              <w:autoSpaceDN/>
              <w:adjustRightInd/>
              <w:jc w:val="center"/>
              <w:rPr>
                <w:color w:val="000000"/>
                <w:sz w:val="22"/>
                <w:szCs w:val="22"/>
              </w:rPr>
            </w:pPr>
            <w:r w:rsidRPr="00DD4F65">
              <w:rPr>
                <w:color w:val="000000"/>
                <w:sz w:val="22"/>
                <w:szCs w:val="22"/>
              </w:rPr>
              <w:t>$</w:t>
            </w:r>
            <w:r w:rsidR="00C822FF">
              <w:rPr>
                <w:color w:val="000000"/>
                <w:sz w:val="22"/>
                <w:szCs w:val="22"/>
              </w:rPr>
              <w:t>4,419,</w:t>
            </w:r>
            <w:r w:rsidR="00BD4DA5">
              <w:rPr>
                <w:color w:val="000000"/>
                <w:sz w:val="22"/>
                <w:szCs w:val="22"/>
              </w:rPr>
              <w:t>417.60</w:t>
            </w:r>
          </w:p>
        </w:tc>
      </w:tr>
      <w:tr w:rsidRPr="00DD4F65" w:rsidR="007C76DE" w:rsidTr="00FF5F6D" w14:paraId="702A2D2D"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57E51892" w14:textId="77777777">
            <w:pPr>
              <w:widowControl/>
              <w:autoSpaceDE/>
              <w:autoSpaceDN/>
              <w:adjustRightInd/>
              <w:rPr>
                <w:i/>
                <w:iCs/>
                <w:color w:val="000000"/>
                <w:sz w:val="20"/>
                <w:szCs w:val="20"/>
              </w:rPr>
            </w:pPr>
            <w:r w:rsidRPr="00DD4F65">
              <w:rPr>
                <w:i/>
                <w:iCs/>
                <w:color w:val="000000"/>
                <w:sz w:val="20"/>
                <w:szCs w:val="20"/>
              </w:rPr>
              <w:t>Low-im</w:t>
            </w:r>
            <w:r w:rsidR="00421F81">
              <w:rPr>
                <w:i/>
                <w:iCs/>
                <w:color w:val="000000"/>
                <w:sz w:val="20"/>
                <w:szCs w:val="20"/>
              </w:rPr>
              <w:t>p</w:t>
            </w:r>
            <w:r w:rsidRPr="00DD4F65">
              <w:rPr>
                <w:i/>
                <w:iCs/>
                <w:color w:val="000000"/>
                <w:sz w:val="20"/>
                <w:szCs w:val="20"/>
              </w:rPr>
              <w:t>act establishments</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AEC8517" w14:textId="77777777">
            <w:pPr>
              <w:widowControl/>
              <w:autoSpaceDE/>
              <w:autoSpaceDN/>
              <w:adjustRightInd/>
              <w:jc w:val="center"/>
              <w:rPr>
                <w:color w:val="000000"/>
                <w:sz w:val="22"/>
                <w:szCs w:val="22"/>
              </w:rPr>
            </w:pPr>
            <w:r w:rsidRPr="00DD4F65">
              <w:rPr>
                <w:color w:val="000000"/>
                <w:sz w:val="22"/>
                <w:szCs w:val="22"/>
              </w:rPr>
              <w:t>482,64</w:t>
            </w:r>
            <w:r w:rsidR="00483666">
              <w:rPr>
                <w:color w:val="000000"/>
                <w:sz w:val="22"/>
                <w:szCs w:val="22"/>
              </w:rPr>
              <w:t>9</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EBA73FC" w14:textId="77777777">
            <w:pPr>
              <w:widowControl/>
              <w:autoSpaceDE/>
              <w:autoSpaceDN/>
              <w:adjustRightInd/>
              <w:jc w:val="center"/>
              <w:rPr>
                <w:color w:val="000000"/>
                <w:sz w:val="22"/>
                <w:szCs w:val="22"/>
              </w:rPr>
            </w:pPr>
            <w:r w:rsidRPr="00DD4F65">
              <w:rPr>
                <w:color w:val="000000"/>
                <w:sz w:val="22"/>
                <w:szCs w:val="22"/>
              </w:rPr>
              <w:t>1</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2005FF7" w14:textId="77777777">
            <w:pPr>
              <w:widowControl/>
              <w:autoSpaceDE/>
              <w:autoSpaceDN/>
              <w:adjustRightInd/>
              <w:jc w:val="center"/>
              <w:rPr>
                <w:color w:val="000000"/>
                <w:sz w:val="22"/>
                <w:szCs w:val="22"/>
              </w:rPr>
            </w:pPr>
            <w:r w:rsidRPr="00DD4F65">
              <w:rPr>
                <w:color w:val="000000"/>
                <w:sz w:val="22"/>
                <w:szCs w:val="22"/>
              </w:rPr>
              <w:t>482,64</w:t>
            </w:r>
            <w:r w:rsidR="00483666">
              <w:rPr>
                <w:color w:val="000000"/>
                <w:sz w:val="22"/>
                <w:szCs w:val="22"/>
              </w:rPr>
              <w:t>9</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633BF6" w14:paraId="236E6345" w14:textId="77777777">
            <w:pPr>
              <w:widowControl/>
              <w:autoSpaceDE/>
              <w:autoSpaceDN/>
              <w:adjustRightInd/>
              <w:jc w:val="center"/>
              <w:rPr>
                <w:color w:val="000000"/>
                <w:sz w:val="22"/>
                <w:szCs w:val="22"/>
              </w:rPr>
            </w:pPr>
            <w:r>
              <w:rPr>
                <w:color w:val="000000"/>
                <w:sz w:val="22"/>
                <w:szCs w:val="22"/>
              </w:rPr>
              <w:t>20/60</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C822FF" w14:paraId="5CE30E0E" w14:textId="77777777">
            <w:pPr>
              <w:widowControl/>
              <w:autoSpaceDE/>
              <w:autoSpaceDN/>
              <w:adjustRightInd/>
              <w:jc w:val="center"/>
              <w:rPr>
                <w:color w:val="000000"/>
                <w:sz w:val="22"/>
                <w:szCs w:val="22"/>
              </w:rPr>
            </w:pPr>
            <w:r>
              <w:rPr>
                <w:color w:val="000000"/>
                <w:sz w:val="22"/>
                <w:szCs w:val="22"/>
              </w:rPr>
              <w:t>160,88</w:t>
            </w:r>
            <w:r w:rsidR="00483666">
              <w:rPr>
                <w:color w:val="000000"/>
                <w:sz w:val="22"/>
                <w:szCs w:val="22"/>
              </w:rPr>
              <w:t>3.00</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D9F0D93"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BC7E16" w:rsidRDefault="00DD4F65" w14:paraId="29D875C1" w14:textId="77777777">
            <w:pPr>
              <w:widowControl/>
              <w:autoSpaceDE/>
              <w:autoSpaceDN/>
              <w:adjustRightInd/>
              <w:jc w:val="center"/>
              <w:rPr>
                <w:color w:val="000000"/>
                <w:sz w:val="22"/>
                <w:szCs w:val="22"/>
              </w:rPr>
            </w:pPr>
            <w:r w:rsidRPr="00DD4F65">
              <w:rPr>
                <w:color w:val="000000"/>
                <w:sz w:val="22"/>
                <w:szCs w:val="22"/>
              </w:rPr>
              <w:t>$</w:t>
            </w:r>
            <w:r w:rsidR="00C822FF">
              <w:rPr>
                <w:color w:val="000000"/>
                <w:sz w:val="22"/>
                <w:szCs w:val="22"/>
              </w:rPr>
              <w:t>7,341,</w:t>
            </w:r>
            <w:r w:rsidR="00483666">
              <w:rPr>
                <w:color w:val="000000"/>
                <w:sz w:val="22"/>
                <w:szCs w:val="22"/>
              </w:rPr>
              <w:t>091.29</w:t>
            </w:r>
          </w:p>
        </w:tc>
      </w:tr>
      <w:tr w:rsidRPr="00DD4F65" w:rsidR="007C76DE" w:rsidTr="00FF5F6D" w14:paraId="0B2A2FDE"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1D13FCCE" w14:textId="77777777">
            <w:pPr>
              <w:widowControl/>
              <w:autoSpaceDE/>
              <w:autoSpaceDN/>
              <w:adjustRightInd/>
              <w:rPr>
                <w:i/>
                <w:iCs/>
                <w:color w:val="000000"/>
                <w:sz w:val="20"/>
                <w:szCs w:val="20"/>
              </w:rPr>
            </w:pPr>
            <w:r w:rsidRPr="00DD4F65">
              <w:rPr>
                <w:i/>
                <w:iCs/>
                <w:color w:val="000000"/>
                <w:sz w:val="20"/>
                <w:szCs w:val="20"/>
              </w:rPr>
              <w:t> </w:t>
            </w:r>
            <w:r w:rsidRPr="00DD4F65">
              <w:rPr>
                <w:b/>
                <w:bCs/>
                <w:color w:val="000000"/>
                <w:sz w:val="20"/>
                <w:szCs w:val="20"/>
              </w:rPr>
              <w:t>Total for (B)</w:t>
            </w:r>
          </w:p>
        </w:tc>
        <w:tc>
          <w:tcPr>
            <w:tcW w:w="162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2D61C37" w14:textId="77777777">
            <w:pPr>
              <w:widowControl/>
              <w:autoSpaceDE/>
              <w:autoSpaceDN/>
              <w:adjustRightInd/>
              <w:jc w:val="center"/>
              <w:rPr>
                <w:b/>
                <w:bCs/>
                <w:color w:val="000000"/>
                <w:sz w:val="22"/>
                <w:szCs w:val="22"/>
              </w:rPr>
            </w:pPr>
            <w:r w:rsidRPr="00DD4F65">
              <w:rPr>
                <w:b/>
                <w:bCs/>
                <w:color w:val="000000"/>
                <w:sz w:val="22"/>
                <w:szCs w:val="22"/>
              </w:rPr>
              <w:t>-</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0B05385C" w14:textId="77777777">
            <w:pPr>
              <w:widowControl/>
              <w:autoSpaceDE/>
              <w:autoSpaceDN/>
              <w:adjustRightInd/>
              <w:jc w:val="center"/>
              <w:rPr>
                <w:b/>
                <w:bCs/>
                <w:color w:val="000000"/>
                <w:sz w:val="22"/>
                <w:szCs w:val="22"/>
              </w:rPr>
            </w:pPr>
            <w:r w:rsidRPr="00DD4F65">
              <w:rPr>
                <w:b/>
                <w:bCs/>
                <w:color w:val="000000"/>
                <w:sz w:val="22"/>
                <w:szCs w:val="22"/>
              </w:rPr>
              <w:t>-</w:t>
            </w:r>
          </w:p>
        </w:tc>
        <w:tc>
          <w:tcPr>
            <w:tcW w:w="153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624FD4BF" w14:textId="77777777">
            <w:pPr>
              <w:widowControl/>
              <w:autoSpaceDE/>
              <w:autoSpaceDN/>
              <w:adjustRightInd/>
              <w:jc w:val="center"/>
              <w:rPr>
                <w:b/>
                <w:bCs/>
                <w:color w:val="000000"/>
                <w:sz w:val="22"/>
                <w:szCs w:val="22"/>
              </w:rPr>
            </w:pPr>
            <w:r w:rsidRPr="00DD4F65">
              <w:rPr>
                <w:b/>
                <w:bCs/>
                <w:color w:val="000000"/>
                <w:sz w:val="22"/>
                <w:szCs w:val="22"/>
              </w:rPr>
              <w:t>773,20</w:t>
            </w:r>
            <w:r w:rsidR="00483666">
              <w:rPr>
                <w:b/>
                <w:bCs/>
                <w:color w:val="000000"/>
                <w:sz w:val="22"/>
                <w:szCs w:val="22"/>
              </w:rPr>
              <w:t>9</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2BA18D7D" w14:textId="77777777">
            <w:pPr>
              <w:widowControl/>
              <w:autoSpaceDE/>
              <w:autoSpaceDN/>
              <w:adjustRightInd/>
              <w:jc w:val="center"/>
              <w:rPr>
                <w:b/>
                <w:bCs/>
                <w:color w:val="000000"/>
                <w:sz w:val="22"/>
                <w:szCs w:val="22"/>
              </w:rPr>
            </w:pPr>
            <w:r w:rsidRPr="00DD4F65">
              <w:rPr>
                <w:b/>
                <w:bCs/>
                <w:color w:val="000000"/>
                <w:sz w:val="22"/>
                <w:szCs w:val="22"/>
              </w:rPr>
              <w:t>-</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C822FF" w14:paraId="6FBDAFAD" w14:textId="77777777">
            <w:pPr>
              <w:widowControl/>
              <w:autoSpaceDE/>
              <w:autoSpaceDN/>
              <w:adjustRightInd/>
              <w:jc w:val="center"/>
              <w:rPr>
                <w:b/>
                <w:bCs/>
                <w:color w:val="000000"/>
                <w:sz w:val="22"/>
                <w:szCs w:val="22"/>
              </w:rPr>
            </w:pPr>
            <w:r>
              <w:rPr>
                <w:b/>
                <w:bCs/>
                <w:color w:val="000000"/>
                <w:sz w:val="22"/>
                <w:szCs w:val="22"/>
              </w:rPr>
              <w:t>257,736.</w:t>
            </w:r>
            <w:r w:rsidR="00483666">
              <w:rPr>
                <w:b/>
                <w:bCs/>
                <w:color w:val="000000"/>
                <w:sz w:val="22"/>
                <w:szCs w:val="22"/>
              </w:rPr>
              <w:t>33</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5B0973AF" w14:textId="77777777">
            <w:pPr>
              <w:widowControl/>
              <w:autoSpaceDE/>
              <w:autoSpaceDN/>
              <w:adjustRightInd/>
              <w:jc w:val="center"/>
              <w:rPr>
                <w:b/>
                <w:bCs/>
                <w:color w:val="000000"/>
                <w:sz w:val="22"/>
                <w:szCs w:val="22"/>
              </w:rPr>
            </w:pPr>
            <w:r w:rsidRPr="00DD4F65">
              <w:rPr>
                <w:b/>
                <w:bCs/>
                <w:color w:val="000000"/>
                <w:sz w:val="22"/>
                <w:szCs w:val="22"/>
              </w:rPr>
              <w:t>-</w:t>
            </w:r>
          </w:p>
        </w:tc>
        <w:tc>
          <w:tcPr>
            <w:tcW w:w="189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BC7E16" w:rsidRDefault="00DD4F65" w14:paraId="14A7F9E3" w14:textId="77777777">
            <w:pPr>
              <w:widowControl/>
              <w:autoSpaceDE/>
              <w:autoSpaceDN/>
              <w:adjustRightInd/>
              <w:jc w:val="center"/>
              <w:rPr>
                <w:b/>
                <w:bCs/>
                <w:color w:val="000000"/>
                <w:sz w:val="22"/>
                <w:szCs w:val="22"/>
              </w:rPr>
            </w:pPr>
            <w:r w:rsidRPr="00DD4F65">
              <w:rPr>
                <w:b/>
                <w:bCs/>
                <w:color w:val="000000"/>
                <w:sz w:val="22"/>
                <w:szCs w:val="22"/>
              </w:rPr>
              <w:t>$</w:t>
            </w:r>
            <w:r w:rsidR="00C822FF">
              <w:rPr>
                <w:b/>
                <w:bCs/>
                <w:color w:val="000000"/>
                <w:sz w:val="22"/>
                <w:szCs w:val="22"/>
              </w:rPr>
              <w:t>11,76</w:t>
            </w:r>
            <w:r w:rsidR="00483666">
              <w:rPr>
                <w:b/>
                <w:bCs/>
                <w:color w:val="000000"/>
                <w:sz w:val="22"/>
                <w:szCs w:val="22"/>
              </w:rPr>
              <w:t>0,508.89</w:t>
            </w:r>
          </w:p>
        </w:tc>
      </w:tr>
      <w:tr w:rsidRPr="00DD4F65" w:rsidR="00DD4F65" w:rsidTr="00FF5F6D" w14:paraId="46A8E4D5" w14:textId="77777777">
        <w:trPr>
          <w:cantSplit/>
          <w:jc w:val="center"/>
        </w:trPr>
        <w:tc>
          <w:tcPr>
            <w:tcW w:w="1304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6C7B062D" w14:textId="77777777">
            <w:pPr>
              <w:widowControl/>
              <w:autoSpaceDE/>
              <w:autoSpaceDN/>
              <w:adjustRightInd/>
              <w:rPr>
                <w:i/>
                <w:iCs/>
                <w:color w:val="000000"/>
                <w:sz w:val="20"/>
                <w:szCs w:val="20"/>
              </w:rPr>
            </w:pPr>
            <w:r w:rsidRPr="00DD4F65">
              <w:rPr>
                <w:i/>
                <w:iCs/>
                <w:color w:val="000000"/>
                <w:sz w:val="20"/>
                <w:szCs w:val="20"/>
              </w:rPr>
              <w:t> </w:t>
            </w:r>
          </w:p>
        </w:tc>
      </w:tr>
      <w:tr w:rsidRPr="00DD4F65" w:rsidR="007C76DE" w:rsidTr="00FF5F6D" w14:paraId="70CABD77"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D4F65" w:rsidR="00DD4F65" w:rsidP="00DD4F65" w:rsidRDefault="00DD4F65" w14:paraId="585F9C37" w14:textId="77777777">
            <w:pPr>
              <w:widowControl/>
              <w:autoSpaceDE/>
              <w:autoSpaceDN/>
              <w:adjustRightInd/>
              <w:rPr>
                <w:b/>
                <w:bCs/>
                <w:color w:val="000000"/>
                <w:sz w:val="20"/>
                <w:szCs w:val="20"/>
              </w:rPr>
            </w:pPr>
            <w:r w:rsidRPr="00DD4F65">
              <w:rPr>
                <w:b/>
                <w:bCs/>
                <w:color w:val="000000"/>
                <w:sz w:val="20"/>
                <w:szCs w:val="20"/>
              </w:rPr>
              <w:t>(C)  Training Certification Records (paragraph (c)(7)(iv))</w:t>
            </w:r>
          </w:p>
        </w:tc>
        <w:tc>
          <w:tcPr>
            <w:tcW w:w="10440" w:type="dxa"/>
            <w:gridSpan w:val="7"/>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66F8C5D7" w14:textId="77777777">
            <w:pPr>
              <w:widowControl/>
              <w:autoSpaceDE/>
              <w:autoSpaceDN/>
              <w:adjustRightInd/>
              <w:jc w:val="right"/>
              <w:rPr>
                <w:color w:val="000000"/>
                <w:sz w:val="22"/>
                <w:szCs w:val="22"/>
              </w:rPr>
            </w:pPr>
          </w:p>
        </w:tc>
      </w:tr>
      <w:tr w:rsidRPr="00DD4F65" w:rsidR="007C76DE" w:rsidTr="00FF5F6D" w14:paraId="3FA65523"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D4F65" w:rsidR="00DD4F65" w:rsidP="00DD4F65" w:rsidRDefault="00DD4F65" w14:paraId="2CD381CE" w14:textId="77777777">
            <w:pPr>
              <w:widowControl/>
              <w:autoSpaceDE/>
              <w:autoSpaceDN/>
              <w:adjustRightInd/>
              <w:rPr>
                <w:i/>
                <w:iCs/>
                <w:color w:val="000000"/>
                <w:sz w:val="20"/>
                <w:szCs w:val="20"/>
              </w:rPr>
            </w:pPr>
            <w:r w:rsidRPr="00DD4F65">
              <w:rPr>
                <w:i/>
                <w:iCs/>
                <w:color w:val="000000"/>
                <w:sz w:val="20"/>
                <w:szCs w:val="20"/>
              </w:rPr>
              <w:t>Establishments with new/retrained workers</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4927942D" w14:textId="77777777">
            <w:pPr>
              <w:widowControl/>
              <w:autoSpaceDE/>
              <w:autoSpaceDN/>
              <w:adjustRightInd/>
              <w:jc w:val="center"/>
              <w:rPr>
                <w:color w:val="000000"/>
                <w:sz w:val="22"/>
                <w:szCs w:val="22"/>
              </w:rPr>
            </w:pPr>
            <w:r w:rsidRPr="00DD4F65">
              <w:rPr>
                <w:color w:val="000000"/>
                <w:sz w:val="22"/>
                <w:szCs w:val="22"/>
              </w:rPr>
              <w:t>773,20</w:t>
            </w:r>
            <w:r w:rsidR="007E0C2E">
              <w:rPr>
                <w:color w:val="000000"/>
                <w:sz w:val="22"/>
                <w:szCs w:val="22"/>
              </w:rPr>
              <w:t>9</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010410" w:rsidR="00DD4F65" w:rsidP="00DD4F65" w:rsidRDefault="00DD4F65" w14:paraId="0E6C621C" w14:textId="77777777">
            <w:pPr>
              <w:widowControl/>
              <w:autoSpaceDE/>
              <w:autoSpaceDN/>
              <w:adjustRightInd/>
              <w:jc w:val="center"/>
              <w:rPr>
                <w:color w:val="000000"/>
                <w:sz w:val="22"/>
                <w:szCs w:val="22"/>
              </w:rPr>
            </w:pPr>
            <w:r w:rsidRPr="00010410">
              <w:rPr>
                <w:color w:val="000000"/>
                <w:sz w:val="22"/>
                <w:szCs w:val="22"/>
              </w:rPr>
              <w:t>1 x 1.6</w:t>
            </w:r>
            <w:r w:rsidRPr="00010410" w:rsidR="00FB4236">
              <w:rPr>
                <w:color w:val="000000"/>
                <w:sz w:val="22"/>
                <w:szCs w:val="22"/>
              </w:rPr>
              <w:t>6</w:t>
            </w:r>
            <w:r w:rsidR="001756AA">
              <w:rPr>
                <w:color w:val="000000"/>
                <w:sz w:val="22"/>
                <w:szCs w:val="22"/>
              </w:rPr>
              <w:t>42874</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6EFC84E4" w14:textId="77777777">
            <w:pPr>
              <w:widowControl/>
              <w:autoSpaceDE/>
              <w:autoSpaceDN/>
              <w:adjustRightInd/>
              <w:jc w:val="center"/>
              <w:rPr>
                <w:color w:val="000000"/>
                <w:sz w:val="22"/>
                <w:szCs w:val="22"/>
              </w:rPr>
            </w:pPr>
            <w:r w:rsidRPr="00DD4F65">
              <w:rPr>
                <w:color w:val="000000"/>
                <w:sz w:val="22"/>
                <w:szCs w:val="22"/>
              </w:rPr>
              <w:t>1,286,842</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633BF6" w14:paraId="68830BEC" w14:textId="77777777">
            <w:pPr>
              <w:widowControl/>
              <w:autoSpaceDE/>
              <w:autoSpaceDN/>
              <w:adjustRightInd/>
              <w:jc w:val="center"/>
              <w:rPr>
                <w:color w:val="000000"/>
                <w:sz w:val="22"/>
                <w:szCs w:val="22"/>
              </w:rPr>
            </w:pPr>
            <w:r>
              <w:rPr>
                <w:color w:val="000000"/>
                <w:sz w:val="22"/>
                <w:szCs w:val="22"/>
              </w:rPr>
              <w:t>3/60</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066D488F" w14:textId="77777777">
            <w:pPr>
              <w:widowControl/>
              <w:autoSpaceDE/>
              <w:autoSpaceDN/>
              <w:adjustRightInd/>
              <w:jc w:val="center"/>
              <w:rPr>
                <w:color w:val="000000"/>
                <w:sz w:val="22"/>
                <w:szCs w:val="22"/>
              </w:rPr>
            </w:pPr>
            <w:r w:rsidRPr="00DD4F65">
              <w:rPr>
                <w:color w:val="000000"/>
                <w:sz w:val="22"/>
                <w:szCs w:val="22"/>
              </w:rPr>
              <w:t>64,342.</w:t>
            </w:r>
            <w:r w:rsidR="00483666">
              <w:rPr>
                <w:color w:val="000000"/>
                <w:sz w:val="22"/>
                <w:szCs w:val="22"/>
              </w:rPr>
              <w:t>10</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2985580A" w14:textId="77777777">
            <w:pPr>
              <w:widowControl/>
              <w:autoSpaceDE/>
              <w:autoSpaceDN/>
              <w:adjustRightInd/>
              <w:jc w:val="center"/>
              <w:rPr>
                <w:color w:val="000000"/>
                <w:sz w:val="22"/>
                <w:szCs w:val="22"/>
              </w:rPr>
            </w:pPr>
            <w:r w:rsidRPr="00DD4F65">
              <w:rPr>
                <w:color w:val="000000"/>
                <w:sz w:val="22"/>
                <w:szCs w:val="22"/>
              </w:rPr>
              <w:t xml:space="preserve">$27.42 </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483666" w:rsidRDefault="00DD4F65" w14:paraId="7B8F330C" w14:textId="77777777">
            <w:pPr>
              <w:widowControl/>
              <w:autoSpaceDE/>
              <w:autoSpaceDN/>
              <w:adjustRightInd/>
              <w:jc w:val="center"/>
              <w:rPr>
                <w:color w:val="000000"/>
                <w:sz w:val="22"/>
                <w:szCs w:val="22"/>
              </w:rPr>
            </w:pPr>
            <w:r w:rsidRPr="00DD4F65">
              <w:rPr>
                <w:color w:val="000000"/>
                <w:sz w:val="22"/>
                <w:szCs w:val="22"/>
              </w:rPr>
              <w:t>$1,764,</w:t>
            </w:r>
            <w:r w:rsidR="00483666">
              <w:rPr>
                <w:color w:val="000000"/>
                <w:sz w:val="22"/>
                <w:szCs w:val="22"/>
              </w:rPr>
              <w:t>260.38</w:t>
            </w:r>
            <w:r w:rsidRPr="00DD4F65">
              <w:rPr>
                <w:color w:val="000000"/>
                <w:sz w:val="22"/>
                <w:szCs w:val="22"/>
              </w:rPr>
              <w:t xml:space="preserve"> </w:t>
            </w:r>
          </w:p>
        </w:tc>
      </w:tr>
      <w:tr w:rsidRPr="00DD4F65" w:rsidR="007C76DE" w:rsidTr="00FF5F6D" w14:paraId="3E53E86E"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D4F65" w:rsidR="00DD4F65" w:rsidP="00DD4F65" w:rsidRDefault="00DD4F65" w14:paraId="6B1CEA44" w14:textId="77777777">
            <w:pPr>
              <w:widowControl/>
              <w:autoSpaceDE/>
              <w:autoSpaceDN/>
              <w:adjustRightInd/>
              <w:rPr>
                <w:i/>
                <w:iCs/>
                <w:color w:val="000000"/>
                <w:sz w:val="20"/>
                <w:szCs w:val="20"/>
              </w:rPr>
            </w:pPr>
            <w:r w:rsidRPr="00DD4F65">
              <w:rPr>
                <w:i/>
                <w:iCs/>
                <w:color w:val="000000"/>
                <w:sz w:val="20"/>
                <w:szCs w:val="20"/>
              </w:rPr>
              <w:t>Establishments with remaining workers</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4F5428A4" w14:textId="77777777">
            <w:pPr>
              <w:widowControl/>
              <w:autoSpaceDE/>
              <w:autoSpaceDN/>
              <w:adjustRightInd/>
              <w:jc w:val="center"/>
              <w:rPr>
                <w:color w:val="000000"/>
                <w:sz w:val="22"/>
                <w:szCs w:val="22"/>
              </w:rPr>
            </w:pPr>
            <w:r w:rsidRPr="00DD4F65">
              <w:rPr>
                <w:color w:val="000000"/>
                <w:sz w:val="22"/>
                <w:szCs w:val="22"/>
              </w:rPr>
              <w:t>773,20</w:t>
            </w:r>
            <w:r w:rsidR="007E0C2E">
              <w:rPr>
                <w:color w:val="000000"/>
                <w:sz w:val="22"/>
                <w:szCs w:val="22"/>
              </w:rPr>
              <w:t>9</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010410" w:rsidR="00DD4F65" w:rsidP="00DD4F65" w:rsidRDefault="00DD4F65" w14:paraId="6AA7F1D1" w14:textId="77777777">
            <w:pPr>
              <w:widowControl/>
              <w:autoSpaceDE/>
              <w:autoSpaceDN/>
              <w:adjustRightInd/>
              <w:jc w:val="center"/>
              <w:rPr>
                <w:color w:val="000000"/>
                <w:sz w:val="22"/>
                <w:szCs w:val="22"/>
              </w:rPr>
            </w:pPr>
            <w:r w:rsidRPr="00010410">
              <w:rPr>
                <w:color w:val="000000"/>
                <w:sz w:val="22"/>
                <w:szCs w:val="22"/>
              </w:rPr>
              <w:t>1 x 5.</w:t>
            </w:r>
            <w:r w:rsidRPr="00010410" w:rsidR="00FB4236">
              <w:rPr>
                <w:color w:val="000000"/>
                <w:sz w:val="22"/>
                <w:szCs w:val="22"/>
              </w:rPr>
              <w:t>57</w:t>
            </w:r>
            <w:r w:rsidR="001756AA">
              <w:rPr>
                <w:color w:val="000000"/>
                <w:sz w:val="22"/>
                <w:szCs w:val="22"/>
              </w:rPr>
              <w:t>174322</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47F4E1C0" w14:textId="77777777">
            <w:pPr>
              <w:widowControl/>
              <w:autoSpaceDE/>
              <w:autoSpaceDN/>
              <w:adjustRightInd/>
              <w:jc w:val="center"/>
              <w:rPr>
                <w:color w:val="000000"/>
                <w:sz w:val="22"/>
                <w:szCs w:val="22"/>
              </w:rPr>
            </w:pPr>
            <w:r w:rsidRPr="00DD4F65">
              <w:rPr>
                <w:color w:val="000000"/>
                <w:sz w:val="22"/>
                <w:szCs w:val="22"/>
              </w:rPr>
              <w:t>4,308,122</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633BF6" w14:paraId="18856223" w14:textId="77777777">
            <w:pPr>
              <w:widowControl/>
              <w:autoSpaceDE/>
              <w:autoSpaceDN/>
              <w:adjustRightInd/>
              <w:jc w:val="center"/>
              <w:rPr>
                <w:color w:val="000000"/>
                <w:sz w:val="22"/>
                <w:szCs w:val="22"/>
              </w:rPr>
            </w:pPr>
            <w:r>
              <w:rPr>
                <w:color w:val="000000"/>
                <w:sz w:val="22"/>
                <w:szCs w:val="22"/>
              </w:rPr>
              <w:t>1/60</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C822FF" w14:paraId="501294F5" w14:textId="77777777">
            <w:pPr>
              <w:widowControl/>
              <w:autoSpaceDE/>
              <w:autoSpaceDN/>
              <w:adjustRightInd/>
              <w:jc w:val="center"/>
              <w:rPr>
                <w:color w:val="000000"/>
                <w:sz w:val="22"/>
                <w:szCs w:val="22"/>
              </w:rPr>
            </w:pPr>
            <w:r>
              <w:rPr>
                <w:color w:val="000000"/>
                <w:sz w:val="22"/>
                <w:szCs w:val="22"/>
              </w:rPr>
              <w:t>71,802.03</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73E95657" w14:textId="77777777">
            <w:pPr>
              <w:widowControl/>
              <w:autoSpaceDE/>
              <w:autoSpaceDN/>
              <w:adjustRightInd/>
              <w:jc w:val="center"/>
              <w:rPr>
                <w:color w:val="000000"/>
                <w:sz w:val="22"/>
                <w:szCs w:val="22"/>
              </w:rPr>
            </w:pPr>
            <w:r w:rsidRPr="00DD4F65">
              <w:rPr>
                <w:color w:val="000000"/>
                <w:sz w:val="22"/>
                <w:szCs w:val="22"/>
              </w:rPr>
              <w:t xml:space="preserve">$27.42 </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191C6D" w:rsidRDefault="00DD4F65" w14:paraId="59A2318E" w14:textId="333C6989">
            <w:pPr>
              <w:widowControl/>
              <w:autoSpaceDE/>
              <w:autoSpaceDN/>
              <w:adjustRightInd/>
              <w:jc w:val="center"/>
              <w:rPr>
                <w:color w:val="000000"/>
                <w:sz w:val="22"/>
                <w:szCs w:val="22"/>
              </w:rPr>
            </w:pPr>
            <w:r w:rsidRPr="00DD4F65">
              <w:rPr>
                <w:color w:val="000000"/>
                <w:sz w:val="22"/>
                <w:szCs w:val="22"/>
              </w:rPr>
              <w:t>$</w:t>
            </w:r>
            <w:r w:rsidR="00C822FF">
              <w:rPr>
                <w:color w:val="000000"/>
                <w:sz w:val="22"/>
                <w:szCs w:val="22"/>
              </w:rPr>
              <w:t>1,</w:t>
            </w:r>
            <w:r w:rsidR="00191C6D">
              <w:rPr>
                <w:color w:val="000000"/>
                <w:sz w:val="22"/>
                <w:szCs w:val="22"/>
              </w:rPr>
              <w:t>968</w:t>
            </w:r>
            <w:r w:rsidR="00C822FF">
              <w:rPr>
                <w:color w:val="000000"/>
                <w:sz w:val="22"/>
                <w:szCs w:val="22"/>
              </w:rPr>
              <w:t>,</w:t>
            </w:r>
            <w:r w:rsidR="001756AA">
              <w:rPr>
                <w:color w:val="000000"/>
                <w:sz w:val="22"/>
                <w:szCs w:val="22"/>
              </w:rPr>
              <w:t>811.</w:t>
            </w:r>
            <w:r w:rsidR="00191C6D">
              <w:rPr>
                <w:color w:val="000000"/>
                <w:sz w:val="22"/>
                <w:szCs w:val="22"/>
              </w:rPr>
              <w:t>75</w:t>
            </w:r>
          </w:p>
        </w:tc>
      </w:tr>
      <w:tr w:rsidRPr="00DD4F65" w:rsidR="007C76DE" w:rsidTr="00FF5F6D" w14:paraId="1A023246"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D4F65" w:rsidR="00DD4F65" w:rsidP="00DD4F65" w:rsidRDefault="00DD4F65" w14:paraId="3408A79E" w14:textId="77777777">
            <w:pPr>
              <w:widowControl/>
              <w:autoSpaceDE/>
              <w:autoSpaceDN/>
              <w:adjustRightInd/>
              <w:rPr>
                <w:b/>
                <w:bCs/>
                <w:color w:val="000000"/>
                <w:sz w:val="20"/>
                <w:szCs w:val="20"/>
              </w:rPr>
            </w:pPr>
            <w:r w:rsidRPr="00DD4F65">
              <w:rPr>
                <w:b/>
                <w:bCs/>
                <w:color w:val="000000"/>
                <w:sz w:val="20"/>
                <w:szCs w:val="20"/>
              </w:rPr>
              <w:t>Total for (C)</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4B132234" w14:textId="77777777">
            <w:pPr>
              <w:widowControl/>
              <w:autoSpaceDE/>
              <w:autoSpaceDN/>
              <w:adjustRightInd/>
              <w:jc w:val="center"/>
              <w:rPr>
                <w:b/>
                <w:bCs/>
                <w:color w:val="000000"/>
                <w:sz w:val="22"/>
                <w:szCs w:val="22"/>
              </w:rPr>
            </w:pPr>
            <w:r w:rsidRPr="00DD4F65">
              <w:rPr>
                <w:b/>
                <w:bCs/>
                <w:color w:val="000000"/>
                <w:sz w:val="22"/>
                <w:szCs w:val="22"/>
              </w:rPr>
              <w:t>-</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3813FB82" w14:textId="77777777">
            <w:pPr>
              <w:widowControl/>
              <w:autoSpaceDE/>
              <w:autoSpaceDN/>
              <w:adjustRightInd/>
              <w:jc w:val="center"/>
              <w:rPr>
                <w:b/>
                <w:bCs/>
                <w:color w:val="000000"/>
                <w:sz w:val="22"/>
                <w:szCs w:val="22"/>
              </w:rPr>
            </w:pPr>
            <w:r w:rsidRPr="00DD4F65">
              <w:rPr>
                <w:b/>
                <w:bCs/>
                <w:color w:val="000000"/>
                <w:sz w:val="22"/>
                <w:szCs w:val="22"/>
              </w:rPr>
              <w:t>-</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71A4832A" w14:textId="77777777">
            <w:pPr>
              <w:widowControl/>
              <w:autoSpaceDE/>
              <w:autoSpaceDN/>
              <w:adjustRightInd/>
              <w:jc w:val="center"/>
              <w:rPr>
                <w:b/>
                <w:bCs/>
                <w:color w:val="000000"/>
                <w:sz w:val="22"/>
                <w:szCs w:val="22"/>
              </w:rPr>
            </w:pPr>
            <w:r w:rsidRPr="00DD4F65">
              <w:rPr>
                <w:b/>
                <w:bCs/>
                <w:color w:val="000000"/>
                <w:sz w:val="22"/>
                <w:szCs w:val="22"/>
              </w:rPr>
              <w:t>5,594,964</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4F48D366" w14:textId="77777777">
            <w:pPr>
              <w:widowControl/>
              <w:autoSpaceDE/>
              <w:autoSpaceDN/>
              <w:adjustRightInd/>
              <w:jc w:val="center"/>
              <w:rPr>
                <w:b/>
                <w:bCs/>
                <w:color w:val="000000"/>
                <w:sz w:val="22"/>
                <w:szCs w:val="22"/>
              </w:rPr>
            </w:pPr>
            <w:r w:rsidRPr="00DD4F65">
              <w:rPr>
                <w:b/>
                <w:bCs/>
                <w:color w:val="000000"/>
                <w:sz w:val="22"/>
                <w:szCs w:val="22"/>
              </w:rPr>
              <w:t>-</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37E2D4AF" w14:textId="77777777">
            <w:pPr>
              <w:widowControl/>
              <w:autoSpaceDE/>
              <w:autoSpaceDN/>
              <w:adjustRightInd/>
              <w:jc w:val="center"/>
              <w:rPr>
                <w:b/>
                <w:bCs/>
                <w:color w:val="000000"/>
                <w:sz w:val="22"/>
                <w:szCs w:val="22"/>
              </w:rPr>
            </w:pPr>
            <w:r w:rsidRPr="00DD4F65">
              <w:rPr>
                <w:b/>
                <w:bCs/>
                <w:color w:val="000000"/>
                <w:sz w:val="22"/>
                <w:szCs w:val="22"/>
              </w:rPr>
              <w:t>1</w:t>
            </w:r>
            <w:r w:rsidR="00C822FF">
              <w:rPr>
                <w:b/>
                <w:bCs/>
                <w:color w:val="000000"/>
                <w:sz w:val="22"/>
                <w:szCs w:val="22"/>
              </w:rPr>
              <w:t>36,144.1</w:t>
            </w:r>
            <w:r w:rsidR="001756AA">
              <w:rPr>
                <w:b/>
                <w:bCs/>
                <w:color w:val="000000"/>
                <w:sz w:val="22"/>
                <w:szCs w:val="22"/>
              </w:rPr>
              <w:t>3</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1406153E" w14:textId="77777777">
            <w:pPr>
              <w:widowControl/>
              <w:autoSpaceDE/>
              <w:autoSpaceDN/>
              <w:adjustRightInd/>
              <w:jc w:val="center"/>
              <w:rPr>
                <w:b/>
                <w:bCs/>
                <w:color w:val="000000"/>
                <w:sz w:val="22"/>
                <w:szCs w:val="22"/>
              </w:rPr>
            </w:pPr>
            <w:r w:rsidRPr="00DD4F65">
              <w:rPr>
                <w:b/>
                <w:bCs/>
                <w:color w:val="000000"/>
                <w:sz w:val="22"/>
                <w:szCs w:val="22"/>
              </w:rPr>
              <w:t>-</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BC7E16" w:rsidRDefault="00DD4F65" w14:paraId="4869B2EE" w14:textId="77777777">
            <w:pPr>
              <w:widowControl/>
              <w:autoSpaceDE/>
              <w:autoSpaceDN/>
              <w:adjustRightInd/>
              <w:jc w:val="center"/>
              <w:rPr>
                <w:b/>
                <w:bCs/>
                <w:color w:val="000000"/>
                <w:sz w:val="22"/>
                <w:szCs w:val="22"/>
              </w:rPr>
            </w:pPr>
            <w:r w:rsidRPr="00DD4F65">
              <w:rPr>
                <w:b/>
                <w:bCs/>
                <w:color w:val="000000"/>
                <w:sz w:val="22"/>
                <w:szCs w:val="22"/>
              </w:rPr>
              <w:t>$</w:t>
            </w:r>
            <w:r w:rsidR="00C822FF">
              <w:rPr>
                <w:b/>
                <w:bCs/>
                <w:color w:val="000000"/>
                <w:sz w:val="22"/>
                <w:szCs w:val="22"/>
              </w:rPr>
              <w:t>3,733,</w:t>
            </w:r>
            <w:r w:rsidR="001756AA">
              <w:rPr>
                <w:b/>
                <w:bCs/>
                <w:color w:val="000000"/>
                <w:sz w:val="22"/>
                <w:szCs w:val="22"/>
              </w:rPr>
              <w:t>072.1</w:t>
            </w:r>
            <w:r w:rsidR="009C0DA5">
              <w:rPr>
                <w:b/>
                <w:bCs/>
                <w:color w:val="000000"/>
                <w:sz w:val="22"/>
                <w:szCs w:val="22"/>
              </w:rPr>
              <w:t>3</w:t>
            </w:r>
          </w:p>
        </w:tc>
      </w:tr>
      <w:tr w:rsidRPr="00DD4F65" w:rsidR="00DD4F65" w:rsidTr="00FF5F6D" w14:paraId="3EC0AC89" w14:textId="77777777">
        <w:trPr>
          <w:cantSplit/>
          <w:jc w:val="center"/>
        </w:trPr>
        <w:tc>
          <w:tcPr>
            <w:tcW w:w="1304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614F6ACA" w14:textId="77777777">
            <w:pPr>
              <w:widowControl/>
              <w:autoSpaceDE/>
              <w:autoSpaceDN/>
              <w:adjustRightInd/>
              <w:rPr>
                <w:i/>
                <w:iCs/>
                <w:color w:val="000000"/>
                <w:sz w:val="20"/>
                <w:szCs w:val="20"/>
              </w:rPr>
            </w:pPr>
            <w:r w:rsidRPr="00DD4F65">
              <w:rPr>
                <w:i/>
                <w:iCs/>
                <w:color w:val="000000"/>
                <w:sz w:val="20"/>
                <w:szCs w:val="20"/>
              </w:rPr>
              <w:t> </w:t>
            </w:r>
          </w:p>
        </w:tc>
      </w:tr>
      <w:tr w:rsidRPr="00DD4F65" w:rsidR="007C76DE" w:rsidTr="00FF5F6D" w14:paraId="0DE33856"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00A7E5DB" w14:textId="77777777">
            <w:pPr>
              <w:widowControl/>
              <w:autoSpaceDE/>
              <w:autoSpaceDN/>
              <w:adjustRightInd/>
              <w:rPr>
                <w:b/>
                <w:bCs/>
                <w:color w:val="000000"/>
                <w:sz w:val="20"/>
                <w:szCs w:val="20"/>
              </w:rPr>
            </w:pPr>
            <w:r w:rsidRPr="00DD4F65">
              <w:rPr>
                <w:b/>
                <w:bCs/>
                <w:color w:val="000000"/>
                <w:sz w:val="20"/>
                <w:szCs w:val="20"/>
              </w:rPr>
              <w:t>(D) Notification of Employees (paragraph (c)(9))</w:t>
            </w:r>
          </w:p>
        </w:tc>
        <w:tc>
          <w:tcPr>
            <w:tcW w:w="10440" w:type="dxa"/>
            <w:gridSpan w:val="7"/>
            <w:tcBorders>
              <w:top w:val="single" w:color="auto" w:sz="4" w:space="0"/>
              <w:left w:val="nil"/>
              <w:bottom w:val="single" w:color="auto" w:sz="4" w:space="0"/>
              <w:right w:val="single" w:color="auto" w:sz="4" w:space="0"/>
            </w:tcBorders>
            <w:shd w:val="clear" w:color="auto" w:fill="FFFFFF" w:themeFill="background1"/>
            <w:vAlign w:val="center"/>
            <w:hideMark/>
          </w:tcPr>
          <w:p w:rsidRPr="00DD4F65" w:rsidR="00DD4F65" w:rsidP="00DD4F65" w:rsidRDefault="00DD4F65" w14:paraId="4429AD1E" w14:textId="77777777">
            <w:pPr>
              <w:widowControl/>
              <w:autoSpaceDE/>
              <w:autoSpaceDN/>
              <w:adjustRightInd/>
              <w:rPr>
                <w:color w:val="000000"/>
                <w:sz w:val="22"/>
                <w:szCs w:val="22"/>
              </w:rPr>
            </w:pPr>
            <w:r w:rsidRPr="00DD4F65">
              <w:rPr>
                <w:color w:val="000000"/>
                <w:sz w:val="22"/>
                <w:szCs w:val="22"/>
              </w:rPr>
              <w:t> </w:t>
            </w:r>
          </w:p>
        </w:tc>
      </w:tr>
      <w:tr w:rsidRPr="00DD4F65" w:rsidR="007C76DE" w:rsidTr="003A339A" w14:paraId="47D4C711"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D4F65" w:rsidR="00DD4F65" w:rsidP="00DD4F65" w:rsidRDefault="00DD4F65" w14:paraId="60F4F16A" w14:textId="77777777">
            <w:pPr>
              <w:widowControl/>
              <w:autoSpaceDE/>
              <w:autoSpaceDN/>
              <w:adjustRightInd/>
              <w:rPr>
                <w:i/>
                <w:iCs/>
                <w:color w:val="000000"/>
                <w:sz w:val="20"/>
                <w:szCs w:val="20"/>
              </w:rPr>
            </w:pPr>
            <w:r w:rsidRPr="00DD4F65">
              <w:rPr>
                <w:i/>
                <w:iCs/>
                <w:color w:val="000000"/>
                <w:sz w:val="20"/>
                <w:szCs w:val="20"/>
              </w:rPr>
              <w:t>High-impact, very small establishments</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2FDE55DC" w14:textId="77777777">
            <w:pPr>
              <w:widowControl/>
              <w:autoSpaceDE/>
              <w:autoSpaceDN/>
              <w:adjustRightInd/>
              <w:jc w:val="center"/>
              <w:rPr>
                <w:color w:val="000000"/>
                <w:sz w:val="22"/>
                <w:szCs w:val="22"/>
              </w:rPr>
            </w:pPr>
            <w:r w:rsidRPr="00DD4F65">
              <w:rPr>
                <w:color w:val="000000"/>
                <w:sz w:val="22"/>
                <w:szCs w:val="22"/>
              </w:rPr>
              <w:t>201,909</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7F90B767" w14:textId="77777777">
            <w:pPr>
              <w:widowControl/>
              <w:autoSpaceDE/>
              <w:autoSpaceDN/>
              <w:adjustRightInd/>
              <w:jc w:val="center"/>
              <w:rPr>
                <w:color w:val="000000"/>
                <w:sz w:val="22"/>
                <w:szCs w:val="22"/>
              </w:rPr>
            </w:pPr>
            <w:r w:rsidRPr="00DD4F65">
              <w:rPr>
                <w:color w:val="000000"/>
                <w:sz w:val="22"/>
                <w:szCs w:val="22"/>
              </w:rPr>
              <w:t>75 x .45</w:t>
            </w:r>
            <w:r w:rsidR="001756AA">
              <w:rPr>
                <w:color w:val="000000"/>
                <w:sz w:val="22"/>
                <w:szCs w:val="22"/>
              </w:rPr>
              <w:t>297</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6DD8EC7E" w14:textId="77777777">
            <w:pPr>
              <w:widowControl/>
              <w:autoSpaceDE/>
              <w:autoSpaceDN/>
              <w:adjustRightInd/>
              <w:jc w:val="center"/>
              <w:rPr>
                <w:color w:val="000000"/>
                <w:sz w:val="22"/>
                <w:szCs w:val="22"/>
              </w:rPr>
            </w:pPr>
            <w:r w:rsidRPr="00DD4F65">
              <w:rPr>
                <w:color w:val="000000"/>
                <w:sz w:val="22"/>
                <w:szCs w:val="22"/>
              </w:rPr>
              <w:t>6,859,4</w:t>
            </w:r>
            <w:r w:rsidR="001756AA">
              <w:rPr>
                <w:color w:val="000000"/>
                <w:sz w:val="22"/>
                <w:szCs w:val="22"/>
              </w:rPr>
              <w:t>04</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633BF6" w14:paraId="35F58434" w14:textId="77777777">
            <w:pPr>
              <w:widowControl/>
              <w:autoSpaceDE/>
              <w:autoSpaceDN/>
              <w:adjustRightInd/>
              <w:jc w:val="center"/>
              <w:rPr>
                <w:color w:val="000000"/>
                <w:sz w:val="22"/>
                <w:szCs w:val="22"/>
              </w:rPr>
            </w:pPr>
            <w:r>
              <w:rPr>
                <w:color w:val="000000"/>
                <w:sz w:val="22"/>
                <w:szCs w:val="22"/>
              </w:rPr>
              <w:t>0.25/60</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BC7E16" w14:paraId="26DD7E0F" w14:textId="77777777">
            <w:pPr>
              <w:widowControl/>
              <w:autoSpaceDE/>
              <w:autoSpaceDN/>
              <w:adjustRightInd/>
              <w:jc w:val="center"/>
              <w:rPr>
                <w:color w:val="000000"/>
                <w:sz w:val="22"/>
                <w:szCs w:val="22"/>
              </w:rPr>
            </w:pPr>
            <w:r>
              <w:rPr>
                <w:color w:val="000000"/>
                <w:sz w:val="22"/>
                <w:szCs w:val="22"/>
              </w:rPr>
              <w:t>28,58</w:t>
            </w:r>
            <w:r w:rsidR="001756AA">
              <w:rPr>
                <w:color w:val="000000"/>
                <w:sz w:val="22"/>
                <w:szCs w:val="22"/>
              </w:rPr>
              <w:t>0.85</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1A39BDA6" w14:textId="77777777">
            <w:pPr>
              <w:widowControl/>
              <w:autoSpaceDE/>
              <w:autoSpaceDN/>
              <w:adjustRightInd/>
              <w:jc w:val="center"/>
              <w:rPr>
                <w:color w:val="000000"/>
                <w:sz w:val="22"/>
                <w:szCs w:val="22"/>
              </w:rPr>
            </w:pPr>
            <w:r w:rsidRPr="00DD4F65">
              <w:rPr>
                <w:color w:val="000000"/>
                <w:sz w:val="22"/>
                <w:szCs w:val="22"/>
              </w:rPr>
              <w:t xml:space="preserve">$28.09 </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BD4DA5" w:rsidRDefault="00DD4F65" w14:paraId="342D459F" w14:textId="2FA98137">
            <w:pPr>
              <w:widowControl/>
              <w:autoSpaceDE/>
              <w:autoSpaceDN/>
              <w:adjustRightInd/>
              <w:jc w:val="center"/>
              <w:rPr>
                <w:color w:val="000000"/>
                <w:sz w:val="22"/>
                <w:szCs w:val="22"/>
              </w:rPr>
            </w:pPr>
            <w:r w:rsidRPr="00DD4F65">
              <w:rPr>
                <w:color w:val="000000"/>
                <w:sz w:val="22"/>
                <w:szCs w:val="22"/>
              </w:rPr>
              <w:t>$</w:t>
            </w:r>
            <w:r w:rsidR="00BC7E16">
              <w:rPr>
                <w:color w:val="000000"/>
                <w:sz w:val="22"/>
                <w:szCs w:val="22"/>
              </w:rPr>
              <w:t>802,</w:t>
            </w:r>
            <w:r w:rsidR="001756AA">
              <w:rPr>
                <w:color w:val="000000"/>
                <w:sz w:val="22"/>
                <w:szCs w:val="22"/>
              </w:rPr>
              <w:t>836.0</w:t>
            </w:r>
            <w:r w:rsidR="00F26881">
              <w:rPr>
                <w:color w:val="000000"/>
                <w:sz w:val="22"/>
                <w:szCs w:val="22"/>
              </w:rPr>
              <w:t>7</w:t>
            </w:r>
          </w:p>
        </w:tc>
      </w:tr>
      <w:tr w:rsidRPr="00DD4F65" w:rsidR="007C76DE" w:rsidTr="003A339A" w14:paraId="544E1797"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D4F65" w:rsidR="00DD4F65" w:rsidP="00DD4F65" w:rsidRDefault="00DD4F65" w14:paraId="48E5BD01" w14:textId="77777777">
            <w:pPr>
              <w:widowControl/>
              <w:autoSpaceDE/>
              <w:autoSpaceDN/>
              <w:adjustRightInd/>
              <w:rPr>
                <w:i/>
                <w:iCs/>
                <w:color w:val="000000"/>
                <w:sz w:val="20"/>
                <w:szCs w:val="20"/>
              </w:rPr>
            </w:pPr>
            <w:r w:rsidRPr="00DD4F65">
              <w:rPr>
                <w:i/>
                <w:iCs/>
                <w:color w:val="000000"/>
                <w:sz w:val="20"/>
                <w:szCs w:val="20"/>
              </w:rPr>
              <w:lastRenderedPageBreak/>
              <w:t>High-impact, other than very small establishments</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3090A36F" w14:textId="77777777">
            <w:pPr>
              <w:widowControl/>
              <w:autoSpaceDE/>
              <w:autoSpaceDN/>
              <w:adjustRightInd/>
              <w:jc w:val="center"/>
              <w:rPr>
                <w:color w:val="000000"/>
                <w:sz w:val="22"/>
                <w:szCs w:val="22"/>
              </w:rPr>
            </w:pPr>
            <w:r w:rsidRPr="00DD4F65">
              <w:rPr>
                <w:color w:val="000000"/>
                <w:sz w:val="22"/>
                <w:szCs w:val="22"/>
              </w:rPr>
              <w:t>88,651</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37DAAB85" w14:textId="7B45D977">
            <w:pPr>
              <w:widowControl/>
              <w:autoSpaceDE/>
              <w:autoSpaceDN/>
              <w:adjustRightInd/>
              <w:jc w:val="center"/>
              <w:rPr>
                <w:color w:val="000000"/>
                <w:sz w:val="22"/>
                <w:szCs w:val="22"/>
              </w:rPr>
            </w:pPr>
            <w:r w:rsidRPr="00DD4F65">
              <w:rPr>
                <w:color w:val="000000"/>
                <w:sz w:val="22"/>
                <w:szCs w:val="22"/>
              </w:rPr>
              <w:t>150 x 3.08</w:t>
            </w:r>
            <w:r w:rsidR="001756AA">
              <w:rPr>
                <w:color w:val="000000"/>
                <w:sz w:val="22"/>
                <w:szCs w:val="22"/>
              </w:rPr>
              <w:t>144</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5AF2F11F" w14:textId="77777777">
            <w:pPr>
              <w:widowControl/>
              <w:autoSpaceDE/>
              <w:autoSpaceDN/>
              <w:adjustRightInd/>
              <w:jc w:val="center"/>
              <w:rPr>
                <w:color w:val="000000"/>
                <w:sz w:val="22"/>
                <w:szCs w:val="22"/>
              </w:rPr>
            </w:pPr>
            <w:r w:rsidRPr="00DD4F65">
              <w:rPr>
                <w:color w:val="000000"/>
                <w:sz w:val="22"/>
                <w:szCs w:val="22"/>
              </w:rPr>
              <w:t>40,975,9</w:t>
            </w:r>
            <w:r w:rsidR="001756AA">
              <w:rPr>
                <w:color w:val="000000"/>
                <w:sz w:val="22"/>
                <w:szCs w:val="22"/>
              </w:rPr>
              <w:t>11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D4F65" w:rsidR="00DD4F65" w:rsidP="00DD4F65" w:rsidRDefault="00633BF6" w14:paraId="35190A01" w14:textId="77777777">
            <w:pPr>
              <w:widowControl/>
              <w:autoSpaceDE/>
              <w:autoSpaceDN/>
              <w:adjustRightInd/>
              <w:jc w:val="center"/>
              <w:rPr>
                <w:color w:val="000000"/>
                <w:sz w:val="22"/>
                <w:szCs w:val="22"/>
              </w:rPr>
            </w:pPr>
            <w:r>
              <w:rPr>
                <w:color w:val="000000"/>
                <w:sz w:val="22"/>
                <w:szCs w:val="22"/>
              </w:rPr>
              <w:t>0.25/60</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2736A9" w14:paraId="1CA196BE" w14:textId="77777777">
            <w:pPr>
              <w:widowControl/>
              <w:autoSpaceDE/>
              <w:autoSpaceDN/>
              <w:adjustRightInd/>
              <w:jc w:val="center"/>
              <w:rPr>
                <w:color w:val="000000"/>
                <w:sz w:val="22"/>
                <w:szCs w:val="22"/>
              </w:rPr>
            </w:pPr>
            <w:r>
              <w:rPr>
                <w:color w:val="000000"/>
                <w:sz w:val="22"/>
                <w:szCs w:val="22"/>
              </w:rPr>
              <w:t>170,73</w:t>
            </w:r>
            <w:r w:rsidR="001756AA">
              <w:rPr>
                <w:color w:val="000000"/>
                <w:sz w:val="22"/>
                <w:szCs w:val="22"/>
              </w:rPr>
              <w:t>2.96</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7E20AA59" w14:textId="77777777">
            <w:pPr>
              <w:widowControl/>
              <w:autoSpaceDE/>
              <w:autoSpaceDN/>
              <w:adjustRightInd/>
              <w:jc w:val="center"/>
              <w:rPr>
                <w:color w:val="000000"/>
                <w:sz w:val="22"/>
                <w:szCs w:val="22"/>
              </w:rPr>
            </w:pPr>
            <w:r w:rsidRPr="00DD4F65">
              <w:rPr>
                <w:color w:val="000000"/>
                <w:sz w:val="22"/>
                <w:szCs w:val="22"/>
              </w:rPr>
              <w:t xml:space="preserve">$28.09 </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AE71CE" w:rsidRDefault="00DD4F65" w14:paraId="4634026E" w14:textId="14CEE9A8">
            <w:pPr>
              <w:widowControl/>
              <w:autoSpaceDE/>
              <w:autoSpaceDN/>
              <w:adjustRightInd/>
              <w:jc w:val="center"/>
              <w:rPr>
                <w:color w:val="000000"/>
                <w:sz w:val="22"/>
                <w:szCs w:val="22"/>
              </w:rPr>
            </w:pPr>
            <w:r w:rsidRPr="00DD4F65">
              <w:rPr>
                <w:color w:val="000000"/>
                <w:sz w:val="22"/>
                <w:szCs w:val="22"/>
              </w:rPr>
              <w:t>$</w:t>
            </w:r>
            <w:r w:rsidR="002736A9">
              <w:rPr>
                <w:color w:val="000000"/>
                <w:sz w:val="22"/>
                <w:szCs w:val="22"/>
              </w:rPr>
              <w:t>4,7</w:t>
            </w:r>
            <w:r w:rsidR="001756AA">
              <w:rPr>
                <w:color w:val="000000"/>
                <w:sz w:val="22"/>
                <w:szCs w:val="22"/>
              </w:rPr>
              <w:t>95,888.</w:t>
            </w:r>
            <w:r w:rsidR="00F26881">
              <w:rPr>
                <w:color w:val="000000"/>
                <w:sz w:val="22"/>
                <w:szCs w:val="22"/>
              </w:rPr>
              <w:t>91</w:t>
            </w:r>
          </w:p>
        </w:tc>
      </w:tr>
      <w:tr w:rsidRPr="00DD4F65" w:rsidR="007C76DE" w:rsidTr="003A339A" w14:paraId="52A5805E"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D4F65" w:rsidR="00DD4F65" w:rsidP="00DD4F65" w:rsidRDefault="00DD4F65" w14:paraId="52EBEFB2" w14:textId="77777777">
            <w:pPr>
              <w:widowControl/>
              <w:autoSpaceDE/>
              <w:autoSpaceDN/>
              <w:adjustRightInd/>
              <w:rPr>
                <w:i/>
                <w:iCs/>
                <w:color w:val="000000"/>
                <w:sz w:val="20"/>
                <w:szCs w:val="20"/>
              </w:rPr>
            </w:pPr>
            <w:r w:rsidRPr="00DD4F65">
              <w:rPr>
                <w:i/>
                <w:iCs/>
                <w:color w:val="000000"/>
                <w:sz w:val="20"/>
                <w:szCs w:val="20"/>
              </w:rPr>
              <w:t>Low-impact establishments</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40575276" w14:textId="77777777">
            <w:pPr>
              <w:widowControl/>
              <w:autoSpaceDE/>
              <w:autoSpaceDN/>
              <w:adjustRightInd/>
              <w:jc w:val="center"/>
              <w:rPr>
                <w:color w:val="000000"/>
                <w:sz w:val="22"/>
                <w:szCs w:val="22"/>
              </w:rPr>
            </w:pPr>
            <w:r w:rsidRPr="00DD4F65">
              <w:rPr>
                <w:color w:val="000000"/>
                <w:sz w:val="22"/>
                <w:szCs w:val="22"/>
              </w:rPr>
              <w:t>482,64</w:t>
            </w:r>
            <w:r w:rsidR="001756AA">
              <w:rPr>
                <w:color w:val="000000"/>
                <w:sz w:val="22"/>
                <w:szCs w:val="22"/>
              </w:rPr>
              <w:t>9</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710347B0" w14:textId="2A05B487">
            <w:pPr>
              <w:widowControl/>
              <w:autoSpaceDE/>
              <w:autoSpaceDN/>
              <w:adjustRightInd/>
              <w:jc w:val="center"/>
              <w:rPr>
                <w:color w:val="000000"/>
                <w:sz w:val="22"/>
                <w:szCs w:val="22"/>
              </w:rPr>
            </w:pPr>
            <w:r w:rsidRPr="00DD4F65">
              <w:rPr>
                <w:color w:val="000000"/>
                <w:sz w:val="22"/>
                <w:szCs w:val="22"/>
              </w:rPr>
              <w:t>12 x 1.4</w:t>
            </w:r>
            <w:r w:rsidR="001756AA">
              <w:rPr>
                <w:color w:val="000000"/>
                <w:sz w:val="22"/>
                <w:szCs w:val="22"/>
              </w:rPr>
              <w:t>854439</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25E22E70" w14:textId="77777777">
            <w:pPr>
              <w:widowControl/>
              <w:autoSpaceDE/>
              <w:autoSpaceDN/>
              <w:adjustRightInd/>
              <w:jc w:val="center"/>
              <w:rPr>
                <w:color w:val="000000"/>
                <w:sz w:val="22"/>
                <w:szCs w:val="22"/>
              </w:rPr>
            </w:pPr>
            <w:r w:rsidRPr="00DD4F65">
              <w:rPr>
                <w:color w:val="000000"/>
                <w:sz w:val="22"/>
                <w:szCs w:val="22"/>
              </w:rPr>
              <w:t>8,603,3</w:t>
            </w:r>
            <w:r w:rsidR="001756AA">
              <w:rPr>
                <w:color w:val="000000"/>
                <w:sz w:val="22"/>
                <w:szCs w:val="22"/>
              </w:rPr>
              <w:t>76</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D4F65" w:rsidR="00DD4F65" w:rsidP="00DD4F65" w:rsidRDefault="00633BF6" w14:paraId="711C5022" w14:textId="77777777">
            <w:pPr>
              <w:widowControl/>
              <w:autoSpaceDE/>
              <w:autoSpaceDN/>
              <w:adjustRightInd/>
              <w:jc w:val="center"/>
              <w:rPr>
                <w:color w:val="000000"/>
                <w:sz w:val="22"/>
                <w:szCs w:val="22"/>
              </w:rPr>
            </w:pPr>
            <w:r>
              <w:rPr>
                <w:color w:val="000000"/>
                <w:sz w:val="22"/>
                <w:szCs w:val="22"/>
              </w:rPr>
              <w:t>0.25/60</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2736A9" w14:paraId="663B1333" w14:textId="77777777">
            <w:pPr>
              <w:widowControl/>
              <w:autoSpaceDE/>
              <w:autoSpaceDN/>
              <w:adjustRightInd/>
              <w:jc w:val="center"/>
              <w:rPr>
                <w:color w:val="000000"/>
                <w:sz w:val="22"/>
                <w:szCs w:val="22"/>
              </w:rPr>
            </w:pPr>
            <w:r>
              <w:rPr>
                <w:color w:val="000000"/>
                <w:sz w:val="22"/>
                <w:szCs w:val="22"/>
              </w:rPr>
              <w:t>35,847.4</w:t>
            </w:r>
            <w:r w:rsidR="001756AA">
              <w:rPr>
                <w:color w:val="000000"/>
                <w:sz w:val="22"/>
                <w:szCs w:val="22"/>
              </w:rPr>
              <w:t>0</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035C6645" w14:textId="77777777">
            <w:pPr>
              <w:widowControl/>
              <w:autoSpaceDE/>
              <w:autoSpaceDN/>
              <w:adjustRightInd/>
              <w:jc w:val="center"/>
              <w:rPr>
                <w:color w:val="000000"/>
                <w:sz w:val="22"/>
                <w:szCs w:val="22"/>
              </w:rPr>
            </w:pPr>
            <w:r w:rsidRPr="00DD4F65">
              <w:rPr>
                <w:color w:val="000000"/>
                <w:sz w:val="22"/>
                <w:szCs w:val="22"/>
              </w:rPr>
              <w:t xml:space="preserve">$28.09 </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0ACC1746" w14:textId="60E6A13B">
            <w:pPr>
              <w:widowControl/>
              <w:autoSpaceDE/>
              <w:autoSpaceDN/>
              <w:adjustRightInd/>
              <w:jc w:val="center"/>
              <w:rPr>
                <w:color w:val="000000"/>
                <w:sz w:val="22"/>
                <w:szCs w:val="22"/>
              </w:rPr>
            </w:pPr>
            <w:r w:rsidRPr="00DD4F65">
              <w:rPr>
                <w:color w:val="000000"/>
                <w:sz w:val="22"/>
                <w:szCs w:val="22"/>
              </w:rPr>
              <w:t>$</w:t>
            </w:r>
            <w:r w:rsidR="002736A9">
              <w:rPr>
                <w:color w:val="000000"/>
                <w:sz w:val="22"/>
                <w:szCs w:val="22"/>
              </w:rPr>
              <w:t>1,00</w:t>
            </w:r>
            <w:r w:rsidR="00BD4DA5">
              <w:rPr>
                <w:color w:val="000000"/>
                <w:sz w:val="22"/>
                <w:szCs w:val="22"/>
              </w:rPr>
              <w:t>6</w:t>
            </w:r>
            <w:r w:rsidR="001756AA">
              <w:rPr>
                <w:color w:val="000000"/>
                <w:sz w:val="22"/>
                <w:szCs w:val="22"/>
              </w:rPr>
              <w:t>,953.4</w:t>
            </w:r>
            <w:r w:rsidR="00F26881">
              <w:rPr>
                <w:color w:val="000000"/>
                <w:sz w:val="22"/>
                <w:szCs w:val="22"/>
              </w:rPr>
              <w:t>6</w:t>
            </w:r>
          </w:p>
        </w:tc>
      </w:tr>
      <w:tr w:rsidRPr="00DD4F65" w:rsidR="007C76DE" w:rsidTr="00FF5F6D" w14:paraId="61653B1C"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D4F65" w:rsidR="00DD4F65" w:rsidP="00DD4F65" w:rsidRDefault="00DD4F65" w14:paraId="323A68DF" w14:textId="77777777">
            <w:pPr>
              <w:widowControl/>
              <w:autoSpaceDE/>
              <w:autoSpaceDN/>
              <w:adjustRightInd/>
              <w:rPr>
                <w:b/>
                <w:bCs/>
                <w:color w:val="000000"/>
                <w:sz w:val="20"/>
                <w:szCs w:val="20"/>
              </w:rPr>
            </w:pPr>
            <w:r w:rsidRPr="00DD4F65">
              <w:rPr>
                <w:b/>
                <w:bCs/>
                <w:color w:val="000000"/>
                <w:sz w:val="20"/>
                <w:szCs w:val="20"/>
              </w:rPr>
              <w:t>Total for (D)</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05D5FADF" w14:textId="77777777">
            <w:pPr>
              <w:widowControl/>
              <w:autoSpaceDE/>
              <w:autoSpaceDN/>
              <w:adjustRightInd/>
              <w:jc w:val="center"/>
              <w:rPr>
                <w:b/>
                <w:bCs/>
                <w:color w:val="000000"/>
                <w:sz w:val="22"/>
                <w:szCs w:val="22"/>
              </w:rPr>
            </w:pPr>
            <w:r w:rsidRPr="00DD4F65">
              <w:rPr>
                <w:b/>
                <w:bCs/>
                <w:color w:val="000000"/>
                <w:sz w:val="22"/>
                <w:szCs w:val="22"/>
              </w:rPr>
              <w:t> </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7D05F7E7" w14:textId="77777777">
            <w:pPr>
              <w:widowControl/>
              <w:autoSpaceDE/>
              <w:autoSpaceDN/>
              <w:adjustRightInd/>
              <w:jc w:val="center"/>
              <w:rPr>
                <w:b/>
                <w:bCs/>
                <w:color w:val="000000"/>
                <w:sz w:val="22"/>
                <w:szCs w:val="22"/>
              </w:rPr>
            </w:pPr>
            <w:r w:rsidRPr="00DD4F65">
              <w:rPr>
                <w:b/>
                <w:bCs/>
                <w:color w:val="000000"/>
                <w:sz w:val="22"/>
                <w:szCs w:val="22"/>
              </w:rPr>
              <w:t> </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69045047" w14:textId="77777777">
            <w:pPr>
              <w:widowControl/>
              <w:autoSpaceDE/>
              <w:autoSpaceDN/>
              <w:adjustRightInd/>
              <w:jc w:val="center"/>
              <w:rPr>
                <w:b/>
                <w:bCs/>
                <w:color w:val="000000"/>
                <w:sz w:val="22"/>
                <w:szCs w:val="22"/>
              </w:rPr>
            </w:pPr>
            <w:r w:rsidRPr="00DD4F65">
              <w:rPr>
                <w:b/>
                <w:bCs/>
                <w:color w:val="000000"/>
                <w:sz w:val="22"/>
                <w:szCs w:val="22"/>
              </w:rPr>
              <w:t>56,438,</w:t>
            </w:r>
            <w:r w:rsidR="001756AA">
              <w:rPr>
                <w:b/>
                <w:bCs/>
                <w:color w:val="000000"/>
                <w:sz w:val="22"/>
                <w:szCs w:val="22"/>
              </w:rPr>
              <w:t>691</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65889B44" w14:textId="77777777">
            <w:pPr>
              <w:widowControl/>
              <w:autoSpaceDE/>
              <w:autoSpaceDN/>
              <w:adjustRightInd/>
              <w:jc w:val="center"/>
              <w:rPr>
                <w:b/>
                <w:bCs/>
                <w:color w:val="000000"/>
                <w:sz w:val="22"/>
                <w:szCs w:val="22"/>
              </w:rPr>
            </w:pPr>
            <w:r w:rsidRPr="00DD4F65">
              <w:rPr>
                <w:b/>
                <w:bCs/>
                <w:color w:val="000000"/>
                <w:sz w:val="22"/>
                <w:szCs w:val="22"/>
              </w:rPr>
              <w:t> </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2736A9" w14:paraId="44B979FC" w14:textId="77777777">
            <w:pPr>
              <w:widowControl/>
              <w:autoSpaceDE/>
              <w:autoSpaceDN/>
              <w:adjustRightInd/>
              <w:jc w:val="center"/>
              <w:rPr>
                <w:b/>
                <w:bCs/>
                <w:color w:val="000000"/>
                <w:sz w:val="22"/>
                <w:szCs w:val="22"/>
              </w:rPr>
            </w:pPr>
            <w:r>
              <w:rPr>
                <w:b/>
                <w:bCs/>
                <w:color w:val="000000"/>
                <w:sz w:val="22"/>
                <w:szCs w:val="22"/>
              </w:rPr>
              <w:t>235,161.</w:t>
            </w:r>
            <w:r w:rsidR="001756AA">
              <w:rPr>
                <w:b/>
                <w:bCs/>
                <w:color w:val="000000"/>
                <w:sz w:val="22"/>
                <w:szCs w:val="22"/>
              </w:rPr>
              <w:t>21</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1A89A32C" w14:textId="0AC42E0D">
            <w:pPr>
              <w:widowControl/>
              <w:autoSpaceDE/>
              <w:autoSpaceDN/>
              <w:adjustRightInd/>
              <w:jc w:val="center"/>
              <w:rPr>
                <w:b/>
                <w:bCs/>
                <w:color w:val="000000"/>
                <w:sz w:val="22"/>
                <w:szCs w:val="22"/>
              </w:rPr>
            </w:pP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F26881" w:rsidRDefault="00DD4F65" w14:paraId="2D4594AB" w14:textId="2327657E">
            <w:pPr>
              <w:widowControl/>
              <w:autoSpaceDE/>
              <w:autoSpaceDN/>
              <w:adjustRightInd/>
              <w:jc w:val="center"/>
              <w:rPr>
                <w:b/>
                <w:bCs/>
                <w:color w:val="000000"/>
                <w:sz w:val="22"/>
                <w:szCs w:val="22"/>
              </w:rPr>
            </w:pPr>
            <w:r w:rsidRPr="00DD4F65">
              <w:rPr>
                <w:b/>
                <w:bCs/>
                <w:color w:val="000000"/>
                <w:sz w:val="22"/>
                <w:szCs w:val="22"/>
              </w:rPr>
              <w:t>$6,</w:t>
            </w:r>
            <w:r w:rsidR="002736A9">
              <w:rPr>
                <w:b/>
                <w:bCs/>
                <w:color w:val="000000"/>
                <w:sz w:val="22"/>
                <w:szCs w:val="22"/>
              </w:rPr>
              <w:t>60</w:t>
            </w:r>
            <w:r w:rsidR="001756AA">
              <w:rPr>
                <w:b/>
                <w:bCs/>
                <w:color w:val="000000"/>
                <w:sz w:val="22"/>
                <w:szCs w:val="22"/>
              </w:rPr>
              <w:t>5,678.4</w:t>
            </w:r>
            <w:r w:rsidR="00F26881">
              <w:rPr>
                <w:b/>
                <w:bCs/>
                <w:color w:val="000000"/>
                <w:sz w:val="22"/>
                <w:szCs w:val="22"/>
              </w:rPr>
              <w:t>5</w:t>
            </w:r>
          </w:p>
        </w:tc>
      </w:tr>
      <w:tr w:rsidRPr="00DD4F65" w:rsidR="00DD4F65" w:rsidTr="00FF5F6D" w14:paraId="3727192E" w14:textId="77777777">
        <w:trPr>
          <w:cantSplit/>
          <w:jc w:val="center"/>
        </w:trPr>
        <w:tc>
          <w:tcPr>
            <w:tcW w:w="1304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D4F65" w:rsidR="00DD4F65" w:rsidP="00DD4F65" w:rsidRDefault="00DD4F65" w14:paraId="03999CF5" w14:textId="77777777">
            <w:pPr>
              <w:widowControl/>
              <w:autoSpaceDE/>
              <w:autoSpaceDN/>
              <w:adjustRightInd/>
              <w:rPr>
                <w:i/>
                <w:iCs/>
                <w:color w:val="000000"/>
                <w:sz w:val="20"/>
                <w:szCs w:val="20"/>
              </w:rPr>
            </w:pPr>
            <w:r w:rsidRPr="00DD4F65">
              <w:rPr>
                <w:i/>
                <w:iCs/>
                <w:color w:val="000000"/>
                <w:sz w:val="20"/>
                <w:szCs w:val="20"/>
              </w:rPr>
              <w:t> </w:t>
            </w:r>
          </w:p>
        </w:tc>
      </w:tr>
      <w:tr w:rsidRPr="00DD4F65" w:rsidR="007C76DE" w:rsidTr="00FF5F6D" w14:paraId="0E13D802"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D4F65" w:rsidR="00DD4F65" w:rsidP="00DD4F65" w:rsidRDefault="00DD4F65" w14:paraId="71FDB9B2" w14:textId="77777777">
            <w:pPr>
              <w:widowControl/>
              <w:autoSpaceDE/>
              <w:autoSpaceDN/>
              <w:adjustRightInd/>
              <w:rPr>
                <w:b/>
                <w:bCs/>
                <w:color w:val="000000"/>
                <w:sz w:val="20"/>
                <w:szCs w:val="20"/>
              </w:rPr>
            </w:pPr>
            <w:r w:rsidRPr="00DD4F65">
              <w:rPr>
                <w:b/>
                <w:bCs/>
                <w:color w:val="000000"/>
                <w:sz w:val="20"/>
                <w:szCs w:val="20"/>
              </w:rPr>
              <w:t>(E) Outside Personnel (Contractors, etc.) (paragraph (f)(2)(i))</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2DC9E683" w14:textId="77777777">
            <w:pPr>
              <w:widowControl/>
              <w:autoSpaceDE/>
              <w:autoSpaceDN/>
              <w:adjustRightInd/>
              <w:jc w:val="center"/>
              <w:rPr>
                <w:color w:val="000000"/>
                <w:sz w:val="22"/>
                <w:szCs w:val="22"/>
              </w:rPr>
            </w:pPr>
            <w:r w:rsidRPr="00DD4F65">
              <w:rPr>
                <w:color w:val="000000"/>
                <w:sz w:val="22"/>
                <w:szCs w:val="22"/>
              </w:rPr>
              <w:t>773,20</w:t>
            </w:r>
            <w:r w:rsidR="007E0C2E">
              <w:rPr>
                <w:color w:val="000000"/>
                <w:sz w:val="22"/>
                <w:szCs w:val="22"/>
              </w:rPr>
              <w:t>9</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359D0B61" w14:textId="77777777">
            <w:pPr>
              <w:widowControl/>
              <w:autoSpaceDE/>
              <w:autoSpaceDN/>
              <w:adjustRightInd/>
              <w:jc w:val="center"/>
              <w:rPr>
                <w:color w:val="000000"/>
                <w:sz w:val="22"/>
                <w:szCs w:val="22"/>
              </w:rPr>
            </w:pPr>
            <w:r w:rsidRPr="00DD4F65">
              <w:rPr>
                <w:color w:val="000000"/>
                <w:sz w:val="22"/>
                <w:szCs w:val="22"/>
              </w:rPr>
              <w:t>1 x 7.</w:t>
            </w:r>
            <w:r w:rsidR="001756AA">
              <w:rPr>
                <w:color w:val="000000"/>
                <w:sz w:val="22"/>
                <w:szCs w:val="22"/>
              </w:rPr>
              <w:t>29928001</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64CA4F45" w14:textId="77777777">
            <w:pPr>
              <w:widowControl/>
              <w:autoSpaceDE/>
              <w:autoSpaceDN/>
              <w:adjustRightInd/>
              <w:jc w:val="center"/>
              <w:rPr>
                <w:b/>
                <w:bCs/>
                <w:color w:val="000000"/>
                <w:sz w:val="22"/>
                <w:szCs w:val="22"/>
              </w:rPr>
            </w:pPr>
            <w:r w:rsidRPr="00DD4F65">
              <w:rPr>
                <w:b/>
                <w:bCs/>
                <w:color w:val="000000"/>
                <w:sz w:val="22"/>
                <w:szCs w:val="22"/>
              </w:rPr>
              <w:t>5,643,8</w:t>
            </w:r>
            <w:r w:rsidR="001756AA">
              <w:rPr>
                <w:b/>
                <w:bCs/>
                <w:color w:val="000000"/>
                <w:sz w:val="22"/>
                <w:szCs w:val="22"/>
              </w:rPr>
              <w:t>69</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633BF6" w14:paraId="404FEB66" w14:textId="77777777">
            <w:pPr>
              <w:widowControl/>
              <w:autoSpaceDE/>
              <w:autoSpaceDN/>
              <w:adjustRightInd/>
              <w:jc w:val="center"/>
              <w:rPr>
                <w:color w:val="000000"/>
                <w:sz w:val="22"/>
                <w:szCs w:val="22"/>
              </w:rPr>
            </w:pPr>
            <w:r>
              <w:rPr>
                <w:color w:val="000000"/>
                <w:sz w:val="22"/>
                <w:szCs w:val="22"/>
              </w:rPr>
              <w:t>10/60</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2736A9" w14:paraId="55068005" w14:textId="77777777">
            <w:pPr>
              <w:widowControl/>
              <w:autoSpaceDE/>
              <w:autoSpaceDN/>
              <w:adjustRightInd/>
              <w:jc w:val="center"/>
              <w:rPr>
                <w:b/>
                <w:bCs/>
                <w:color w:val="000000"/>
                <w:sz w:val="22"/>
                <w:szCs w:val="22"/>
              </w:rPr>
            </w:pPr>
            <w:r>
              <w:rPr>
                <w:b/>
                <w:bCs/>
                <w:color w:val="000000"/>
                <w:sz w:val="22"/>
                <w:szCs w:val="22"/>
              </w:rPr>
              <w:t>940,64</w:t>
            </w:r>
            <w:r w:rsidR="001756AA">
              <w:rPr>
                <w:b/>
                <w:bCs/>
                <w:color w:val="000000"/>
                <w:sz w:val="22"/>
                <w:szCs w:val="22"/>
              </w:rPr>
              <w:t>4.83</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756A2318" w14:textId="77777777">
            <w:pPr>
              <w:widowControl/>
              <w:autoSpaceDE/>
              <w:autoSpaceDN/>
              <w:adjustRightInd/>
              <w:jc w:val="center"/>
              <w:rPr>
                <w:color w:val="000000"/>
                <w:sz w:val="22"/>
                <w:szCs w:val="22"/>
              </w:rPr>
            </w:pPr>
            <w:r w:rsidRPr="00DD4F65">
              <w:rPr>
                <w:color w:val="000000"/>
                <w:sz w:val="22"/>
                <w:szCs w:val="22"/>
              </w:rPr>
              <w:t xml:space="preserve">$45.63 </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1756AA" w:rsidRDefault="00DD4F65" w14:paraId="03D14369" w14:textId="77777777">
            <w:pPr>
              <w:widowControl/>
              <w:autoSpaceDE/>
              <w:autoSpaceDN/>
              <w:adjustRightInd/>
              <w:jc w:val="center"/>
              <w:rPr>
                <w:b/>
                <w:bCs/>
                <w:color w:val="000000"/>
                <w:sz w:val="22"/>
                <w:szCs w:val="22"/>
              </w:rPr>
            </w:pPr>
            <w:r w:rsidRPr="00DD4F65">
              <w:rPr>
                <w:b/>
                <w:bCs/>
                <w:color w:val="000000"/>
                <w:sz w:val="22"/>
                <w:szCs w:val="22"/>
              </w:rPr>
              <w:t>$</w:t>
            </w:r>
            <w:r w:rsidR="002736A9">
              <w:rPr>
                <w:b/>
                <w:bCs/>
                <w:color w:val="000000"/>
                <w:sz w:val="22"/>
                <w:szCs w:val="22"/>
              </w:rPr>
              <w:t>42,</w:t>
            </w:r>
            <w:r w:rsidR="00BD4DA5">
              <w:rPr>
                <w:b/>
                <w:bCs/>
                <w:color w:val="000000"/>
                <w:sz w:val="22"/>
                <w:szCs w:val="22"/>
              </w:rPr>
              <w:t>921,6</w:t>
            </w:r>
            <w:r w:rsidR="001756AA">
              <w:rPr>
                <w:b/>
                <w:bCs/>
                <w:color w:val="000000"/>
                <w:sz w:val="22"/>
                <w:szCs w:val="22"/>
              </w:rPr>
              <w:t>23.7</w:t>
            </w:r>
            <w:r w:rsidR="00115D7E">
              <w:rPr>
                <w:b/>
                <w:bCs/>
                <w:color w:val="000000"/>
                <w:sz w:val="22"/>
                <w:szCs w:val="22"/>
              </w:rPr>
              <w:t>2</w:t>
            </w:r>
          </w:p>
        </w:tc>
      </w:tr>
      <w:tr w:rsidRPr="00DD4F65" w:rsidR="00DD4F65" w:rsidTr="00FF5F6D" w14:paraId="386FD959" w14:textId="77777777">
        <w:trPr>
          <w:cantSplit/>
          <w:jc w:val="center"/>
        </w:trPr>
        <w:tc>
          <w:tcPr>
            <w:tcW w:w="13045" w:type="dxa"/>
            <w:gridSpan w:val="8"/>
            <w:tcBorders>
              <w:top w:val="single" w:color="auto" w:sz="4" w:space="0"/>
              <w:left w:val="single" w:color="auto" w:sz="4" w:space="0"/>
              <w:bottom w:val="single" w:color="auto" w:sz="4" w:space="0"/>
              <w:right w:val="single" w:color="auto" w:sz="4" w:space="0"/>
            </w:tcBorders>
            <w:shd w:val="clear" w:color="auto" w:fill="auto"/>
            <w:vAlign w:val="center"/>
            <w:hideMark/>
          </w:tcPr>
          <w:p w:rsidRPr="00DD4F65" w:rsidR="00DD4F65" w:rsidP="00DD4F65" w:rsidRDefault="00DD4F65" w14:paraId="2A52756E" w14:textId="77777777">
            <w:pPr>
              <w:widowControl/>
              <w:autoSpaceDE/>
              <w:autoSpaceDN/>
              <w:adjustRightInd/>
              <w:rPr>
                <w:i/>
                <w:iCs/>
                <w:color w:val="000000"/>
                <w:sz w:val="20"/>
                <w:szCs w:val="20"/>
              </w:rPr>
            </w:pPr>
            <w:r w:rsidRPr="00DD4F65">
              <w:rPr>
                <w:i/>
                <w:iCs/>
                <w:color w:val="000000"/>
                <w:sz w:val="20"/>
                <w:szCs w:val="20"/>
              </w:rPr>
              <w:t> </w:t>
            </w:r>
          </w:p>
        </w:tc>
      </w:tr>
      <w:tr w:rsidRPr="00DD4F65" w:rsidR="007C76DE" w:rsidTr="00FF5F6D" w14:paraId="74F0CE20" w14:textId="77777777">
        <w:trPr>
          <w:cantSplit/>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D4F65" w:rsidR="00DD4F65" w:rsidP="00DD4F65" w:rsidRDefault="00DD4F65" w14:paraId="35F203C0" w14:textId="77777777">
            <w:pPr>
              <w:widowControl/>
              <w:autoSpaceDE/>
              <w:autoSpaceDN/>
              <w:adjustRightInd/>
              <w:rPr>
                <w:b/>
                <w:bCs/>
                <w:color w:val="000000"/>
                <w:sz w:val="20"/>
                <w:szCs w:val="20"/>
              </w:rPr>
            </w:pPr>
            <w:r w:rsidRPr="00DD4F65">
              <w:rPr>
                <w:b/>
                <w:bCs/>
                <w:color w:val="000000"/>
                <w:sz w:val="20"/>
                <w:szCs w:val="20"/>
              </w:rPr>
              <w:t>GRAND TOTAL</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00DD4F65" w:rsidP="00DD4F65" w:rsidRDefault="00DD4F65" w14:paraId="20869D1E" w14:textId="77777777">
            <w:pPr>
              <w:widowControl/>
              <w:autoSpaceDE/>
              <w:autoSpaceDN/>
              <w:adjustRightInd/>
              <w:jc w:val="center"/>
              <w:rPr>
                <w:b/>
                <w:bCs/>
                <w:color w:val="000000"/>
                <w:sz w:val="22"/>
                <w:szCs w:val="22"/>
              </w:rPr>
            </w:pPr>
            <w:r w:rsidRPr="00DD4F65">
              <w:rPr>
                <w:b/>
                <w:bCs/>
                <w:color w:val="000000"/>
                <w:sz w:val="22"/>
                <w:szCs w:val="22"/>
              </w:rPr>
              <w:t>773,20</w:t>
            </w:r>
            <w:r w:rsidR="007E0C2E">
              <w:rPr>
                <w:b/>
                <w:bCs/>
                <w:color w:val="000000"/>
                <w:sz w:val="22"/>
                <w:szCs w:val="22"/>
              </w:rPr>
              <w:t>9</w:t>
            </w:r>
          </w:p>
          <w:p w:rsidRPr="00DC640E" w:rsidR="007C76DE" w:rsidP="00DD4F65" w:rsidRDefault="007C76DE" w14:paraId="67463C7F" w14:textId="77777777">
            <w:pPr>
              <w:widowControl/>
              <w:autoSpaceDE/>
              <w:autoSpaceDN/>
              <w:adjustRightInd/>
              <w:jc w:val="center"/>
              <w:rPr>
                <w:bCs/>
                <w:color w:val="000000"/>
                <w:sz w:val="22"/>
                <w:szCs w:val="22"/>
              </w:rPr>
            </w:pPr>
            <w:r w:rsidRPr="00DC640E">
              <w:rPr>
                <w:bCs/>
                <w:color w:val="000000"/>
                <w:sz w:val="22"/>
                <w:szCs w:val="22"/>
              </w:rPr>
              <w:t>(unduplicated)</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0C8BC19C" w14:textId="77777777">
            <w:pPr>
              <w:widowControl/>
              <w:autoSpaceDE/>
              <w:autoSpaceDN/>
              <w:adjustRightInd/>
              <w:jc w:val="center"/>
              <w:rPr>
                <w:b/>
                <w:bCs/>
                <w:color w:val="000000"/>
                <w:sz w:val="22"/>
                <w:szCs w:val="22"/>
              </w:rPr>
            </w:pPr>
            <w:r w:rsidRPr="00DD4F65">
              <w:rPr>
                <w:b/>
                <w:bCs/>
                <w:color w:val="000000"/>
                <w:sz w:val="22"/>
                <w:szCs w:val="22"/>
              </w:rPr>
              <w:t> -</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7E37E6" w:rsidRDefault="00DD4F65" w14:paraId="688F3F9B" w14:textId="77777777">
            <w:pPr>
              <w:widowControl/>
              <w:autoSpaceDE/>
              <w:autoSpaceDN/>
              <w:adjustRightInd/>
              <w:jc w:val="center"/>
              <w:rPr>
                <w:b/>
                <w:bCs/>
                <w:color w:val="000000"/>
                <w:sz w:val="22"/>
                <w:szCs w:val="22"/>
              </w:rPr>
            </w:pPr>
            <w:r w:rsidRPr="00DD4F65">
              <w:rPr>
                <w:b/>
                <w:bCs/>
                <w:color w:val="000000"/>
                <w:sz w:val="22"/>
                <w:szCs w:val="22"/>
              </w:rPr>
              <w:t>69,</w:t>
            </w:r>
            <w:r w:rsidR="007E37E6">
              <w:rPr>
                <w:b/>
                <w:bCs/>
                <w:color w:val="000000"/>
                <w:sz w:val="22"/>
                <w:szCs w:val="22"/>
              </w:rPr>
              <w:t>25</w:t>
            </w:r>
            <w:r w:rsidR="001756AA">
              <w:rPr>
                <w:b/>
                <w:bCs/>
                <w:color w:val="000000"/>
                <w:sz w:val="22"/>
                <w:szCs w:val="22"/>
              </w:rPr>
              <w:t>7</w:t>
            </w:r>
            <w:r w:rsidR="007E37E6">
              <w:rPr>
                <w:b/>
                <w:bCs/>
                <w:color w:val="000000"/>
                <w:sz w:val="22"/>
                <w:szCs w:val="22"/>
              </w:rPr>
              <w:t>,65</w:t>
            </w:r>
            <w:r w:rsidR="001756AA">
              <w:rPr>
                <w:b/>
                <w:bCs/>
                <w:color w:val="000000"/>
                <w:sz w:val="22"/>
                <w:szCs w:val="22"/>
              </w:rPr>
              <w:t>7</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5A881784" w14:textId="77777777">
            <w:pPr>
              <w:widowControl/>
              <w:autoSpaceDE/>
              <w:autoSpaceDN/>
              <w:adjustRightInd/>
              <w:jc w:val="center"/>
              <w:rPr>
                <w:b/>
                <w:bCs/>
                <w:color w:val="000000"/>
                <w:sz w:val="22"/>
                <w:szCs w:val="22"/>
              </w:rPr>
            </w:pPr>
            <w:r w:rsidRPr="00DD4F65">
              <w:rPr>
                <w:b/>
                <w:bCs/>
                <w:color w:val="000000"/>
                <w:sz w:val="22"/>
                <w:szCs w:val="22"/>
              </w:rPr>
              <w:t> -</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31FB069C" w14:textId="77777777">
            <w:pPr>
              <w:widowControl/>
              <w:autoSpaceDE/>
              <w:autoSpaceDN/>
              <w:adjustRightInd/>
              <w:jc w:val="center"/>
              <w:rPr>
                <w:b/>
                <w:bCs/>
                <w:color w:val="000000"/>
                <w:sz w:val="22"/>
                <w:szCs w:val="22"/>
              </w:rPr>
            </w:pPr>
            <w:r w:rsidRPr="00DD4F65">
              <w:rPr>
                <w:b/>
                <w:bCs/>
                <w:color w:val="000000"/>
                <w:sz w:val="22"/>
                <w:szCs w:val="22"/>
              </w:rPr>
              <w:t>2,</w:t>
            </w:r>
            <w:r w:rsidR="007E37E6">
              <w:rPr>
                <w:b/>
                <w:bCs/>
                <w:color w:val="000000"/>
                <w:sz w:val="22"/>
                <w:szCs w:val="22"/>
              </w:rPr>
              <w:t>622,</w:t>
            </w:r>
            <w:r w:rsidR="001756AA">
              <w:rPr>
                <w:b/>
                <w:bCs/>
                <w:color w:val="000000"/>
                <w:sz w:val="22"/>
                <w:szCs w:val="22"/>
              </w:rPr>
              <w:t>911</w:t>
            </w:r>
            <w:r w:rsidR="00010410">
              <w:rPr>
                <w:b/>
                <w:bCs/>
                <w:color w:val="000000"/>
                <w:sz w:val="22"/>
                <w:szCs w:val="22"/>
              </w:rPr>
              <w:t>.</w:t>
            </w:r>
            <w:r w:rsidR="001756AA">
              <w:rPr>
                <w:b/>
                <w:bCs/>
                <w:color w:val="000000"/>
                <w:sz w:val="22"/>
                <w:szCs w:val="22"/>
              </w:rPr>
              <w:t>51</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DD4F65" w:rsidRDefault="00DD4F65" w14:paraId="0639587B" w14:textId="77777777">
            <w:pPr>
              <w:widowControl/>
              <w:autoSpaceDE/>
              <w:autoSpaceDN/>
              <w:adjustRightInd/>
              <w:jc w:val="center"/>
              <w:rPr>
                <w:b/>
                <w:bCs/>
                <w:color w:val="000000"/>
                <w:sz w:val="22"/>
                <w:szCs w:val="22"/>
              </w:rPr>
            </w:pPr>
            <w:r w:rsidRPr="00DD4F65">
              <w:rPr>
                <w:b/>
                <w:bCs/>
                <w:color w:val="000000"/>
                <w:sz w:val="22"/>
                <w:szCs w:val="22"/>
              </w:rPr>
              <w:t> -</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DD4F65" w:rsidR="00DD4F65" w:rsidP="00F26881" w:rsidRDefault="00DD4F65" w14:paraId="610416F0" w14:textId="396D522A">
            <w:pPr>
              <w:widowControl/>
              <w:autoSpaceDE/>
              <w:autoSpaceDN/>
              <w:adjustRightInd/>
              <w:jc w:val="center"/>
              <w:rPr>
                <w:b/>
                <w:bCs/>
                <w:color w:val="000000"/>
                <w:sz w:val="22"/>
                <w:szCs w:val="22"/>
              </w:rPr>
            </w:pPr>
            <w:r w:rsidRPr="29B41BB9">
              <w:rPr>
                <w:b/>
                <w:bCs/>
                <w:color w:val="000000" w:themeColor="text1"/>
                <w:sz w:val="22"/>
                <w:szCs w:val="22"/>
              </w:rPr>
              <w:t>$</w:t>
            </w:r>
            <w:r w:rsidRPr="29B41BB9" w:rsidR="35F88823">
              <w:rPr>
                <w:b/>
                <w:bCs/>
                <w:color w:val="000000" w:themeColor="text1"/>
                <w:sz w:val="22"/>
                <w:szCs w:val="22"/>
              </w:rPr>
              <w:t>113,0</w:t>
            </w:r>
            <w:r w:rsidRPr="29B41BB9" w:rsidR="001756AA">
              <w:rPr>
                <w:b/>
                <w:bCs/>
                <w:color w:val="000000" w:themeColor="text1"/>
                <w:sz w:val="22"/>
                <w:szCs w:val="22"/>
              </w:rPr>
              <w:t>79,539.9</w:t>
            </w:r>
            <w:r w:rsidR="00F26881">
              <w:rPr>
                <w:b/>
                <w:bCs/>
                <w:color w:val="000000" w:themeColor="text1"/>
                <w:sz w:val="22"/>
                <w:szCs w:val="22"/>
              </w:rPr>
              <w:t>5</w:t>
            </w:r>
          </w:p>
        </w:tc>
      </w:tr>
    </w:tbl>
    <w:p w:rsidR="00BC7E16" w:rsidP="00F5061F" w:rsidRDefault="00BC7E16" w14:paraId="552092C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50572C" w:rsidP="00F5061F" w:rsidRDefault="00BC7E16" w14:paraId="5DAB4DD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sectPr w:rsidR="0050572C" w:rsidSect="00150779">
          <w:pgSz w:w="15840" w:h="12240" w:orient="landscape" w:code="1"/>
          <w:pgMar w:top="1440" w:right="1152" w:bottom="1267" w:left="1296" w:header="720" w:footer="720" w:gutter="0"/>
          <w:cols w:space="720"/>
          <w:titlePg/>
          <w:docGrid w:linePitch="360"/>
        </w:sectPr>
      </w:pPr>
      <w:r>
        <w:rPr>
          <w:rFonts w:cs="Shruti"/>
          <w:b/>
          <w:bCs/>
          <w:sz w:val="20"/>
          <w:szCs w:val="20"/>
        </w:rPr>
        <w:br w:type="page"/>
      </w:r>
    </w:p>
    <w:p w:rsidR="009070E5" w:rsidP="009070E5" w:rsidRDefault="009070E5" w14:paraId="0FD5BC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Pr="00FB77D5" w:rsidR="00FB77D5" w:rsidP="00FB77D5" w:rsidRDefault="00FB77D5" w14:paraId="159BDF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FB77D5">
        <w:rPr>
          <w:b/>
        </w:rPr>
        <w:t>13.  Provide an estimate of the total annual cost burden to respondents or recordkeepers resulting from the collection of information.  (Do not include the cost of any hour burden shown in Items 12 and 14).</w:t>
      </w:r>
    </w:p>
    <w:p w:rsidRPr="00FB77D5" w:rsidR="00FB77D5" w:rsidP="00FB77D5" w:rsidRDefault="00FB77D5" w14:paraId="17E4400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Pr="00FB77D5" w:rsidR="00FB77D5" w:rsidP="00FB77D5" w:rsidRDefault="00FB77D5" w14:paraId="2A789CD1" w14:textId="77777777">
      <w:pPr>
        <w:widowControl/>
        <w:numPr>
          <w:ilvl w:val="0"/>
          <w:numId w:val="31"/>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FB77D5">
        <w:rPr>
          <w:b/>
        </w:rPr>
        <w:t>The cost estimate should be split into two components:  (a) a total capital</w:t>
      </w:r>
    </w:p>
    <w:p w:rsidRPr="00FB77D5" w:rsidR="00FB77D5" w:rsidP="00FB77D5" w:rsidRDefault="00FB77D5" w14:paraId="7024BCB7"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FB77D5">
        <w:rPr>
          <w:b/>
        </w:rPr>
        <w:t xml:space="preserve">and </w:t>
      </w:r>
      <w:r w:rsidRPr="00FB77D5" w:rsidR="003B7F76">
        <w:rPr>
          <w:b/>
        </w:rPr>
        <w:t>start</w:t>
      </w:r>
      <w:r w:rsidR="003B7F76">
        <w:rPr>
          <w:b/>
        </w:rPr>
        <w:t>-</w:t>
      </w:r>
      <w:r w:rsidRPr="00FB77D5">
        <w:rPr>
          <w:b/>
        </w:rPr>
        <w:t>up cost component (annualized over its expected useful life); and (b) a</w:t>
      </w:r>
    </w:p>
    <w:p w:rsidRPr="00FB77D5" w:rsidR="00FB77D5" w:rsidP="00FB77D5" w:rsidRDefault="00FB77D5" w14:paraId="4C689A90"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FB77D5">
        <w:rPr>
          <w:b/>
        </w:rPr>
        <w:t>total operation and maintenance and purchase of service component</w:t>
      </w:r>
      <w:r w:rsidR="003B7F76">
        <w:rPr>
          <w:b/>
        </w:rPr>
        <w:t>s</w:t>
      </w:r>
      <w:r w:rsidRPr="00FB77D5">
        <w:rPr>
          <w:b/>
        </w:rPr>
        <w:t xml:space="preserve">.  </w:t>
      </w:r>
    </w:p>
    <w:p w:rsidRPr="00FB77D5" w:rsidR="00FB77D5" w:rsidP="00FB77D5" w:rsidRDefault="00FB77D5" w14:paraId="63FE574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FB77D5">
        <w:rPr>
          <w:b/>
        </w:rPr>
        <w:tab/>
      </w:r>
      <w:r w:rsidRPr="00FB77D5">
        <w:rPr>
          <w:b/>
        </w:rPr>
        <w:tab/>
        <w:t xml:space="preserve">The estimates should take into account costs associated with generating, </w:t>
      </w:r>
    </w:p>
    <w:p w:rsidRPr="00FB77D5" w:rsidR="00FB77D5" w:rsidP="00FB77D5" w:rsidRDefault="00FB77D5" w14:paraId="2F68591A"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FB77D5">
        <w:rPr>
          <w:b/>
        </w:rPr>
        <w:tab/>
      </w:r>
      <w:r w:rsidRPr="00FB77D5">
        <w:rPr>
          <w:b/>
        </w:rPr>
        <w:tab/>
        <w:t xml:space="preserve">maintaining, and disclosing or providing the information.  Include descriptions of </w:t>
      </w:r>
    </w:p>
    <w:p w:rsidRPr="00FB77D5" w:rsidR="00FB77D5" w:rsidP="00FB77D5" w:rsidRDefault="00FB77D5" w14:paraId="512F076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FB77D5">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w:t>
      </w:r>
      <w:r w:rsidR="003B7F76">
        <w:rPr>
          <w:b/>
        </w:rPr>
        <w:t>,</w:t>
      </w:r>
      <w:r w:rsidRPr="00FB77D5">
        <w:rPr>
          <w:b/>
        </w:rPr>
        <w:t xml:space="preserve"> and testing equipment; and record storage facilities.</w:t>
      </w:r>
    </w:p>
    <w:p w:rsidRPr="00FB77D5" w:rsidR="00FB77D5" w:rsidP="00FB77D5" w:rsidRDefault="00FB77D5" w14:paraId="143B9C70"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Pr="00FB77D5" w:rsidR="00FB77D5" w:rsidP="00FB77D5" w:rsidRDefault="00FB77D5" w14:paraId="4DED39FF" w14:textId="77777777">
      <w:pPr>
        <w:widowControl/>
        <w:numPr>
          <w:ilvl w:val="0"/>
          <w:numId w:val="30"/>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FB77D5">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B77D5" w:rsidR="00FB77D5" w:rsidP="00FB77D5" w:rsidRDefault="00FB77D5" w14:paraId="20D6C6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Pr="00FB77D5" w:rsidR="00FB77D5" w:rsidP="00FB77D5" w:rsidRDefault="00FB77D5" w14:paraId="6A7C89D3" w14:textId="77777777">
      <w:pPr>
        <w:widowControl/>
        <w:numPr>
          <w:ilvl w:val="0"/>
          <w:numId w:val="30"/>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FB77D5">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06F27" w:rsidR="0036668F" w:rsidP="003269DC" w:rsidRDefault="003269DC" w14:paraId="46C064AE" w14:textId="77777777">
      <w:pPr>
        <w:widowControl/>
        <w:tabs>
          <w:tab w:val="left" w:pos="0"/>
          <w:tab w:val="left" w:pos="3600"/>
        </w:tabs>
        <w:rPr>
          <w:b/>
          <w:bCs/>
        </w:rPr>
      </w:pPr>
      <w:r w:rsidRPr="00706F27">
        <w:rPr>
          <w:b/>
          <w:bCs/>
        </w:rPr>
        <w:tab/>
      </w:r>
    </w:p>
    <w:p w:rsidR="00C208F6" w:rsidP="00C208F6" w:rsidRDefault="00932B79" w14:paraId="5DE338CE" w14:textId="77777777">
      <w:pPr>
        <w:widowControl/>
        <w:tabs>
          <w:tab w:val="left" w:pos="0"/>
          <w:tab w:val="left" w:pos="360"/>
          <w:tab w:val="left" w:pos="720"/>
          <w:tab w:val="left" w:pos="2160"/>
        </w:tabs>
      </w:pPr>
      <w:r>
        <w:t>Par</w:t>
      </w:r>
      <w:r w:rsidR="00214468">
        <w:t xml:space="preserve">agraph (c)(5)(ii)(D) </w:t>
      </w:r>
      <w:r>
        <w:t>requires that each lock and tag indicate the identity of the authorized w</w:t>
      </w:r>
      <w:r w:rsidR="00C208F6">
        <w:t>orker appl</w:t>
      </w:r>
      <w:r w:rsidR="00214468">
        <w:t xml:space="preserve">ying it.  Paragraph (c)(5)(iii) </w:t>
      </w:r>
      <w:r>
        <w:t xml:space="preserve">requires that </w:t>
      </w:r>
      <w:r w:rsidR="00214468">
        <w:t xml:space="preserve">tags </w:t>
      </w:r>
      <w:r>
        <w:t xml:space="preserve">warn against hazardous conditions that could arise if the machine, equipment, or system is energized.  </w:t>
      </w:r>
      <w:r w:rsidR="000A3E11">
        <w:t>Also</w:t>
      </w:r>
      <w:r>
        <w:t>, the tag must include a legend such as one of the follow</w:t>
      </w:r>
      <w:r w:rsidR="00214468">
        <w:t>ing:  Do Not Start; Do Not Open;</w:t>
      </w:r>
      <w:r>
        <w:t xml:space="preserve"> Do Not Close; Do Not Energize; Do Not Operate.  </w:t>
      </w:r>
    </w:p>
    <w:p w:rsidR="00C208F6" w:rsidP="00F5061F" w:rsidRDefault="00C208F6" w14:paraId="71072F9E" w14:textId="77777777">
      <w:pPr>
        <w:widowControl/>
        <w:tabs>
          <w:tab w:val="left" w:pos="0"/>
          <w:tab w:val="left" w:pos="360"/>
          <w:tab w:val="left" w:pos="720"/>
          <w:tab w:val="left" w:pos="2160"/>
        </w:tabs>
      </w:pPr>
    </w:p>
    <w:p w:rsidR="00947F54" w:rsidP="00F5061F" w:rsidRDefault="00932B79" w14:paraId="3BBAB91C" w14:textId="77777777">
      <w:pPr>
        <w:widowControl/>
        <w:tabs>
          <w:tab w:val="left" w:pos="0"/>
          <w:tab w:val="left" w:pos="360"/>
          <w:tab w:val="left" w:pos="720"/>
          <w:tab w:val="left" w:pos="2160"/>
        </w:tabs>
        <w:rPr>
          <w:szCs w:val="22"/>
        </w:rPr>
      </w:pPr>
      <w:r w:rsidRPr="0036668F">
        <w:rPr>
          <w:szCs w:val="22"/>
        </w:rPr>
        <w:t xml:space="preserve">OSHA estimates that a total of </w:t>
      </w:r>
      <w:r w:rsidR="00344C7B">
        <w:rPr>
          <w:szCs w:val="22"/>
        </w:rPr>
        <w:t>56,</w:t>
      </w:r>
      <w:r w:rsidR="00F75D95">
        <w:rPr>
          <w:szCs w:val="22"/>
        </w:rPr>
        <w:t>438,</w:t>
      </w:r>
      <w:r w:rsidR="007E0C2E">
        <w:rPr>
          <w:szCs w:val="22"/>
        </w:rPr>
        <w:t>691</w:t>
      </w:r>
      <w:r w:rsidR="00E815A3">
        <w:rPr>
          <w:b/>
          <w:szCs w:val="22"/>
        </w:rPr>
        <w:t xml:space="preserve"> </w:t>
      </w:r>
      <w:r w:rsidRPr="004F1729">
        <w:rPr>
          <w:szCs w:val="22"/>
        </w:rPr>
        <w:t>lockout</w:t>
      </w:r>
      <w:r w:rsidRPr="0036668F">
        <w:rPr>
          <w:szCs w:val="22"/>
        </w:rPr>
        <w:t xml:space="preserve"> or tagout events occur annually where notification is needed</w:t>
      </w:r>
      <w:r>
        <w:rPr>
          <w:szCs w:val="22"/>
        </w:rPr>
        <w:t>.  The Agency is estimating the cost of tag</w:t>
      </w:r>
      <w:r w:rsidR="00344C7B">
        <w:rPr>
          <w:szCs w:val="22"/>
        </w:rPr>
        <w:t xml:space="preserve">s based on </w:t>
      </w:r>
      <w:r w:rsidR="000A3E11">
        <w:rPr>
          <w:szCs w:val="22"/>
        </w:rPr>
        <w:t xml:space="preserve">the </w:t>
      </w:r>
      <w:r>
        <w:rPr>
          <w:szCs w:val="22"/>
        </w:rPr>
        <w:t>average use of 7 times per tag.  The cost for each tag and tie is 0.17 cents.</w:t>
      </w:r>
      <w:r w:rsidR="00214468">
        <w:rPr>
          <w:szCs w:val="22"/>
        </w:rPr>
        <w:t xml:space="preserve">  Therefore, OSHA estimates that employers will incur a cost for tags of $</w:t>
      </w:r>
      <w:r w:rsidR="00344C7B">
        <w:rPr>
          <w:szCs w:val="22"/>
        </w:rPr>
        <w:t>1,37</w:t>
      </w:r>
      <w:r w:rsidR="00F75D95">
        <w:rPr>
          <w:szCs w:val="22"/>
        </w:rPr>
        <w:t>0,65</w:t>
      </w:r>
      <w:r w:rsidR="007E0C2E">
        <w:rPr>
          <w:szCs w:val="22"/>
        </w:rPr>
        <w:t>3</w:t>
      </w:r>
      <w:r w:rsidR="00F75D95">
        <w:rPr>
          <w:szCs w:val="22"/>
        </w:rPr>
        <w:t>.</w:t>
      </w:r>
      <w:r w:rsidR="007E0C2E">
        <w:rPr>
          <w:szCs w:val="22"/>
        </w:rPr>
        <w:t>92</w:t>
      </w:r>
    </w:p>
    <w:p w:rsidR="00214468" w:rsidP="00F5061F" w:rsidRDefault="00214468" w14:paraId="055C32A1" w14:textId="77777777">
      <w:pPr>
        <w:widowControl/>
        <w:tabs>
          <w:tab w:val="left" w:pos="0"/>
          <w:tab w:val="left" w:pos="360"/>
          <w:tab w:val="left" w:pos="720"/>
          <w:tab w:val="left" w:pos="2160"/>
        </w:tabs>
        <w:rPr>
          <w:szCs w:val="22"/>
        </w:rPr>
      </w:pPr>
    </w:p>
    <w:p w:rsidR="00214468" w:rsidP="00F5061F" w:rsidRDefault="00214468" w14:paraId="3D0EFA98" w14:textId="31F5E25C">
      <w:pPr>
        <w:widowControl/>
        <w:tabs>
          <w:tab w:val="left" w:pos="0"/>
          <w:tab w:val="left" w:pos="360"/>
          <w:tab w:val="left" w:pos="720"/>
          <w:tab w:val="left" w:pos="2160"/>
        </w:tabs>
        <w:rPr>
          <w:szCs w:val="22"/>
        </w:rPr>
      </w:pPr>
      <w:r>
        <w:rPr>
          <w:szCs w:val="22"/>
        </w:rPr>
        <w:tab/>
      </w:r>
      <w:r>
        <w:rPr>
          <w:szCs w:val="22"/>
        </w:rPr>
        <w:tab/>
        <w:t xml:space="preserve">         </w:t>
      </w:r>
      <w:r w:rsidRPr="00214468">
        <w:rPr>
          <w:b/>
          <w:szCs w:val="22"/>
        </w:rPr>
        <w:t>Cost:</w:t>
      </w:r>
      <w:r>
        <w:rPr>
          <w:szCs w:val="22"/>
        </w:rPr>
        <w:t xml:space="preserve">  </w:t>
      </w:r>
      <w:r w:rsidR="00344C7B">
        <w:rPr>
          <w:szCs w:val="22"/>
        </w:rPr>
        <w:t>56,</w:t>
      </w:r>
      <w:r w:rsidR="00F75D95">
        <w:rPr>
          <w:szCs w:val="22"/>
        </w:rPr>
        <w:t>438,</w:t>
      </w:r>
      <w:r w:rsidR="007E0C2E">
        <w:rPr>
          <w:szCs w:val="22"/>
        </w:rPr>
        <w:t>691</w:t>
      </w:r>
      <w:r w:rsidR="00E815A3">
        <w:rPr>
          <w:b/>
          <w:szCs w:val="22"/>
        </w:rPr>
        <w:t xml:space="preserve"> </w:t>
      </w:r>
      <w:r>
        <w:rPr>
          <w:szCs w:val="22"/>
        </w:rPr>
        <w:t>(notifications)/ 7</w:t>
      </w:r>
      <w:r w:rsidR="006113D3">
        <w:rPr>
          <w:szCs w:val="22"/>
        </w:rPr>
        <w:t xml:space="preserve"> (average</w:t>
      </w:r>
      <w:r>
        <w:rPr>
          <w:szCs w:val="22"/>
        </w:rPr>
        <w:t xml:space="preserve"> use of tag) x .17 cents = </w:t>
      </w:r>
      <w:r w:rsidRPr="00214468">
        <w:rPr>
          <w:b/>
          <w:szCs w:val="22"/>
        </w:rPr>
        <w:t>$</w:t>
      </w:r>
      <w:r w:rsidR="00344C7B">
        <w:rPr>
          <w:b/>
          <w:szCs w:val="22"/>
        </w:rPr>
        <w:t>1,37</w:t>
      </w:r>
      <w:r w:rsidR="00F75D95">
        <w:rPr>
          <w:b/>
          <w:szCs w:val="22"/>
        </w:rPr>
        <w:t>0,</w:t>
      </w:r>
      <w:r w:rsidR="007E0C2E">
        <w:rPr>
          <w:b/>
          <w:szCs w:val="22"/>
        </w:rPr>
        <w:t>653.92</w:t>
      </w:r>
    </w:p>
    <w:p w:rsidR="00932B79" w:rsidP="00F5061F" w:rsidRDefault="00932B79" w14:paraId="02B0643A" w14:textId="77777777">
      <w:pPr>
        <w:widowControl/>
        <w:tabs>
          <w:tab w:val="left" w:pos="0"/>
          <w:tab w:val="left" w:pos="360"/>
          <w:tab w:val="left" w:pos="720"/>
          <w:tab w:val="left" w:pos="2160"/>
        </w:tabs>
        <w:rPr>
          <w:rFonts w:ascii="Shruti" w:cs="Shruti"/>
        </w:rPr>
      </w:pPr>
    </w:p>
    <w:p w:rsidRPr="00FB77D5" w:rsidR="00FB77D5" w:rsidP="00FB77D5" w:rsidRDefault="00FB77D5" w14:paraId="4401B1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B77D5">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FB77D5">
        <w:t xml:space="preserve"> </w:t>
      </w:r>
      <w:r w:rsidRPr="00FB77D5">
        <w:rPr>
          <w:b/>
          <w:bCs/>
        </w:rPr>
        <w:t>without this collection of information.  Agencies also may aggregate cost estimates from Items 12, 13, and 14 into a single table.</w:t>
      </w:r>
    </w:p>
    <w:p w:rsidR="009070E5" w:rsidP="00764103" w:rsidRDefault="009070E5" w14:paraId="100C104E" w14:textId="77777777">
      <w:pPr>
        <w:rPr>
          <w:b/>
          <w:bCs/>
        </w:rPr>
      </w:pPr>
    </w:p>
    <w:p w:rsidRPr="00764103" w:rsidR="00764103" w:rsidP="00764103" w:rsidRDefault="00764103" w14:paraId="39DA41C0" w14:textId="77777777">
      <w:r w:rsidRPr="00764103">
        <w:t>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00A02206" w:rsidP="00CA4589" w:rsidRDefault="00A02206" w14:paraId="05192C2F" w14:textId="77777777">
      <w:pPr>
        <w:rPr>
          <w:rFonts w:cs="Arial"/>
          <w:b/>
          <w:bCs/>
        </w:rPr>
      </w:pPr>
    </w:p>
    <w:p w:rsidRPr="00A02206" w:rsidR="00A02206" w:rsidP="00A02206" w:rsidRDefault="00A02206" w14:paraId="31C0BA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A02206">
        <w:rPr>
          <w:b/>
          <w:bCs/>
        </w:rPr>
        <w:t>15.</w:t>
      </w:r>
      <w:r w:rsidRPr="00A02206">
        <w:rPr>
          <w:b/>
          <w:bCs/>
        </w:rPr>
        <w:tab/>
        <w:t>Explain the reasons for any program changes or adjustments.</w:t>
      </w:r>
    </w:p>
    <w:p w:rsidR="00AA6E93" w:rsidP="00BE47A0" w:rsidRDefault="00AA6E93" w14:paraId="49CD0460" w14:textId="77777777">
      <w:pPr>
        <w:rPr>
          <w:szCs w:val="22"/>
        </w:rPr>
      </w:pPr>
    </w:p>
    <w:p w:rsidR="00B42AC9" w:rsidP="00B42AC9" w:rsidRDefault="00B42AC9" w14:paraId="592DC624" w14:textId="77777777">
      <w:pPr>
        <w:rPr>
          <w:szCs w:val="22"/>
        </w:rPr>
      </w:pPr>
      <w:r w:rsidRPr="00CA4589">
        <w:rPr>
          <w:szCs w:val="22"/>
        </w:rPr>
        <w:t xml:space="preserve">OSHA is requesting </w:t>
      </w:r>
      <w:r w:rsidR="00F45A72">
        <w:rPr>
          <w:szCs w:val="22"/>
        </w:rPr>
        <w:t>an</w:t>
      </w:r>
      <w:r w:rsidRPr="00CA4589">
        <w:rPr>
          <w:szCs w:val="22"/>
        </w:rPr>
        <w:t xml:space="preserve"> </w:t>
      </w:r>
      <w:r w:rsidR="00BC2299">
        <w:rPr>
          <w:szCs w:val="22"/>
        </w:rPr>
        <w:t xml:space="preserve">adjustment </w:t>
      </w:r>
      <w:r w:rsidR="00344C7B">
        <w:rPr>
          <w:szCs w:val="22"/>
        </w:rPr>
        <w:t>decrease</w:t>
      </w:r>
      <w:r w:rsidR="00094761">
        <w:rPr>
          <w:szCs w:val="22"/>
        </w:rPr>
        <w:t xml:space="preserve"> </w:t>
      </w:r>
      <w:r w:rsidRPr="00CA4589">
        <w:rPr>
          <w:szCs w:val="22"/>
        </w:rPr>
        <w:t>of</w:t>
      </w:r>
      <w:r w:rsidR="008F6E0C">
        <w:rPr>
          <w:noProof/>
        </w:rPr>
        <w:t xml:space="preserve"> 126,4</w:t>
      </w:r>
      <w:r w:rsidR="001756AA">
        <w:rPr>
          <w:noProof/>
        </w:rPr>
        <w:t>03.49</w:t>
      </w:r>
      <w:r w:rsidR="008F6E0C">
        <w:rPr>
          <w:szCs w:val="22"/>
        </w:rPr>
        <w:t xml:space="preserve"> </w:t>
      </w:r>
      <w:r>
        <w:rPr>
          <w:szCs w:val="22"/>
        </w:rPr>
        <w:t>burden hours (</w:t>
      </w:r>
      <w:r w:rsidR="00ED4F28">
        <w:rPr>
          <w:szCs w:val="22"/>
        </w:rPr>
        <w:t xml:space="preserve">from </w:t>
      </w:r>
      <w:r w:rsidR="00344C7B">
        <w:t>2,749,315.00</w:t>
      </w:r>
      <w:r w:rsidR="00ED4F28">
        <w:t xml:space="preserve"> hours</w:t>
      </w:r>
      <w:r w:rsidR="00094761">
        <w:t xml:space="preserve"> to </w:t>
      </w:r>
      <w:r w:rsidR="00344C7B">
        <w:t>2,</w:t>
      </w:r>
      <w:r w:rsidR="008F6E0C">
        <w:t>622,</w:t>
      </w:r>
      <w:r w:rsidR="001756AA">
        <w:t>911.51</w:t>
      </w:r>
      <w:r w:rsidR="00B05D06">
        <w:t xml:space="preserve"> hours</w:t>
      </w:r>
      <w:r w:rsidRPr="00CA4589">
        <w:rPr>
          <w:szCs w:val="22"/>
        </w:rPr>
        <w:t xml:space="preserve">). </w:t>
      </w:r>
      <w:r>
        <w:rPr>
          <w:szCs w:val="22"/>
        </w:rPr>
        <w:t xml:space="preserve"> This </w:t>
      </w:r>
      <w:r w:rsidR="00421F81">
        <w:rPr>
          <w:szCs w:val="22"/>
        </w:rPr>
        <w:t>d</w:t>
      </w:r>
      <w:r w:rsidR="00DD4F65">
        <w:rPr>
          <w:szCs w:val="22"/>
        </w:rPr>
        <w:t>ecrease</w:t>
      </w:r>
      <w:r>
        <w:rPr>
          <w:szCs w:val="22"/>
        </w:rPr>
        <w:t xml:space="preserve"> is a result of updated data showing a</w:t>
      </w:r>
      <w:r w:rsidR="00B05D06">
        <w:rPr>
          <w:szCs w:val="22"/>
        </w:rPr>
        <w:t xml:space="preserve"> </w:t>
      </w:r>
      <w:r w:rsidR="00344C7B">
        <w:rPr>
          <w:szCs w:val="22"/>
        </w:rPr>
        <w:t>decrease</w:t>
      </w:r>
      <w:r>
        <w:rPr>
          <w:szCs w:val="22"/>
        </w:rPr>
        <w:t xml:space="preserve"> in the number of</w:t>
      </w:r>
      <w:r w:rsidR="00C6448D">
        <w:rPr>
          <w:szCs w:val="22"/>
        </w:rPr>
        <w:t xml:space="preserve"> affected</w:t>
      </w:r>
      <w:r w:rsidR="00BC2299">
        <w:rPr>
          <w:rFonts w:cs="Shruti"/>
          <w:color w:val="000000"/>
          <w:szCs w:val="20"/>
        </w:rPr>
        <w:t xml:space="preserve"> </w:t>
      </w:r>
      <w:r w:rsidR="00344C7B">
        <w:rPr>
          <w:rFonts w:cs="Shruti"/>
          <w:color w:val="000000"/>
          <w:szCs w:val="20"/>
        </w:rPr>
        <w:t>high</w:t>
      </w:r>
      <w:r w:rsidR="00671099">
        <w:rPr>
          <w:rFonts w:cs="Shruti"/>
          <w:color w:val="000000"/>
          <w:szCs w:val="20"/>
        </w:rPr>
        <w:t>-</w:t>
      </w:r>
      <w:r w:rsidR="00BC2299">
        <w:rPr>
          <w:rFonts w:cs="Shruti"/>
          <w:color w:val="000000"/>
          <w:szCs w:val="20"/>
        </w:rPr>
        <w:t>impact establishments</w:t>
      </w:r>
      <w:r w:rsidRPr="00B05D06" w:rsidR="00B05D06">
        <w:rPr>
          <w:color w:val="000000"/>
          <w:sz w:val="20"/>
          <w:szCs w:val="20"/>
        </w:rPr>
        <w:t xml:space="preserve"> </w:t>
      </w:r>
      <w:r w:rsidRPr="00076617" w:rsidR="00B05D06">
        <w:rPr>
          <w:szCs w:val="22"/>
        </w:rPr>
        <w:t xml:space="preserve">(from </w:t>
      </w:r>
      <w:r w:rsidR="00086818">
        <w:rPr>
          <w:szCs w:val="22"/>
        </w:rPr>
        <w:t>292,825</w:t>
      </w:r>
      <w:r w:rsidRPr="00076617" w:rsidR="00B05D06">
        <w:rPr>
          <w:szCs w:val="22"/>
        </w:rPr>
        <w:t xml:space="preserve"> establishments to </w:t>
      </w:r>
      <w:r w:rsidR="00086818">
        <w:rPr>
          <w:szCs w:val="22"/>
        </w:rPr>
        <w:t>290,560</w:t>
      </w:r>
      <w:r w:rsidRPr="00076617" w:rsidR="00B05D06">
        <w:rPr>
          <w:szCs w:val="22"/>
        </w:rPr>
        <w:t xml:space="preserve"> establishments)</w:t>
      </w:r>
      <w:r w:rsidRPr="00076617">
        <w:rPr>
          <w:szCs w:val="22"/>
        </w:rPr>
        <w:t>.</w:t>
      </w:r>
      <w:r w:rsidRPr="00CA4589">
        <w:rPr>
          <w:szCs w:val="22"/>
        </w:rPr>
        <w:t xml:space="preserve"> </w:t>
      </w:r>
    </w:p>
    <w:p w:rsidR="00C208F6" w:rsidP="00F75D95" w:rsidRDefault="00C208F6" w14:paraId="4C17492A" w14:textId="77777777">
      <w:pPr>
        <w:rPr>
          <w:szCs w:val="22"/>
        </w:rPr>
      </w:pPr>
    </w:p>
    <w:p w:rsidRPr="004B751F" w:rsidR="00C208F6" w:rsidP="007853FF" w:rsidRDefault="000A3E11" w14:paraId="345EB44A" w14:textId="77777777">
      <w:pPr>
        <w:rPr>
          <w:sz w:val="20"/>
          <w:szCs w:val="20"/>
        </w:rPr>
      </w:pPr>
      <w:r>
        <w:t>Also</w:t>
      </w:r>
      <w:r w:rsidR="00C208F6">
        <w:t xml:space="preserve">, OSHA is </w:t>
      </w:r>
      <w:r w:rsidR="00B36751">
        <w:t xml:space="preserve">requesting </w:t>
      </w:r>
      <w:r w:rsidR="00C208F6">
        <w:t>a</w:t>
      </w:r>
      <w:r w:rsidR="00147AF5">
        <w:t xml:space="preserve">n adjustment </w:t>
      </w:r>
      <w:r w:rsidR="005B4E68">
        <w:t>decrease</w:t>
      </w:r>
      <w:r w:rsidR="00C208F6">
        <w:t xml:space="preserve"> </w:t>
      </w:r>
      <w:r w:rsidR="00BF7865">
        <w:t>of $</w:t>
      </w:r>
      <w:r w:rsidR="007853FF">
        <w:t>10</w:t>
      </w:r>
      <w:r w:rsidR="00A0163B">
        <w:t>8</w:t>
      </w:r>
      <w:r w:rsidR="007853FF">
        <w:t>,</w:t>
      </w:r>
      <w:r w:rsidR="001756AA">
        <w:t>032.08</w:t>
      </w:r>
      <w:r w:rsidR="00B05D06">
        <w:t xml:space="preserve"> </w:t>
      </w:r>
      <w:r w:rsidR="00B36751">
        <w:t>in operation and maintenance costs</w:t>
      </w:r>
      <w:r w:rsidR="00F45A72">
        <w:t xml:space="preserve"> (from </w:t>
      </w:r>
      <w:r w:rsidR="00A30D8F">
        <w:t>$</w:t>
      </w:r>
      <w:r w:rsidR="00086818">
        <w:t>1,47</w:t>
      </w:r>
      <w:r w:rsidR="00A0163B">
        <w:t>8</w:t>
      </w:r>
      <w:r w:rsidR="00086818">
        <w:t>,</w:t>
      </w:r>
      <w:r w:rsidR="002362ED">
        <w:t>686</w:t>
      </w:r>
      <w:r w:rsidR="00086818">
        <w:t>.00</w:t>
      </w:r>
      <w:r w:rsidR="00B05D06">
        <w:t xml:space="preserve"> to $</w:t>
      </w:r>
      <w:r w:rsidR="00086818">
        <w:t>1,37</w:t>
      </w:r>
      <w:r w:rsidR="007853FF">
        <w:t>0,65</w:t>
      </w:r>
      <w:r w:rsidR="001756AA">
        <w:t>3</w:t>
      </w:r>
      <w:r w:rsidR="007853FF">
        <w:t>.</w:t>
      </w:r>
      <w:r w:rsidR="001756AA">
        <w:t>9</w:t>
      </w:r>
      <w:r w:rsidR="007853FF">
        <w:t>2</w:t>
      </w:r>
      <w:r w:rsidR="000B19C4">
        <w:t>)</w:t>
      </w:r>
      <w:r w:rsidR="00834CB5">
        <w:t xml:space="preserve"> </w:t>
      </w:r>
      <w:r w:rsidR="00C208F6">
        <w:t xml:space="preserve">associated with the purchase of tags </w:t>
      </w:r>
      <w:r w:rsidR="00147AF5">
        <w:t xml:space="preserve">and ties </w:t>
      </w:r>
      <w:r w:rsidR="00C208F6">
        <w:t xml:space="preserve">by employers.  </w:t>
      </w:r>
      <w:r w:rsidR="00F45A72">
        <w:rPr>
          <w:szCs w:val="22"/>
        </w:rPr>
        <w:t xml:space="preserve">This </w:t>
      </w:r>
      <w:r w:rsidR="005B4E68">
        <w:rPr>
          <w:szCs w:val="22"/>
        </w:rPr>
        <w:t>decrease</w:t>
      </w:r>
      <w:r w:rsidR="00B05D06">
        <w:rPr>
          <w:szCs w:val="22"/>
        </w:rPr>
        <w:t xml:space="preserve"> </w:t>
      </w:r>
      <w:r w:rsidR="00F45A72">
        <w:rPr>
          <w:szCs w:val="22"/>
        </w:rPr>
        <w:t>is</w:t>
      </w:r>
      <w:r w:rsidR="00671099">
        <w:rPr>
          <w:szCs w:val="22"/>
        </w:rPr>
        <w:t xml:space="preserve"> also</w:t>
      </w:r>
      <w:r w:rsidR="00F45A72">
        <w:rPr>
          <w:szCs w:val="22"/>
        </w:rPr>
        <w:t xml:space="preserve"> a result of updated data showing a</w:t>
      </w:r>
      <w:r w:rsidR="00B05D06">
        <w:rPr>
          <w:szCs w:val="22"/>
        </w:rPr>
        <w:t xml:space="preserve"> </w:t>
      </w:r>
      <w:r w:rsidR="005B4E68">
        <w:rPr>
          <w:szCs w:val="22"/>
        </w:rPr>
        <w:t xml:space="preserve">reduction </w:t>
      </w:r>
      <w:r>
        <w:rPr>
          <w:szCs w:val="22"/>
        </w:rPr>
        <w:t xml:space="preserve">in </w:t>
      </w:r>
      <w:r w:rsidR="00F45A72">
        <w:rPr>
          <w:szCs w:val="22"/>
        </w:rPr>
        <w:t xml:space="preserve">the number of </w:t>
      </w:r>
      <w:r w:rsidR="005B4E68">
        <w:rPr>
          <w:rFonts w:cs="Shruti"/>
          <w:color w:val="000000"/>
          <w:szCs w:val="20"/>
        </w:rPr>
        <w:t>high</w:t>
      </w:r>
      <w:r w:rsidR="00671099">
        <w:rPr>
          <w:rFonts w:cs="Shruti"/>
          <w:color w:val="000000"/>
          <w:szCs w:val="20"/>
        </w:rPr>
        <w:t>-</w:t>
      </w:r>
      <w:r w:rsidR="00F45A72">
        <w:rPr>
          <w:rFonts w:cs="Shruti"/>
          <w:color w:val="000000"/>
          <w:szCs w:val="20"/>
        </w:rPr>
        <w:t>impact establishments</w:t>
      </w:r>
      <w:r w:rsidR="00F45A72">
        <w:rPr>
          <w:rFonts w:cs="Shruti"/>
          <w:color w:val="000000"/>
          <w:sz w:val="20"/>
          <w:szCs w:val="20"/>
        </w:rPr>
        <w:t>.</w:t>
      </w:r>
    </w:p>
    <w:p w:rsidR="00A02206" w:rsidP="00A02206" w:rsidRDefault="00A02206" w14:paraId="303741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A02206" w:rsidR="00A02206" w:rsidP="00A02206" w:rsidRDefault="00A02206" w14:paraId="52CBD0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02206">
        <w:rPr>
          <w:b/>
          <w:bCs/>
        </w:rPr>
        <w:t xml:space="preserve">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w:t>
      </w:r>
      <w:r w:rsidR="003B7F76">
        <w:rPr>
          <w:b/>
          <w:bCs/>
        </w:rPr>
        <w:t xml:space="preserve">the </w:t>
      </w:r>
      <w:r w:rsidRPr="00A02206">
        <w:rPr>
          <w:b/>
          <w:bCs/>
        </w:rPr>
        <w:t>report, publication dates, and other actions</w:t>
      </w:r>
      <w:r w:rsidRPr="00A02206">
        <w:t>.</w:t>
      </w:r>
    </w:p>
    <w:p w:rsidRPr="00CA4589" w:rsidR="00CA4589" w:rsidP="007853FF" w:rsidRDefault="00CA4589" w14:paraId="700FB1A9" w14:textId="77777777">
      <w:pPr>
        <w:rPr>
          <w:szCs w:val="22"/>
        </w:rPr>
      </w:pPr>
    </w:p>
    <w:p w:rsidRPr="00CA4589" w:rsidR="00CA4589" w:rsidP="007853FF" w:rsidRDefault="00CA4589" w14:paraId="251FA64B" w14:textId="77777777">
      <w:pPr>
        <w:rPr>
          <w:szCs w:val="22"/>
        </w:rPr>
      </w:pPr>
      <w:r w:rsidRPr="00CA4589">
        <w:rPr>
          <w:szCs w:val="22"/>
        </w:rPr>
        <w:t>OSHA will not publish the information collected under the Standard.</w:t>
      </w:r>
    </w:p>
    <w:p w:rsidRPr="00CA4589" w:rsidR="00CA4589" w:rsidP="007853FF" w:rsidRDefault="00CA4589" w14:paraId="4A3B5580" w14:textId="77777777">
      <w:pPr>
        <w:rPr>
          <w:szCs w:val="22"/>
        </w:rPr>
      </w:pPr>
    </w:p>
    <w:p w:rsidRPr="00A02206" w:rsidR="00A02206" w:rsidP="00A02206" w:rsidRDefault="00A02206" w14:paraId="614BE9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A02206">
        <w:rPr>
          <w:b/>
          <w:bCs/>
        </w:rPr>
        <w:t>17.  If seeking approval to not display the expiration date for OMB approval of the information collection, explain the reasons that display would be inappropriate.</w:t>
      </w:r>
    </w:p>
    <w:p w:rsidRPr="00CA4589" w:rsidR="00CA4589" w:rsidP="007853FF" w:rsidRDefault="00CA4589" w14:paraId="384C1FE4" w14:textId="77777777">
      <w:pPr>
        <w:rPr>
          <w:szCs w:val="22"/>
        </w:rPr>
      </w:pPr>
    </w:p>
    <w:p w:rsidRPr="0086031D" w:rsidR="00A30D8F" w:rsidP="007853FF" w:rsidRDefault="00A30D8F" w14:paraId="5B703A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lists current valid control numbers in §§1910.8, 1915.8, 1917.4, 1918.4, and 1926.5 and publishes the expiration date in the Federal Register notice announcing OMB approval of the information-collection requirement. (See 5 CFR 1320.3(f)(3).) OSHA believes that this is the most appropriate and accurate mechanism to inform interested parties of these expiration dates</w:t>
      </w:r>
    </w:p>
    <w:p w:rsidRPr="00CA4589" w:rsidR="00CA4589" w:rsidP="007853FF" w:rsidRDefault="00CA4589" w14:paraId="7B8EB2E8" w14:textId="77777777">
      <w:pPr>
        <w:rPr>
          <w:szCs w:val="22"/>
        </w:rPr>
      </w:pPr>
    </w:p>
    <w:p w:rsidR="00A02206" w:rsidP="00CA4589" w:rsidRDefault="00A02206" w14:paraId="2C7255D5" w14:textId="77777777">
      <w:pPr>
        <w:rPr>
          <w:b/>
        </w:rPr>
      </w:pPr>
      <w:r w:rsidRPr="00D53DEB">
        <w:rPr>
          <w:b/>
        </w:rPr>
        <w:t>18.  Explain each exception to the certification statement</w:t>
      </w:r>
      <w:r>
        <w:rPr>
          <w:b/>
        </w:rPr>
        <w:t>.</w:t>
      </w:r>
    </w:p>
    <w:p w:rsidRPr="0051366D" w:rsidR="002870A6" w:rsidP="00CA4589" w:rsidRDefault="002870A6" w14:paraId="3953A76B" w14:textId="77777777">
      <w:pPr>
        <w:rPr>
          <w:b/>
          <w:sz w:val="20"/>
          <w:szCs w:val="18"/>
        </w:rPr>
      </w:pPr>
    </w:p>
    <w:p w:rsidR="00B42AC9" w:rsidP="00B42AC9" w:rsidRDefault="00B42AC9" w14:paraId="594A81F2" w14:textId="77777777">
      <w:pPr>
        <w:rPr>
          <w:szCs w:val="22"/>
        </w:rPr>
      </w:pPr>
      <w:r w:rsidRPr="00CA4589">
        <w:rPr>
          <w:szCs w:val="22"/>
        </w:rPr>
        <w:t>OSHA is not seeking an exception</w:t>
      </w:r>
      <w:r w:rsidR="008808B1">
        <w:rPr>
          <w:szCs w:val="22"/>
        </w:rPr>
        <w:t xml:space="preserve"> to the certification statement.</w:t>
      </w:r>
    </w:p>
    <w:p w:rsidR="006F3DDE" w:rsidP="0014730B" w:rsidRDefault="006F3DDE" w14:paraId="1A680519" w14:textId="77777777">
      <w:pPr>
        <w:widowControl/>
        <w:autoSpaceDE/>
        <w:autoSpaceDN/>
        <w:adjustRightInd/>
        <w:rPr>
          <w:b/>
          <w:bCs/>
        </w:rPr>
      </w:pPr>
    </w:p>
    <w:p w:rsidR="00A02206" w:rsidP="0014730B" w:rsidRDefault="0014730B" w14:paraId="23983DF1" w14:textId="77777777">
      <w:pPr>
        <w:widowControl/>
        <w:autoSpaceDE/>
        <w:autoSpaceDN/>
        <w:adjustRightInd/>
      </w:pPr>
      <w:r w:rsidRPr="00F420D3">
        <w:rPr>
          <w:b/>
          <w:bCs/>
        </w:rPr>
        <w:t>B. COLLECTIONS OF INFORMATION EMPLOYING STATISTICAL METHODS</w:t>
      </w:r>
      <w:r w:rsidRPr="00F420D3">
        <w:t>  </w:t>
      </w:r>
    </w:p>
    <w:p w:rsidRPr="00F420D3" w:rsidR="0014730B" w:rsidP="0014730B" w:rsidRDefault="0014730B" w14:paraId="228D0053" w14:textId="77777777">
      <w:pPr>
        <w:widowControl/>
        <w:autoSpaceDE/>
        <w:autoSpaceDN/>
        <w:adjustRightInd/>
      </w:pPr>
      <w:r w:rsidRPr="00F420D3">
        <w:t>   </w:t>
      </w:r>
    </w:p>
    <w:p w:rsidR="0014730B" w:rsidP="0014730B" w:rsidRDefault="0014730B" w14:paraId="1652255B" w14:textId="77777777">
      <w:pPr>
        <w:rPr>
          <w:szCs w:val="22"/>
        </w:rPr>
      </w:pPr>
      <w:r w:rsidRPr="00F420D3">
        <w:t>This Supporting Statement does not contain any information</w:t>
      </w:r>
      <w:r w:rsidR="006776E6">
        <w:t xml:space="preserve"> collection</w:t>
      </w:r>
      <w:r w:rsidRPr="00F420D3">
        <w:t xml:space="preserve"> requirements that employ statistical methods.</w:t>
      </w:r>
    </w:p>
    <w:p w:rsidR="002E3BCB" w:rsidP="00B42AC9" w:rsidRDefault="002E3BCB" w14:paraId="686FC62F" w14:textId="77777777">
      <w:pPr>
        <w:rPr>
          <w:szCs w:val="22"/>
        </w:rPr>
        <w:sectPr w:rsidR="002E3BCB" w:rsidSect="00150779">
          <w:pgSz w:w="12240" w:h="15840" w:code="1"/>
          <w:pgMar w:top="1152" w:right="1267" w:bottom="1296" w:left="1440" w:header="720" w:footer="720" w:gutter="0"/>
          <w:cols w:space="720"/>
          <w:titlePg/>
          <w:docGrid w:linePitch="360"/>
        </w:sectPr>
      </w:pPr>
    </w:p>
    <w:p w:rsidR="008808B1" w:rsidP="00B42AC9" w:rsidRDefault="008808B1" w14:paraId="2312E6C5" w14:textId="77777777">
      <w:pPr>
        <w:rPr>
          <w:szCs w:val="22"/>
        </w:rPr>
      </w:pPr>
    </w:p>
    <w:tbl>
      <w:tblPr>
        <w:tblW w:w="14036" w:type="dxa"/>
        <w:tblInd w:w="108" w:type="dxa"/>
        <w:tblLook w:val="04A0" w:firstRow="1" w:lastRow="0" w:firstColumn="1" w:lastColumn="0" w:noHBand="0" w:noVBand="1"/>
      </w:tblPr>
      <w:tblGrid>
        <w:gridCol w:w="1029"/>
        <w:gridCol w:w="1250"/>
        <w:gridCol w:w="1428"/>
        <w:gridCol w:w="1428"/>
        <w:gridCol w:w="1166"/>
        <w:gridCol w:w="884"/>
        <w:gridCol w:w="1428"/>
        <w:gridCol w:w="1536"/>
        <w:gridCol w:w="1016"/>
        <w:gridCol w:w="1545"/>
        <w:gridCol w:w="1514"/>
      </w:tblGrid>
      <w:tr w:rsidRPr="00921CE1" w:rsidR="00921CE1" w:rsidTr="00921CE1" w14:paraId="5ACC85A0" w14:textId="77777777">
        <w:trPr>
          <w:trHeight w:val="330"/>
        </w:trPr>
        <w:tc>
          <w:tcPr>
            <w:tcW w:w="14036" w:type="dxa"/>
            <w:gridSpan w:val="11"/>
            <w:tcBorders>
              <w:top w:val="nil"/>
              <w:left w:val="nil"/>
              <w:bottom w:val="single" w:color="auto" w:sz="8" w:space="0"/>
              <w:right w:val="nil"/>
            </w:tcBorders>
            <w:shd w:val="clear" w:color="auto" w:fill="auto"/>
            <w:noWrap/>
            <w:vAlign w:val="center"/>
            <w:hideMark/>
          </w:tcPr>
          <w:p w:rsidRPr="00921CE1" w:rsidR="00921CE1" w:rsidP="00921CE1" w:rsidRDefault="00921CE1" w14:paraId="272BEA69" w14:textId="40F9B9BD">
            <w:pPr>
              <w:widowControl/>
              <w:autoSpaceDE/>
              <w:autoSpaceDN/>
              <w:adjustRightInd/>
              <w:rPr>
                <w:b/>
                <w:bCs/>
                <w:color w:val="000000"/>
              </w:rPr>
            </w:pPr>
            <w:bookmarkStart w:name="RANGE!A3:K11" w:id="8"/>
            <w:r w:rsidRPr="00921CE1">
              <w:rPr>
                <w:b/>
                <w:bCs/>
                <w:color w:val="000000"/>
              </w:rPr>
              <w:t xml:space="preserve">Table 1: Establishments and Employment </w:t>
            </w:r>
            <w:r w:rsidR="00B4681A">
              <w:rPr>
                <w:b/>
                <w:bCs/>
                <w:color w:val="000000"/>
              </w:rPr>
              <w:t>for the</w:t>
            </w:r>
            <w:r w:rsidRPr="00921CE1">
              <w:rPr>
                <w:b/>
                <w:bCs/>
                <w:color w:val="000000"/>
              </w:rPr>
              <w:t xml:space="preserve"> Manufacturing </w:t>
            </w:r>
            <w:r w:rsidR="00B4681A">
              <w:rPr>
                <w:b/>
                <w:bCs/>
                <w:color w:val="000000"/>
              </w:rPr>
              <w:t>Sector (</w:t>
            </w:r>
            <w:r w:rsidRPr="00921CE1">
              <w:rPr>
                <w:b/>
                <w:bCs/>
                <w:color w:val="000000"/>
              </w:rPr>
              <w:t>High-Impact Industries</w:t>
            </w:r>
            <w:bookmarkEnd w:id="8"/>
            <w:r w:rsidR="00B4681A">
              <w:rPr>
                <w:b/>
                <w:bCs/>
                <w:color w:val="000000"/>
              </w:rPr>
              <w:t>)</w:t>
            </w:r>
          </w:p>
        </w:tc>
      </w:tr>
      <w:tr w:rsidRPr="00921CE1" w:rsidR="00921CE1" w:rsidTr="00921CE1" w14:paraId="5814AA1A" w14:textId="77777777">
        <w:trPr>
          <w:trHeight w:val="330"/>
        </w:trPr>
        <w:tc>
          <w:tcPr>
            <w:tcW w:w="6186" w:type="dxa"/>
            <w:gridSpan w:val="5"/>
            <w:tcBorders>
              <w:top w:val="single" w:color="auto" w:sz="8" w:space="0"/>
              <w:left w:val="single" w:color="auto" w:sz="8" w:space="0"/>
              <w:bottom w:val="single" w:color="auto" w:sz="8" w:space="0"/>
              <w:right w:val="single" w:color="000000" w:sz="8" w:space="0"/>
            </w:tcBorders>
            <w:shd w:val="clear" w:color="000000" w:fill="C0C0C0"/>
            <w:noWrap/>
            <w:vAlign w:val="center"/>
            <w:hideMark/>
          </w:tcPr>
          <w:p w:rsidRPr="00921CE1" w:rsidR="00921CE1" w:rsidP="00921CE1" w:rsidRDefault="00921CE1" w14:paraId="732F2FE7" w14:textId="77777777">
            <w:pPr>
              <w:widowControl/>
              <w:autoSpaceDE/>
              <w:autoSpaceDN/>
              <w:adjustRightInd/>
              <w:rPr>
                <w:color w:val="000000"/>
              </w:rPr>
            </w:pPr>
            <w:r w:rsidRPr="00921CE1">
              <w:rPr>
                <w:color w:val="000000"/>
              </w:rPr>
              <w:t> </w:t>
            </w:r>
          </w:p>
        </w:tc>
        <w:tc>
          <w:tcPr>
            <w:tcW w:w="3826" w:type="dxa"/>
            <w:gridSpan w:val="3"/>
            <w:tcBorders>
              <w:top w:val="single" w:color="auto" w:sz="8" w:space="0"/>
              <w:left w:val="nil"/>
              <w:bottom w:val="single" w:color="auto" w:sz="8" w:space="0"/>
              <w:right w:val="single" w:color="000000" w:sz="8" w:space="0"/>
            </w:tcBorders>
            <w:shd w:val="clear" w:color="000000" w:fill="C0C0C0"/>
            <w:noWrap/>
            <w:vAlign w:val="center"/>
            <w:hideMark/>
          </w:tcPr>
          <w:p w:rsidRPr="00921CE1" w:rsidR="00921CE1" w:rsidP="00921CE1" w:rsidRDefault="00921CE1" w14:paraId="744D9685" w14:textId="77777777">
            <w:pPr>
              <w:widowControl/>
              <w:autoSpaceDE/>
              <w:autoSpaceDN/>
              <w:adjustRightInd/>
              <w:jc w:val="center"/>
              <w:rPr>
                <w:b/>
                <w:bCs/>
                <w:color w:val="000000"/>
                <w:sz w:val="20"/>
                <w:szCs w:val="20"/>
              </w:rPr>
            </w:pPr>
            <w:r w:rsidRPr="00921CE1">
              <w:rPr>
                <w:b/>
                <w:bCs/>
                <w:color w:val="000000"/>
                <w:sz w:val="20"/>
                <w:szCs w:val="20"/>
              </w:rPr>
              <w:t>Number of Authorized Employees</w:t>
            </w:r>
          </w:p>
        </w:tc>
        <w:tc>
          <w:tcPr>
            <w:tcW w:w="4024" w:type="dxa"/>
            <w:gridSpan w:val="3"/>
            <w:tcBorders>
              <w:top w:val="single" w:color="auto" w:sz="8" w:space="0"/>
              <w:left w:val="nil"/>
              <w:bottom w:val="single" w:color="auto" w:sz="8" w:space="0"/>
              <w:right w:val="single" w:color="000000" w:sz="8" w:space="0"/>
            </w:tcBorders>
            <w:shd w:val="clear" w:color="000000" w:fill="C0C0C0"/>
            <w:noWrap/>
            <w:vAlign w:val="center"/>
            <w:hideMark/>
          </w:tcPr>
          <w:p w:rsidRPr="00921CE1" w:rsidR="00921CE1" w:rsidP="00921CE1" w:rsidRDefault="00921CE1" w14:paraId="5F9451D8" w14:textId="77777777">
            <w:pPr>
              <w:widowControl/>
              <w:autoSpaceDE/>
              <w:autoSpaceDN/>
              <w:adjustRightInd/>
              <w:jc w:val="center"/>
              <w:rPr>
                <w:b/>
                <w:bCs/>
                <w:color w:val="000000"/>
                <w:sz w:val="20"/>
                <w:szCs w:val="20"/>
              </w:rPr>
            </w:pPr>
            <w:r w:rsidRPr="00921CE1">
              <w:rPr>
                <w:b/>
                <w:bCs/>
                <w:color w:val="000000"/>
                <w:sz w:val="20"/>
                <w:szCs w:val="20"/>
              </w:rPr>
              <w:t>Number of Additional Employees Covered</w:t>
            </w:r>
          </w:p>
        </w:tc>
      </w:tr>
      <w:tr w:rsidRPr="00921CE1" w:rsidR="00921CE1" w:rsidTr="00921CE1" w14:paraId="1047D0C5" w14:textId="77777777">
        <w:trPr>
          <w:trHeight w:val="1590"/>
        </w:trPr>
        <w:tc>
          <w:tcPr>
            <w:tcW w:w="1029" w:type="dxa"/>
            <w:tcBorders>
              <w:top w:val="nil"/>
              <w:left w:val="single" w:color="auto" w:sz="8" w:space="0"/>
              <w:bottom w:val="single" w:color="auto" w:sz="8" w:space="0"/>
              <w:right w:val="single" w:color="auto" w:sz="8" w:space="0"/>
            </w:tcBorders>
            <w:shd w:val="clear" w:color="auto" w:fill="auto"/>
            <w:vAlign w:val="center"/>
            <w:hideMark/>
          </w:tcPr>
          <w:p w:rsidRPr="00921CE1" w:rsidR="00921CE1" w:rsidP="00921CE1" w:rsidRDefault="00921CE1" w14:paraId="2BCE9119" w14:textId="77777777">
            <w:pPr>
              <w:widowControl/>
              <w:autoSpaceDE/>
              <w:autoSpaceDN/>
              <w:adjustRightInd/>
              <w:jc w:val="center"/>
              <w:rPr>
                <w:color w:val="000000"/>
                <w:sz w:val="20"/>
                <w:szCs w:val="20"/>
              </w:rPr>
            </w:pPr>
            <w:r w:rsidRPr="00921CE1">
              <w:rPr>
                <w:color w:val="000000"/>
                <w:sz w:val="20"/>
                <w:szCs w:val="20"/>
              </w:rPr>
              <w:t>Size Category</w:t>
            </w:r>
          </w:p>
        </w:tc>
        <w:tc>
          <w:tcPr>
            <w:tcW w:w="1201" w:type="dxa"/>
            <w:tcBorders>
              <w:top w:val="nil"/>
              <w:left w:val="nil"/>
              <w:bottom w:val="single" w:color="auto" w:sz="8" w:space="0"/>
              <w:right w:val="single" w:color="auto" w:sz="8" w:space="0"/>
            </w:tcBorders>
            <w:shd w:val="clear" w:color="auto" w:fill="auto"/>
            <w:vAlign w:val="center"/>
            <w:hideMark/>
          </w:tcPr>
          <w:p w:rsidRPr="00921CE1" w:rsidR="00921CE1" w:rsidP="00921CE1" w:rsidRDefault="00921CE1" w14:paraId="2EA123E8" w14:textId="77777777">
            <w:pPr>
              <w:widowControl/>
              <w:autoSpaceDE/>
              <w:autoSpaceDN/>
              <w:adjustRightInd/>
              <w:jc w:val="center"/>
              <w:rPr>
                <w:color w:val="000000"/>
                <w:sz w:val="20"/>
                <w:szCs w:val="20"/>
              </w:rPr>
            </w:pPr>
            <w:r w:rsidRPr="00921CE1">
              <w:rPr>
                <w:color w:val="000000"/>
                <w:sz w:val="20"/>
                <w:szCs w:val="20"/>
              </w:rPr>
              <w:t>Employment Size</w:t>
            </w:r>
          </w:p>
        </w:tc>
        <w:tc>
          <w:tcPr>
            <w:tcW w:w="1384" w:type="dxa"/>
            <w:tcBorders>
              <w:top w:val="nil"/>
              <w:left w:val="nil"/>
              <w:bottom w:val="single" w:color="auto" w:sz="8" w:space="0"/>
              <w:right w:val="single" w:color="auto" w:sz="8" w:space="0"/>
            </w:tcBorders>
            <w:shd w:val="clear" w:color="auto" w:fill="auto"/>
            <w:vAlign w:val="center"/>
            <w:hideMark/>
          </w:tcPr>
          <w:p w:rsidRPr="00921CE1" w:rsidR="00921CE1" w:rsidP="00921CE1" w:rsidRDefault="00921CE1" w14:paraId="76EB3B1E" w14:textId="77777777">
            <w:pPr>
              <w:widowControl/>
              <w:autoSpaceDE/>
              <w:autoSpaceDN/>
              <w:adjustRightInd/>
              <w:jc w:val="center"/>
              <w:rPr>
                <w:color w:val="000000"/>
                <w:sz w:val="20"/>
                <w:szCs w:val="20"/>
              </w:rPr>
            </w:pPr>
            <w:r w:rsidRPr="00921CE1">
              <w:rPr>
                <w:color w:val="000000"/>
                <w:sz w:val="20"/>
                <w:szCs w:val="20"/>
              </w:rPr>
              <w:t>Total Number of Establishments</w:t>
            </w:r>
          </w:p>
        </w:tc>
        <w:tc>
          <w:tcPr>
            <w:tcW w:w="1406" w:type="dxa"/>
            <w:tcBorders>
              <w:top w:val="nil"/>
              <w:left w:val="nil"/>
              <w:bottom w:val="single" w:color="auto" w:sz="8" w:space="0"/>
              <w:right w:val="single" w:color="auto" w:sz="8" w:space="0"/>
            </w:tcBorders>
            <w:shd w:val="clear" w:color="auto" w:fill="auto"/>
            <w:vAlign w:val="center"/>
            <w:hideMark/>
          </w:tcPr>
          <w:p w:rsidRPr="00921CE1" w:rsidR="00921CE1" w:rsidP="00921CE1" w:rsidRDefault="00921CE1" w14:paraId="3947E4CF" w14:textId="77777777">
            <w:pPr>
              <w:widowControl/>
              <w:autoSpaceDE/>
              <w:autoSpaceDN/>
              <w:adjustRightInd/>
              <w:jc w:val="center"/>
              <w:rPr>
                <w:color w:val="000000"/>
                <w:sz w:val="20"/>
                <w:szCs w:val="20"/>
              </w:rPr>
            </w:pPr>
            <w:r w:rsidRPr="00921CE1">
              <w:rPr>
                <w:color w:val="000000"/>
                <w:sz w:val="20"/>
                <w:szCs w:val="20"/>
              </w:rPr>
              <w:t>Number of Establishments Employing Authorized Workers</w:t>
            </w:r>
          </w:p>
        </w:tc>
        <w:tc>
          <w:tcPr>
            <w:tcW w:w="1166" w:type="dxa"/>
            <w:tcBorders>
              <w:top w:val="nil"/>
              <w:left w:val="nil"/>
              <w:bottom w:val="single" w:color="auto" w:sz="8" w:space="0"/>
              <w:right w:val="single" w:color="auto" w:sz="8" w:space="0"/>
            </w:tcBorders>
            <w:shd w:val="clear" w:color="auto" w:fill="auto"/>
            <w:vAlign w:val="center"/>
            <w:hideMark/>
          </w:tcPr>
          <w:p w:rsidRPr="00921CE1" w:rsidR="00921CE1" w:rsidP="00921CE1" w:rsidRDefault="00921CE1" w14:paraId="1621BD3B" w14:textId="77777777">
            <w:pPr>
              <w:widowControl/>
              <w:autoSpaceDE/>
              <w:autoSpaceDN/>
              <w:adjustRightInd/>
              <w:jc w:val="center"/>
              <w:rPr>
                <w:color w:val="000000"/>
                <w:sz w:val="20"/>
                <w:szCs w:val="20"/>
              </w:rPr>
            </w:pPr>
            <w:r w:rsidRPr="00921CE1">
              <w:rPr>
                <w:color w:val="000000"/>
                <w:sz w:val="20"/>
                <w:szCs w:val="20"/>
              </w:rPr>
              <w:t>Total Number of Employees</w:t>
            </w:r>
          </w:p>
        </w:tc>
        <w:tc>
          <w:tcPr>
            <w:tcW w:w="884" w:type="dxa"/>
            <w:tcBorders>
              <w:top w:val="nil"/>
              <w:left w:val="nil"/>
              <w:bottom w:val="single" w:color="auto" w:sz="8" w:space="0"/>
              <w:right w:val="single" w:color="auto" w:sz="8" w:space="0"/>
            </w:tcBorders>
            <w:shd w:val="clear" w:color="auto" w:fill="auto"/>
            <w:vAlign w:val="center"/>
            <w:hideMark/>
          </w:tcPr>
          <w:p w:rsidRPr="00921CE1" w:rsidR="00921CE1" w:rsidP="00921CE1" w:rsidRDefault="00921CE1" w14:paraId="276546B8" w14:textId="77777777">
            <w:pPr>
              <w:widowControl/>
              <w:autoSpaceDE/>
              <w:autoSpaceDN/>
              <w:adjustRightInd/>
              <w:jc w:val="center"/>
              <w:rPr>
                <w:color w:val="000000"/>
                <w:sz w:val="20"/>
                <w:szCs w:val="20"/>
              </w:rPr>
            </w:pPr>
            <w:r w:rsidRPr="00921CE1">
              <w:rPr>
                <w:color w:val="000000"/>
                <w:sz w:val="20"/>
                <w:szCs w:val="20"/>
              </w:rPr>
              <w:t>Total</w:t>
            </w:r>
          </w:p>
        </w:tc>
        <w:tc>
          <w:tcPr>
            <w:tcW w:w="1406" w:type="dxa"/>
            <w:tcBorders>
              <w:top w:val="nil"/>
              <w:left w:val="nil"/>
              <w:bottom w:val="single" w:color="auto" w:sz="8" w:space="0"/>
              <w:right w:val="single" w:color="auto" w:sz="8" w:space="0"/>
            </w:tcBorders>
            <w:shd w:val="clear" w:color="auto" w:fill="auto"/>
            <w:vAlign w:val="center"/>
            <w:hideMark/>
          </w:tcPr>
          <w:p w:rsidRPr="00921CE1" w:rsidR="00921CE1" w:rsidP="00921CE1" w:rsidRDefault="00921CE1" w14:paraId="7356C2DA" w14:textId="77777777">
            <w:pPr>
              <w:widowControl/>
              <w:autoSpaceDE/>
              <w:autoSpaceDN/>
              <w:adjustRightInd/>
              <w:jc w:val="center"/>
              <w:rPr>
                <w:color w:val="000000"/>
                <w:sz w:val="20"/>
                <w:szCs w:val="20"/>
              </w:rPr>
            </w:pPr>
            <w:r w:rsidRPr="00921CE1">
              <w:rPr>
                <w:color w:val="000000"/>
                <w:sz w:val="20"/>
                <w:szCs w:val="20"/>
              </w:rPr>
              <w:t>In Establishments with Compliant Lockout/ Tagout Programs When</w:t>
            </w:r>
            <w:r w:rsidR="00D621B4">
              <w:rPr>
                <w:color w:val="000000"/>
                <w:sz w:val="20"/>
                <w:szCs w:val="20"/>
              </w:rPr>
              <w:t xml:space="preserve">  the</w:t>
            </w:r>
            <w:r w:rsidRPr="00921CE1">
              <w:rPr>
                <w:color w:val="000000"/>
                <w:sz w:val="20"/>
                <w:szCs w:val="20"/>
              </w:rPr>
              <w:t xml:space="preserve"> Standard Published</w:t>
            </w:r>
          </w:p>
        </w:tc>
        <w:tc>
          <w:tcPr>
            <w:tcW w:w="1536" w:type="dxa"/>
            <w:tcBorders>
              <w:top w:val="nil"/>
              <w:left w:val="nil"/>
              <w:bottom w:val="single" w:color="auto" w:sz="8" w:space="0"/>
              <w:right w:val="single" w:color="auto" w:sz="8" w:space="0"/>
            </w:tcBorders>
            <w:shd w:val="clear" w:color="auto" w:fill="auto"/>
            <w:vAlign w:val="center"/>
            <w:hideMark/>
          </w:tcPr>
          <w:p w:rsidRPr="00921CE1" w:rsidR="00921CE1" w:rsidP="00921CE1" w:rsidRDefault="00921CE1" w14:paraId="627E265F" w14:textId="77777777">
            <w:pPr>
              <w:widowControl/>
              <w:autoSpaceDE/>
              <w:autoSpaceDN/>
              <w:adjustRightInd/>
              <w:jc w:val="center"/>
              <w:rPr>
                <w:color w:val="000000"/>
                <w:sz w:val="20"/>
                <w:szCs w:val="20"/>
              </w:rPr>
            </w:pPr>
            <w:r w:rsidRPr="00921CE1">
              <w:rPr>
                <w:color w:val="000000"/>
                <w:sz w:val="20"/>
                <w:szCs w:val="20"/>
              </w:rPr>
              <w:t>In Establishments without Lockout/ Tagout Programs When</w:t>
            </w:r>
            <w:r w:rsidR="00D621B4">
              <w:rPr>
                <w:color w:val="000000"/>
                <w:sz w:val="20"/>
                <w:szCs w:val="20"/>
              </w:rPr>
              <w:t xml:space="preserve"> the</w:t>
            </w:r>
            <w:r w:rsidRPr="00921CE1">
              <w:rPr>
                <w:color w:val="000000"/>
                <w:sz w:val="20"/>
                <w:szCs w:val="20"/>
              </w:rPr>
              <w:t xml:space="preserve"> Standard Published</w:t>
            </w:r>
          </w:p>
        </w:tc>
        <w:tc>
          <w:tcPr>
            <w:tcW w:w="965" w:type="dxa"/>
            <w:tcBorders>
              <w:top w:val="nil"/>
              <w:left w:val="nil"/>
              <w:bottom w:val="single" w:color="auto" w:sz="8" w:space="0"/>
              <w:right w:val="single" w:color="auto" w:sz="8" w:space="0"/>
            </w:tcBorders>
            <w:shd w:val="clear" w:color="auto" w:fill="auto"/>
            <w:vAlign w:val="center"/>
            <w:hideMark/>
          </w:tcPr>
          <w:p w:rsidRPr="00921CE1" w:rsidR="00921CE1" w:rsidP="00921CE1" w:rsidRDefault="00921CE1" w14:paraId="1C92EA0C" w14:textId="77777777">
            <w:pPr>
              <w:widowControl/>
              <w:autoSpaceDE/>
              <w:autoSpaceDN/>
              <w:adjustRightInd/>
              <w:jc w:val="center"/>
              <w:rPr>
                <w:color w:val="000000"/>
                <w:sz w:val="20"/>
                <w:szCs w:val="20"/>
              </w:rPr>
            </w:pPr>
            <w:r w:rsidRPr="00921CE1">
              <w:rPr>
                <w:color w:val="000000"/>
                <w:sz w:val="20"/>
                <w:szCs w:val="20"/>
              </w:rPr>
              <w:t>Total</w:t>
            </w:r>
          </w:p>
        </w:tc>
        <w:tc>
          <w:tcPr>
            <w:tcW w:w="1545" w:type="dxa"/>
            <w:tcBorders>
              <w:top w:val="nil"/>
              <w:left w:val="nil"/>
              <w:bottom w:val="single" w:color="auto" w:sz="8" w:space="0"/>
              <w:right w:val="single" w:color="auto" w:sz="8" w:space="0"/>
            </w:tcBorders>
            <w:shd w:val="clear" w:color="auto" w:fill="auto"/>
            <w:vAlign w:val="center"/>
            <w:hideMark/>
          </w:tcPr>
          <w:p w:rsidRPr="00921CE1" w:rsidR="00921CE1" w:rsidP="00921CE1" w:rsidRDefault="00921CE1" w14:paraId="4B29988A" w14:textId="77777777">
            <w:pPr>
              <w:widowControl/>
              <w:autoSpaceDE/>
              <w:autoSpaceDN/>
              <w:adjustRightInd/>
              <w:jc w:val="center"/>
              <w:rPr>
                <w:color w:val="000000"/>
                <w:sz w:val="20"/>
                <w:szCs w:val="20"/>
              </w:rPr>
            </w:pPr>
            <w:r w:rsidRPr="00921CE1">
              <w:rPr>
                <w:color w:val="000000"/>
                <w:sz w:val="20"/>
                <w:szCs w:val="20"/>
              </w:rPr>
              <w:t>In Establishments with Compliant Lockout/Tagout Programs When</w:t>
            </w:r>
            <w:r w:rsidR="00D621B4">
              <w:rPr>
                <w:color w:val="000000"/>
                <w:sz w:val="20"/>
                <w:szCs w:val="20"/>
              </w:rPr>
              <w:t xml:space="preserve"> the </w:t>
            </w:r>
            <w:r w:rsidRPr="00921CE1">
              <w:rPr>
                <w:color w:val="000000"/>
                <w:sz w:val="20"/>
                <w:szCs w:val="20"/>
              </w:rPr>
              <w:t xml:space="preserve"> Standard Published</w:t>
            </w:r>
          </w:p>
        </w:tc>
        <w:tc>
          <w:tcPr>
            <w:tcW w:w="1514" w:type="dxa"/>
            <w:tcBorders>
              <w:top w:val="nil"/>
              <w:left w:val="nil"/>
              <w:bottom w:val="single" w:color="auto" w:sz="8" w:space="0"/>
              <w:right w:val="single" w:color="auto" w:sz="8" w:space="0"/>
            </w:tcBorders>
            <w:shd w:val="clear" w:color="auto" w:fill="auto"/>
            <w:vAlign w:val="center"/>
            <w:hideMark/>
          </w:tcPr>
          <w:p w:rsidRPr="00921CE1" w:rsidR="00921CE1" w:rsidP="00921CE1" w:rsidRDefault="00921CE1" w14:paraId="15CDB93B" w14:textId="77777777">
            <w:pPr>
              <w:widowControl/>
              <w:autoSpaceDE/>
              <w:autoSpaceDN/>
              <w:adjustRightInd/>
              <w:jc w:val="center"/>
              <w:rPr>
                <w:color w:val="000000"/>
                <w:sz w:val="20"/>
                <w:szCs w:val="20"/>
              </w:rPr>
            </w:pPr>
            <w:r w:rsidRPr="00921CE1">
              <w:rPr>
                <w:color w:val="000000"/>
                <w:sz w:val="20"/>
                <w:szCs w:val="20"/>
              </w:rPr>
              <w:t>In Establishments without Lockout /Tagout Programs When</w:t>
            </w:r>
            <w:r w:rsidR="00D621B4">
              <w:rPr>
                <w:color w:val="000000"/>
                <w:sz w:val="20"/>
                <w:szCs w:val="20"/>
              </w:rPr>
              <w:t xml:space="preserve"> the</w:t>
            </w:r>
            <w:r w:rsidRPr="00921CE1">
              <w:rPr>
                <w:color w:val="000000"/>
                <w:sz w:val="20"/>
                <w:szCs w:val="20"/>
              </w:rPr>
              <w:t xml:space="preserve"> Standard Published</w:t>
            </w:r>
          </w:p>
        </w:tc>
      </w:tr>
      <w:tr w:rsidRPr="00921CE1" w:rsidR="00921CE1" w:rsidTr="00921CE1" w14:paraId="1B07BD8C" w14:textId="77777777">
        <w:trPr>
          <w:trHeight w:val="270"/>
        </w:trPr>
        <w:tc>
          <w:tcPr>
            <w:tcW w:w="1029" w:type="dxa"/>
            <w:tcBorders>
              <w:top w:val="nil"/>
              <w:left w:val="single" w:color="auto" w:sz="8" w:space="0"/>
              <w:bottom w:val="single" w:color="auto" w:sz="8" w:space="0"/>
              <w:right w:val="single" w:color="auto" w:sz="8" w:space="0"/>
            </w:tcBorders>
            <w:shd w:val="clear" w:color="auto" w:fill="auto"/>
            <w:noWrap/>
            <w:vAlign w:val="center"/>
            <w:hideMark/>
          </w:tcPr>
          <w:p w:rsidRPr="00921CE1" w:rsidR="00921CE1" w:rsidP="00921CE1" w:rsidRDefault="00921CE1" w14:paraId="2E20E238" w14:textId="77777777">
            <w:pPr>
              <w:widowControl/>
              <w:autoSpaceDE/>
              <w:autoSpaceDN/>
              <w:adjustRightInd/>
              <w:rPr>
                <w:color w:val="000000"/>
                <w:sz w:val="20"/>
                <w:szCs w:val="20"/>
              </w:rPr>
            </w:pPr>
            <w:r w:rsidRPr="00921CE1">
              <w:rPr>
                <w:color w:val="000000"/>
                <w:sz w:val="20"/>
                <w:szCs w:val="20"/>
              </w:rPr>
              <w:t>Very Small</w:t>
            </w:r>
          </w:p>
        </w:tc>
        <w:tc>
          <w:tcPr>
            <w:tcW w:w="1201"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3E935137" w14:textId="77777777">
            <w:pPr>
              <w:widowControl/>
              <w:autoSpaceDE/>
              <w:autoSpaceDN/>
              <w:adjustRightInd/>
              <w:jc w:val="center"/>
              <w:rPr>
                <w:color w:val="000000"/>
                <w:sz w:val="20"/>
                <w:szCs w:val="20"/>
              </w:rPr>
            </w:pPr>
            <w:r w:rsidRPr="00921CE1">
              <w:rPr>
                <w:color w:val="000000"/>
                <w:sz w:val="20"/>
                <w:szCs w:val="20"/>
              </w:rPr>
              <w:t>&lt;20</w:t>
            </w:r>
          </w:p>
        </w:tc>
        <w:tc>
          <w:tcPr>
            <w:tcW w:w="1384"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349F80C6" w14:textId="77777777">
            <w:pPr>
              <w:widowControl/>
              <w:autoSpaceDE/>
              <w:autoSpaceDN/>
              <w:adjustRightInd/>
              <w:jc w:val="center"/>
              <w:rPr>
                <w:color w:val="000000"/>
                <w:sz w:val="20"/>
                <w:szCs w:val="20"/>
              </w:rPr>
            </w:pPr>
            <w:r w:rsidRPr="00921CE1">
              <w:rPr>
                <w:color w:val="000000"/>
                <w:sz w:val="20"/>
                <w:szCs w:val="20"/>
              </w:rPr>
              <w:t>201,909</w:t>
            </w:r>
          </w:p>
        </w:tc>
        <w:tc>
          <w:tcPr>
            <w:tcW w:w="1406"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661C04F1" w14:textId="77777777">
            <w:pPr>
              <w:widowControl/>
              <w:autoSpaceDE/>
              <w:autoSpaceDN/>
              <w:adjustRightInd/>
              <w:jc w:val="center"/>
              <w:rPr>
                <w:color w:val="000000"/>
                <w:sz w:val="20"/>
                <w:szCs w:val="20"/>
              </w:rPr>
            </w:pPr>
            <w:r w:rsidRPr="00921CE1">
              <w:rPr>
                <w:color w:val="000000"/>
                <w:sz w:val="20"/>
                <w:szCs w:val="20"/>
              </w:rPr>
              <w:t>201,909</w:t>
            </w:r>
          </w:p>
        </w:tc>
        <w:tc>
          <w:tcPr>
            <w:tcW w:w="1166"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5BF689A9" w14:textId="77777777">
            <w:pPr>
              <w:widowControl/>
              <w:autoSpaceDE/>
              <w:autoSpaceDN/>
              <w:adjustRightInd/>
              <w:jc w:val="center"/>
              <w:rPr>
                <w:color w:val="000000"/>
                <w:sz w:val="20"/>
                <w:szCs w:val="20"/>
              </w:rPr>
            </w:pPr>
            <w:r w:rsidRPr="00921CE1">
              <w:rPr>
                <w:color w:val="000000"/>
                <w:sz w:val="20"/>
                <w:szCs w:val="20"/>
              </w:rPr>
              <w:t>1,143,243</w:t>
            </w:r>
          </w:p>
        </w:tc>
        <w:tc>
          <w:tcPr>
            <w:tcW w:w="884"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1C0BF8C1" w14:textId="77777777">
            <w:pPr>
              <w:widowControl/>
              <w:autoSpaceDE/>
              <w:autoSpaceDN/>
              <w:adjustRightInd/>
              <w:jc w:val="center"/>
              <w:rPr>
                <w:color w:val="000000"/>
                <w:sz w:val="20"/>
                <w:szCs w:val="20"/>
              </w:rPr>
            </w:pPr>
            <w:r w:rsidRPr="00921CE1">
              <w:rPr>
                <w:color w:val="000000"/>
                <w:sz w:val="20"/>
                <w:szCs w:val="20"/>
              </w:rPr>
              <w:t>114,324</w:t>
            </w:r>
          </w:p>
        </w:tc>
        <w:tc>
          <w:tcPr>
            <w:tcW w:w="1406"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1252CE38" w14:textId="77777777">
            <w:pPr>
              <w:widowControl/>
              <w:autoSpaceDE/>
              <w:autoSpaceDN/>
              <w:adjustRightInd/>
              <w:jc w:val="center"/>
              <w:rPr>
                <w:color w:val="000000"/>
                <w:sz w:val="20"/>
                <w:szCs w:val="20"/>
              </w:rPr>
            </w:pPr>
            <w:r w:rsidRPr="00921CE1">
              <w:rPr>
                <w:color w:val="000000"/>
                <w:sz w:val="20"/>
                <w:szCs w:val="20"/>
              </w:rPr>
              <w:t>22,865</w:t>
            </w:r>
          </w:p>
        </w:tc>
        <w:tc>
          <w:tcPr>
            <w:tcW w:w="1536"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0DBE0679" w14:textId="77777777">
            <w:pPr>
              <w:widowControl/>
              <w:autoSpaceDE/>
              <w:autoSpaceDN/>
              <w:adjustRightInd/>
              <w:jc w:val="center"/>
              <w:rPr>
                <w:color w:val="000000"/>
                <w:sz w:val="20"/>
                <w:szCs w:val="20"/>
              </w:rPr>
            </w:pPr>
            <w:r w:rsidRPr="00921CE1">
              <w:rPr>
                <w:color w:val="000000"/>
                <w:sz w:val="20"/>
                <w:szCs w:val="20"/>
              </w:rPr>
              <w:t>91,459</w:t>
            </w:r>
          </w:p>
        </w:tc>
        <w:tc>
          <w:tcPr>
            <w:tcW w:w="965"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4E0B186A" w14:textId="77777777">
            <w:pPr>
              <w:widowControl/>
              <w:autoSpaceDE/>
              <w:autoSpaceDN/>
              <w:adjustRightInd/>
              <w:jc w:val="center"/>
              <w:rPr>
                <w:color w:val="000000"/>
                <w:sz w:val="20"/>
                <w:szCs w:val="20"/>
              </w:rPr>
            </w:pPr>
            <w:r w:rsidRPr="00921CE1">
              <w:rPr>
                <w:color w:val="000000"/>
                <w:sz w:val="20"/>
                <w:szCs w:val="20"/>
              </w:rPr>
              <w:t>114,324</w:t>
            </w:r>
          </w:p>
        </w:tc>
        <w:tc>
          <w:tcPr>
            <w:tcW w:w="1545"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1AB466CA" w14:textId="77777777">
            <w:pPr>
              <w:widowControl/>
              <w:autoSpaceDE/>
              <w:autoSpaceDN/>
              <w:adjustRightInd/>
              <w:jc w:val="center"/>
              <w:rPr>
                <w:color w:val="000000"/>
                <w:sz w:val="20"/>
                <w:szCs w:val="20"/>
              </w:rPr>
            </w:pPr>
            <w:r w:rsidRPr="00921CE1">
              <w:rPr>
                <w:color w:val="000000"/>
                <w:sz w:val="20"/>
                <w:szCs w:val="20"/>
              </w:rPr>
              <w:t>22,865</w:t>
            </w:r>
          </w:p>
        </w:tc>
        <w:tc>
          <w:tcPr>
            <w:tcW w:w="1514"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15D8036A" w14:textId="77777777">
            <w:pPr>
              <w:widowControl/>
              <w:autoSpaceDE/>
              <w:autoSpaceDN/>
              <w:adjustRightInd/>
              <w:jc w:val="center"/>
              <w:rPr>
                <w:color w:val="000000"/>
                <w:sz w:val="20"/>
                <w:szCs w:val="20"/>
              </w:rPr>
            </w:pPr>
            <w:r w:rsidRPr="00921CE1">
              <w:rPr>
                <w:color w:val="000000"/>
                <w:sz w:val="20"/>
                <w:szCs w:val="20"/>
              </w:rPr>
              <w:t>91,459</w:t>
            </w:r>
          </w:p>
        </w:tc>
      </w:tr>
      <w:tr w:rsidRPr="00921CE1" w:rsidR="00921CE1" w:rsidTr="00921CE1" w14:paraId="31ACDCBB" w14:textId="77777777">
        <w:trPr>
          <w:trHeight w:val="270"/>
        </w:trPr>
        <w:tc>
          <w:tcPr>
            <w:tcW w:w="1029" w:type="dxa"/>
            <w:tcBorders>
              <w:top w:val="nil"/>
              <w:left w:val="single" w:color="auto" w:sz="8" w:space="0"/>
              <w:bottom w:val="single" w:color="auto" w:sz="8" w:space="0"/>
              <w:right w:val="single" w:color="auto" w:sz="8" w:space="0"/>
            </w:tcBorders>
            <w:shd w:val="clear" w:color="auto" w:fill="auto"/>
            <w:noWrap/>
            <w:vAlign w:val="center"/>
            <w:hideMark/>
          </w:tcPr>
          <w:p w:rsidRPr="00921CE1" w:rsidR="00921CE1" w:rsidP="00921CE1" w:rsidRDefault="00921CE1" w14:paraId="12FF54A4" w14:textId="77777777">
            <w:pPr>
              <w:widowControl/>
              <w:autoSpaceDE/>
              <w:autoSpaceDN/>
              <w:adjustRightInd/>
              <w:rPr>
                <w:color w:val="000000"/>
                <w:sz w:val="20"/>
                <w:szCs w:val="20"/>
              </w:rPr>
            </w:pPr>
            <w:r w:rsidRPr="00921CE1">
              <w:rPr>
                <w:color w:val="000000"/>
                <w:sz w:val="20"/>
                <w:szCs w:val="20"/>
              </w:rPr>
              <w:t>Small</w:t>
            </w:r>
          </w:p>
        </w:tc>
        <w:tc>
          <w:tcPr>
            <w:tcW w:w="1201"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685ED491" w14:textId="77777777">
            <w:pPr>
              <w:widowControl/>
              <w:autoSpaceDE/>
              <w:autoSpaceDN/>
              <w:adjustRightInd/>
              <w:jc w:val="center"/>
              <w:rPr>
                <w:color w:val="000000"/>
                <w:sz w:val="20"/>
                <w:szCs w:val="20"/>
              </w:rPr>
            </w:pPr>
            <w:r w:rsidRPr="00921CE1">
              <w:rPr>
                <w:color w:val="000000"/>
                <w:sz w:val="20"/>
                <w:szCs w:val="20"/>
              </w:rPr>
              <w:t>20-99</w:t>
            </w:r>
          </w:p>
        </w:tc>
        <w:tc>
          <w:tcPr>
            <w:tcW w:w="1384"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190DB956" w14:textId="77777777">
            <w:pPr>
              <w:widowControl/>
              <w:autoSpaceDE/>
              <w:autoSpaceDN/>
              <w:adjustRightInd/>
              <w:jc w:val="center"/>
              <w:rPr>
                <w:color w:val="000000"/>
                <w:sz w:val="20"/>
                <w:szCs w:val="20"/>
              </w:rPr>
            </w:pPr>
            <w:r w:rsidRPr="00921CE1">
              <w:rPr>
                <w:color w:val="000000"/>
                <w:sz w:val="20"/>
                <w:szCs w:val="20"/>
              </w:rPr>
              <w:t>63,860</w:t>
            </w:r>
          </w:p>
        </w:tc>
        <w:tc>
          <w:tcPr>
            <w:tcW w:w="1406"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3E8BD8FB" w14:textId="77777777">
            <w:pPr>
              <w:widowControl/>
              <w:autoSpaceDE/>
              <w:autoSpaceDN/>
              <w:adjustRightInd/>
              <w:jc w:val="center"/>
              <w:rPr>
                <w:color w:val="000000"/>
                <w:sz w:val="20"/>
                <w:szCs w:val="20"/>
              </w:rPr>
            </w:pPr>
            <w:r w:rsidRPr="00921CE1">
              <w:rPr>
                <w:color w:val="000000"/>
                <w:sz w:val="20"/>
                <w:szCs w:val="20"/>
              </w:rPr>
              <w:t>63,860</w:t>
            </w:r>
          </w:p>
        </w:tc>
        <w:tc>
          <w:tcPr>
            <w:tcW w:w="1166"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160FECA1" w14:textId="77777777">
            <w:pPr>
              <w:widowControl/>
              <w:autoSpaceDE/>
              <w:autoSpaceDN/>
              <w:adjustRightInd/>
              <w:jc w:val="center"/>
              <w:rPr>
                <w:color w:val="000000"/>
                <w:sz w:val="20"/>
                <w:szCs w:val="20"/>
              </w:rPr>
            </w:pPr>
            <w:r w:rsidRPr="00921CE1">
              <w:rPr>
                <w:color w:val="000000"/>
                <w:sz w:val="20"/>
                <w:szCs w:val="20"/>
              </w:rPr>
              <w:t>2,808,096</w:t>
            </w:r>
          </w:p>
        </w:tc>
        <w:tc>
          <w:tcPr>
            <w:tcW w:w="884"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7BF58EFD" w14:textId="77777777">
            <w:pPr>
              <w:widowControl/>
              <w:autoSpaceDE/>
              <w:autoSpaceDN/>
              <w:adjustRightInd/>
              <w:jc w:val="center"/>
              <w:rPr>
                <w:color w:val="000000"/>
                <w:sz w:val="20"/>
                <w:szCs w:val="20"/>
              </w:rPr>
            </w:pPr>
            <w:r w:rsidRPr="00921CE1">
              <w:rPr>
                <w:color w:val="000000"/>
                <w:sz w:val="20"/>
                <w:szCs w:val="20"/>
              </w:rPr>
              <w:t>280,810</w:t>
            </w:r>
          </w:p>
        </w:tc>
        <w:tc>
          <w:tcPr>
            <w:tcW w:w="1406"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167B6A16" w14:textId="77777777">
            <w:pPr>
              <w:widowControl/>
              <w:autoSpaceDE/>
              <w:autoSpaceDN/>
              <w:adjustRightInd/>
              <w:jc w:val="center"/>
              <w:rPr>
                <w:color w:val="000000"/>
                <w:sz w:val="20"/>
                <w:szCs w:val="20"/>
              </w:rPr>
            </w:pPr>
            <w:r w:rsidRPr="00921CE1">
              <w:rPr>
                <w:color w:val="000000"/>
                <w:sz w:val="20"/>
                <w:szCs w:val="20"/>
              </w:rPr>
              <w:t>126,364</w:t>
            </w:r>
          </w:p>
        </w:tc>
        <w:tc>
          <w:tcPr>
            <w:tcW w:w="1536"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17A1904E" w14:textId="77777777">
            <w:pPr>
              <w:widowControl/>
              <w:autoSpaceDE/>
              <w:autoSpaceDN/>
              <w:adjustRightInd/>
              <w:jc w:val="center"/>
              <w:rPr>
                <w:color w:val="000000"/>
                <w:sz w:val="20"/>
                <w:szCs w:val="20"/>
              </w:rPr>
            </w:pPr>
            <w:r w:rsidRPr="00921CE1">
              <w:rPr>
                <w:color w:val="000000"/>
                <w:sz w:val="20"/>
                <w:szCs w:val="20"/>
              </w:rPr>
              <w:t>154,445</w:t>
            </w:r>
          </w:p>
        </w:tc>
        <w:tc>
          <w:tcPr>
            <w:tcW w:w="965"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2C29D0A9" w14:textId="77777777">
            <w:pPr>
              <w:widowControl/>
              <w:autoSpaceDE/>
              <w:autoSpaceDN/>
              <w:adjustRightInd/>
              <w:jc w:val="center"/>
              <w:rPr>
                <w:color w:val="000000"/>
                <w:sz w:val="20"/>
                <w:szCs w:val="20"/>
              </w:rPr>
            </w:pPr>
            <w:r w:rsidRPr="00921CE1">
              <w:rPr>
                <w:color w:val="000000"/>
                <w:sz w:val="20"/>
                <w:szCs w:val="20"/>
              </w:rPr>
              <w:t>561,619</w:t>
            </w:r>
          </w:p>
        </w:tc>
        <w:tc>
          <w:tcPr>
            <w:tcW w:w="1545"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5B36B271" w14:textId="77777777">
            <w:pPr>
              <w:widowControl/>
              <w:autoSpaceDE/>
              <w:autoSpaceDN/>
              <w:adjustRightInd/>
              <w:jc w:val="center"/>
              <w:rPr>
                <w:color w:val="000000"/>
                <w:sz w:val="20"/>
                <w:szCs w:val="20"/>
              </w:rPr>
            </w:pPr>
            <w:r w:rsidRPr="00921CE1">
              <w:rPr>
                <w:color w:val="000000"/>
                <w:sz w:val="20"/>
                <w:szCs w:val="20"/>
              </w:rPr>
              <w:t>252,729</w:t>
            </w:r>
          </w:p>
        </w:tc>
        <w:tc>
          <w:tcPr>
            <w:tcW w:w="1514"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5C688B17" w14:textId="77777777">
            <w:pPr>
              <w:widowControl/>
              <w:autoSpaceDE/>
              <w:autoSpaceDN/>
              <w:adjustRightInd/>
              <w:jc w:val="center"/>
              <w:rPr>
                <w:color w:val="000000"/>
                <w:sz w:val="20"/>
                <w:szCs w:val="20"/>
              </w:rPr>
            </w:pPr>
            <w:r w:rsidRPr="00921CE1">
              <w:rPr>
                <w:color w:val="000000"/>
                <w:sz w:val="20"/>
                <w:szCs w:val="20"/>
              </w:rPr>
              <w:t>308,891</w:t>
            </w:r>
          </w:p>
        </w:tc>
      </w:tr>
      <w:tr w:rsidRPr="00921CE1" w:rsidR="00921CE1" w:rsidTr="00921CE1" w14:paraId="2E9944E5" w14:textId="77777777">
        <w:trPr>
          <w:trHeight w:val="270"/>
        </w:trPr>
        <w:tc>
          <w:tcPr>
            <w:tcW w:w="1029" w:type="dxa"/>
            <w:tcBorders>
              <w:top w:val="nil"/>
              <w:left w:val="single" w:color="auto" w:sz="8" w:space="0"/>
              <w:bottom w:val="single" w:color="auto" w:sz="8" w:space="0"/>
              <w:right w:val="single" w:color="auto" w:sz="8" w:space="0"/>
            </w:tcBorders>
            <w:shd w:val="clear" w:color="auto" w:fill="auto"/>
            <w:noWrap/>
            <w:vAlign w:val="center"/>
            <w:hideMark/>
          </w:tcPr>
          <w:p w:rsidRPr="00921CE1" w:rsidR="00921CE1" w:rsidP="00921CE1" w:rsidRDefault="00921CE1" w14:paraId="4F9CB093" w14:textId="77777777">
            <w:pPr>
              <w:widowControl/>
              <w:autoSpaceDE/>
              <w:autoSpaceDN/>
              <w:adjustRightInd/>
              <w:rPr>
                <w:color w:val="000000"/>
                <w:sz w:val="20"/>
                <w:szCs w:val="20"/>
              </w:rPr>
            </w:pPr>
            <w:r w:rsidRPr="00921CE1">
              <w:rPr>
                <w:color w:val="000000"/>
                <w:sz w:val="20"/>
                <w:szCs w:val="20"/>
              </w:rPr>
              <w:t>Medium</w:t>
            </w:r>
          </w:p>
        </w:tc>
        <w:tc>
          <w:tcPr>
            <w:tcW w:w="1201"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492ECB8C" w14:textId="77777777">
            <w:pPr>
              <w:widowControl/>
              <w:autoSpaceDE/>
              <w:autoSpaceDN/>
              <w:adjustRightInd/>
              <w:jc w:val="center"/>
              <w:rPr>
                <w:color w:val="000000"/>
                <w:sz w:val="20"/>
                <w:szCs w:val="20"/>
              </w:rPr>
            </w:pPr>
            <w:r w:rsidRPr="00921CE1">
              <w:rPr>
                <w:color w:val="000000"/>
                <w:sz w:val="20"/>
                <w:szCs w:val="20"/>
              </w:rPr>
              <w:t>100-249</w:t>
            </w:r>
          </w:p>
        </w:tc>
        <w:tc>
          <w:tcPr>
            <w:tcW w:w="1384"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23439307" w14:textId="77777777">
            <w:pPr>
              <w:widowControl/>
              <w:autoSpaceDE/>
              <w:autoSpaceDN/>
              <w:adjustRightInd/>
              <w:jc w:val="center"/>
              <w:rPr>
                <w:color w:val="000000"/>
                <w:sz w:val="20"/>
                <w:szCs w:val="20"/>
              </w:rPr>
            </w:pPr>
            <w:r w:rsidRPr="00921CE1">
              <w:rPr>
                <w:color w:val="000000"/>
                <w:sz w:val="20"/>
                <w:szCs w:val="20"/>
              </w:rPr>
              <w:t>16,558</w:t>
            </w:r>
          </w:p>
        </w:tc>
        <w:tc>
          <w:tcPr>
            <w:tcW w:w="1406"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726C2CDC" w14:textId="77777777">
            <w:pPr>
              <w:widowControl/>
              <w:autoSpaceDE/>
              <w:autoSpaceDN/>
              <w:adjustRightInd/>
              <w:jc w:val="center"/>
              <w:rPr>
                <w:color w:val="000000"/>
                <w:sz w:val="20"/>
                <w:szCs w:val="20"/>
              </w:rPr>
            </w:pPr>
            <w:r w:rsidRPr="00921CE1">
              <w:rPr>
                <w:color w:val="000000"/>
                <w:sz w:val="20"/>
                <w:szCs w:val="20"/>
              </w:rPr>
              <w:t>16,558</w:t>
            </w:r>
          </w:p>
        </w:tc>
        <w:tc>
          <w:tcPr>
            <w:tcW w:w="1166"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3B01F267" w14:textId="77777777">
            <w:pPr>
              <w:widowControl/>
              <w:autoSpaceDE/>
              <w:autoSpaceDN/>
              <w:adjustRightInd/>
              <w:jc w:val="center"/>
              <w:rPr>
                <w:color w:val="000000"/>
                <w:sz w:val="20"/>
                <w:szCs w:val="20"/>
              </w:rPr>
            </w:pPr>
            <w:r w:rsidRPr="00921CE1">
              <w:rPr>
                <w:color w:val="000000"/>
                <w:sz w:val="20"/>
                <w:szCs w:val="20"/>
              </w:rPr>
              <w:t>2,540,984</w:t>
            </w:r>
          </w:p>
        </w:tc>
        <w:tc>
          <w:tcPr>
            <w:tcW w:w="884"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54BD2445" w14:textId="77777777">
            <w:pPr>
              <w:widowControl/>
              <w:autoSpaceDE/>
              <w:autoSpaceDN/>
              <w:adjustRightInd/>
              <w:jc w:val="center"/>
              <w:rPr>
                <w:color w:val="000000"/>
                <w:sz w:val="20"/>
                <w:szCs w:val="20"/>
              </w:rPr>
            </w:pPr>
            <w:r w:rsidRPr="00921CE1">
              <w:rPr>
                <w:color w:val="000000"/>
                <w:sz w:val="20"/>
                <w:szCs w:val="20"/>
              </w:rPr>
              <w:t>254,098</w:t>
            </w:r>
          </w:p>
        </w:tc>
        <w:tc>
          <w:tcPr>
            <w:tcW w:w="1406"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77255683" w14:textId="77777777">
            <w:pPr>
              <w:widowControl/>
              <w:autoSpaceDE/>
              <w:autoSpaceDN/>
              <w:adjustRightInd/>
              <w:jc w:val="center"/>
              <w:rPr>
                <w:color w:val="000000"/>
                <w:sz w:val="20"/>
                <w:szCs w:val="20"/>
              </w:rPr>
            </w:pPr>
            <w:r w:rsidRPr="00921CE1">
              <w:rPr>
                <w:color w:val="000000"/>
                <w:sz w:val="20"/>
                <w:szCs w:val="20"/>
              </w:rPr>
              <w:t>165,164</w:t>
            </w:r>
          </w:p>
        </w:tc>
        <w:tc>
          <w:tcPr>
            <w:tcW w:w="1536"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6E74CB8F" w14:textId="77777777">
            <w:pPr>
              <w:widowControl/>
              <w:autoSpaceDE/>
              <w:autoSpaceDN/>
              <w:adjustRightInd/>
              <w:jc w:val="center"/>
              <w:rPr>
                <w:color w:val="000000"/>
                <w:sz w:val="20"/>
                <w:szCs w:val="20"/>
              </w:rPr>
            </w:pPr>
            <w:r w:rsidRPr="00921CE1">
              <w:rPr>
                <w:color w:val="000000"/>
                <w:sz w:val="20"/>
                <w:szCs w:val="20"/>
              </w:rPr>
              <w:t>88,934</w:t>
            </w:r>
          </w:p>
        </w:tc>
        <w:tc>
          <w:tcPr>
            <w:tcW w:w="965"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11B2236A" w14:textId="77777777">
            <w:pPr>
              <w:widowControl/>
              <w:autoSpaceDE/>
              <w:autoSpaceDN/>
              <w:adjustRightInd/>
              <w:jc w:val="center"/>
              <w:rPr>
                <w:color w:val="000000"/>
                <w:sz w:val="20"/>
                <w:szCs w:val="20"/>
              </w:rPr>
            </w:pPr>
            <w:r w:rsidRPr="00921CE1">
              <w:rPr>
                <w:color w:val="000000"/>
                <w:sz w:val="20"/>
                <w:szCs w:val="20"/>
              </w:rPr>
              <w:t>508,197</w:t>
            </w:r>
          </w:p>
        </w:tc>
        <w:tc>
          <w:tcPr>
            <w:tcW w:w="1545"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7A0553B9" w14:textId="77777777">
            <w:pPr>
              <w:widowControl/>
              <w:autoSpaceDE/>
              <w:autoSpaceDN/>
              <w:adjustRightInd/>
              <w:jc w:val="center"/>
              <w:rPr>
                <w:color w:val="000000"/>
                <w:sz w:val="20"/>
                <w:szCs w:val="20"/>
              </w:rPr>
            </w:pPr>
            <w:r w:rsidRPr="00921CE1">
              <w:rPr>
                <w:color w:val="000000"/>
                <w:sz w:val="20"/>
                <w:szCs w:val="20"/>
              </w:rPr>
              <w:t>330,328</w:t>
            </w:r>
          </w:p>
        </w:tc>
        <w:tc>
          <w:tcPr>
            <w:tcW w:w="1514"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3969E595" w14:textId="77777777">
            <w:pPr>
              <w:widowControl/>
              <w:autoSpaceDE/>
              <w:autoSpaceDN/>
              <w:adjustRightInd/>
              <w:jc w:val="center"/>
              <w:rPr>
                <w:color w:val="000000"/>
                <w:sz w:val="20"/>
                <w:szCs w:val="20"/>
              </w:rPr>
            </w:pPr>
            <w:r w:rsidRPr="00921CE1">
              <w:rPr>
                <w:color w:val="000000"/>
                <w:sz w:val="20"/>
                <w:szCs w:val="20"/>
              </w:rPr>
              <w:t>177,869</w:t>
            </w:r>
          </w:p>
        </w:tc>
      </w:tr>
      <w:tr w:rsidRPr="00921CE1" w:rsidR="00921CE1" w:rsidTr="00921CE1" w14:paraId="48A2157A" w14:textId="77777777">
        <w:trPr>
          <w:trHeight w:val="270"/>
        </w:trPr>
        <w:tc>
          <w:tcPr>
            <w:tcW w:w="1029" w:type="dxa"/>
            <w:tcBorders>
              <w:top w:val="nil"/>
              <w:left w:val="single" w:color="auto" w:sz="8" w:space="0"/>
              <w:bottom w:val="single" w:color="auto" w:sz="8" w:space="0"/>
              <w:right w:val="single" w:color="auto" w:sz="8" w:space="0"/>
            </w:tcBorders>
            <w:shd w:val="clear" w:color="auto" w:fill="auto"/>
            <w:noWrap/>
            <w:vAlign w:val="center"/>
            <w:hideMark/>
          </w:tcPr>
          <w:p w:rsidRPr="00921CE1" w:rsidR="00921CE1" w:rsidP="00921CE1" w:rsidRDefault="00921CE1" w14:paraId="48F4CEC5" w14:textId="77777777">
            <w:pPr>
              <w:widowControl/>
              <w:autoSpaceDE/>
              <w:autoSpaceDN/>
              <w:adjustRightInd/>
              <w:rPr>
                <w:color w:val="000000"/>
                <w:sz w:val="20"/>
                <w:szCs w:val="20"/>
              </w:rPr>
            </w:pPr>
            <w:r w:rsidRPr="00921CE1">
              <w:rPr>
                <w:color w:val="000000"/>
                <w:sz w:val="20"/>
                <w:szCs w:val="20"/>
              </w:rPr>
              <w:t>Large</w:t>
            </w:r>
          </w:p>
        </w:tc>
        <w:tc>
          <w:tcPr>
            <w:tcW w:w="1201"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72AD43A4" w14:textId="77777777">
            <w:pPr>
              <w:widowControl/>
              <w:autoSpaceDE/>
              <w:autoSpaceDN/>
              <w:adjustRightInd/>
              <w:jc w:val="center"/>
              <w:rPr>
                <w:color w:val="000000"/>
                <w:sz w:val="20"/>
                <w:szCs w:val="20"/>
              </w:rPr>
            </w:pPr>
            <w:r w:rsidRPr="00921CE1">
              <w:rPr>
                <w:color w:val="000000"/>
                <w:sz w:val="20"/>
                <w:szCs w:val="20"/>
              </w:rPr>
              <w:t>250+</w:t>
            </w:r>
          </w:p>
        </w:tc>
        <w:tc>
          <w:tcPr>
            <w:tcW w:w="1384"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7C08CFE1" w14:textId="77777777">
            <w:pPr>
              <w:widowControl/>
              <w:autoSpaceDE/>
              <w:autoSpaceDN/>
              <w:adjustRightInd/>
              <w:jc w:val="center"/>
              <w:rPr>
                <w:color w:val="000000"/>
                <w:sz w:val="20"/>
                <w:szCs w:val="20"/>
              </w:rPr>
            </w:pPr>
            <w:r w:rsidRPr="00921CE1">
              <w:rPr>
                <w:color w:val="000000"/>
                <w:sz w:val="20"/>
                <w:szCs w:val="20"/>
              </w:rPr>
              <w:t>8,233</w:t>
            </w:r>
          </w:p>
        </w:tc>
        <w:tc>
          <w:tcPr>
            <w:tcW w:w="1406"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791BDAC1" w14:textId="77777777">
            <w:pPr>
              <w:widowControl/>
              <w:autoSpaceDE/>
              <w:autoSpaceDN/>
              <w:adjustRightInd/>
              <w:jc w:val="center"/>
              <w:rPr>
                <w:color w:val="000000"/>
                <w:sz w:val="20"/>
                <w:szCs w:val="20"/>
              </w:rPr>
            </w:pPr>
            <w:r w:rsidRPr="00921CE1">
              <w:rPr>
                <w:color w:val="000000"/>
                <w:sz w:val="20"/>
                <w:szCs w:val="20"/>
              </w:rPr>
              <w:t>8,233</w:t>
            </w:r>
          </w:p>
        </w:tc>
        <w:tc>
          <w:tcPr>
            <w:tcW w:w="1166"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3CA40D3C" w14:textId="77777777">
            <w:pPr>
              <w:widowControl/>
              <w:autoSpaceDE/>
              <w:autoSpaceDN/>
              <w:adjustRightInd/>
              <w:jc w:val="center"/>
              <w:rPr>
                <w:color w:val="000000"/>
                <w:sz w:val="20"/>
                <w:szCs w:val="20"/>
              </w:rPr>
            </w:pPr>
            <w:r w:rsidRPr="00921CE1">
              <w:rPr>
                <w:color w:val="000000"/>
                <w:sz w:val="20"/>
                <w:szCs w:val="20"/>
              </w:rPr>
              <w:t>2,979,328</w:t>
            </w:r>
          </w:p>
        </w:tc>
        <w:tc>
          <w:tcPr>
            <w:tcW w:w="884"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7C9C78A8" w14:textId="77777777">
            <w:pPr>
              <w:widowControl/>
              <w:autoSpaceDE/>
              <w:autoSpaceDN/>
              <w:adjustRightInd/>
              <w:jc w:val="center"/>
              <w:rPr>
                <w:color w:val="000000"/>
                <w:sz w:val="20"/>
                <w:szCs w:val="20"/>
              </w:rPr>
            </w:pPr>
            <w:r w:rsidRPr="00921CE1">
              <w:rPr>
                <w:color w:val="000000"/>
                <w:sz w:val="20"/>
                <w:szCs w:val="20"/>
              </w:rPr>
              <w:t>297,933</w:t>
            </w:r>
          </w:p>
        </w:tc>
        <w:tc>
          <w:tcPr>
            <w:tcW w:w="1406"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19CDB846" w14:textId="77777777">
            <w:pPr>
              <w:widowControl/>
              <w:autoSpaceDE/>
              <w:autoSpaceDN/>
              <w:adjustRightInd/>
              <w:jc w:val="center"/>
              <w:rPr>
                <w:color w:val="000000"/>
                <w:sz w:val="20"/>
                <w:szCs w:val="20"/>
              </w:rPr>
            </w:pPr>
            <w:r w:rsidRPr="00921CE1">
              <w:rPr>
                <w:color w:val="000000"/>
                <w:sz w:val="20"/>
                <w:szCs w:val="20"/>
              </w:rPr>
              <w:t>268,140</w:t>
            </w:r>
          </w:p>
        </w:tc>
        <w:tc>
          <w:tcPr>
            <w:tcW w:w="1536"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042316FF" w14:textId="77777777">
            <w:pPr>
              <w:widowControl/>
              <w:autoSpaceDE/>
              <w:autoSpaceDN/>
              <w:adjustRightInd/>
              <w:jc w:val="center"/>
              <w:rPr>
                <w:color w:val="000000"/>
                <w:sz w:val="20"/>
                <w:szCs w:val="20"/>
              </w:rPr>
            </w:pPr>
            <w:r w:rsidRPr="00921CE1">
              <w:rPr>
                <w:color w:val="000000"/>
                <w:sz w:val="20"/>
                <w:szCs w:val="20"/>
              </w:rPr>
              <w:t>29,793</w:t>
            </w:r>
          </w:p>
        </w:tc>
        <w:tc>
          <w:tcPr>
            <w:tcW w:w="965"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5135E5A4" w14:textId="77777777">
            <w:pPr>
              <w:widowControl/>
              <w:autoSpaceDE/>
              <w:autoSpaceDN/>
              <w:adjustRightInd/>
              <w:jc w:val="center"/>
              <w:rPr>
                <w:color w:val="000000"/>
                <w:sz w:val="20"/>
                <w:szCs w:val="20"/>
              </w:rPr>
            </w:pPr>
            <w:r w:rsidRPr="00921CE1">
              <w:rPr>
                <w:color w:val="000000"/>
                <w:sz w:val="20"/>
                <w:szCs w:val="20"/>
              </w:rPr>
              <w:t>595,866</w:t>
            </w:r>
          </w:p>
        </w:tc>
        <w:tc>
          <w:tcPr>
            <w:tcW w:w="1545"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1BB7967A" w14:textId="77777777">
            <w:pPr>
              <w:widowControl/>
              <w:autoSpaceDE/>
              <w:autoSpaceDN/>
              <w:adjustRightInd/>
              <w:jc w:val="center"/>
              <w:rPr>
                <w:color w:val="000000"/>
                <w:sz w:val="20"/>
                <w:szCs w:val="20"/>
              </w:rPr>
            </w:pPr>
            <w:r w:rsidRPr="00921CE1">
              <w:rPr>
                <w:color w:val="000000"/>
                <w:sz w:val="20"/>
                <w:szCs w:val="20"/>
              </w:rPr>
              <w:t>536,279</w:t>
            </w:r>
          </w:p>
        </w:tc>
        <w:tc>
          <w:tcPr>
            <w:tcW w:w="1514"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6D148E40" w14:textId="77777777">
            <w:pPr>
              <w:widowControl/>
              <w:autoSpaceDE/>
              <w:autoSpaceDN/>
              <w:adjustRightInd/>
              <w:jc w:val="center"/>
              <w:rPr>
                <w:color w:val="000000"/>
                <w:sz w:val="20"/>
                <w:szCs w:val="20"/>
              </w:rPr>
            </w:pPr>
            <w:r w:rsidRPr="00921CE1">
              <w:rPr>
                <w:color w:val="000000"/>
                <w:sz w:val="20"/>
                <w:szCs w:val="20"/>
              </w:rPr>
              <w:t>53,628</w:t>
            </w:r>
          </w:p>
        </w:tc>
      </w:tr>
      <w:tr w:rsidRPr="00921CE1" w:rsidR="00921CE1" w:rsidTr="00921CE1" w14:paraId="0A79753F" w14:textId="77777777">
        <w:trPr>
          <w:trHeight w:val="270"/>
        </w:trPr>
        <w:tc>
          <w:tcPr>
            <w:tcW w:w="1029" w:type="dxa"/>
            <w:tcBorders>
              <w:top w:val="nil"/>
              <w:left w:val="single" w:color="auto" w:sz="8" w:space="0"/>
              <w:bottom w:val="single" w:color="auto" w:sz="8" w:space="0"/>
              <w:right w:val="single" w:color="auto" w:sz="8" w:space="0"/>
            </w:tcBorders>
            <w:shd w:val="clear" w:color="auto" w:fill="auto"/>
            <w:noWrap/>
            <w:vAlign w:val="center"/>
            <w:hideMark/>
          </w:tcPr>
          <w:p w:rsidRPr="00921CE1" w:rsidR="00921CE1" w:rsidP="00921CE1" w:rsidRDefault="00921CE1" w14:paraId="0D1EB646" w14:textId="77777777">
            <w:pPr>
              <w:widowControl/>
              <w:autoSpaceDE/>
              <w:autoSpaceDN/>
              <w:adjustRightInd/>
              <w:rPr>
                <w:b/>
                <w:bCs/>
                <w:color w:val="000000"/>
                <w:sz w:val="20"/>
                <w:szCs w:val="20"/>
              </w:rPr>
            </w:pPr>
            <w:r w:rsidRPr="00921CE1">
              <w:rPr>
                <w:b/>
                <w:bCs/>
                <w:color w:val="000000"/>
                <w:sz w:val="20"/>
                <w:szCs w:val="20"/>
              </w:rPr>
              <w:t>Total</w:t>
            </w:r>
          </w:p>
        </w:tc>
        <w:tc>
          <w:tcPr>
            <w:tcW w:w="1201" w:type="dxa"/>
            <w:tcBorders>
              <w:top w:val="nil"/>
              <w:left w:val="nil"/>
              <w:bottom w:val="single" w:color="auto" w:sz="8" w:space="0"/>
              <w:right w:val="single" w:color="auto" w:sz="8" w:space="0"/>
            </w:tcBorders>
            <w:shd w:val="clear" w:color="auto" w:fill="auto"/>
            <w:noWrap/>
            <w:vAlign w:val="center"/>
            <w:hideMark/>
          </w:tcPr>
          <w:p w:rsidRPr="00921CE1" w:rsidR="00921CE1" w:rsidP="00921CE1" w:rsidRDefault="00921CE1" w14:paraId="6E4363CF" w14:textId="77777777">
            <w:pPr>
              <w:widowControl/>
              <w:autoSpaceDE/>
              <w:autoSpaceDN/>
              <w:adjustRightInd/>
              <w:jc w:val="center"/>
              <w:rPr>
                <w:b/>
                <w:bCs/>
                <w:color w:val="000000"/>
                <w:sz w:val="20"/>
                <w:szCs w:val="20"/>
              </w:rPr>
            </w:pPr>
            <w:r w:rsidRPr="00921CE1">
              <w:rPr>
                <w:b/>
                <w:bCs/>
                <w:color w:val="000000"/>
                <w:sz w:val="20"/>
                <w:szCs w:val="20"/>
              </w:rPr>
              <w:t> </w:t>
            </w:r>
          </w:p>
        </w:tc>
        <w:tc>
          <w:tcPr>
            <w:tcW w:w="1384"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2A58E7DF" w14:textId="77777777">
            <w:pPr>
              <w:widowControl/>
              <w:autoSpaceDE/>
              <w:autoSpaceDN/>
              <w:adjustRightInd/>
              <w:jc w:val="center"/>
              <w:rPr>
                <w:b/>
                <w:bCs/>
                <w:color w:val="000000"/>
                <w:sz w:val="20"/>
                <w:szCs w:val="20"/>
              </w:rPr>
            </w:pPr>
            <w:r w:rsidRPr="00921CE1">
              <w:rPr>
                <w:b/>
                <w:bCs/>
                <w:color w:val="000000"/>
                <w:sz w:val="20"/>
                <w:szCs w:val="20"/>
              </w:rPr>
              <w:t>290,560</w:t>
            </w:r>
          </w:p>
        </w:tc>
        <w:tc>
          <w:tcPr>
            <w:tcW w:w="1406"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2FC4309A" w14:textId="77777777">
            <w:pPr>
              <w:widowControl/>
              <w:autoSpaceDE/>
              <w:autoSpaceDN/>
              <w:adjustRightInd/>
              <w:jc w:val="center"/>
              <w:rPr>
                <w:b/>
                <w:bCs/>
                <w:color w:val="000000"/>
                <w:sz w:val="20"/>
                <w:szCs w:val="20"/>
              </w:rPr>
            </w:pPr>
            <w:r w:rsidRPr="00921CE1">
              <w:rPr>
                <w:b/>
                <w:bCs/>
                <w:color w:val="000000"/>
                <w:sz w:val="20"/>
                <w:szCs w:val="20"/>
              </w:rPr>
              <w:t>290,560</w:t>
            </w:r>
          </w:p>
        </w:tc>
        <w:tc>
          <w:tcPr>
            <w:tcW w:w="1166"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14894E94" w14:textId="77777777">
            <w:pPr>
              <w:widowControl/>
              <w:autoSpaceDE/>
              <w:autoSpaceDN/>
              <w:adjustRightInd/>
              <w:jc w:val="center"/>
              <w:rPr>
                <w:b/>
                <w:bCs/>
                <w:color w:val="000000"/>
                <w:sz w:val="20"/>
                <w:szCs w:val="20"/>
              </w:rPr>
            </w:pPr>
            <w:r w:rsidRPr="00921CE1">
              <w:rPr>
                <w:b/>
                <w:bCs/>
                <w:color w:val="000000"/>
                <w:sz w:val="20"/>
                <w:szCs w:val="20"/>
              </w:rPr>
              <w:t>9,471,651</w:t>
            </w:r>
          </w:p>
        </w:tc>
        <w:tc>
          <w:tcPr>
            <w:tcW w:w="884"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729833F1" w14:textId="77777777">
            <w:pPr>
              <w:widowControl/>
              <w:autoSpaceDE/>
              <w:autoSpaceDN/>
              <w:adjustRightInd/>
              <w:jc w:val="center"/>
              <w:rPr>
                <w:b/>
                <w:bCs/>
                <w:color w:val="000000"/>
                <w:sz w:val="20"/>
                <w:szCs w:val="20"/>
              </w:rPr>
            </w:pPr>
            <w:r w:rsidRPr="00921CE1">
              <w:rPr>
                <w:b/>
                <w:bCs/>
                <w:color w:val="000000"/>
                <w:sz w:val="20"/>
                <w:szCs w:val="20"/>
              </w:rPr>
              <w:t>947,165</w:t>
            </w:r>
          </w:p>
        </w:tc>
        <w:tc>
          <w:tcPr>
            <w:tcW w:w="1406"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540D9CE2" w14:textId="77777777">
            <w:pPr>
              <w:widowControl/>
              <w:autoSpaceDE/>
              <w:autoSpaceDN/>
              <w:adjustRightInd/>
              <w:jc w:val="center"/>
              <w:rPr>
                <w:b/>
                <w:bCs/>
                <w:color w:val="000000"/>
                <w:sz w:val="20"/>
                <w:szCs w:val="20"/>
              </w:rPr>
            </w:pPr>
            <w:r w:rsidRPr="00921CE1">
              <w:rPr>
                <w:b/>
                <w:bCs/>
                <w:color w:val="000000"/>
                <w:sz w:val="20"/>
                <w:szCs w:val="20"/>
              </w:rPr>
              <w:t>582,533</w:t>
            </w:r>
          </w:p>
        </w:tc>
        <w:tc>
          <w:tcPr>
            <w:tcW w:w="1536"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29487F84" w14:textId="77777777">
            <w:pPr>
              <w:widowControl/>
              <w:autoSpaceDE/>
              <w:autoSpaceDN/>
              <w:adjustRightInd/>
              <w:jc w:val="center"/>
              <w:rPr>
                <w:b/>
                <w:bCs/>
                <w:color w:val="000000"/>
                <w:sz w:val="20"/>
                <w:szCs w:val="20"/>
              </w:rPr>
            </w:pPr>
            <w:r w:rsidRPr="00921CE1">
              <w:rPr>
                <w:b/>
                <w:bCs/>
                <w:color w:val="000000"/>
                <w:sz w:val="20"/>
                <w:szCs w:val="20"/>
              </w:rPr>
              <w:t>364,632</w:t>
            </w:r>
          </w:p>
        </w:tc>
        <w:tc>
          <w:tcPr>
            <w:tcW w:w="965"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5D50B6A1" w14:textId="77777777">
            <w:pPr>
              <w:widowControl/>
              <w:autoSpaceDE/>
              <w:autoSpaceDN/>
              <w:adjustRightInd/>
              <w:jc w:val="center"/>
              <w:rPr>
                <w:b/>
                <w:bCs/>
                <w:color w:val="000000"/>
                <w:sz w:val="20"/>
                <w:szCs w:val="20"/>
              </w:rPr>
            </w:pPr>
            <w:r w:rsidRPr="00921CE1">
              <w:rPr>
                <w:b/>
                <w:bCs/>
                <w:color w:val="000000"/>
                <w:sz w:val="20"/>
                <w:szCs w:val="20"/>
              </w:rPr>
              <w:t>1,780,006</w:t>
            </w:r>
          </w:p>
        </w:tc>
        <w:tc>
          <w:tcPr>
            <w:tcW w:w="1545"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7C7B29DB" w14:textId="77777777">
            <w:pPr>
              <w:widowControl/>
              <w:autoSpaceDE/>
              <w:autoSpaceDN/>
              <w:adjustRightInd/>
              <w:jc w:val="center"/>
              <w:rPr>
                <w:b/>
                <w:bCs/>
                <w:color w:val="000000"/>
                <w:sz w:val="20"/>
                <w:szCs w:val="20"/>
              </w:rPr>
            </w:pPr>
            <w:r w:rsidRPr="00921CE1">
              <w:rPr>
                <w:b/>
                <w:bCs/>
                <w:color w:val="000000"/>
                <w:sz w:val="20"/>
                <w:szCs w:val="20"/>
              </w:rPr>
              <w:t>1,142,200</w:t>
            </w:r>
          </w:p>
        </w:tc>
        <w:tc>
          <w:tcPr>
            <w:tcW w:w="1514" w:type="dxa"/>
            <w:tcBorders>
              <w:top w:val="nil"/>
              <w:left w:val="nil"/>
              <w:bottom w:val="single" w:color="auto" w:sz="8" w:space="0"/>
              <w:right w:val="single" w:color="auto" w:sz="8" w:space="0"/>
            </w:tcBorders>
            <w:shd w:val="clear" w:color="000000" w:fill="FFFFFF"/>
            <w:noWrap/>
            <w:vAlign w:val="center"/>
            <w:hideMark/>
          </w:tcPr>
          <w:p w:rsidRPr="00921CE1" w:rsidR="00921CE1" w:rsidP="00921CE1" w:rsidRDefault="00921CE1" w14:paraId="1C01C1ED" w14:textId="77777777">
            <w:pPr>
              <w:widowControl/>
              <w:autoSpaceDE/>
              <w:autoSpaceDN/>
              <w:adjustRightInd/>
              <w:jc w:val="center"/>
              <w:rPr>
                <w:b/>
                <w:bCs/>
                <w:color w:val="000000"/>
                <w:sz w:val="20"/>
                <w:szCs w:val="20"/>
              </w:rPr>
            </w:pPr>
            <w:r w:rsidRPr="00921CE1">
              <w:rPr>
                <w:b/>
                <w:bCs/>
                <w:color w:val="000000"/>
                <w:sz w:val="20"/>
                <w:szCs w:val="20"/>
              </w:rPr>
              <w:t>631,847</w:t>
            </w:r>
          </w:p>
        </w:tc>
      </w:tr>
      <w:tr w:rsidRPr="00921CE1" w:rsidR="00921CE1" w:rsidTr="00921CE1" w14:paraId="6B21D39E" w14:textId="77777777">
        <w:trPr>
          <w:trHeight w:val="315"/>
        </w:trPr>
        <w:tc>
          <w:tcPr>
            <w:tcW w:w="14036" w:type="dxa"/>
            <w:gridSpan w:val="11"/>
            <w:tcBorders>
              <w:top w:val="single" w:color="auto" w:sz="8" w:space="0"/>
              <w:left w:val="nil"/>
              <w:bottom w:val="nil"/>
              <w:right w:val="nil"/>
            </w:tcBorders>
            <w:shd w:val="clear" w:color="auto" w:fill="auto"/>
            <w:noWrap/>
            <w:vAlign w:val="center"/>
            <w:hideMark/>
          </w:tcPr>
          <w:p w:rsidRPr="00255B26" w:rsidR="00921CE1" w:rsidP="001F10B7" w:rsidRDefault="00921CE1" w14:paraId="7093A4AF" w14:textId="77777777">
            <w:pPr>
              <w:widowControl/>
              <w:autoSpaceDE/>
              <w:autoSpaceDN/>
              <w:adjustRightInd/>
              <w:rPr>
                <w:color w:val="000000"/>
                <w:sz w:val="20"/>
                <w:szCs w:val="20"/>
              </w:rPr>
            </w:pPr>
            <w:r w:rsidRPr="00255B26">
              <w:rPr>
                <w:color w:val="000000"/>
                <w:sz w:val="20"/>
                <w:szCs w:val="20"/>
              </w:rPr>
              <w:t>Source: 2017 County Business Patterns Survey.  U.S. Census Bureau, 2019</w:t>
            </w:r>
            <w:r w:rsidR="001F10B7">
              <w:rPr>
                <w:color w:val="000000"/>
                <w:sz w:val="20"/>
                <w:szCs w:val="20"/>
              </w:rPr>
              <w:t>. (</w:t>
            </w:r>
            <w:hyperlink w:history="1" r:id="rId22">
              <w:r w:rsidRPr="00DC2B53" w:rsidR="001F10B7">
                <w:rPr>
                  <w:rStyle w:val="Hyperlink"/>
                  <w:sz w:val="20"/>
                  <w:szCs w:val="20"/>
                </w:rPr>
                <w:t>https://www.census.gov/data/datasets/2017/econ/cbp/2017-cbp.html</w:t>
              </w:r>
            </w:hyperlink>
            <w:r w:rsidR="001F10B7">
              <w:rPr>
                <w:color w:val="000000"/>
                <w:sz w:val="20"/>
                <w:szCs w:val="20"/>
              </w:rPr>
              <w:t>)</w:t>
            </w:r>
            <w:r w:rsidRPr="00255B26">
              <w:rPr>
                <w:color w:val="000000"/>
                <w:sz w:val="20"/>
                <w:szCs w:val="20"/>
              </w:rPr>
              <w:t>.</w:t>
            </w:r>
          </w:p>
        </w:tc>
      </w:tr>
    </w:tbl>
    <w:p w:rsidR="0020415A" w:rsidP="00B42AC9" w:rsidRDefault="0020415A" w14:paraId="0BC052F5" w14:textId="77777777">
      <w:pPr>
        <w:rPr>
          <w:szCs w:val="22"/>
        </w:rPr>
      </w:pPr>
    </w:p>
    <w:p w:rsidR="00C80A23" w:rsidP="00B42AC9" w:rsidRDefault="0020415A" w14:paraId="6C3B2C89" w14:textId="77777777">
      <w:pPr>
        <w:rPr>
          <w:szCs w:val="22"/>
        </w:rPr>
      </w:pPr>
      <w:r>
        <w:rPr>
          <w:szCs w:val="22"/>
        </w:rPr>
        <w:br w:type="page"/>
      </w:r>
    </w:p>
    <w:tbl>
      <w:tblPr>
        <w:tblW w:w="14611" w:type="dxa"/>
        <w:jc w:val="center"/>
        <w:tblLayout w:type="fixed"/>
        <w:tblLook w:val="04A0" w:firstRow="1" w:lastRow="0" w:firstColumn="1" w:lastColumn="0" w:noHBand="0" w:noVBand="1"/>
      </w:tblPr>
      <w:tblGrid>
        <w:gridCol w:w="1919"/>
        <w:gridCol w:w="1440"/>
        <w:gridCol w:w="1440"/>
        <w:gridCol w:w="1170"/>
        <w:gridCol w:w="1041"/>
        <w:gridCol w:w="1440"/>
        <w:gridCol w:w="1440"/>
        <w:gridCol w:w="236"/>
        <w:gridCol w:w="780"/>
        <w:gridCol w:w="1440"/>
        <w:gridCol w:w="555"/>
        <w:gridCol w:w="885"/>
        <w:gridCol w:w="825"/>
      </w:tblGrid>
      <w:tr w:rsidRPr="00C32495" w:rsidR="00C32495" w:rsidTr="00255B26" w14:paraId="0E1EF5D2" w14:textId="77777777">
        <w:trPr>
          <w:trHeight w:val="270"/>
          <w:jc w:val="center"/>
        </w:trPr>
        <w:tc>
          <w:tcPr>
            <w:tcW w:w="5969" w:type="dxa"/>
            <w:gridSpan w:val="4"/>
            <w:tcBorders>
              <w:top w:val="nil"/>
              <w:left w:val="nil"/>
              <w:bottom w:val="single" w:color="auto" w:sz="8" w:space="0"/>
              <w:right w:val="nil"/>
            </w:tcBorders>
            <w:shd w:val="clear" w:color="auto" w:fill="auto"/>
            <w:noWrap/>
            <w:vAlign w:val="center"/>
            <w:hideMark/>
          </w:tcPr>
          <w:p w:rsidRPr="00255B26" w:rsidR="00C32495" w:rsidP="00C32495" w:rsidRDefault="00C80A23" w14:paraId="35287211" w14:textId="77777777">
            <w:pPr>
              <w:widowControl/>
              <w:autoSpaceDE/>
              <w:autoSpaceDN/>
              <w:adjustRightInd/>
              <w:rPr>
                <w:b/>
                <w:bCs/>
                <w:color w:val="000000"/>
              </w:rPr>
            </w:pPr>
            <w:r>
              <w:rPr>
                <w:szCs w:val="22"/>
              </w:rPr>
              <w:lastRenderedPageBreak/>
              <w:br w:type="page"/>
            </w:r>
            <w:r w:rsidRPr="00CA4589" w:rsidR="00B42AC9">
              <w:rPr>
                <w:szCs w:val="22"/>
              </w:rPr>
              <w:br w:type="page"/>
            </w:r>
            <w:bookmarkStart w:name="RANGE!A3:J13" w:id="9"/>
            <w:r w:rsidRPr="00255B26" w:rsidR="00C32495">
              <w:rPr>
                <w:b/>
                <w:bCs/>
                <w:color w:val="000000"/>
              </w:rPr>
              <w:t>Table 2: Establishments and Employment in Low-Impact Industries</w:t>
            </w:r>
            <w:bookmarkEnd w:id="9"/>
          </w:p>
        </w:tc>
        <w:tc>
          <w:tcPr>
            <w:tcW w:w="1041" w:type="dxa"/>
            <w:tcBorders>
              <w:top w:val="nil"/>
              <w:left w:val="nil"/>
              <w:bottom w:val="nil"/>
              <w:right w:val="nil"/>
            </w:tcBorders>
            <w:shd w:val="clear" w:color="auto" w:fill="auto"/>
            <w:noWrap/>
            <w:vAlign w:val="bottom"/>
            <w:hideMark/>
          </w:tcPr>
          <w:p w:rsidRPr="00C32495" w:rsidR="00C32495" w:rsidP="00C32495" w:rsidRDefault="00C32495" w14:paraId="6BACB809" w14:textId="77777777">
            <w:pPr>
              <w:widowControl/>
              <w:autoSpaceDE/>
              <w:autoSpaceDN/>
              <w:adjustRightInd/>
              <w:rPr>
                <w:b/>
                <w:bCs/>
                <w:color w:val="000000"/>
                <w:sz w:val="20"/>
                <w:szCs w:val="20"/>
              </w:rPr>
            </w:pPr>
          </w:p>
        </w:tc>
        <w:tc>
          <w:tcPr>
            <w:tcW w:w="1440" w:type="dxa"/>
            <w:tcBorders>
              <w:top w:val="nil"/>
              <w:left w:val="nil"/>
              <w:bottom w:val="nil"/>
              <w:right w:val="nil"/>
            </w:tcBorders>
            <w:shd w:val="clear" w:color="auto" w:fill="auto"/>
            <w:noWrap/>
            <w:vAlign w:val="bottom"/>
            <w:hideMark/>
          </w:tcPr>
          <w:p w:rsidRPr="00C32495" w:rsidR="00C32495" w:rsidP="00C32495" w:rsidRDefault="00C32495" w14:paraId="5C1D2482"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Pr="00C32495" w:rsidR="00C32495" w:rsidP="00C32495" w:rsidRDefault="00C32495" w14:paraId="650E7726"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C32495" w:rsidR="00C32495" w:rsidP="00C32495" w:rsidRDefault="00C32495" w14:paraId="76FDEA88" w14:textId="77777777">
            <w:pPr>
              <w:widowControl/>
              <w:autoSpaceDE/>
              <w:autoSpaceDN/>
              <w:adjustRightInd/>
              <w:rPr>
                <w:sz w:val="20"/>
                <w:szCs w:val="20"/>
              </w:rPr>
            </w:pPr>
          </w:p>
        </w:tc>
        <w:tc>
          <w:tcPr>
            <w:tcW w:w="2775" w:type="dxa"/>
            <w:gridSpan w:val="3"/>
            <w:tcBorders>
              <w:top w:val="nil"/>
              <w:left w:val="nil"/>
              <w:bottom w:val="nil"/>
              <w:right w:val="nil"/>
            </w:tcBorders>
            <w:shd w:val="clear" w:color="auto" w:fill="auto"/>
            <w:noWrap/>
            <w:vAlign w:val="bottom"/>
            <w:hideMark/>
          </w:tcPr>
          <w:p w:rsidRPr="00C32495" w:rsidR="00C32495" w:rsidP="00C32495" w:rsidRDefault="00C32495" w14:paraId="061B5BAC" w14:textId="77777777">
            <w:pPr>
              <w:widowControl/>
              <w:autoSpaceDE/>
              <w:autoSpaceDN/>
              <w:adjustRightInd/>
              <w:rPr>
                <w:sz w:val="20"/>
                <w:szCs w:val="20"/>
              </w:rPr>
            </w:pPr>
          </w:p>
        </w:tc>
        <w:tc>
          <w:tcPr>
            <w:tcW w:w="1710" w:type="dxa"/>
            <w:gridSpan w:val="2"/>
            <w:tcBorders>
              <w:top w:val="nil"/>
              <w:left w:val="nil"/>
              <w:bottom w:val="nil"/>
              <w:right w:val="nil"/>
            </w:tcBorders>
            <w:shd w:val="clear" w:color="auto" w:fill="auto"/>
            <w:noWrap/>
            <w:vAlign w:val="bottom"/>
            <w:hideMark/>
          </w:tcPr>
          <w:p w:rsidRPr="00C32495" w:rsidR="00C32495" w:rsidP="00C32495" w:rsidRDefault="00C32495" w14:paraId="62987720" w14:textId="77777777">
            <w:pPr>
              <w:widowControl/>
              <w:autoSpaceDE/>
              <w:autoSpaceDN/>
              <w:adjustRightInd/>
              <w:rPr>
                <w:sz w:val="20"/>
                <w:szCs w:val="20"/>
              </w:rPr>
            </w:pPr>
          </w:p>
        </w:tc>
      </w:tr>
      <w:tr w:rsidRPr="00C32495" w:rsidR="00C32495" w:rsidTr="00255B26" w14:paraId="67493503" w14:textId="77777777">
        <w:trPr>
          <w:gridAfter w:val="1"/>
          <w:wAfter w:w="825" w:type="dxa"/>
          <w:trHeight w:val="583"/>
          <w:jc w:val="center"/>
        </w:trPr>
        <w:tc>
          <w:tcPr>
            <w:tcW w:w="5969" w:type="dxa"/>
            <w:gridSpan w:val="4"/>
            <w:tcBorders>
              <w:top w:val="single" w:color="auto" w:sz="8" w:space="0"/>
              <w:left w:val="single" w:color="auto" w:sz="8" w:space="0"/>
              <w:bottom w:val="nil"/>
              <w:right w:val="single" w:color="000000" w:sz="8" w:space="0"/>
            </w:tcBorders>
            <w:shd w:val="clear" w:color="000000" w:fill="C0C0C0"/>
            <w:noWrap/>
            <w:vAlign w:val="center"/>
            <w:hideMark/>
          </w:tcPr>
          <w:p w:rsidRPr="00C32495" w:rsidR="00C32495" w:rsidP="00C32495" w:rsidRDefault="00C32495" w14:paraId="54C9420B" w14:textId="77777777">
            <w:pPr>
              <w:widowControl/>
              <w:autoSpaceDE/>
              <w:autoSpaceDN/>
              <w:adjustRightInd/>
              <w:rPr>
                <w:color w:val="000000"/>
                <w:sz w:val="20"/>
                <w:szCs w:val="20"/>
              </w:rPr>
            </w:pPr>
            <w:r w:rsidRPr="00C32495">
              <w:rPr>
                <w:color w:val="000000"/>
                <w:sz w:val="20"/>
                <w:szCs w:val="20"/>
              </w:rPr>
              <w:t> </w:t>
            </w:r>
          </w:p>
        </w:tc>
        <w:tc>
          <w:tcPr>
            <w:tcW w:w="3921" w:type="dxa"/>
            <w:gridSpan w:val="3"/>
            <w:tcBorders>
              <w:top w:val="single" w:color="auto" w:sz="8" w:space="0"/>
              <w:left w:val="nil"/>
              <w:bottom w:val="nil"/>
              <w:right w:val="single" w:color="000000" w:sz="8" w:space="0"/>
            </w:tcBorders>
            <w:shd w:val="clear" w:color="000000" w:fill="C0C0C0"/>
            <w:noWrap/>
            <w:vAlign w:val="center"/>
            <w:hideMark/>
          </w:tcPr>
          <w:p w:rsidRPr="00C32495" w:rsidR="00C32495" w:rsidP="00C32495" w:rsidRDefault="00C32495" w14:paraId="47F78825" w14:textId="77777777">
            <w:pPr>
              <w:widowControl/>
              <w:autoSpaceDE/>
              <w:autoSpaceDN/>
              <w:adjustRightInd/>
              <w:jc w:val="center"/>
              <w:rPr>
                <w:b/>
                <w:bCs/>
                <w:color w:val="000000"/>
                <w:sz w:val="20"/>
                <w:szCs w:val="20"/>
              </w:rPr>
            </w:pPr>
            <w:r w:rsidRPr="00C32495">
              <w:rPr>
                <w:b/>
                <w:bCs/>
                <w:color w:val="000000"/>
                <w:sz w:val="20"/>
                <w:szCs w:val="20"/>
              </w:rPr>
              <w:t>Number of Authorized Employees</w:t>
            </w:r>
          </w:p>
        </w:tc>
        <w:tc>
          <w:tcPr>
            <w:tcW w:w="3896" w:type="dxa"/>
            <w:gridSpan w:val="5"/>
            <w:tcBorders>
              <w:top w:val="single" w:color="auto" w:sz="8" w:space="0"/>
              <w:left w:val="nil"/>
              <w:bottom w:val="nil"/>
              <w:right w:val="single" w:color="000000" w:sz="8" w:space="0"/>
            </w:tcBorders>
            <w:shd w:val="clear" w:color="000000" w:fill="C0C0C0"/>
            <w:noWrap/>
            <w:vAlign w:val="center"/>
            <w:hideMark/>
          </w:tcPr>
          <w:p w:rsidRPr="00C32495" w:rsidR="00C32495" w:rsidP="00C32495" w:rsidRDefault="00C32495" w14:paraId="7E2EDFB6" w14:textId="77777777">
            <w:pPr>
              <w:widowControl/>
              <w:autoSpaceDE/>
              <w:autoSpaceDN/>
              <w:adjustRightInd/>
              <w:jc w:val="center"/>
              <w:rPr>
                <w:b/>
                <w:bCs/>
                <w:color w:val="000000"/>
                <w:sz w:val="20"/>
                <w:szCs w:val="20"/>
              </w:rPr>
            </w:pPr>
            <w:r w:rsidRPr="00C32495">
              <w:rPr>
                <w:b/>
                <w:bCs/>
                <w:color w:val="000000"/>
                <w:sz w:val="20"/>
                <w:szCs w:val="20"/>
              </w:rPr>
              <w:t>Number of Additional Employees Covered</w:t>
            </w:r>
          </w:p>
        </w:tc>
      </w:tr>
      <w:tr w:rsidRPr="00C32495" w:rsidR="00C32495" w:rsidTr="00255B26" w14:paraId="1A859BBA" w14:textId="77777777">
        <w:trPr>
          <w:gridAfter w:val="1"/>
          <w:wAfter w:w="825" w:type="dxa"/>
          <w:trHeight w:val="2460"/>
          <w:jc w:val="center"/>
        </w:trPr>
        <w:tc>
          <w:tcPr>
            <w:tcW w:w="1919" w:type="dxa"/>
            <w:tcBorders>
              <w:top w:val="nil"/>
              <w:left w:val="single" w:color="auto" w:sz="8" w:space="0"/>
              <w:bottom w:val="single" w:color="auto" w:sz="8" w:space="0"/>
              <w:right w:val="single" w:color="auto" w:sz="8" w:space="0"/>
            </w:tcBorders>
            <w:shd w:val="clear" w:color="auto" w:fill="auto"/>
            <w:vAlign w:val="center"/>
            <w:hideMark/>
          </w:tcPr>
          <w:p w:rsidRPr="00C32495" w:rsidR="00C32495" w:rsidP="00C32495" w:rsidRDefault="00C32495" w14:paraId="7E83A381" w14:textId="77777777">
            <w:pPr>
              <w:widowControl/>
              <w:autoSpaceDE/>
              <w:autoSpaceDN/>
              <w:adjustRightInd/>
              <w:jc w:val="center"/>
              <w:rPr>
                <w:color w:val="000000"/>
                <w:sz w:val="20"/>
                <w:szCs w:val="20"/>
              </w:rPr>
            </w:pPr>
            <w:r w:rsidRPr="00C32495">
              <w:rPr>
                <w:color w:val="000000"/>
                <w:sz w:val="20"/>
                <w:szCs w:val="20"/>
              </w:rPr>
              <w:t>Industry</w:t>
            </w:r>
          </w:p>
        </w:tc>
        <w:tc>
          <w:tcPr>
            <w:tcW w:w="1440" w:type="dxa"/>
            <w:tcBorders>
              <w:top w:val="nil"/>
              <w:left w:val="nil"/>
              <w:bottom w:val="single" w:color="auto" w:sz="8" w:space="0"/>
              <w:right w:val="single" w:color="auto" w:sz="8" w:space="0"/>
            </w:tcBorders>
            <w:shd w:val="clear" w:color="auto" w:fill="auto"/>
            <w:vAlign w:val="center"/>
            <w:hideMark/>
          </w:tcPr>
          <w:p w:rsidRPr="00C32495" w:rsidR="00C32495" w:rsidP="00C32495" w:rsidRDefault="00C32495" w14:paraId="1B248FE4" w14:textId="77777777">
            <w:pPr>
              <w:widowControl/>
              <w:autoSpaceDE/>
              <w:autoSpaceDN/>
              <w:adjustRightInd/>
              <w:jc w:val="center"/>
              <w:rPr>
                <w:color w:val="000000"/>
                <w:sz w:val="20"/>
                <w:szCs w:val="20"/>
              </w:rPr>
            </w:pPr>
            <w:r w:rsidRPr="00C32495">
              <w:rPr>
                <w:color w:val="000000"/>
                <w:sz w:val="20"/>
                <w:szCs w:val="20"/>
              </w:rPr>
              <w:t>Total Number of Establishments</w:t>
            </w:r>
          </w:p>
        </w:tc>
        <w:tc>
          <w:tcPr>
            <w:tcW w:w="1440" w:type="dxa"/>
            <w:tcBorders>
              <w:top w:val="nil"/>
              <w:left w:val="nil"/>
              <w:bottom w:val="single" w:color="auto" w:sz="8" w:space="0"/>
              <w:right w:val="single" w:color="auto" w:sz="8" w:space="0"/>
            </w:tcBorders>
            <w:shd w:val="clear" w:color="auto" w:fill="auto"/>
            <w:vAlign w:val="center"/>
            <w:hideMark/>
          </w:tcPr>
          <w:p w:rsidRPr="00C32495" w:rsidR="00C32495" w:rsidP="00C32495" w:rsidRDefault="00C32495" w14:paraId="64B0D366" w14:textId="77777777">
            <w:pPr>
              <w:widowControl/>
              <w:autoSpaceDE/>
              <w:autoSpaceDN/>
              <w:adjustRightInd/>
              <w:jc w:val="center"/>
              <w:rPr>
                <w:color w:val="000000"/>
                <w:sz w:val="20"/>
                <w:szCs w:val="20"/>
              </w:rPr>
            </w:pPr>
            <w:r w:rsidRPr="00C32495">
              <w:rPr>
                <w:color w:val="000000"/>
                <w:sz w:val="20"/>
                <w:szCs w:val="20"/>
              </w:rPr>
              <w:t>Number of Establishments Employing Authorized Workers</w:t>
            </w:r>
          </w:p>
        </w:tc>
        <w:tc>
          <w:tcPr>
            <w:tcW w:w="1170" w:type="dxa"/>
            <w:tcBorders>
              <w:top w:val="nil"/>
              <w:left w:val="nil"/>
              <w:bottom w:val="single" w:color="auto" w:sz="8" w:space="0"/>
              <w:right w:val="single" w:color="auto" w:sz="8" w:space="0"/>
            </w:tcBorders>
            <w:shd w:val="clear" w:color="auto" w:fill="auto"/>
            <w:vAlign w:val="center"/>
            <w:hideMark/>
          </w:tcPr>
          <w:p w:rsidRPr="00C32495" w:rsidR="00C32495" w:rsidP="00C32495" w:rsidRDefault="00C32495" w14:paraId="6EAAEB62" w14:textId="77777777">
            <w:pPr>
              <w:widowControl/>
              <w:autoSpaceDE/>
              <w:autoSpaceDN/>
              <w:adjustRightInd/>
              <w:jc w:val="center"/>
              <w:rPr>
                <w:color w:val="000000"/>
                <w:sz w:val="20"/>
                <w:szCs w:val="20"/>
              </w:rPr>
            </w:pPr>
            <w:r w:rsidRPr="00C32495">
              <w:rPr>
                <w:color w:val="000000"/>
                <w:sz w:val="20"/>
                <w:szCs w:val="20"/>
              </w:rPr>
              <w:t>Total Number of Employees</w:t>
            </w:r>
          </w:p>
        </w:tc>
        <w:tc>
          <w:tcPr>
            <w:tcW w:w="1041" w:type="dxa"/>
            <w:tcBorders>
              <w:top w:val="nil"/>
              <w:left w:val="nil"/>
              <w:bottom w:val="single" w:color="auto" w:sz="8" w:space="0"/>
              <w:right w:val="single" w:color="auto" w:sz="8" w:space="0"/>
            </w:tcBorders>
            <w:shd w:val="clear" w:color="auto" w:fill="auto"/>
            <w:vAlign w:val="center"/>
            <w:hideMark/>
          </w:tcPr>
          <w:p w:rsidRPr="00C32495" w:rsidR="00C32495" w:rsidP="00C32495" w:rsidRDefault="00C32495" w14:paraId="2E150E0E" w14:textId="77777777">
            <w:pPr>
              <w:widowControl/>
              <w:autoSpaceDE/>
              <w:autoSpaceDN/>
              <w:adjustRightInd/>
              <w:jc w:val="center"/>
              <w:rPr>
                <w:color w:val="000000"/>
                <w:sz w:val="20"/>
                <w:szCs w:val="20"/>
              </w:rPr>
            </w:pPr>
            <w:r w:rsidRPr="00C32495">
              <w:rPr>
                <w:color w:val="000000"/>
                <w:sz w:val="20"/>
                <w:szCs w:val="20"/>
              </w:rPr>
              <w:t>Total</w:t>
            </w:r>
          </w:p>
        </w:tc>
        <w:tc>
          <w:tcPr>
            <w:tcW w:w="1440" w:type="dxa"/>
            <w:tcBorders>
              <w:top w:val="nil"/>
              <w:left w:val="nil"/>
              <w:bottom w:val="single" w:color="auto" w:sz="8" w:space="0"/>
              <w:right w:val="single" w:color="auto" w:sz="8" w:space="0"/>
            </w:tcBorders>
            <w:shd w:val="clear" w:color="auto" w:fill="auto"/>
            <w:vAlign w:val="center"/>
            <w:hideMark/>
          </w:tcPr>
          <w:p w:rsidRPr="00C32495" w:rsidR="00C32495" w:rsidP="00C32495" w:rsidRDefault="00C32495" w14:paraId="78C907DF" w14:textId="77777777">
            <w:pPr>
              <w:widowControl/>
              <w:autoSpaceDE/>
              <w:autoSpaceDN/>
              <w:adjustRightInd/>
              <w:jc w:val="center"/>
              <w:rPr>
                <w:color w:val="000000"/>
                <w:sz w:val="20"/>
                <w:szCs w:val="20"/>
              </w:rPr>
            </w:pPr>
            <w:r w:rsidRPr="00C32495">
              <w:rPr>
                <w:color w:val="000000"/>
                <w:sz w:val="20"/>
                <w:szCs w:val="20"/>
              </w:rPr>
              <w:t xml:space="preserve">In Establishments with Compliant Lockout / Tagout Programs When </w:t>
            </w:r>
            <w:r w:rsidR="00D621B4">
              <w:rPr>
                <w:color w:val="000000"/>
                <w:sz w:val="20"/>
                <w:szCs w:val="20"/>
              </w:rPr>
              <w:t>th ee</w:t>
            </w:r>
            <w:r w:rsidRPr="00C32495">
              <w:rPr>
                <w:color w:val="000000"/>
                <w:sz w:val="20"/>
                <w:szCs w:val="20"/>
              </w:rPr>
              <w:t>Standard Published</w:t>
            </w:r>
          </w:p>
        </w:tc>
        <w:tc>
          <w:tcPr>
            <w:tcW w:w="1440" w:type="dxa"/>
            <w:tcBorders>
              <w:top w:val="nil"/>
              <w:left w:val="nil"/>
              <w:bottom w:val="single" w:color="auto" w:sz="8" w:space="0"/>
              <w:right w:val="single" w:color="auto" w:sz="8" w:space="0"/>
            </w:tcBorders>
            <w:shd w:val="clear" w:color="auto" w:fill="auto"/>
            <w:vAlign w:val="center"/>
            <w:hideMark/>
          </w:tcPr>
          <w:p w:rsidRPr="00C32495" w:rsidR="00C32495" w:rsidP="00C32495" w:rsidRDefault="00C32495" w14:paraId="533FFF94" w14:textId="77777777">
            <w:pPr>
              <w:widowControl/>
              <w:autoSpaceDE/>
              <w:autoSpaceDN/>
              <w:adjustRightInd/>
              <w:jc w:val="center"/>
              <w:rPr>
                <w:color w:val="000000"/>
                <w:sz w:val="20"/>
                <w:szCs w:val="20"/>
              </w:rPr>
            </w:pPr>
            <w:r w:rsidRPr="00C32495">
              <w:rPr>
                <w:color w:val="000000"/>
                <w:sz w:val="20"/>
                <w:szCs w:val="20"/>
              </w:rPr>
              <w:t xml:space="preserve">In Establishments without Lockout / Tagout Programs When </w:t>
            </w:r>
            <w:r w:rsidR="00D621B4">
              <w:rPr>
                <w:color w:val="000000"/>
                <w:sz w:val="20"/>
                <w:szCs w:val="20"/>
              </w:rPr>
              <w:t xml:space="preserve">the </w:t>
            </w:r>
            <w:r w:rsidRPr="00C32495">
              <w:rPr>
                <w:color w:val="000000"/>
                <w:sz w:val="20"/>
                <w:szCs w:val="20"/>
              </w:rPr>
              <w:t>Standard Published</w:t>
            </w:r>
          </w:p>
        </w:tc>
        <w:tc>
          <w:tcPr>
            <w:tcW w:w="1016" w:type="dxa"/>
            <w:gridSpan w:val="2"/>
            <w:tcBorders>
              <w:top w:val="nil"/>
              <w:left w:val="nil"/>
              <w:bottom w:val="single" w:color="auto" w:sz="8" w:space="0"/>
              <w:right w:val="single" w:color="auto" w:sz="8" w:space="0"/>
            </w:tcBorders>
            <w:shd w:val="clear" w:color="auto" w:fill="auto"/>
            <w:vAlign w:val="center"/>
            <w:hideMark/>
          </w:tcPr>
          <w:p w:rsidRPr="00C32495" w:rsidR="00C32495" w:rsidP="00C32495" w:rsidRDefault="00C32495" w14:paraId="593CBD7C" w14:textId="77777777">
            <w:pPr>
              <w:widowControl/>
              <w:autoSpaceDE/>
              <w:autoSpaceDN/>
              <w:adjustRightInd/>
              <w:jc w:val="center"/>
              <w:rPr>
                <w:color w:val="000000"/>
                <w:sz w:val="20"/>
                <w:szCs w:val="20"/>
              </w:rPr>
            </w:pPr>
            <w:r w:rsidRPr="00C32495">
              <w:rPr>
                <w:color w:val="000000"/>
                <w:sz w:val="20"/>
                <w:szCs w:val="20"/>
              </w:rPr>
              <w:t>Total</w:t>
            </w:r>
          </w:p>
        </w:tc>
        <w:tc>
          <w:tcPr>
            <w:tcW w:w="1440" w:type="dxa"/>
            <w:tcBorders>
              <w:top w:val="nil"/>
              <w:left w:val="nil"/>
              <w:bottom w:val="single" w:color="auto" w:sz="8" w:space="0"/>
              <w:right w:val="single" w:color="auto" w:sz="8" w:space="0"/>
            </w:tcBorders>
            <w:shd w:val="clear" w:color="auto" w:fill="auto"/>
            <w:vAlign w:val="center"/>
            <w:hideMark/>
          </w:tcPr>
          <w:p w:rsidRPr="00C32495" w:rsidR="00C32495" w:rsidP="00C32495" w:rsidRDefault="00C32495" w14:paraId="0A3E2D65" w14:textId="77777777">
            <w:pPr>
              <w:widowControl/>
              <w:autoSpaceDE/>
              <w:autoSpaceDN/>
              <w:adjustRightInd/>
              <w:jc w:val="center"/>
              <w:rPr>
                <w:color w:val="000000"/>
                <w:sz w:val="20"/>
                <w:szCs w:val="20"/>
              </w:rPr>
            </w:pPr>
            <w:r w:rsidRPr="00C32495">
              <w:rPr>
                <w:color w:val="000000"/>
                <w:sz w:val="20"/>
                <w:szCs w:val="20"/>
              </w:rPr>
              <w:t xml:space="preserve">In Establishments with Compliant Lockout / Tagout Programs When </w:t>
            </w:r>
            <w:r w:rsidR="00D621B4">
              <w:rPr>
                <w:color w:val="000000"/>
                <w:sz w:val="20"/>
                <w:szCs w:val="20"/>
              </w:rPr>
              <w:t xml:space="preserve">the </w:t>
            </w:r>
            <w:r w:rsidRPr="00C32495">
              <w:rPr>
                <w:color w:val="000000"/>
                <w:sz w:val="20"/>
                <w:szCs w:val="20"/>
              </w:rPr>
              <w:t>Standard Published</w:t>
            </w:r>
          </w:p>
        </w:tc>
        <w:tc>
          <w:tcPr>
            <w:tcW w:w="1440" w:type="dxa"/>
            <w:gridSpan w:val="2"/>
            <w:tcBorders>
              <w:top w:val="nil"/>
              <w:left w:val="nil"/>
              <w:bottom w:val="single" w:color="auto" w:sz="8" w:space="0"/>
              <w:right w:val="single" w:color="auto" w:sz="8" w:space="0"/>
            </w:tcBorders>
            <w:shd w:val="clear" w:color="auto" w:fill="auto"/>
            <w:vAlign w:val="center"/>
            <w:hideMark/>
          </w:tcPr>
          <w:p w:rsidRPr="00C32495" w:rsidR="00C32495" w:rsidP="00C32495" w:rsidRDefault="00C32495" w14:paraId="0E602C06" w14:textId="77777777">
            <w:pPr>
              <w:widowControl/>
              <w:autoSpaceDE/>
              <w:autoSpaceDN/>
              <w:adjustRightInd/>
              <w:jc w:val="center"/>
              <w:rPr>
                <w:color w:val="000000"/>
                <w:sz w:val="20"/>
                <w:szCs w:val="20"/>
              </w:rPr>
            </w:pPr>
            <w:r w:rsidRPr="00C32495">
              <w:rPr>
                <w:color w:val="000000"/>
                <w:sz w:val="20"/>
                <w:szCs w:val="20"/>
              </w:rPr>
              <w:t xml:space="preserve">In Establishments without Lockout / Tagout Programs When </w:t>
            </w:r>
            <w:r w:rsidR="00D621B4">
              <w:rPr>
                <w:color w:val="000000"/>
                <w:sz w:val="20"/>
                <w:szCs w:val="20"/>
              </w:rPr>
              <w:t xml:space="preserve">the </w:t>
            </w:r>
            <w:r w:rsidRPr="00C32495">
              <w:rPr>
                <w:color w:val="000000"/>
                <w:sz w:val="20"/>
                <w:szCs w:val="20"/>
              </w:rPr>
              <w:t>Standard Published</w:t>
            </w:r>
          </w:p>
        </w:tc>
      </w:tr>
      <w:tr w:rsidRPr="00C32495" w:rsidR="00C32495" w:rsidTr="00255B26" w14:paraId="46756755" w14:textId="77777777">
        <w:trPr>
          <w:gridAfter w:val="1"/>
          <w:wAfter w:w="825" w:type="dxa"/>
          <w:trHeight w:val="270"/>
          <w:jc w:val="center"/>
        </w:trPr>
        <w:tc>
          <w:tcPr>
            <w:tcW w:w="1919" w:type="dxa"/>
            <w:tcBorders>
              <w:top w:val="nil"/>
              <w:left w:val="single" w:color="auto" w:sz="8" w:space="0"/>
              <w:bottom w:val="single" w:color="auto" w:sz="8" w:space="0"/>
              <w:right w:val="single" w:color="auto" w:sz="8" w:space="0"/>
            </w:tcBorders>
            <w:shd w:val="clear" w:color="auto" w:fill="auto"/>
            <w:noWrap/>
            <w:vAlign w:val="center"/>
            <w:hideMark/>
          </w:tcPr>
          <w:p w:rsidRPr="00C32495" w:rsidR="00C32495" w:rsidP="00C32495" w:rsidRDefault="00C32495" w14:paraId="12B3F53B" w14:textId="77777777">
            <w:pPr>
              <w:widowControl/>
              <w:autoSpaceDE/>
              <w:autoSpaceDN/>
              <w:adjustRightInd/>
              <w:rPr>
                <w:color w:val="000000"/>
                <w:sz w:val="20"/>
                <w:szCs w:val="20"/>
              </w:rPr>
            </w:pPr>
            <w:r w:rsidRPr="00C32495">
              <w:rPr>
                <w:color w:val="000000"/>
                <w:sz w:val="20"/>
                <w:szCs w:val="20"/>
              </w:rPr>
              <w:t>Transportation (a)</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1CD396ED" w14:textId="77777777">
            <w:pPr>
              <w:widowControl/>
              <w:autoSpaceDE/>
              <w:autoSpaceDN/>
              <w:adjustRightInd/>
              <w:jc w:val="center"/>
              <w:rPr>
                <w:color w:val="000000"/>
                <w:sz w:val="20"/>
                <w:szCs w:val="20"/>
              </w:rPr>
            </w:pPr>
            <w:r w:rsidRPr="00C32495">
              <w:rPr>
                <w:color w:val="000000"/>
                <w:sz w:val="20"/>
                <w:szCs w:val="20"/>
              </w:rPr>
              <w:t>267,181</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7C51C84D" w14:textId="77777777">
            <w:pPr>
              <w:widowControl/>
              <w:autoSpaceDE/>
              <w:autoSpaceDN/>
              <w:adjustRightInd/>
              <w:jc w:val="center"/>
              <w:rPr>
                <w:color w:val="000000"/>
                <w:sz w:val="20"/>
                <w:szCs w:val="20"/>
              </w:rPr>
            </w:pPr>
            <w:r w:rsidRPr="00C32495">
              <w:rPr>
                <w:color w:val="000000"/>
                <w:sz w:val="20"/>
                <w:szCs w:val="20"/>
              </w:rPr>
              <w:t>267,181</w:t>
            </w:r>
          </w:p>
        </w:tc>
        <w:tc>
          <w:tcPr>
            <w:tcW w:w="117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687E39BE" w14:textId="77777777">
            <w:pPr>
              <w:widowControl/>
              <w:autoSpaceDE/>
              <w:autoSpaceDN/>
              <w:adjustRightInd/>
              <w:jc w:val="center"/>
              <w:rPr>
                <w:color w:val="000000"/>
                <w:sz w:val="20"/>
                <w:szCs w:val="20"/>
              </w:rPr>
            </w:pPr>
            <w:r w:rsidRPr="00C32495">
              <w:rPr>
                <w:color w:val="000000"/>
                <w:sz w:val="20"/>
                <w:szCs w:val="20"/>
              </w:rPr>
              <w:t>4,266,850</w:t>
            </w:r>
          </w:p>
        </w:tc>
        <w:tc>
          <w:tcPr>
            <w:tcW w:w="1041"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4D7A0CF5" w14:textId="77777777">
            <w:pPr>
              <w:widowControl/>
              <w:autoSpaceDE/>
              <w:autoSpaceDN/>
              <w:adjustRightInd/>
              <w:jc w:val="center"/>
              <w:rPr>
                <w:color w:val="000000"/>
                <w:sz w:val="20"/>
                <w:szCs w:val="20"/>
              </w:rPr>
            </w:pPr>
            <w:r w:rsidRPr="00C32495">
              <w:rPr>
                <w:color w:val="000000"/>
                <w:sz w:val="20"/>
                <w:szCs w:val="20"/>
              </w:rPr>
              <w:t>224,228</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5E4FF229" w14:textId="77777777">
            <w:pPr>
              <w:widowControl/>
              <w:autoSpaceDE/>
              <w:autoSpaceDN/>
              <w:adjustRightInd/>
              <w:jc w:val="center"/>
              <w:rPr>
                <w:color w:val="000000"/>
                <w:sz w:val="20"/>
                <w:szCs w:val="20"/>
              </w:rPr>
            </w:pPr>
            <w:r w:rsidRPr="00C32495">
              <w:rPr>
                <w:color w:val="000000"/>
                <w:sz w:val="20"/>
                <w:szCs w:val="20"/>
              </w:rPr>
              <w:t>112,114</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3C0A02F6" w14:textId="77777777">
            <w:pPr>
              <w:widowControl/>
              <w:autoSpaceDE/>
              <w:autoSpaceDN/>
              <w:adjustRightInd/>
              <w:jc w:val="center"/>
              <w:rPr>
                <w:color w:val="000000"/>
                <w:sz w:val="20"/>
                <w:szCs w:val="20"/>
              </w:rPr>
            </w:pPr>
            <w:r w:rsidRPr="00C32495">
              <w:rPr>
                <w:color w:val="000000"/>
                <w:sz w:val="20"/>
                <w:szCs w:val="20"/>
              </w:rPr>
              <w:t>112,114</w:t>
            </w:r>
          </w:p>
        </w:tc>
        <w:tc>
          <w:tcPr>
            <w:tcW w:w="1016" w:type="dxa"/>
            <w:gridSpan w:val="2"/>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672058B4" w14:textId="77777777">
            <w:pPr>
              <w:widowControl/>
              <w:autoSpaceDE/>
              <w:autoSpaceDN/>
              <w:adjustRightInd/>
              <w:jc w:val="center"/>
              <w:rPr>
                <w:color w:val="000000"/>
                <w:sz w:val="20"/>
                <w:szCs w:val="20"/>
              </w:rPr>
            </w:pPr>
            <w:r w:rsidRPr="00C32495">
              <w:rPr>
                <w:color w:val="000000"/>
                <w:sz w:val="20"/>
                <w:szCs w:val="20"/>
              </w:rPr>
              <w:t>224,228</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5EF7DA37" w14:textId="77777777">
            <w:pPr>
              <w:widowControl/>
              <w:autoSpaceDE/>
              <w:autoSpaceDN/>
              <w:adjustRightInd/>
              <w:jc w:val="center"/>
              <w:rPr>
                <w:color w:val="000000"/>
                <w:sz w:val="20"/>
                <w:szCs w:val="20"/>
              </w:rPr>
            </w:pPr>
            <w:r w:rsidRPr="00C32495">
              <w:rPr>
                <w:color w:val="000000"/>
                <w:sz w:val="20"/>
                <w:szCs w:val="20"/>
              </w:rPr>
              <w:t>112,114</w:t>
            </w:r>
          </w:p>
        </w:tc>
        <w:tc>
          <w:tcPr>
            <w:tcW w:w="1440" w:type="dxa"/>
            <w:gridSpan w:val="2"/>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657B4E3D" w14:textId="77777777">
            <w:pPr>
              <w:widowControl/>
              <w:autoSpaceDE/>
              <w:autoSpaceDN/>
              <w:adjustRightInd/>
              <w:jc w:val="center"/>
              <w:rPr>
                <w:color w:val="000000"/>
                <w:sz w:val="20"/>
                <w:szCs w:val="20"/>
              </w:rPr>
            </w:pPr>
            <w:r w:rsidRPr="00C32495">
              <w:rPr>
                <w:color w:val="000000"/>
                <w:sz w:val="20"/>
                <w:szCs w:val="20"/>
              </w:rPr>
              <w:t>112,114</w:t>
            </w:r>
          </w:p>
        </w:tc>
      </w:tr>
      <w:tr w:rsidRPr="00C32495" w:rsidR="00C32495" w:rsidTr="00255B26" w14:paraId="08CD36DC" w14:textId="77777777">
        <w:trPr>
          <w:gridAfter w:val="1"/>
          <w:wAfter w:w="825" w:type="dxa"/>
          <w:trHeight w:val="270"/>
          <w:jc w:val="center"/>
        </w:trPr>
        <w:tc>
          <w:tcPr>
            <w:tcW w:w="1919" w:type="dxa"/>
            <w:tcBorders>
              <w:top w:val="nil"/>
              <w:left w:val="single" w:color="auto" w:sz="8" w:space="0"/>
              <w:bottom w:val="single" w:color="auto" w:sz="8" w:space="0"/>
              <w:right w:val="single" w:color="auto" w:sz="8" w:space="0"/>
            </w:tcBorders>
            <w:shd w:val="clear" w:color="auto" w:fill="auto"/>
            <w:noWrap/>
            <w:vAlign w:val="center"/>
            <w:hideMark/>
          </w:tcPr>
          <w:p w:rsidRPr="00C32495" w:rsidR="00C32495" w:rsidP="00C32495" w:rsidRDefault="00C32495" w14:paraId="2109F44F" w14:textId="77777777">
            <w:pPr>
              <w:widowControl/>
              <w:autoSpaceDE/>
              <w:autoSpaceDN/>
              <w:adjustRightInd/>
              <w:rPr>
                <w:color w:val="000000"/>
                <w:sz w:val="20"/>
                <w:szCs w:val="20"/>
              </w:rPr>
            </w:pPr>
            <w:r w:rsidRPr="00C32495">
              <w:rPr>
                <w:color w:val="000000"/>
                <w:sz w:val="20"/>
                <w:szCs w:val="20"/>
              </w:rPr>
              <w:t>Communications (b)</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15EE38AB" w14:textId="77777777">
            <w:pPr>
              <w:widowControl/>
              <w:autoSpaceDE/>
              <w:autoSpaceDN/>
              <w:adjustRightInd/>
              <w:jc w:val="center"/>
              <w:rPr>
                <w:color w:val="000000"/>
                <w:sz w:val="20"/>
                <w:szCs w:val="20"/>
              </w:rPr>
            </w:pPr>
            <w:r w:rsidRPr="00C32495">
              <w:rPr>
                <w:color w:val="000000"/>
                <w:sz w:val="20"/>
                <w:szCs w:val="20"/>
              </w:rPr>
              <w:t>60,469</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6F00B3E9" w14:textId="77777777">
            <w:pPr>
              <w:widowControl/>
              <w:autoSpaceDE/>
              <w:autoSpaceDN/>
              <w:adjustRightInd/>
              <w:jc w:val="center"/>
              <w:rPr>
                <w:color w:val="000000"/>
                <w:sz w:val="20"/>
                <w:szCs w:val="20"/>
              </w:rPr>
            </w:pPr>
            <w:r w:rsidRPr="00C32495">
              <w:rPr>
                <w:color w:val="000000"/>
                <w:sz w:val="20"/>
                <w:szCs w:val="20"/>
              </w:rPr>
              <w:t>60,469</w:t>
            </w:r>
          </w:p>
        </w:tc>
        <w:tc>
          <w:tcPr>
            <w:tcW w:w="117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0902EFE7" w14:textId="77777777">
            <w:pPr>
              <w:widowControl/>
              <w:autoSpaceDE/>
              <w:autoSpaceDN/>
              <w:adjustRightInd/>
              <w:jc w:val="center"/>
              <w:rPr>
                <w:color w:val="000000"/>
                <w:sz w:val="20"/>
                <w:szCs w:val="20"/>
              </w:rPr>
            </w:pPr>
            <w:r w:rsidRPr="00C32495">
              <w:rPr>
                <w:color w:val="000000"/>
                <w:sz w:val="20"/>
                <w:szCs w:val="20"/>
              </w:rPr>
              <w:t>920,222</w:t>
            </w:r>
          </w:p>
        </w:tc>
        <w:tc>
          <w:tcPr>
            <w:tcW w:w="1041"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50BA26F1" w14:textId="77777777">
            <w:pPr>
              <w:widowControl/>
              <w:autoSpaceDE/>
              <w:autoSpaceDN/>
              <w:adjustRightInd/>
              <w:jc w:val="center"/>
              <w:rPr>
                <w:color w:val="000000"/>
                <w:sz w:val="20"/>
                <w:szCs w:val="20"/>
              </w:rPr>
            </w:pPr>
            <w:r w:rsidRPr="00C32495">
              <w:rPr>
                <w:color w:val="000000"/>
                <w:sz w:val="20"/>
                <w:szCs w:val="20"/>
              </w:rPr>
              <w:t>579,861</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1074C3F8" w14:textId="77777777">
            <w:pPr>
              <w:widowControl/>
              <w:autoSpaceDE/>
              <w:autoSpaceDN/>
              <w:adjustRightInd/>
              <w:jc w:val="center"/>
              <w:rPr>
                <w:color w:val="000000"/>
                <w:sz w:val="20"/>
                <w:szCs w:val="20"/>
              </w:rPr>
            </w:pPr>
            <w:r w:rsidRPr="00C32495">
              <w:rPr>
                <w:color w:val="000000"/>
                <w:sz w:val="20"/>
                <w:szCs w:val="20"/>
              </w:rPr>
              <w:t>289,930</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6A8EC174" w14:textId="77777777">
            <w:pPr>
              <w:widowControl/>
              <w:autoSpaceDE/>
              <w:autoSpaceDN/>
              <w:adjustRightInd/>
              <w:jc w:val="center"/>
              <w:rPr>
                <w:color w:val="000000"/>
                <w:sz w:val="20"/>
                <w:szCs w:val="20"/>
              </w:rPr>
            </w:pPr>
            <w:r w:rsidRPr="00C32495">
              <w:rPr>
                <w:color w:val="000000"/>
                <w:sz w:val="20"/>
                <w:szCs w:val="20"/>
              </w:rPr>
              <w:t>289,930</w:t>
            </w:r>
          </w:p>
        </w:tc>
        <w:tc>
          <w:tcPr>
            <w:tcW w:w="1016" w:type="dxa"/>
            <w:gridSpan w:val="2"/>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01A08079" w14:textId="77777777">
            <w:pPr>
              <w:widowControl/>
              <w:autoSpaceDE/>
              <w:autoSpaceDN/>
              <w:adjustRightInd/>
              <w:jc w:val="center"/>
              <w:rPr>
                <w:color w:val="000000"/>
                <w:sz w:val="20"/>
                <w:szCs w:val="20"/>
              </w:rPr>
            </w:pPr>
            <w:r w:rsidRPr="00C32495">
              <w:rPr>
                <w:color w:val="000000"/>
                <w:sz w:val="20"/>
                <w:szCs w:val="20"/>
              </w:rPr>
              <w:t>579,861</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056D42B4" w14:textId="77777777">
            <w:pPr>
              <w:widowControl/>
              <w:autoSpaceDE/>
              <w:autoSpaceDN/>
              <w:adjustRightInd/>
              <w:jc w:val="center"/>
              <w:rPr>
                <w:color w:val="000000"/>
                <w:sz w:val="20"/>
                <w:szCs w:val="20"/>
              </w:rPr>
            </w:pPr>
            <w:r w:rsidRPr="00C32495">
              <w:rPr>
                <w:color w:val="000000"/>
                <w:sz w:val="20"/>
                <w:szCs w:val="20"/>
              </w:rPr>
              <w:t>289,930</w:t>
            </w:r>
          </w:p>
        </w:tc>
        <w:tc>
          <w:tcPr>
            <w:tcW w:w="1440" w:type="dxa"/>
            <w:gridSpan w:val="2"/>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4BA4B554" w14:textId="77777777">
            <w:pPr>
              <w:widowControl/>
              <w:autoSpaceDE/>
              <w:autoSpaceDN/>
              <w:adjustRightInd/>
              <w:jc w:val="center"/>
              <w:rPr>
                <w:color w:val="000000"/>
                <w:sz w:val="20"/>
                <w:szCs w:val="20"/>
              </w:rPr>
            </w:pPr>
            <w:r w:rsidRPr="00C32495">
              <w:rPr>
                <w:color w:val="000000"/>
                <w:sz w:val="20"/>
                <w:szCs w:val="20"/>
              </w:rPr>
              <w:t>289,930</w:t>
            </w:r>
          </w:p>
        </w:tc>
      </w:tr>
      <w:tr w:rsidRPr="00C32495" w:rsidR="00C32495" w:rsidTr="00255B26" w14:paraId="626A6E26" w14:textId="77777777">
        <w:trPr>
          <w:gridAfter w:val="1"/>
          <w:wAfter w:w="825" w:type="dxa"/>
          <w:trHeight w:val="270"/>
          <w:jc w:val="center"/>
        </w:trPr>
        <w:tc>
          <w:tcPr>
            <w:tcW w:w="1919" w:type="dxa"/>
            <w:tcBorders>
              <w:top w:val="nil"/>
              <w:left w:val="single" w:color="auto" w:sz="8" w:space="0"/>
              <w:bottom w:val="single" w:color="auto" w:sz="8" w:space="0"/>
              <w:right w:val="single" w:color="auto" w:sz="8" w:space="0"/>
            </w:tcBorders>
            <w:shd w:val="clear" w:color="auto" w:fill="auto"/>
            <w:noWrap/>
            <w:vAlign w:val="center"/>
            <w:hideMark/>
          </w:tcPr>
          <w:p w:rsidRPr="00C32495" w:rsidR="00C32495" w:rsidP="00C32495" w:rsidRDefault="00C32495" w14:paraId="43BE5A42" w14:textId="77777777">
            <w:pPr>
              <w:widowControl/>
              <w:autoSpaceDE/>
              <w:autoSpaceDN/>
              <w:adjustRightInd/>
              <w:rPr>
                <w:color w:val="000000"/>
                <w:sz w:val="20"/>
                <w:szCs w:val="20"/>
              </w:rPr>
            </w:pPr>
            <w:r w:rsidRPr="00C32495">
              <w:rPr>
                <w:color w:val="000000"/>
                <w:sz w:val="20"/>
                <w:szCs w:val="20"/>
              </w:rPr>
              <w:t>Utilities (c)</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789962A0" w14:textId="77777777">
            <w:pPr>
              <w:widowControl/>
              <w:autoSpaceDE/>
              <w:autoSpaceDN/>
              <w:adjustRightInd/>
              <w:jc w:val="center"/>
              <w:rPr>
                <w:color w:val="000000"/>
                <w:sz w:val="20"/>
                <w:szCs w:val="20"/>
              </w:rPr>
            </w:pPr>
            <w:r w:rsidRPr="00C32495">
              <w:rPr>
                <w:color w:val="000000"/>
                <w:sz w:val="20"/>
                <w:szCs w:val="20"/>
              </w:rPr>
              <w:t>13,440</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2F698D5C" w14:textId="77777777">
            <w:pPr>
              <w:widowControl/>
              <w:autoSpaceDE/>
              <w:autoSpaceDN/>
              <w:adjustRightInd/>
              <w:jc w:val="center"/>
              <w:rPr>
                <w:color w:val="000000"/>
                <w:sz w:val="20"/>
                <w:szCs w:val="20"/>
              </w:rPr>
            </w:pPr>
            <w:r w:rsidRPr="00C32495">
              <w:rPr>
                <w:color w:val="000000"/>
                <w:sz w:val="20"/>
                <w:szCs w:val="20"/>
              </w:rPr>
              <w:t>13,440</w:t>
            </w:r>
          </w:p>
        </w:tc>
        <w:tc>
          <w:tcPr>
            <w:tcW w:w="117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7F60D85C" w14:textId="77777777">
            <w:pPr>
              <w:widowControl/>
              <w:autoSpaceDE/>
              <w:autoSpaceDN/>
              <w:adjustRightInd/>
              <w:jc w:val="center"/>
              <w:rPr>
                <w:color w:val="000000"/>
                <w:sz w:val="20"/>
                <w:szCs w:val="20"/>
              </w:rPr>
            </w:pPr>
            <w:r w:rsidRPr="00C32495">
              <w:rPr>
                <w:color w:val="000000"/>
                <w:sz w:val="20"/>
                <w:szCs w:val="20"/>
              </w:rPr>
              <w:t>199,273</w:t>
            </w:r>
          </w:p>
        </w:tc>
        <w:tc>
          <w:tcPr>
            <w:tcW w:w="1041"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41594EBD" w14:textId="77777777">
            <w:pPr>
              <w:widowControl/>
              <w:autoSpaceDE/>
              <w:autoSpaceDN/>
              <w:adjustRightInd/>
              <w:jc w:val="center"/>
              <w:rPr>
                <w:color w:val="000000"/>
                <w:sz w:val="20"/>
                <w:szCs w:val="20"/>
              </w:rPr>
            </w:pPr>
            <w:r w:rsidRPr="00C32495">
              <w:rPr>
                <w:color w:val="000000"/>
                <w:sz w:val="20"/>
                <w:szCs w:val="20"/>
              </w:rPr>
              <w:t>57,070</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1A2E7251" w14:textId="77777777">
            <w:pPr>
              <w:widowControl/>
              <w:autoSpaceDE/>
              <w:autoSpaceDN/>
              <w:adjustRightInd/>
              <w:jc w:val="center"/>
              <w:rPr>
                <w:color w:val="000000"/>
                <w:sz w:val="20"/>
                <w:szCs w:val="20"/>
              </w:rPr>
            </w:pPr>
            <w:r w:rsidRPr="00C32495">
              <w:rPr>
                <w:color w:val="000000"/>
                <w:sz w:val="20"/>
                <w:szCs w:val="20"/>
              </w:rPr>
              <w:t>28,535</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02E4561C" w14:textId="77777777">
            <w:pPr>
              <w:widowControl/>
              <w:autoSpaceDE/>
              <w:autoSpaceDN/>
              <w:adjustRightInd/>
              <w:jc w:val="center"/>
              <w:rPr>
                <w:color w:val="000000"/>
                <w:sz w:val="20"/>
                <w:szCs w:val="20"/>
              </w:rPr>
            </w:pPr>
            <w:r w:rsidRPr="00C32495">
              <w:rPr>
                <w:color w:val="000000"/>
                <w:sz w:val="20"/>
                <w:szCs w:val="20"/>
              </w:rPr>
              <w:t>28,535</w:t>
            </w:r>
          </w:p>
        </w:tc>
        <w:tc>
          <w:tcPr>
            <w:tcW w:w="1016" w:type="dxa"/>
            <w:gridSpan w:val="2"/>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0CC82AFE" w14:textId="77777777">
            <w:pPr>
              <w:widowControl/>
              <w:autoSpaceDE/>
              <w:autoSpaceDN/>
              <w:adjustRightInd/>
              <w:jc w:val="center"/>
              <w:rPr>
                <w:color w:val="000000"/>
                <w:sz w:val="20"/>
                <w:szCs w:val="20"/>
              </w:rPr>
            </w:pPr>
            <w:r w:rsidRPr="00C32495">
              <w:rPr>
                <w:color w:val="000000"/>
                <w:sz w:val="20"/>
                <w:szCs w:val="20"/>
              </w:rPr>
              <w:t>57,070</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76261C4D" w14:textId="77777777">
            <w:pPr>
              <w:widowControl/>
              <w:autoSpaceDE/>
              <w:autoSpaceDN/>
              <w:adjustRightInd/>
              <w:jc w:val="center"/>
              <w:rPr>
                <w:color w:val="000000"/>
                <w:sz w:val="20"/>
                <w:szCs w:val="20"/>
              </w:rPr>
            </w:pPr>
            <w:r w:rsidRPr="00C32495">
              <w:rPr>
                <w:color w:val="000000"/>
                <w:sz w:val="20"/>
                <w:szCs w:val="20"/>
              </w:rPr>
              <w:t>28,535</w:t>
            </w:r>
          </w:p>
        </w:tc>
        <w:tc>
          <w:tcPr>
            <w:tcW w:w="1440" w:type="dxa"/>
            <w:gridSpan w:val="2"/>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2F18B87D" w14:textId="77777777">
            <w:pPr>
              <w:widowControl/>
              <w:autoSpaceDE/>
              <w:autoSpaceDN/>
              <w:adjustRightInd/>
              <w:jc w:val="center"/>
              <w:rPr>
                <w:color w:val="000000"/>
                <w:sz w:val="20"/>
                <w:szCs w:val="20"/>
              </w:rPr>
            </w:pPr>
            <w:r w:rsidRPr="00C32495">
              <w:rPr>
                <w:color w:val="000000"/>
                <w:sz w:val="20"/>
                <w:szCs w:val="20"/>
              </w:rPr>
              <w:t>28,535</w:t>
            </w:r>
          </w:p>
        </w:tc>
      </w:tr>
      <w:tr w:rsidRPr="00C32495" w:rsidR="00C32495" w:rsidTr="00255B26" w14:paraId="490CED39" w14:textId="77777777">
        <w:trPr>
          <w:gridAfter w:val="1"/>
          <w:wAfter w:w="825" w:type="dxa"/>
          <w:trHeight w:val="270"/>
          <w:jc w:val="center"/>
        </w:trPr>
        <w:tc>
          <w:tcPr>
            <w:tcW w:w="1919" w:type="dxa"/>
            <w:tcBorders>
              <w:top w:val="nil"/>
              <w:left w:val="single" w:color="auto" w:sz="8" w:space="0"/>
              <w:bottom w:val="single" w:color="auto" w:sz="8" w:space="0"/>
              <w:right w:val="single" w:color="auto" w:sz="8" w:space="0"/>
            </w:tcBorders>
            <w:shd w:val="clear" w:color="auto" w:fill="auto"/>
            <w:noWrap/>
            <w:vAlign w:val="center"/>
            <w:hideMark/>
          </w:tcPr>
          <w:p w:rsidRPr="00C32495" w:rsidR="00C32495" w:rsidP="00C32495" w:rsidRDefault="00C32495" w14:paraId="2810805F" w14:textId="77777777">
            <w:pPr>
              <w:widowControl/>
              <w:autoSpaceDE/>
              <w:autoSpaceDN/>
              <w:adjustRightInd/>
              <w:rPr>
                <w:color w:val="000000"/>
                <w:sz w:val="20"/>
                <w:szCs w:val="20"/>
              </w:rPr>
            </w:pPr>
            <w:r w:rsidRPr="00C32495">
              <w:rPr>
                <w:color w:val="000000"/>
                <w:sz w:val="20"/>
                <w:szCs w:val="20"/>
              </w:rPr>
              <w:t>Wholesale Trade (d)</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1C198AD0" w14:textId="77777777">
            <w:pPr>
              <w:widowControl/>
              <w:autoSpaceDE/>
              <w:autoSpaceDN/>
              <w:adjustRightInd/>
              <w:jc w:val="center"/>
              <w:rPr>
                <w:color w:val="000000"/>
                <w:sz w:val="20"/>
                <w:szCs w:val="20"/>
              </w:rPr>
            </w:pPr>
            <w:r w:rsidRPr="00C32495">
              <w:rPr>
                <w:color w:val="000000"/>
                <w:sz w:val="20"/>
                <w:szCs w:val="20"/>
              </w:rPr>
              <w:t>409,593</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1AEF2049" w14:textId="77777777">
            <w:pPr>
              <w:widowControl/>
              <w:autoSpaceDE/>
              <w:autoSpaceDN/>
              <w:adjustRightInd/>
              <w:jc w:val="center"/>
              <w:rPr>
                <w:color w:val="000000"/>
                <w:sz w:val="20"/>
                <w:szCs w:val="20"/>
              </w:rPr>
            </w:pPr>
            <w:r w:rsidRPr="00C32495">
              <w:rPr>
                <w:color w:val="000000"/>
                <w:sz w:val="20"/>
                <w:szCs w:val="20"/>
              </w:rPr>
              <w:t>35,635</w:t>
            </w:r>
          </w:p>
        </w:tc>
        <w:tc>
          <w:tcPr>
            <w:tcW w:w="117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62B65860" w14:textId="77777777">
            <w:pPr>
              <w:widowControl/>
              <w:autoSpaceDE/>
              <w:autoSpaceDN/>
              <w:adjustRightInd/>
              <w:jc w:val="center"/>
              <w:rPr>
                <w:color w:val="000000"/>
                <w:sz w:val="20"/>
                <w:szCs w:val="20"/>
              </w:rPr>
            </w:pPr>
            <w:r w:rsidRPr="00C32495">
              <w:rPr>
                <w:color w:val="000000"/>
                <w:sz w:val="20"/>
                <w:szCs w:val="20"/>
              </w:rPr>
              <w:t>5,437,986</w:t>
            </w:r>
          </w:p>
        </w:tc>
        <w:tc>
          <w:tcPr>
            <w:tcW w:w="1041"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08693C23" w14:textId="77777777">
            <w:pPr>
              <w:widowControl/>
              <w:autoSpaceDE/>
              <w:autoSpaceDN/>
              <w:adjustRightInd/>
              <w:jc w:val="center"/>
              <w:rPr>
                <w:color w:val="000000"/>
                <w:sz w:val="20"/>
                <w:szCs w:val="20"/>
              </w:rPr>
            </w:pPr>
            <w:r w:rsidRPr="00C32495">
              <w:rPr>
                <w:color w:val="000000"/>
                <w:sz w:val="20"/>
                <w:szCs w:val="20"/>
              </w:rPr>
              <w:t>177,054</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4834B559" w14:textId="77777777">
            <w:pPr>
              <w:widowControl/>
              <w:autoSpaceDE/>
              <w:autoSpaceDN/>
              <w:adjustRightInd/>
              <w:jc w:val="center"/>
              <w:rPr>
                <w:color w:val="000000"/>
                <w:sz w:val="20"/>
                <w:szCs w:val="20"/>
              </w:rPr>
            </w:pPr>
            <w:r w:rsidRPr="00C32495">
              <w:rPr>
                <w:color w:val="000000"/>
                <w:sz w:val="20"/>
                <w:szCs w:val="20"/>
              </w:rPr>
              <w:t>88,527</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291DFEBC" w14:textId="77777777">
            <w:pPr>
              <w:widowControl/>
              <w:autoSpaceDE/>
              <w:autoSpaceDN/>
              <w:adjustRightInd/>
              <w:jc w:val="center"/>
              <w:rPr>
                <w:color w:val="000000"/>
                <w:sz w:val="20"/>
                <w:szCs w:val="20"/>
              </w:rPr>
            </w:pPr>
            <w:r w:rsidRPr="00C32495">
              <w:rPr>
                <w:color w:val="000000"/>
                <w:sz w:val="20"/>
                <w:szCs w:val="20"/>
              </w:rPr>
              <w:t>88,527</w:t>
            </w:r>
          </w:p>
        </w:tc>
        <w:tc>
          <w:tcPr>
            <w:tcW w:w="1016" w:type="dxa"/>
            <w:gridSpan w:val="2"/>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7EC23F3F" w14:textId="77777777">
            <w:pPr>
              <w:widowControl/>
              <w:autoSpaceDE/>
              <w:autoSpaceDN/>
              <w:adjustRightInd/>
              <w:jc w:val="center"/>
              <w:rPr>
                <w:color w:val="000000"/>
                <w:sz w:val="20"/>
                <w:szCs w:val="20"/>
              </w:rPr>
            </w:pPr>
            <w:r w:rsidRPr="00C32495">
              <w:rPr>
                <w:color w:val="000000"/>
                <w:sz w:val="20"/>
                <w:szCs w:val="20"/>
              </w:rPr>
              <w:t>177,054</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7D0142A1" w14:textId="77777777">
            <w:pPr>
              <w:widowControl/>
              <w:autoSpaceDE/>
              <w:autoSpaceDN/>
              <w:adjustRightInd/>
              <w:jc w:val="center"/>
              <w:rPr>
                <w:color w:val="000000"/>
                <w:sz w:val="20"/>
                <w:szCs w:val="20"/>
              </w:rPr>
            </w:pPr>
            <w:r w:rsidRPr="00C32495">
              <w:rPr>
                <w:color w:val="000000"/>
                <w:sz w:val="20"/>
                <w:szCs w:val="20"/>
              </w:rPr>
              <w:t>88,527</w:t>
            </w:r>
          </w:p>
        </w:tc>
        <w:tc>
          <w:tcPr>
            <w:tcW w:w="1440" w:type="dxa"/>
            <w:gridSpan w:val="2"/>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34660650" w14:textId="77777777">
            <w:pPr>
              <w:widowControl/>
              <w:autoSpaceDE/>
              <w:autoSpaceDN/>
              <w:adjustRightInd/>
              <w:jc w:val="center"/>
              <w:rPr>
                <w:color w:val="000000"/>
                <w:sz w:val="20"/>
                <w:szCs w:val="20"/>
              </w:rPr>
            </w:pPr>
            <w:r w:rsidRPr="00C32495">
              <w:rPr>
                <w:color w:val="000000"/>
                <w:sz w:val="20"/>
                <w:szCs w:val="20"/>
              </w:rPr>
              <w:t>88,527</w:t>
            </w:r>
          </w:p>
        </w:tc>
      </w:tr>
      <w:tr w:rsidRPr="00C32495" w:rsidR="00C32495" w:rsidTr="00255B26" w14:paraId="068F9D3A" w14:textId="77777777">
        <w:trPr>
          <w:gridAfter w:val="1"/>
          <w:wAfter w:w="825" w:type="dxa"/>
          <w:trHeight w:val="270"/>
          <w:jc w:val="center"/>
        </w:trPr>
        <w:tc>
          <w:tcPr>
            <w:tcW w:w="1919" w:type="dxa"/>
            <w:tcBorders>
              <w:top w:val="nil"/>
              <w:left w:val="single" w:color="auto" w:sz="8" w:space="0"/>
              <w:bottom w:val="single" w:color="auto" w:sz="8" w:space="0"/>
              <w:right w:val="single" w:color="auto" w:sz="8" w:space="0"/>
            </w:tcBorders>
            <w:shd w:val="clear" w:color="auto" w:fill="auto"/>
            <w:noWrap/>
            <w:vAlign w:val="center"/>
            <w:hideMark/>
          </w:tcPr>
          <w:p w:rsidRPr="00C32495" w:rsidR="00C32495" w:rsidP="00C32495" w:rsidRDefault="00C32495" w14:paraId="0FF58C76" w14:textId="77777777">
            <w:pPr>
              <w:widowControl/>
              <w:autoSpaceDE/>
              <w:autoSpaceDN/>
              <w:adjustRightInd/>
              <w:rPr>
                <w:color w:val="000000"/>
                <w:sz w:val="20"/>
                <w:szCs w:val="20"/>
              </w:rPr>
            </w:pPr>
            <w:r w:rsidRPr="00C32495">
              <w:rPr>
                <w:color w:val="000000"/>
                <w:sz w:val="20"/>
                <w:szCs w:val="20"/>
              </w:rPr>
              <w:t>Food Stores (e)</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5A1A3BCB" w14:textId="77777777">
            <w:pPr>
              <w:widowControl/>
              <w:autoSpaceDE/>
              <w:autoSpaceDN/>
              <w:adjustRightInd/>
              <w:jc w:val="center"/>
              <w:rPr>
                <w:color w:val="000000"/>
                <w:sz w:val="20"/>
                <w:szCs w:val="20"/>
              </w:rPr>
            </w:pPr>
            <w:r w:rsidRPr="00C32495">
              <w:rPr>
                <w:color w:val="000000"/>
                <w:sz w:val="20"/>
                <w:szCs w:val="20"/>
              </w:rPr>
              <w:t>232,669</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3B74CC0A" w14:textId="77777777">
            <w:pPr>
              <w:widowControl/>
              <w:autoSpaceDE/>
              <w:autoSpaceDN/>
              <w:adjustRightInd/>
              <w:jc w:val="center"/>
              <w:rPr>
                <w:color w:val="000000"/>
                <w:sz w:val="20"/>
                <w:szCs w:val="20"/>
              </w:rPr>
            </w:pPr>
            <w:r w:rsidRPr="00C32495">
              <w:rPr>
                <w:color w:val="000000"/>
                <w:sz w:val="20"/>
                <w:szCs w:val="20"/>
              </w:rPr>
              <w:t>15,589</w:t>
            </w:r>
          </w:p>
        </w:tc>
        <w:tc>
          <w:tcPr>
            <w:tcW w:w="117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0AC467B0" w14:textId="77777777">
            <w:pPr>
              <w:widowControl/>
              <w:autoSpaceDE/>
              <w:autoSpaceDN/>
              <w:adjustRightInd/>
              <w:jc w:val="center"/>
              <w:rPr>
                <w:color w:val="000000"/>
                <w:sz w:val="20"/>
                <w:szCs w:val="20"/>
              </w:rPr>
            </w:pPr>
            <w:r w:rsidRPr="00C32495">
              <w:rPr>
                <w:color w:val="000000"/>
                <w:sz w:val="20"/>
                <w:szCs w:val="20"/>
              </w:rPr>
              <w:t>4,230,718</w:t>
            </w:r>
          </w:p>
        </w:tc>
        <w:tc>
          <w:tcPr>
            <w:tcW w:w="1041"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2BCA8C6D" w14:textId="77777777">
            <w:pPr>
              <w:widowControl/>
              <w:autoSpaceDE/>
              <w:autoSpaceDN/>
              <w:adjustRightInd/>
              <w:jc w:val="center"/>
              <w:rPr>
                <w:color w:val="000000"/>
                <w:sz w:val="20"/>
                <w:szCs w:val="20"/>
              </w:rPr>
            </w:pPr>
            <w:r w:rsidRPr="00C32495">
              <w:rPr>
                <w:color w:val="000000"/>
                <w:sz w:val="20"/>
                <w:szCs w:val="20"/>
              </w:rPr>
              <w:t>16,380</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147A0200" w14:textId="77777777">
            <w:pPr>
              <w:widowControl/>
              <w:autoSpaceDE/>
              <w:autoSpaceDN/>
              <w:adjustRightInd/>
              <w:jc w:val="center"/>
              <w:rPr>
                <w:color w:val="000000"/>
                <w:sz w:val="20"/>
                <w:szCs w:val="20"/>
              </w:rPr>
            </w:pPr>
            <w:r w:rsidRPr="00C32495">
              <w:rPr>
                <w:color w:val="000000"/>
                <w:sz w:val="20"/>
                <w:szCs w:val="20"/>
              </w:rPr>
              <w:t>8,190</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27AB69A8" w14:textId="77777777">
            <w:pPr>
              <w:widowControl/>
              <w:autoSpaceDE/>
              <w:autoSpaceDN/>
              <w:adjustRightInd/>
              <w:jc w:val="center"/>
              <w:rPr>
                <w:color w:val="000000"/>
                <w:sz w:val="20"/>
                <w:szCs w:val="20"/>
              </w:rPr>
            </w:pPr>
            <w:r w:rsidRPr="00C32495">
              <w:rPr>
                <w:color w:val="000000"/>
                <w:sz w:val="20"/>
                <w:szCs w:val="20"/>
              </w:rPr>
              <w:t>8,190</w:t>
            </w:r>
          </w:p>
        </w:tc>
        <w:tc>
          <w:tcPr>
            <w:tcW w:w="1016" w:type="dxa"/>
            <w:gridSpan w:val="2"/>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76011996" w14:textId="77777777">
            <w:pPr>
              <w:widowControl/>
              <w:autoSpaceDE/>
              <w:autoSpaceDN/>
              <w:adjustRightInd/>
              <w:jc w:val="center"/>
              <w:rPr>
                <w:color w:val="000000"/>
                <w:sz w:val="20"/>
                <w:szCs w:val="20"/>
              </w:rPr>
            </w:pPr>
            <w:r w:rsidRPr="00C32495">
              <w:rPr>
                <w:color w:val="000000"/>
                <w:sz w:val="20"/>
                <w:szCs w:val="20"/>
              </w:rPr>
              <w:t>16,380</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233F7B3E" w14:textId="77777777">
            <w:pPr>
              <w:widowControl/>
              <w:autoSpaceDE/>
              <w:autoSpaceDN/>
              <w:adjustRightInd/>
              <w:jc w:val="center"/>
              <w:rPr>
                <w:color w:val="000000"/>
                <w:sz w:val="20"/>
                <w:szCs w:val="20"/>
              </w:rPr>
            </w:pPr>
            <w:r w:rsidRPr="00C32495">
              <w:rPr>
                <w:color w:val="000000"/>
                <w:sz w:val="20"/>
                <w:szCs w:val="20"/>
              </w:rPr>
              <w:t>8,190</w:t>
            </w:r>
          </w:p>
        </w:tc>
        <w:tc>
          <w:tcPr>
            <w:tcW w:w="1440" w:type="dxa"/>
            <w:gridSpan w:val="2"/>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5567B4CA" w14:textId="77777777">
            <w:pPr>
              <w:widowControl/>
              <w:autoSpaceDE/>
              <w:autoSpaceDN/>
              <w:adjustRightInd/>
              <w:jc w:val="center"/>
              <w:rPr>
                <w:color w:val="000000"/>
                <w:sz w:val="20"/>
                <w:szCs w:val="20"/>
              </w:rPr>
            </w:pPr>
            <w:r w:rsidRPr="00C32495">
              <w:rPr>
                <w:color w:val="000000"/>
                <w:sz w:val="20"/>
                <w:szCs w:val="20"/>
              </w:rPr>
              <w:t>8,190</w:t>
            </w:r>
          </w:p>
        </w:tc>
      </w:tr>
      <w:tr w:rsidRPr="00C32495" w:rsidR="00C32495" w:rsidTr="00255B26" w14:paraId="3FC81B9B" w14:textId="77777777">
        <w:trPr>
          <w:gridAfter w:val="1"/>
          <w:wAfter w:w="825" w:type="dxa"/>
          <w:trHeight w:val="270"/>
          <w:jc w:val="center"/>
        </w:trPr>
        <w:tc>
          <w:tcPr>
            <w:tcW w:w="1919" w:type="dxa"/>
            <w:tcBorders>
              <w:top w:val="nil"/>
              <w:left w:val="single" w:color="auto" w:sz="8" w:space="0"/>
              <w:bottom w:val="single" w:color="auto" w:sz="8" w:space="0"/>
              <w:right w:val="single" w:color="auto" w:sz="8" w:space="0"/>
            </w:tcBorders>
            <w:shd w:val="clear" w:color="auto" w:fill="auto"/>
            <w:noWrap/>
            <w:vAlign w:val="center"/>
            <w:hideMark/>
          </w:tcPr>
          <w:p w:rsidRPr="00C32495" w:rsidR="00C32495" w:rsidP="00C32495" w:rsidRDefault="00C32495" w14:paraId="4E8F6681" w14:textId="77777777">
            <w:pPr>
              <w:widowControl/>
              <w:autoSpaceDE/>
              <w:autoSpaceDN/>
              <w:adjustRightInd/>
              <w:rPr>
                <w:color w:val="000000"/>
                <w:sz w:val="20"/>
                <w:szCs w:val="20"/>
              </w:rPr>
            </w:pPr>
            <w:r w:rsidRPr="00C32495">
              <w:rPr>
                <w:color w:val="000000"/>
                <w:sz w:val="20"/>
                <w:szCs w:val="20"/>
              </w:rPr>
              <w:t>Services (f)</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6E5C31AF" w14:textId="77777777">
            <w:pPr>
              <w:widowControl/>
              <w:autoSpaceDE/>
              <w:autoSpaceDN/>
              <w:adjustRightInd/>
              <w:jc w:val="center"/>
              <w:rPr>
                <w:color w:val="000000"/>
                <w:sz w:val="20"/>
                <w:szCs w:val="20"/>
              </w:rPr>
            </w:pPr>
            <w:r w:rsidRPr="00C32495">
              <w:rPr>
                <w:color w:val="000000"/>
                <w:sz w:val="20"/>
                <w:szCs w:val="20"/>
              </w:rPr>
              <w:t>1,050,410</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61EB0A12" w14:textId="77777777">
            <w:pPr>
              <w:widowControl/>
              <w:autoSpaceDE/>
              <w:autoSpaceDN/>
              <w:adjustRightInd/>
              <w:jc w:val="center"/>
              <w:rPr>
                <w:color w:val="000000"/>
                <w:sz w:val="20"/>
                <w:szCs w:val="20"/>
              </w:rPr>
            </w:pPr>
            <w:r w:rsidRPr="00C32495">
              <w:rPr>
                <w:color w:val="000000"/>
                <w:sz w:val="20"/>
                <w:szCs w:val="20"/>
              </w:rPr>
              <w:t>90,335</w:t>
            </w:r>
          </w:p>
        </w:tc>
        <w:tc>
          <w:tcPr>
            <w:tcW w:w="117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10EE4C5A" w14:textId="77777777">
            <w:pPr>
              <w:widowControl/>
              <w:autoSpaceDE/>
              <w:autoSpaceDN/>
              <w:adjustRightInd/>
              <w:jc w:val="center"/>
              <w:rPr>
                <w:color w:val="000000"/>
                <w:sz w:val="20"/>
                <w:szCs w:val="20"/>
              </w:rPr>
            </w:pPr>
            <w:r w:rsidRPr="00C32495">
              <w:rPr>
                <w:color w:val="000000"/>
                <w:sz w:val="20"/>
                <w:szCs w:val="20"/>
              </w:rPr>
              <w:t>15,211,091</w:t>
            </w:r>
          </w:p>
        </w:tc>
        <w:tc>
          <w:tcPr>
            <w:tcW w:w="1041"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20F3DD2F" w14:textId="77777777">
            <w:pPr>
              <w:widowControl/>
              <w:autoSpaceDE/>
              <w:autoSpaceDN/>
              <w:adjustRightInd/>
              <w:jc w:val="center"/>
              <w:rPr>
                <w:color w:val="000000"/>
                <w:sz w:val="20"/>
                <w:szCs w:val="20"/>
              </w:rPr>
            </w:pPr>
            <w:r w:rsidRPr="00C32495">
              <w:rPr>
                <w:color w:val="000000"/>
                <w:sz w:val="20"/>
                <w:szCs w:val="20"/>
              </w:rPr>
              <w:t>379,304</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4679084D" w14:textId="77777777">
            <w:pPr>
              <w:widowControl/>
              <w:autoSpaceDE/>
              <w:autoSpaceDN/>
              <w:adjustRightInd/>
              <w:jc w:val="center"/>
              <w:rPr>
                <w:color w:val="000000"/>
                <w:sz w:val="20"/>
                <w:szCs w:val="20"/>
              </w:rPr>
            </w:pPr>
            <w:r w:rsidRPr="00C32495">
              <w:rPr>
                <w:color w:val="000000"/>
                <w:sz w:val="20"/>
                <w:szCs w:val="20"/>
              </w:rPr>
              <w:t>189,652</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2C403C9A" w14:textId="77777777">
            <w:pPr>
              <w:widowControl/>
              <w:autoSpaceDE/>
              <w:autoSpaceDN/>
              <w:adjustRightInd/>
              <w:jc w:val="center"/>
              <w:rPr>
                <w:color w:val="000000"/>
                <w:sz w:val="20"/>
                <w:szCs w:val="20"/>
              </w:rPr>
            </w:pPr>
            <w:r w:rsidRPr="00C32495">
              <w:rPr>
                <w:color w:val="000000"/>
                <w:sz w:val="20"/>
                <w:szCs w:val="20"/>
              </w:rPr>
              <w:t>189,652</w:t>
            </w:r>
          </w:p>
        </w:tc>
        <w:tc>
          <w:tcPr>
            <w:tcW w:w="1016" w:type="dxa"/>
            <w:gridSpan w:val="2"/>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3761B67D" w14:textId="77777777">
            <w:pPr>
              <w:widowControl/>
              <w:autoSpaceDE/>
              <w:autoSpaceDN/>
              <w:adjustRightInd/>
              <w:jc w:val="center"/>
              <w:rPr>
                <w:color w:val="000000"/>
                <w:sz w:val="20"/>
                <w:szCs w:val="20"/>
              </w:rPr>
            </w:pPr>
            <w:r w:rsidRPr="00C32495">
              <w:rPr>
                <w:color w:val="000000"/>
                <w:sz w:val="20"/>
                <w:szCs w:val="20"/>
              </w:rPr>
              <w:t>379,304</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3AA2AB62" w14:textId="77777777">
            <w:pPr>
              <w:widowControl/>
              <w:autoSpaceDE/>
              <w:autoSpaceDN/>
              <w:adjustRightInd/>
              <w:jc w:val="center"/>
              <w:rPr>
                <w:color w:val="000000"/>
                <w:sz w:val="20"/>
                <w:szCs w:val="20"/>
              </w:rPr>
            </w:pPr>
            <w:r w:rsidRPr="00C32495">
              <w:rPr>
                <w:color w:val="000000"/>
                <w:sz w:val="20"/>
                <w:szCs w:val="20"/>
              </w:rPr>
              <w:t>189,652</w:t>
            </w:r>
          </w:p>
        </w:tc>
        <w:tc>
          <w:tcPr>
            <w:tcW w:w="1440" w:type="dxa"/>
            <w:gridSpan w:val="2"/>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0D959D81" w14:textId="77777777">
            <w:pPr>
              <w:widowControl/>
              <w:autoSpaceDE/>
              <w:autoSpaceDN/>
              <w:adjustRightInd/>
              <w:jc w:val="center"/>
              <w:rPr>
                <w:color w:val="000000"/>
                <w:sz w:val="20"/>
                <w:szCs w:val="20"/>
              </w:rPr>
            </w:pPr>
            <w:r w:rsidRPr="00C32495">
              <w:rPr>
                <w:color w:val="000000"/>
                <w:sz w:val="20"/>
                <w:szCs w:val="20"/>
              </w:rPr>
              <w:t>189,652</w:t>
            </w:r>
          </w:p>
        </w:tc>
      </w:tr>
      <w:tr w:rsidRPr="00C32495" w:rsidR="00C32495" w:rsidTr="00255B26" w14:paraId="2B63E9FD" w14:textId="77777777">
        <w:trPr>
          <w:gridAfter w:val="1"/>
          <w:wAfter w:w="825" w:type="dxa"/>
          <w:trHeight w:val="270"/>
          <w:jc w:val="center"/>
        </w:trPr>
        <w:tc>
          <w:tcPr>
            <w:tcW w:w="1919" w:type="dxa"/>
            <w:tcBorders>
              <w:top w:val="nil"/>
              <w:left w:val="single" w:color="auto" w:sz="8" w:space="0"/>
              <w:bottom w:val="single" w:color="auto" w:sz="8" w:space="0"/>
              <w:right w:val="single" w:color="auto" w:sz="8" w:space="0"/>
            </w:tcBorders>
            <w:shd w:val="clear" w:color="auto" w:fill="auto"/>
            <w:noWrap/>
            <w:vAlign w:val="center"/>
            <w:hideMark/>
          </w:tcPr>
          <w:p w:rsidRPr="00C32495" w:rsidR="00C32495" w:rsidP="00C32495" w:rsidRDefault="00C32495" w14:paraId="7AD7D68E" w14:textId="77777777">
            <w:pPr>
              <w:widowControl/>
              <w:autoSpaceDE/>
              <w:autoSpaceDN/>
              <w:adjustRightInd/>
              <w:rPr>
                <w:b/>
                <w:bCs/>
                <w:color w:val="000000"/>
                <w:sz w:val="20"/>
                <w:szCs w:val="20"/>
              </w:rPr>
            </w:pPr>
            <w:r w:rsidRPr="00C32495">
              <w:rPr>
                <w:b/>
                <w:bCs/>
                <w:color w:val="000000"/>
                <w:sz w:val="20"/>
                <w:szCs w:val="20"/>
              </w:rPr>
              <w:t>Total</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454F1034" w14:textId="77777777">
            <w:pPr>
              <w:widowControl/>
              <w:autoSpaceDE/>
              <w:autoSpaceDN/>
              <w:adjustRightInd/>
              <w:jc w:val="center"/>
              <w:rPr>
                <w:b/>
                <w:bCs/>
                <w:color w:val="000000"/>
                <w:sz w:val="20"/>
                <w:szCs w:val="20"/>
              </w:rPr>
            </w:pPr>
            <w:r w:rsidRPr="00C32495">
              <w:rPr>
                <w:b/>
                <w:bCs/>
                <w:color w:val="000000"/>
                <w:sz w:val="20"/>
                <w:szCs w:val="20"/>
              </w:rPr>
              <w:t>2,033,762</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052D763B" w14:textId="77777777">
            <w:pPr>
              <w:widowControl/>
              <w:autoSpaceDE/>
              <w:autoSpaceDN/>
              <w:adjustRightInd/>
              <w:jc w:val="center"/>
              <w:rPr>
                <w:b/>
                <w:bCs/>
                <w:color w:val="000000"/>
                <w:sz w:val="20"/>
                <w:szCs w:val="20"/>
              </w:rPr>
            </w:pPr>
            <w:r w:rsidRPr="00C32495">
              <w:rPr>
                <w:b/>
                <w:bCs/>
                <w:color w:val="000000"/>
                <w:sz w:val="20"/>
                <w:szCs w:val="20"/>
              </w:rPr>
              <w:t>482,64</w:t>
            </w:r>
            <w:r w:rsidR="00445312">
              <w:rPr>
                <w:b/>
                <w:bCs/>
                <w:color w:val="000000"/>
                <w:sz w:val="20"/>
                <w:szCs w:val="20"/>
              </w:rPr>
              <w:t>9</w:t>
            </w:r>
          </w:p>
        </w:tc>
        <w:tc>
          <w:tcPr>
            <w:tcW w:w="117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3C1D7905" w14:textId="77777777">
            <w:pPr>
              <w:widowControl/>
              <w:autoSpaceDE/>
              <w:autoSpaceDN/>
              <w:adjustRightInd/>
              <w:jc w:val="center"/>
              <w:rPr>
                <w:b/>
                <w:bCs/>
                <w:color w:val="000000"/>
                <w:sz w:val="20"/>
                <w:szCs w:val="20"/>
              </w:rPr>
            </w:pPr>
            <w:r w:rsidRPr="00C32495">
              <w:rPr>
                <w:b/>
                <w:bCs/>
                <w:color w:val="000000"/>
                <w:sz w:val="20"/>
                <w:szCs w:val="20"/>
              </w:rPr>
              <w:t>30,266,140</w:t>
            </w:r>
          </w:p>
        </w:tc>
        <w:tc>
          <w:tcPr>
            <w:tcW w:w="1041"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51B88883" w14:textId="77777777">
            <w:pPr>
              <w:widowControl/>
              <w:autoSpaceDE/>
              <w:autoSpaceDN/>
              <w:adjustRightInd/>
              <w:jc w:val="center"/>
              <w:rPr>
                <w:b/>
                <w:bCs/>
                <w:color w:val="000000"/>
                <w:sz w:val="20"/>
                <w:szCs w:val="20"/>
              </w:rPr>
            </w:pPr>
            <w:r w:rsidRPr="00C32495">
              <w:rPr>
                <w:b/>
                <w:bCs/>
                <w:color w:val="000000"/>
                <w:sz w:val="20"/>
                <w:szCs w:val="20"/>
              </w:rPr>
              <w:t>1,433,896</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2F59DF4F" w14:textId="77777777">
            <w:pPr>
              <w:widowControl/>
              <w:autoSpaceDE/>
              <w:autoSpaceDN/>
              <w:adjustRightInd/>
              <w:jc w:val="center"/>
              <w:rPr>
                <w:b/>
                <w:bCs/>
                <w:color w:val="000000"/>
                <w:sz w:val="20"/>
                <w:szCs w:val="20"/>
              </w:rPr>
            </w:pPr>
            <w:r w:rsidRPr="00C32495">
              <w:rPr>
                <w:b/>
                <w:bCs/>
                <w:color w:val="000000"/>
                <w:sz w:val="20"/>
                <w:szCs w:val="20"/>
              </w:rPr>
              <w:t>716,948</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25D8ABBF" w14:textId="77777777">
            <w:pPr>
              <w:widowControl/>
              <w:autoSpaceDE/>
              <w:autoSpaceDN/>
              <w:adjustRightInd/>
              <w:jc w:val="center"/>
              <w:rPr>
                <w:b/>
                <w:bCs/>
                <w:color w:val="000000"/>
                <w:sz w:val="20"/>
                <w:szCs w:val="20"/>
              </w:rPr>
            </w:pPr>
            <w:r w:rsidRPr="00C32495">
              <w:rPr>
                <w:b/>
                <w:bCs/>
                <w:color w:val="000000"/>
                <w:sz w:val="20"/>
                <w:szCs w:val="20"/>
              </w:rPr>
              <w:t>716,948</w:t>
            </w:r>
          </w:p>
        </w:tc>
        <w:tc>
          <w:tcPr>
            <w:tcW w:w="1016" w:type="dxa"/>
            <w:gridSpan w:val="2"/>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04419442" w14:textId="77777777">
            <w:pPr>
              <w:widowControl/>
              <w:autoSpaceDE/>
              <w:autoSpaceDN/>
              <w:adjustRightInd/>
              <w:jc w:val="center"/>
              <w:rPr>
                <w:b/>
                <w:bCs/>
                <w:color w:val="000000"/>
                <w:sz w:val="20"/>
                <w:szCs w:val="20"/>
              </w:rPr>
            </w:pPr>
            <w:r w:rsidRPr="00C32495">
              <w:rPr>
                <w:b/>
                <w:bCs/>
                <w:color w:val="000000"/>
                <w:sz w:val="20"/>
                <w:szCs w:val="20"/>
              </w:rPr>
              <w:t>1,433,896</w:t>
            </w:r>
          </w:p>
        </w:tc>
        <w:tc>
          <w:tcPr>
            <w:tcW w:w="1440" w:type="dxa"/>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62E16198" w14:textId="77777777">
            <w:pPr>
              <w:widowControl/>
              <w:autoSpaceDE/>
              <w:autoSpaceDN/>
              <w:adjustRightInd/>
              <w:jc w:val="center"/>
              <w:rPr>
                <w:b/>
                <w:bCs/>
                <w:color w:val="000000"/>
                <w:sz w:val="20"/>
                <w:szCs w:val="20"/>
              </w:rPr>
            </w:pPr>
            <w:r w:rsidRPr="00C32495">
              <w:rPr>
                <w:b/>
                <w:bCs/>
                <w:color w:val="000000"/>
                <w:sz w:val="20"/>
                <w:szCs w:val="20"/>
              </w:rPr>
              <w:t>716,948</w:t>
            </w:r>
          </w:p>
        </w:tc>
        <w:tc>
          <w:tcPr>
            <w:tcW w:w="1440" w:type="dxa"/>
            <w:gridSpan w:val="2"/>
            <w:tcBorders>
              <w:top w:val="nil"/>
              <w:left w:val="nil"/>
              <w:bottom w:val="single" w:color="auto" w:sz="8" w:space="0"/>
              <w:right w:val="single" w:color="auto" w:sz="8" w:space="0"/>
            </w:tcBorders>
            <w:shd w:val="clear" w:color="000000" w:fill="FFFFFF"/>
            <w:noWrap/>
            <w:vAlign w:val="center"/>
            <w:hideMark/>
          </w:tcPr>
          <w:p w:rsidRPr="00C32495" w:rsidR="00C32495" w:rsidP="00C32495" w:rsidRDefault="00C32495" w14:paraId="7B69F834" w14:textId="77777777">
            <w:pPr>
              <w:widowControl/>
              <w:autoSpaceDE/>
              <w:autoSpaceDN/>
              <w:adjustRightInd/>
              <w:jc w:val="center"/>
              <w:rPr>
                <w:b/>
                <w:bCs/>
                <w:color w:val="000000"/>
                <w:sz w:val="20"/>
                <w:szCs w:val="20"/>
              </w:rPr>
            </w:pPr>
            <w:r w:rsidRPr="00C32495">
              <w:rPr>
                <w:b/>
                <w:bCs/>
                <w:color w:val="000000"/>
                <w:sz w:val="20"/>
                <w:szCs w:val="20"/>
              </w:rPr>
              <w:t>716,948</w:t>
            </w:r>
          </w:p>
        </w:tc>
      </w:tr>
      <w:tr w:rsidRPr="00C32495" w:rsidR="00C32495" w:rsidTr="00255B26" w14:paraId="2E238088" w14:textId="77777777">
        <w:trPr>
          <w:gridAfter w:val="1"/>
          <w:wAfter w:w="825" w:type="dxa"/>
          <w:trHeight w:val="255"/>
          <w:jc w:val="center"/>
        </w:trPr>
        <w:tc>
          <w:tcPr>
            <w:tcW w:w="13786" w:type="dxa"/>
            <w:gridSpan w:val="12"/>
            <w:tcBorders>
              <w:top w:val="single" w:color="auto" w:sz="8" w:space="0"/>
              <w:left w:val="nil"/>
              <w:bottom w:val="nil"/>
              <w:right w:val="nil"/>
            </w:tcBorders>
            <w:shd w:val="clear" w:color="auto" w:fill="auto"/>
            <w:noWrap/>
            <w:vAlign w:val="center"/>
            <w:hideMark/>
          </w:tcPr>
          <w:p w:rsidRPr="00C32495" w:rsidR="00C32495" w:rsidP="00C32495" w:rsidRDefault="00C32495" w14:paraId="33145592" w14:textId="77777777">
            <w:pPr>
              <w:widowControl/>
              <w:autoSpaceDE/>
              <w:autoSpaceDN/>
              <w:adjustRightInd/>
              <w:rPr>
                <w:color w:val="000000"/>
                <w:sz w:val="20"/>
                <w:szCs w:val="20"/>
              </w:rPr>
            </w:pPr>
            <w:r w:rsidRPr="00C32495">
              <w:rPr>
                <w:color w:val="000000"/>
                <w:sz w:val="20"/>
                <w:szCs w:val="20"/>
              </w:rPr>
              <w:t>Source: 2017 County Business Patterns Survey.  U.S. Census Bureau, 2019</w:t>
            </w:r>
            <w:r w:rsidR="001F10B7">
              <w:rPr>
                <w:color w:val="000000"/>
                <w:sz w:val="20"/>
                <w:szCs w:val="20"/>
              </w:rPr>
              <w:t>. (</w:t>
            </w:r>
            <w:hyperlink w:history="1" r:id="rId23">
              <w:r w:rsidRPr="00DC2B53" w:rsidR="001F10B7">
                <w:rPr>
                  <w:rStyle w:val="Hyperlink"/>
                  <w:sz w:val="20"/>
                  <w:szCs w:val="20"/>
                </w:rPr>
                <w:t>https://www.census.gov/data/datasets/2017/econ/cbp/2017-cbp.html</w:t>
              </w:r>
            </w:hyperlink>
            <w:r w:rsidR="001F10B7">
              <w:rPr>
                <w:color w:val="000000"/>
                <w:sz w:val="20"/>
                <w:szCs w:val="20"/>
              </w:rPr>
              <w:t>)</w:t>
            </w:r>
          </w:p>
        </w:tc>
      </w:tr>
      <w:tr w:rsidRPr="00C32495" w:rsidR="00C32495" w:rsidTr="00255B26" w14:paraId="51591371" w14:textId="77777777">
        <w:trPr>
          <w:gridAfter w:val="1"/>
          <w:wAfter w:w="825" w:type="dxa"/>
          <w:trHeight w:val="465"/>
          <w:jc w:val="center"/>
        </w:trPr>
        <w:tc>
          <w:tcPr>
            <w:tcW w:w="13786" w:type="dxa"/>
            <w:gridSpan w:val="12"/>
            <w:tcBorders>
              <w:top w:val="nil"/>
              <w:left w:val="nil"/>
              <w:bottom w:val="nil"/>
              <w:right w:val="nil"/>
            </w:tcBorders>
            <w:shd w:val="clear" w:color="auto" w:fill="auto"/>
            <w:vAlign w:val="center"/>
            <w:hideMark/>
          </w:tcPr>
          <w:p w:rsidRPr="00C32495" w:rsidR="00C32495" w:rsidP="00C32495" w:rsidRDefault="00C32495" w14:paraId="2306A79E" w14:textId="77777777">
            <w:pPr>
              <w:widowControl/>
              <w:autoSpaceDE/>
              <w:autoSpaceDN/>
              <w:adjustRightInd/>
              <w:rPr>
                <w:color w:val="000000"/>
                <w:sz w:val="20"/>
                <w:szCs w:val="20"/>
              </w:rPr>
            </w:pPr>
            <w:r w:rsidRPr="00C32495">
              <w:rPr>
                <w:color w:val="000000"/>
                <w:sz w:val="20"/>
                <w:szCs w:val="20"/>
              </w:rPr>
              <w:t>(a) The transportation sector is comprised of industries in the following NAICS codes: 481, 484, 485, 4861, 4869, 4871, 4879, 488, 492, 532411, 561510, 561520, 5621, 621910, and 713930.</w:t>
            </w:r>
          </w:p>
        </w:tc>
      </w:tr>
      <w:tr w:rsidRPr="00C32495" w:rsidR="00C32495" w:rsidTr="00255B26" w14:paraId="6E178003" w14:textId="77777777">
        <w:trPr>
          <w:gridAfter w:val="1"/>
          <w:wAfter w:w="825" w:type="dxa"/>
          <w:trHeight w:val="255"/>
          <w:jc w:val="center"/>
        </w:trPr>
        <w:tc>
          <w:tcPr>
            <w:tcW w:w="7010" w:type="dxa"/>
            <w:gridSpan w:val="5"/>
            <w:tcBorders>
              <w:top w:val="nil"/>
              <w:left w:val="nil"/>
              <w:bottom w:val="nil"/>
              <w:right w:val="nil"/>
            </w:tcBorders>
            <w:shd w:val="clear" w:color="auto" w:fill="auto"/>
            <w:noWrap/>
            <w:vAlign w:val="center"/>
            <w:hideMark/>
          </w:tcPr>
          <w:p w:rsidRPr="00C32495" w:rsidR="00C32495" w:rsidP="00C32495" w:rsidRDefault="00C32495" w14:paraId="614BB4FC" w14:textId="77777777">
            <w:pPr>
              <w:widowControl/>
              <w:autoSpaceDE/>
              <w:autoSpaceDN/>
              <w:adjustRightInd/>
              <w:rPr>
                <w:color w:val="000000"/>
                <w:sz w:val="20"/>
                <w:szCs w:val="20"/>
              </w:rPr>
            </w:pPr>
            <w:r w:rsidRPr="00C32495">
              <w:rPr>
                <w:color w:val="000000"/>
                <w:sz w:val="20"/>
                <w:szCs w:val="20"/>
              </w:rPr>
              <w:t xml:space="preserve">(b) The communications sector is comprised of industries in NAICS code 517. </w:t>
            </w:r>
          </w:p>
        </w:tc>
        <w:tc>
          <w:tcPr>
            <w:tcW w:w="1440" w:type="dxa"/>
            <w:tcBorders>
              <w:top w:val="nil"/>
              <w:left w:val="nil"/>
              <w:bottom w:val="nil"/>
              <w:right w:val="nil"/>
            </w:tcBorders>
            <w:shd w:val="clear" w:color="auto" w:fill="auto"/>
            <w:noWrap/>
            <w:vAlign w:val="bottom"/>
            <w:hideMark/>
          </w:tcPr>
          <w:p w:rsidRPr="00C32495" w:rsidR="00C32495" w:rsidP="00C32495" w:rsidRDefault="00C32495" w14:paraId="306B06B5" w14:textId="77777777">
            <w:pPr>
              <w:widowControl/>
              <w:autoSpaceDE/>
              <w:autoSpaceDN/>
              <w:adjustRightInd/>
              <w:rPr>
                <w:color w:val="000000"/>
                <w:sz w:val="20"/>
                <w:szCs w:val="20"/>
              </w:rPr>
            </w:pPr>
          </w:p>
        </w:tc>
        <w:tc>
          <w:tcPr>
            <w:tcW w:w="1440" w:type="dxa"/>
            <w:tcBorders>
              <w:top w:val="nil"/>
              <w:left w:val="nil"/>
              <w:bottom w:val="nil"/>
              <w:right w:val="nil"/>
            </w:tcBorders>
            <w:shd w:val="clear" w:color="auto" w:fill="auto"/>
            <w:noWrap/>
            <w:vAlign w:val="bottom"/>
            <w:hideMark/>
          </w:tcPr>
          <w:p w:rsidRPr="00C32495" w:rsidR="00C32495" w:rsidP="00C32495" w:rsidRDefault="00C32495" w14:paraId="14ED1B75" w14:textId="77777777">
            <w:pPr>
              <w:widowControl/>
              <w:autoSpaceDE/>
              <w:autoSpaceDN/>
              <w:adjustRightInd/>
              <w:rPr>
                <w:sz w:val="20"/>
                <w:szCs w:val="20"/>
              </w:rPr>
            </w:pPr>
          </w:p>
        </w:tc>
        <w:tc>
          <w:tcPr>
            <w:tcW w:w="1016" w:type="dxa"/>
            <w:gridSpan w:val="2"/>
            <w:tcBorders>
              <w:top w:val="nil"/>
              <w:left w:val="nil"/>
              <w:bottom w:val="nil"/>
              <w:right w:val="nil"/>
            </w:tcBorders>
            <w:shd w:val="clear" w:color="auto" w:fill="auto"/>
            <w:noWrap/>
            <w:vAlign w:val="bottom"/>
            <w:hideMark/>
          </w:tcPr>
          <w:p w:rsidRPr="00C32495" w:rsidR="00C32495" w:rsidP="00C32495" w:rsidRDefault="00C32495" w14:paraId="674318D7"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Pr="00C32495" w:rsidR="00C32495" w:rsidP="00C32495" w:rsidRDefault="00C32495" w14:paraId="141CD8EF" w14:textId="77777777">
            <w:pPr>
              <w:widowControl/>
              <w:autoSpaceDE/>
              <w:autoSpaceDN/>
              <w:adjustRightInd/>
              <w:rPr>
                <w:sz w:val="20"/>
                <w:szCs w:val="20"/>
              </w:rPr>
            </w:pPr>
          </w:p>
        </w:tc>
        <w:tc>
          <w:tcPr>
            <w:tcW w:w="1440" w:type="dxa"/>
            <w:gridSpan w:val="2"/>
            <w:tcBorders>
              <w:top w:val="nil"/>
              <w:left w:val="nil"/>
              <w:bottom w:val="nil"/>
              <w:right w:val="nil"/>
            </w:tcBorders>
            <w:shd w:val="clear" w:color="auto" w:fill="auto"/>
            <w:noWrap/>
            <w:vAlign w:val="bottom"/>
            <w:hideMark/>
          </w:tcPr>
          <w:p w:rsidRPr="00C32495" w:rsidR="00C32495" w:rsidP="00C32495" w:rsidRDefault="00C32495" w14:paraId="31BB00B9" w14:textId="77777777">
            <w:pPr>
              <w:widowControl/>
              <w:autoSpaceDE/>
              <w:autoSpaceDN/>
              <w:adjustRightInd/>
              <w:rPr>
                <w:sz w:val="20"/>
                <w:szCs w:val="20"/>
              </w:rPr>
            </w:pPr>
          </w:p>
        </w:tc>
      </w:tr>
      <w:tr w:rsidRPr="00C32495" w:rsidR="00C32495" w:rsidTr="00255B26" w14:paraId="35FDCD11" w14:textId="77777777">
        <w:trPr>
          <w:gridAfter w:val="1"/>
          <w:wAfter w:w="825" w:type="dxa"/>
          <w:trHeight w:val="540"/>
          <w:jc w:val="center"/>
        </w:trPr>
        <w:tc>
          <w:tcPr>
            <w:tcW w:w="13786" w:type="dxa"/>
            <w:gridSpan w:val="12"/>
            <w:tcBorders>
              <w:top w:val="nil"/>
              <w:left w:val="nil"/>
              <w:bottom w:val="nil"/>
              <w:right w:val="nil"/>
            </w:tcBorders>
            <w:shd w:val="clear" w:color="auto" w:fill="auto"/>
            <w:vAlign w:val="center"/>
            <w:hideMark/>
          </w:tcPr>
          <w:p w:rsidRPr="00C32495" w:rsidR="00C32495" w:rsidP="00C32495" w:rsidRDefault="00C32495" w14:paraId="1696E5E2" w14:textId="77777777">
            <w:pPr>
              <w:widowControl/>
              <w:autoSpaceDE/>
              <w:autoSpaceDN/>
              <w:adjustRightInd/>
              <w:rPr>
                <w:color w:val="000000"/>
                <w:sz w:val="20"/>
                <w:szCs w:val="20"/>
              </w:rPr>
            </w:pPr>
            <w:r w:rsidRPr="00C32495">
              <w:rPr>
                <w:color w:val="000000"/>
                <w:sz w:val="20"/>
                <w:szCs w:val="20"/>
              </w:rPr>
              <w:t>(c) The utility sector is comprised of industries in the following+A3 NAICS codes:  221210, 221310, 221320, 221330, 486210, 562211, 562212, 562213, 562219, and 562920. Establishments in electrical generation, transmission, and distribution industries are excluded as they are not in scope for this standard.</w:t>
            </w:r>
          </w:p>
        </w:tc>
      </w:tr>
      <w:tr w:rsidRPr="00C32495" w:rsidR="00C32495" w:rsidTr="00255B26" w14:paraId="75F05E52" w14:textId="77777777">
        <w:trPr>
          <w:gridAfter w:val="1"/>
          <w:wAfter w:w="825" w:type="dxa"/>
          <w:trHeight w:val="255"/>
          <w:jc w:val="center"/>
        </w:trPr>
        <w:tc>
          <w:tcPr>
            <w:tcW w:w="8450" w:type="dxa"/>
            <w:gridSpan w:val="6"/>
            <w:tcBorders>
              <w:top w:val="nil"/>
              <w:left w:val="nil"/>
              <w:bottom w:val="nil"/>
              <w:right w:val="nil"/>
            </w:tcBorders>
            <w:shd w:val="clear" w:color="auto" w:fill="auto"/>
            <w:noWrap/>
            <w:vAlign w:val="center"/>
            <w:hideMark/>
          </w:tcPr>
          <w:p w:rsidRPr="00C32495" w:rsidR="00C32495" w:rsidP="00C32495" w:rsidRDefault="00C32495" w14:paraId="64B0E754" w14:textId="77777777">
            <w:pPr>
              <w:widowControl/>
              <w:autoSpaceDE/>
              <w:autoSpaceDN/>
              <w:adjustRightInd/>
              <w:rPr>
                <w:color w:val="000000"/>
                <w:sz w:val="20"/>
                <w:szCs w:val="20"/>
              </w:rPr>
            </w:pPr>
            <w:r w:rsidRPr="00C32495">
              <w:rPr>
                <w:color w:val="000000"/>
                <w:sz w:val="20"/>
                <w:szCs w:val="20"/>
              </w:rPr>
              <w:t>(d) The wholesale trade sector is comprised of industries in the following NAICS codes:  423, 424, and 425.</w:t>
            </w:r>
          </w:p>
        </w:tc>
        <w:tc>
          <w:tcPr>
            <w:tcW w:w="1440" w:type="dxa"/>
            <w:tcBorders>
              <w:top w:val="nil"/>
              <w:left w:val="nil"/>
              <w:bottom w:val="nil"/>
              <w:right w:val="nil"/>
            </w:tcBorders>
            <w:shd w:val="clear" w:color="auto" w:fill="auto"/>
            <w:noWrap/>
            <w:vAlign w:val="bottom"/>
            <w:hideMark/>
          </w:tcPr>
          <w:p w:rsidRPr="00C32495" w:rsidR="00C32495" w:rsidP="00C32495" w:rsidRDefault="00C32495" w14:paraId="71A77FC4" w14:textId="77777777">
            <w:pPr>
              <w:widowControl/>
              <w:autoSpaceDE/>
              <w:autoSpaceDN/>
              <w:adjustRightInd/>
              <w:rPr>
                <w:color w:val="000000"/>
                <w:sz w:val="20"/>
                <w:szCs w:val="20"/>
              </w:rPr>
            </w:pPr>
          </w:p>
        </w:tc>
        <w:tc>
          <w:tcPr>
            <w:tcW w:w="1016" w:type="dxa"/>
            <w:gridSpan w:val="2"/>
            <w:tcBorders>
              <w:top w:val="nil"/>
              <w:left w:val="nil"/>
              <w:bottom w:val="nil"/>
              <w:right w:val="nil"/>
            </w:tcBorders>
            <w:shd w:val="clear" w:color="auto" w:fill="auto"/>
            <w:noWrap/>
            <w:vAlign w:val="bottom"/>
            <w:hideMark/>
          </w:tcPr>
          <w:p w:rsidRPr="00C32495" w:rsidR="00C32495" w:rsidP="00C32495" w:rsidRDefault="00C32495" w14:paraId="41DD84E1"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Pr="00C32495" w:rsidR="00C32495" w:rsidP="00C32495" w:rsidRDefault="00C32495" w14:paraId="6A3F7D2F" w14:textId="77777777">
            <w:pPr>
              <w:widowControl/>
              <w:autoSpaceDE/>
              <w:autoSpaceDN/>
              <w:adjustRightInd/>
              <w:rPr>
                <w:sz w:val="20"/>
                <w:szCs w:val="20"/>
              </w:rPr>
            </w:pPr>
          </w:p>
        </w:tc>
        <w:tc>
          <w:tcPr>
            <w:tcW w:w="1440" w:type="dxa"/>
            <w:gridSpan w:val="2"/>
            <w:tcBorders>
              <w:top w:val="nil"/>
              <w:left w:val="nil"/>
              <w:bottom w:val="nil"/>
              <w:right w:val="nil"/>
            </w:tcBorders>
            <w:shd w:val="clear" w:color="auto" w:fill="auto"/>
            <w:noWrap/>
            <w:vAlign w:val="bottom"/>
            <w:hideMark/>
          </w:tcPr>
          <w:p w:rsidRPr="00C32495" w:rsidR="00C32495" w:rsidP="00C32495" w:rsidRDefault="00C32495" w14:paraId="20B25EED" w14:textId="77777777">
            <w:pPr>
              <w:widowControl/>
              <w:autoSpaceDE/>
              <w:autoSpaceDN/>
              <w:adjustRightInd/>
              <w:rPr>
                <w:sz w:val="20"/>
                <w:szCs w:val="20"/>
              </w:rPr>
            </w:pPr>
          </w:p>
        </w:tc>
      </w:tr>
      <w:tr w:rsidRPr="00C32495" w:rsidR="00C32495" w:rsidTr="00255B26" w14:paraId="52832728" w14:textId="77777777">
        <w:trPr>
          <w:gridAfter w:val="1"/>
          <w:wAfter w:w="825" w:type="dxa"/>
          <w:trHeight w:val="255"/>
          <w:jc w:val="center"/>
        </w:trPr>
        <w:tc>
          <w:tcPr>
            <w:tcW w:w="9890" w:type="dxa"/>
            <w:gridSpan w:val="7"/>
            <w:tcBorders>
              <w:top w:val="nil"/>
              <w:left w:val="nil"/>
              <w:bottom w:val="nil"/>
              <w:right w:val="nil"/>
            </w:tcBorders>
            <w:shd w:val="clear" w:color="auto" w:fill="auto"/>
            <w:noWrap/>
            <w:vAlign w:val="center"/>
            <w:hideMark/>
          </w:tcPr>
          <w:p w:rsidRPr="00C32495" w:rsidR="00C32495" w:rsidP="00C32495" w:rsidRDefault="00C32495" w14:paraId="215F60C8" w14:textId="77777777">
            <w:pPr>
              <w:widowControl/>
              <w:autoSpaceDE/>
              <w:autoSpaceDN/>
              <w:adjustRightInd/>
              <w:rPr>
                <w:color w:val="000000"/>
                <w:sz w:val="20"/>
                <w:szCs w:val="20"/>
              </w:rPr>
            </w:pPr>
            <w:r w:rsidRPr="00C32495">
              <w:rPr>
                <w:color w:val="000000"/>
                <w:sz w:val="20"/>
                <w:szCs w:val="20"/>
              </w:rPr>
              <w:t>(e)The food store sector is comprised of industries in the following NAICS codes:  4451, 4452, 446191, 447110, and 452910.</w:t>
            </w:r>
          </w:p>
        </w:tc>
        <w:tc>
          <w:tcPr>
            <w:tcW w:w="1016" w:type="dxa"/>
            <w:gridSpan w:val="2"/>
            <w:tcBorders>
              <w:top w:val="nil"/>
              <w:left w:val="nil"/>
              <w:bottom w:val="nil"/>
              <w:right w:val="nil"/>
            </w:tcBorders>
            <w:shd w:val="clear" w:color="auto" w:fill="auto"/>
            <w:noWrap/>
            <w:vAlign w:val="bottom"/>
            <w:hideMark/>
          </w:tcPr>
          <w:p w:rsidRPr="00C32495" w:rsidR="00C32495" w:rsidP="00C32495" w:rsidRDefault="00C32495" w14:paraId="6310AF32" w14:textId="77777777">
            <w:pPr>
              <w:widowControl/>
              <w:autoSpaceDE/>
              <w:autoSpaceDN/>
              <w:adjustRightInd/>
              <w:rPr>
                <w:color w:val="000000"/>
                <w:sz w:val="20"/>
                <w:szCs w:val="20"/>
              </w:rPr>
            </w:pPr>
          </w:p>
        </w:tc>
        <w:tc>
          <w:tcPr>
            <w:tcW w:w="1440" w:type="dxa"/>
            <w:tcBorders>
              <w:top w:val="nil"/>
              <w:left w:val="nil"/>
              <w:bottom w:val="nil"/>
              <w:right w:val="nil"/>
            </w:tcBorders>
            <w:shd w:val="clear" w:color="auto" w:fill="auto"/>
            <w:noWrap/>
            <w:vAlign w:val="bottom"/>
            <w:hideMark/>
          </w:tcPr>
          <w:p w:rsidRPr="00C32495" w:rsidR="00C32495" w:rsidP="00C32495" w:rsidRDefault="00C32495" w14:paraId="121E0981" w14:textId="77777777">
            <w:pPr>
              <w:widowControl/>
              <w:autoSpaceDE/>
              <w:autoSpaceDN/>
              <w:adjustRightInd/>
              <w:rPr>
                <w:sz w:val="20"/>
                <w:szCs w:val="20"/>
              </w:rPr>
            </w:pPr>
          </w:p>
        </w:tc>
        <w:tc>
          <w:tcPr>
            <w:tcW w:w="1440" w:type="dxa"/>
            <w:gridSpan w:val="2"/>
            <w:tcBorders>
              <w:top w:val="nil"/>
              <w:left w:val="nil"/>
              <w:bottom w:val="nil"/>
              <w:right w:val="nil"/>
            </w:tcBorders>
            <w:shd w:val="clear" w:color="auto" w:fill="auto"/>
            <w:noWrap/>
            <w:vAlign w:val="bottom"/>
            <w:hideMark/>
          </w:tcPr>
          <w:p w:rsidRPr="00C32495" w:rsidR="00C32495" w:rsidP="00C32495" w:rsidRDefault="00C32495" w14:paraId="255F4267" w14:textId="77777777">
            <w:pPr>
              <w:widowControl/>
              <w:autoSpaceDE/>
              <w:autoSpaceDN/>
              <w:adjustRightInd/>
              <w:rPr>
                <w:sz w:val="20"/>
                <w:szCs w:val="20"/>
              </w:rPr>
            </w:pPr>
          </w:p>
        </w:tc>
      </w:tr>
      <w:tr w:rsidRPr="00C32495" w:rsidR="00C32495" w:rsidTr="00255B26" w14:paraId="76A4F8B1" w14:textId="77777777">
        <w:trPr>
          <w:gridAfter w:val="1"/>
          <w:wAfter w:w="825" w:type="dxa"/>
          <w:trHeight w:val="765"/>
          <w:jc w:val="center"/>
        </w:trPr>
        <w:tc>
          <w:tcPr>
            <w:tcW w:w="13786" w:type="dxa"/>
            <w:gridSpan w:val="12"/>
            <w:tcBorders>
              <w:top w:val="nil"/>
              <w:left w:val="nil"/>
              <w:bottom w:val="nil"/>
              <w:right w:val="nil"/>
            </w:tcBorders>
            <w:shd w:val="clear" w:color="auto" w:fill="auto"/>
            <w:vAlign w:val="center"/>
            <w:hideMark/>
          </w:tcPr>
          <w:p w:rsidRPr="00C32495" w:rsidR="00C32495" w:rsidP="00C32495" w:rsidRDefault="00C32495" w14:paraId="0C821D26" w14:textId="77777777">
            <w:pPr>
              <w:widowControl/>
              <w:autoSpaceDE/>
              <w:autoSpaceDN/>
              <w:adjustRightInd/>
              <w:rPr>
                <w:color w:val="000000"/>
                <w:sz w:val="20"/>
                <w:szCs w:val="20"/>
              </w:rPr>
            </w:pPr>
            <w:r w:rsidRPr="00C32495">
              <w:rPr>
                <w:color w:val="000000"/>
                <w:sz w:val="20"/>
                <w:szCs w:val="20"/>
              </w:rPr>
              <w:t>(f) The service sector is comprised of industries in the following NAICS codes:  511199, 512110, 512240, 512290, 517919, 518210, 519110, 5321, 532220, 53229, 5323, 5324, 541213, 541340, 541350, 5414, 5415, 5418, 541921, 541922, 541930, 541990, 5613, 5614, 56159, 5616, 561710, 561720, 561740, 561790, 5619, 562991, 611511, 611620, 711, 713, 81111, 81112, 811198, 8112, 8113, 8114, 8121, 812210, 8123, 81292, 812990.</w:t>
            </w:r>
          </w:p>
        </w:tc>
      </w:tr>
      <w:tr w:rsidRPr="00C32495" w:rsidR="00C32495" w:rsidTr="00255B26" w14:paraId="62CC11DB" w14:textId="77777777">
        <w:trPr>
          <w:gridAfter w:val="1"/>
          <w:wAfter w:w="825" w:type="dxa"/>
          <w:trHeight w:val="255"/>
          <w:jc w:val="center"/>
        </w:trPr>
        <w:tc>
          <w:tcPr>
            <w:tcW w:w="9890" w:type="dxa"/>
            <w:gridSpan w:val="7"/>
            <w:tcBorders>
              <w:top w:val="nil"/>
              <w:left w:val="nil"/>
              <w:bottom w:val="nil"/>
              <w:right w:val="nil"/>
            </w:tcBorders>
            <w:shd w:val="clear" w:color="auto" w:fill="auto"/>
            <w:noWrap/>
            <w:vAlign w:val="center"/>
            <w:hideMark/>
          </w:tcPr>
          <w:p w:rsidRPr="00C32495" w:rsidR="00C32495" w:rsidP="00C32495" w:rsidRDefault="00C32495" w14:paraId="31E59FDA" w14:textId="77777777">
            <w:pPr>
              <w:widowControl/>
              <w:autoSpaceDE/>
              <w:autoSpaceDN/>
              <w:adjustRightInd/>
              <w:rPr>
                <w:color w:val="000000"/>
                <w:sz w:val="20"/>
                <w:szCs w:val="20"/>
              </w:rPr>
            </w:pPr>
            <w:r w:rsidRPr="00C32495">
              <w:rPr>
                <w:color w:val="000000"/>
                <w:sz w:val="20"/>
                <w:szCs w:val="20"/>
              </w:rPr>
              <w:t xml:space="preserve">Note: A complete list </w:t>
            </w:r>
            <w:r w:rsidR="000A3E11">
              <w:rPr>
                <w:color w:val="000000"/>
                <w:sz w:val="20"/>
                <w:szCs w:val="20"/>
              </w:rPr>
              <w:t xml:space="preserve">of </w:t>
            </w:r>
            <w:r w:rsidRPr="00C32495">
              <w:rPr>
                <w:color w:val="000000"/>
                <w:sz w:val="20"/>
                <w:szCs w:val="20"/>
              </w:rPr>
              <w:t xml:space="preserve">NAICS codes and their descriptions is available at </w:t>
            </w:r>
            <w:hyperlink w:history="1" r:id="rId24">
              <w:r w:rsidRPr="00CD6129" w:rsidR="000A3E11">
                <w:rPr>
                  <w:rStyle w:val="Hyperlink"/>
                  <w:sz w:val="20"/>
                  <w:szCs w:val="20"/>
                </w:rPr>
                <w:t>https://www.census.gov/eos/www/naics/</w:t>
              </w:r>
            </w:hyperlink>
            <w:r w:rsidR="000A3E11">
              <w:rPr>
                <w:color w:val="000000"/>
                <w:sz w:val="20"/>
                <w:szCs w:val="20"/>
              </w:rPr>
              <w:t xml:space="preserve">. </w:t>
            </w:r>
          </w:p>
        </w:tc>
        <w:tc>
          <w:tcPr>
            <w:tcW w:w="1016" w:type="dxa"/>
            <w:gridSpan w:val="2"/>
            <w:tcBorders>
              <w:top w:val="nil"/>
              <w:left w:val="nil"/>
              <w:bottom w:val="nil"/>
              <w:right w:val="nil"/>
            </w:tcBorders>
            <w:shd w:val="clear" w:color="auto" w:fill="auto"/>
            <w:noWrap/>
            <w:vAlign w:val="bottom"/>
            <w:hideMark/>
          </w:tcPr>
          <w:p w:rsidRPr="00C32495" w:rsidR="00C32495" w:rsidP="00C32495" w:rsidRDefault="00C32495" w14:paraId="51324A48" w14:textId="77777777">
            <w:pPr>
              <w:widowControl/>
              <w:autoSpaceDE/>
              <w:autoSpaceDN/>
              <w:adjustRightInd/>
              <w:rPr>
                <w:color w:val="000000"/>
                <w:sz w:val="20"/>
                <w:szCs w:val="20"/>
              </w:rPr>
            </w:pPr>
          </w:p>
        </w:tc>
        <w:tc>
          <w:tcPr>
            <w:tcW w:w="1440" w:type="dxa"/>
            <w:tcBorders>
              <w:top w:val="nil"/>
              <w:left w:val="nil"/>
              <w:bottom w:val="nil"/>
              <w:right w:val="nil"/>
            </w:tcBorders>
            <w:shd w:val="clear" w:color="auto" w:fill="auto"/>
            <w:noWrap/>
            <w:vAlign w:val="bottom"/>
            <w:hideMark/>
          </w:tcPr>
          <w:p w:rsidRPr="00C32495" w:rsidR="00C32495" w:rsidP="00C32495" w:rsidRDefault="00C32495" w14:paraId="11588F11" w14:textId="77777777">
            <w:pPr>
              <w:widowControl/>
              <w:autoSpaceDE/>
              <w:autoSpaceDN/>
              <w:adjustRightInd/>
              <w:rPr>
                <w:sz w:val="20"/>
                <w:szCs w:val="20"/>
              </w:rPr>
            </w:pPr>
          </w:p>
        </w:tc>
        <w:tc>
          <w:tcPr>
            <w:tcW w:w="1440" w:type="dxa"/>
            <w:gridSpan w:val="2"/>
            <w:tcBorders>
              <w:top w:val="nil"/>
              <w:left w:val="nil"/>
              <w:bottom w:val="nil"/>
              <w:right w:val="nil"/>
            </w:tcBorders>
            <w:shd w:val="clear" w:color="auto" w:fill="auto"/>
            <w:noWrap/>
            <w:vAlign w:val="bottom"/>
            <w:hideMark/>
          </w:tcPr>
          <w:p w:rsidRPr="00C32495" w:rsidR="00C32495" w:rsidP="00C32495" w:rsidRDefault="00C32495" w14:paraId="0D7529AA" w14:textId="77777777">
            <w:pPr>
              <w:widowControl/>
              <w:autoSpaceDE/>
              <w:autoSpaceDN/>
              <w:adjustRightInd/>
              <w:rPr>
                <w:sz w:val="20"/>
                <w:szCs w:val="20"/>
              </w:rPr>
            </w:pPr>
          </w:p>
        </w:tc>
      </w:tr>
    </w:tbl>
    <w:p w:rsidR="00796C02" w:rsidP="00B42AC9" w:rsidRDefault="00B42AC9" w14:paraId="49D5FA1D" w14:textId="77777777">
      <w:pPr>
        <w:widowControl/>
        <w:tabs>
          <w:tab w:val="left" w:pos="0"/>
          <w:tab w:val="left" w:pos="360"/>
          <w:tab w:val="left" w:pos="720"/>
          <w:tab w:val="left" w:pos="2160"/>
        </w:tabs>
        <w:jc w:val="center"/>
        <w:rPr>
          <w:b/>
          <w:bCs/>
          <w:color w:val="000000"/>
        </w:rPr>
      </w:pPr>
      <w:r w:rsidRPr="00753F15">
        <w:rPr>
          <w:sz w:val="20"/>
          <w:szCs w:val="22"/>
        </w:rPr>
        <w:br w:type="page"/>
      </w:r>
    </w:p>
    <w:p w:rsidRPr="00CA4589" w:rsidR="00A53539" w:rsidP="00921CE1" w:rsidRDefault="004F1DB4" w14:paraId="30E91888" w14:textId="77777777">
      <w:pPr>
        <w:widowControl/>
        <w:tabs>
          <w:tab w:val="center" w:pos="6480"/>
          <w:tab w:val="left" w:pos="7200"/>
          <w:tab w:val="left" w:pos="7920"/>
          <w:tab w:val="left" w:pos="8640"/>
          <w:tab w:val="left" w:pos="9360"/>
          <w:tab w:val="left" w:pos="10080"/>
          <w:tab w:val="left" w:pos="10800"/>
          <w:tab w:val="left" w:pos="11520"/>
          <w:tab w:val="left" w:pos="12240"/>
          <w:tab w:val="left" w:pos="12960"/>
        </w:tabs>
      </w:pPr>
      <w:r w:rsidRPr="00F420D3">
        <w:lastRenderedPageBreak/>
        <w:t xml:space="preserve"> </w:t>
      </w:r>
    </w:p>
    <w:tbl>
      <w:tblPr>
        <w:tblW w:w="14040" w:type="dxa"/>
        <w:jc w:val="center"/>
        <w:tblLook w:val="04A0" w:firstRow="1" w:lastRow="0" w:firstColumn="1" w:lastColumn="0" w:noHBand="0" w:noVBand="1"/>
      </w:tblPr>
      <w:tblGrid>
        <w:gridCol w:w="1583"/>
        <w:gridCol w:w="1517"/>
        <w:gridCol w:w="1640"/>
        <w:gridCol w:w="1439"/>
        <w:gridCol w:w="1600"/>
        <w:gridCol w:w="1428"/>
        <w:gridCol w:w="1620"/>
        <w:gridCol w:w="1428"/>
        <w:gridCol w:w="961"/>
        <w:gridCol w:w="1428"/>
      </w:tblGrid>
      <w:tr w:rsidRPr="00A53539" w:rsidR="00A53539" w:rsidTr="00255B26" w14:paraId="025B8F14" w14:textId="77777777">
        <w:trPr>
          <w:trHeight w:val="255"/>
          <w:tblHeader/>
          <w:jc w:val="center"/>
        </w:trPr>
        <w:tc>
          <w:tcPr>
            <w:tcW w:w="14040" w:type="dxa"/>
            <w:gridSpan w:val="10"/>
            <w:tcBorders>
              <w:top w:val="single" w:color="auto" w:sz="4" w:space="0"/>
              <w:left w:val="single" w:color="auto" w:sz="4" w:space="0"/>
              <w:bottom w:val="single" w:color="auto" w:sz="4" w:space="0"/>
              <w:right w:val="single" w:color="000000" w:sz="4" w:space="0"/>
            </w:tcBorders>
            <w:shd w:val="clear" w:color="000000" w:fill="FFFFFF"/>
            <w:noWrap/>
            <w:vAlign w:val="center"/>
            <w:hideMark/>
          </w:tcPr>
          <w:p w:rsidR="00A53539" w:rsidP="00A53539" w:rsidRDefault="00A53539" w14:paraId="795EE5C1" w14:textId="22BEE233">
            <w:pPr>
              <w:widowControl/>
              <w:autoSpaceDE/>
              <w:autoSpaceDN/>
              <w:adjustRightInd/>
              <w:rPr>
                <w:b/>
                <w:bCs/>
                <w:color w:val="000000"/>
                <w:sz w:val="20"/>
                <w:szCs w:val="20"/>
              </w:rPr>
            </w:pPr>
            <w:bookmarkStart w:name="RANGE!A3:J45" w:id="10"/>
            <w:r w:rsidRPr="00A53539">
              <w:rPr>
                <w:b/>
                <w:bCs/>
                <w:color w:val="000000"/>
                <w:sz w:val="20"/>
                <w:szCs w:val="20"/>
              </w:rPr>
              <w:t>Table 3: Written Procedures Assuming Half of the Original "Percent of establishments in Compliance When the Rule was Published"</w:t>
            </w:r>
            <w:bookmarkEnd w:id="10"/>
          </w:p>
          <w:p w:rsidR="005D5566" w:rsidP="00A53539" w:rsidRDefault="005D5566" w14:paraId="48A120D6" w14:textId="77777777">
            <w:pPr>
              <w:widowControl/>
              <w:autoSpaceDE/>
              <w:autoSpaceDN/>
              <w:adjustRightInd/>
              <w:rPr>
                <w:b/>
                <w:bCs/>
                <w:color w:val="000000"/>
                <w:sz w:val="20"/>
                <w:szCs w:val="20"/>
              </w:rPr>
            </w:pPr>
          </w:p>
          <w:p w:rsidRPr="00A53539" w:rsidR="005D5566" w:rsidP="00A53539" w:rsidRDefault="005D5566" w14:paraId="6875982B" w14:textId="77777777">
            <w:pPr>
              <w:widowControl/>
              <w:autoSpaceDE/>
              <w:autoSpaceDN/>
              <w:adjustRightInd/>
              <w:rPr>
                <w:b/>
                <w:bCs/>
                <w:color w:val="000000"/>
                <w:sz w:val="20"/>
                <w:szCs w:val="20"/>
              </w:rPr>
            </w:pPr>
          </w:p>
        </w:tc>
      </w:tr>
      <w:tr w:rsidRPr="00A53539" w:rsidR="0020324A" w:rsidTr="00255B26" w14:paraId="0FF544F6" w14:textId="77777777">
        <w:trPr>
          <w:trHeight w:val="255"/>
          <w:jc w:val="center"/>
        </w:trPr>
        <w:tc>
          <w:tcPr>
            <w:tcW w:w="8740"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53539" w:rsidR="00A53539" w:rsidP="00133735" w:rsidRDefault="00A53539" w14:paraId="0D8CA37F" w14:textId="35325F12">
            <w:pPr>
              <w:widowControl/>
              <w:autoSpaceDE/>
              <w:autoSpaceDN/>
              <w:adjustRightInd/>
              <w:rPr>
                <w:color w:val="000000"/>
                <w:sz w:val="20"/>
                <w:szCs w:val="20"/>
              </w:rPr>
            </w:pPr>
            <w:r w:rsidRPr="00A53539">
              <w:rPr>
                <w:color w:val="000000"/>
                <w:sz w:val="20"/>
                <w:szCs w:val="20"/>
              </w:rPr>
              <w:t xml:space="preserve">Establishment Calculations -- High Impact Establishments </w:t>
            </w:r>
          </w:p>
        </w:tc>
        <w:tc>
          <w:tcPr>
            <w:tcW w:w="162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768FF93"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single" w:color="auto" w:sz="4" w:space="0"/>
              <w:right w:val="single" w:color="auto" w:sz="4" w:space="0"/>
            </w:tcBorders>
            <w:shd w:val="clear" w:color="auto" w:fill="auto"/>
            <w:noWrap/>
            <w:vAlign w:val="bottom"/>
            <w:hideMark/>
          </w:tcPr>
          <w:p w:rsidRPr="00A53539" w:rsidR="00A53539" w:rsidP="00A53539" w:rsidRDefault="00A53539" w14:paraId="4221A356" w14:textId="77777777">
            <w:pPr>
              <w:widowControl/>
              <w:autoSpaceDE/>
              <w:autoSpaceDN/>
              <w:adjustRightInd/>
              <w:rPr>
                <w:rFonts w:ascii="Arial" w:hAnsi="Arial" w:cs="Arial"/>
                <w:color w:val="000000"/>
                <w:sz w:val="20"/>
                <w:szCs w:val="20"/>
              </w:rPr>
            </w:pPr>
            <w:r w:rsidRPr="00A53539">
              <w:rPr>
                <w:rFonts w:ascii="Arial" w:hAnsi="Arial" w:cs="Arial"/>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bottom"/>
            <w:hideMark/>
          </w:tcPr>
          <w:p w:rsidRPr="00A53539" w:rsidR="00A53539" w:rsidP="00A53539" w:rsidRDefault="00A53539" w14:paraId="1F83FA87" w14:textId="77777777">
            <w:pPr>
              <w:widowControl/>
              <w:autoSpaceDE/>
              <w:autoSpaceDN/>
              <w:adjustRightInd/>
              <w:rPr>
                <w:rFonts w:ascii="Arial" w:hAnsi="Arial" w:cs="Arial"/>
                <w:color w:val="000000"/>
                <w:sz w:val="20"/>
                <w:szCs w:val="20"/>
              </w:rPr>
            </w:pPr>
            <w:r w:rsidRPr="00A53539">
              <w:rPr>
                <w:rFonts w:ascii="Arial" w:hAnsi="Arial" w:cs="Arial"/>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A53539" w:rsidR="00A53539" w:rsidP="00A53539" w:rsidRDefault="00A53539" w14:paraId="252ED02E" w14:textId="77777777">
            <w:pPr>
              <w:widowControl/>
              <w:autoSpaceDE/>
              <w:autoSpaceDN/>
              <w:adjustRightInd/>
              <w:rPr>
                <w:rFonts w:ascii="Arial" w:hAnsi="Arial" w:cs="Arial"/>
                <w:color w:val="000000"/>
                <w:sz w:val="20"/>
                <w:szCs w:val="20"/>
              </w:rPr>
            </w:pPr>
            <w:r w:rsidRPr="00A53539">
              <w:rPr>
                <w:rFonts w:ascii="Arial" w:hAnsi="Arial" w:cs="Arial"/>
                <w:color w:val="000000"/>
                <w:sz w:val="20"/>
                <w:szCs w:val="20"/>
              </w:rPr>
              <w:t> </w:t>
            </w:r>
          </w:p>
        </w:tc>
      </w:tr>
      <w:tr w:rsidRPr="00A53539" w:rsidR="00FB25C9" w:rsidTr="00255B26" w14:paraId="0630EC47" w14:textId="77777777">
        <w:trPr>
          <w:trHeight w:val="1385"/>
          <w:jc w:val="center"/>
        </w:trPr>
        <w:tc>
          <w:tcPr>
            <w:tcW w:w="1400" w:type="dxa"/>
            <w:tcBorders>
              <w:top w:val="nil"/>
              <w:left w:val="single" w:color="auto" w:sz="4" w:space="0"/>
              <w:bottom w:val="single" w:color="auto" w:sz="4" w:space="0"/>
              <w:right w:val="single" w:color="auto" w:sz="4" w:space="0"/>
            </w:tcBorders>
            <w:shd w:val="clear" w:color="000000" w:fill="FFFFFF"/>
            <w:vAlign w:val="center"/>
            <w:hideMark/>
          </w:tcPr>
          <w:p w:rsidRPr="00A53539" w:rsidR="00A53539" w:rsidP="00A53539" w:rsidRDefault="00A53539" w14:paraId="4F635973" w14:textId="77777777">
            <w:pPr>
              <w:widowControl/>
              <w:autoSpaceDE/>
              <w:autoSpaceDN/>
              <w:adjustRightInd/>
              <w:jc w:val="center"/>
              <w:rPr>
                <w:color w:val="000000"/>
                <w:sz w:val="20"/>
                <w:szCs w:val="20"/>
              </w:rPr>
            </w:pPr>
            <w:r w:rsidRPr="00A53539">
              <w:rPr>
                <w:color w:val="000000"/>
                <w:sz w:val="20"/>
                <w:szCs w:val="20"/>
              </w:rPr>
              <w:t>Establishment Size</w:t>
            </w:r>
          </w:p>
        </w:tc>
        <w:tc>
          <w:tcPr>
            <w:tcW w:w="136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316B6094" w14:textId="77777777">
            <w:pPr>
              <w:widowControl/>
              <w:autoSpaceDE/>
              <w:autoSpaceDN/>
              <w:adjustRightInd/>
              <w:jc w:val="center"/>
              <w:rPr>
                <w:color w:val="000000"/>
                <w:sz w:val="20"/>
                <w:szCs w:val="20"/>
              </w:rPr>
            </w:pPr>
            <w:r w:rsidRPr="00A53539">
              <w:rPr>
                <w:color w:val="000000"/>
                <w:sz w:val="20"/>
                <w:szCs w:val="20"/>
              </w:rPr>
              <w:t>Number of Establishments</w:t>
            </w:r>
          </w:p>
        </w:tc>
        <w:tc>
          <w:tcPr>
            <w:tcW w:w="164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7F64D265" w14:textId="77777777">
            <w:pPr>
              <w:widowControl/>
              <w:autoSpaceDE/>
              <w:autoSpaceDN/>
              <w:adjustRightInd/>
              <w:jc w:val="center"/>
              <w:rPr>
                <w:color w:val="000000"/>
                <w:sz w:val="20"/>
                <w:szCs w:val="20"/>
              </w:rPr>
            </w:pPr>
            <w:r w:rsidRPr="00A53539">
              <w:rPr>
                <w:color w:val="000000"/>
                <w:sz w:val="20"/>
                <w:szCs w:val="20"/>
              </w:rPr>
              <w:t>Percent of Establishments in Compliance when Rule Published</w:t>
            </w:r>
          </w:p>
        </w:tc>
        <w:tc>
          <w:tcPr>
            <w:tcW w:w="136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59E87B94" w14:textId="77777777">
            <w:pPr>
              <w:widowControl/>
              <w:autoSpaceDE/>
              <w:autoSpaceDN/>
              <w:adjustRightInd/>
              <w:jc w:val="center"/>
              <w:rPr>
                <w:color w:val="000000"/>
                <w:sz w:val="20"/>
                <w:szCs w:val="20"/>
              </w:rPr>
            </w:pPr>
            <w:r w:rsidRPr="00A53539">
              <w:rPr>
                <w:color w:val="000000"/>
                <w:sz w:val="20"/>
                <w:szCs w:val="20"/>
              </w:rPr>
              <w:t>Existing Establishments Originally Lacking LOTO Program</w:t>
            </w:r>
          </w:p>
        </w:tc>
        <w:tc>
          <w:tcPr>
            <w:tcW w:w="160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46D9C597" w14:textId="77777777">
            <w:pPr>
              <w:widowControl/>
              <w:autoSpaceDE/>
              <w:autoSpaceDN/>
              <w:adjustRightInd/>
              <w:jc w:val="center"/>
              <w:rPr>
                <w:color w:val="000000"/>
                <w:sz w:val="20"/>
                <w:szCs w:val="20"/>
              </w:rPr>
            </w:pPr>
            <w:r w:rsidRPr="00A53539">
              <w:rPr>
                <w:color w:val="000000"/>
                <w:sz w:val="20"/>
                <w:szCs w:val="20"/>
              </w:rPr>
              <w:t>Existing Establishments with LOTO Procedures when Rule Published</w:t>
            </w:r>
          </w:p>
        </w:tc>
        <w:tc>
          <w:tcPr>
            <w:tcW w:w="138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2B7E101E" w14:textId="77777777">
            <w:pPr>
              <w:widowControl/>
              <w:autoSpaceDE/>
              <w:autoSpaceDN/>
              <w:adjustRightInd/>
              <w:jc w:val="center"/>
              <w:rPr>
                <w:color w:val="000000"/>
                <w:sz w:val="20"/>
                <w:szCs w:val="20"/>
              </w:rPr>
            </w:pPr>
            <w:r w:rsidRPr="00A53539">
              <w:rPr>
                <w:color w:val="000000"/>
                <w:sz w:val="20"/>
                <w:szCs w:val="20"/>
              </w:rPr>
              <w:t xml:space="preserve">Percent of Establishments with Procedures but without </w:t>
            </w:r>
            <w:r w:rsidR="00A86A03">
              <w:rPr>
                <w:color w:val="000000"/>
                <w:sz w:val="20"/>
                <w:szCs w:val="20"/>
              </w:rPr>
              <w:t>W</w:t>
            </w:r>
            <w:r w:rsidRPr="00A53539">
              <w:rPr>
                <w:color w:val="000000"/>
                <w:sz w:val="20"/>
                <w:szCs w:val="20"/>
              </w:rPr>
              <w:t>ritten Plans</w:t>
            </w:r>
          </w:p>
        </w:tc>
        <w:tc>
          <w:tcPr>
            <w:tcW w:w="162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1E3D15B5" w14:textId="77777777">
            <w:pPr>
              <w:widowControl/>
              <w:autoSpaceDE/>
              <w:autoSpaceDN/>
              <w:adjustRightInd/>
              <w:jc w:val="center"/>
              <w:rPr>
                <w:color w:val="000000"/>
                <w:sz w:val="20"/>
                <w:szCs w:val="20"/>
              </w:rPr>
            </w:pPr>
            <w:r w:rsidRPr="00A53539">
              <w:rPr>
                <w:color w:val="000000"/>
                <w:sz w:val="20"/>
                <w:szCs w:val="20"/>
              </w:rPr>
              <w:t>Existing Establishments with Unwritten Plans when Rule Published</w:t>
            </w:r>
          </w:p>
        </w:tc>
        <w:tc>
          <w:tcPr>
            <w:tcW w:w="142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28768D2F" w14:textId="77777777">
            <w:pPr>
              <w:widowControl/>
              <w:autoSpaceDE/>
              <w:autoSpaceDN/>
              <w:adjustRightInd/>
              <w:jc w:val="center"/>
              <w:rPr>
                <w:color w:val="000000"/>
                <w:sz w:val="20"/>
                <w:szCs w:val="20"/>
              </w:rPr>
            </w:pPr>
            <w:r w:rsidRPr="00A53539">
              <w:rPr>
                <w:color w:val="000000"/>
                <w:sz w:val="20"/>
                <w:szCs w:val="20"/>
              </w:rPr>
              <w:t>Total Existing Establishments Requiring Revision</w:t>
            </w:r>
          </w:p>
        </w:tc>
        <w:tc>
          <w:tcPr>
            <w:tcW w:w="96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6713020A" w14:textId="77777777">
            <w:pPr>
              <w:widowControl/>
              <w:autoSpaceDE/>
              <w:autoSpaceDN/>
              <w:adjustRightInd/>
              <w:jc w:val="center"/>
              <w:rPr>
                <w:color w:val="000000"/>
                <w:sz w:val="20"/>
                <w:szCs w:val="20"/>
              </w:rPr>
            </w:pPr>
            <w:r w:rsidRPr="00A53539">
              <w:rPr>
                <w:color w:val="000000"/>
                <w:sz w:val="20"/>
                <w:szCs w:val="20"/>
              </w:rPr>
              <w:t>Annual Firm Turnover</w:t>
            </w:r>
          </w:p>
        </w:tc>
        <w:tc>
          <w:tcPr>
            <w:tcW w:w="130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5F421BCA" w14:textId="77777777">
            <w:pPr>
              <w:widowControl/>
              <w:autoSpaceDE/>
              <w:autoSpaceDN/>
              <w:adjustRightInd/>
              <w:jc w:val="center"/>
              <w:rPr>
                <w:color w:val="000000"/>
                <w:sz w:val="20"/>
                <w:szCs w:val="20"/>
              </w:rPr>
            </w:pPr>
            <w:r w:rsidRPr="00A53539">
              <w:rPr>
                <w:color w:val="000000"/>
                <w:sz w:val="20"/>
                <w:szCs w:val="20"/>
              </w:rPr>
              <w:t>New Establishments Requiring Revision</w:t>
            </w:r>
          </w:p>
        </w:tc>
      </w:tr>
      <w:tr w:rsidRPr="00A53539" w:rsidR="00FB25C9" w:rsidTr="00255B26" w14:paraId="09650A01"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1DE515BE" w14:textId="77777777">
            <w:pPr>
              <w:widowControl/>
              <w:autoSpaceDE/>
              <w:autoSpaceDN/>
              <w:adjustRightInd/>
              <w:rPr>
                <w:color w:val="000000"/>
                <w:sz w:val="20"/>
                <w:szCs w:val="20"/>
              </w:rPr>
            </w:pPr>
            <w:r w:rsidRPr="00A53539">
              <w:rPr>
                <w:color w:val="000000"/>
                <w:sz w:val="20"/>
                <w:szCs w:val="20"/>
              </w:rPr>
              <w:t>Very Small</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787FEB78" w14:textId="77777777">
            <w:pPr>
              <w:widowControl/>
              <w:autoSpaceDE/>
              <w:autoSpaceDN/>
              <w:adjustRightInd/>
              <w:jc w:val="center"/>
              <w:rPr>
                <w:color w:val="000000"/>
                <w:sz w:val="20"/>
                <w:szCs w:val="20"/>
              </w:rPr>
            </w:pPr>
            <w:r w:rsidRPr="00A53539">
              <w:rPr>
                <w:color w:val="000000"/>
                <w:sz w:val="20"/>
                <w:szCs w:val="20"/>
              </w:rPr>
              <w:t>201,909</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5E794571" w14:textId="77777777">
            <w:pPr>
              <w:widowControl/>
              <w:autoSpaceDE/>
              <w:autoSpaceDN/>
              <w:adjustRightInd/>
              <w:jc w:val="center"/>
              <w:rPr>
                <w:color w:val="000000"/>
                <w:sz w:val="20"/>
                <w:szCs w:val="20"/>
              </w:rPr>
            </w:pPr>
            <w:r w:rsidRPr="00A53539">
              <w:rPr>
                <w:color w:val="000000"/>
                <w:sz w:val="20"/>
                <w:szCs w:val="20"/>
              </w:rPr>
              <w:t>10%</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D69DAC9" w14:textId="77777777">
            <w:pPr>
              <w:widowControl/>
              <w:autoSpaceDE/>
              <w:autoSpaceDN/>
              <w:adjustRightInd/>
              <w:jc w:val="center"/>
              <w:rPr>
                <w:color w:val="000000"/>
                <w:sz w:val="20"/>
                <w:szCs w:val="20"/>
              </w:rPr>
            </w:pPr>
            <w:r w:rsidRPr="00A53539">
              <w:rPr>
                <w:color w:val="000000"/>
                <w:sz w:val="20"/>
                <w:szCs w:val="20"/>
              </w:rPr>
              <w:t>181,718</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0FB4FF4" w14:textId="77777777">
            <w:pPr>
              <w:widowControl/>
              <w:autoSpaceDE/>
              <w:autoSpaceDN/>
              <w:adjustRightInd/>
              <w:jc w:val="center"/>
              <w:rPr>
                <w:color w:val="000000"/>
                <w:sz w:val="20"/>
                <w:szCs w:val="20"/>
              </w:rPr>
            </w:pPr>
            <w:r w:rsidRPr="00A53539">
              <w:rPr>
                <w:color w:val="000000"/>
                <w:sz w:val="20"/>
                <w:szCs w:val="20"/>
              </w:rPr>
              <w:t>20,191</w:t>
            </w:r>
          </w:p>
        </w:tc>
        <w:tc>
          <w:tcPr>
            <w:tcW w:w="138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436EBBB" w14:textId="77777777">
            <w:pPr>
              <w:widowControl/>
              <w:autoSpaceDE/>
              <w:autoSpaceDN/>
              <w:adjustRightInd/>
              <w:jc w:val="center"/>
              <w:rPr>
                <w:color w:val="000000"/>
                <w:sz w:val="20"/>
                <w:szCs w:val="20"/>
              </w:rPr>
            </w:pPr>
            <w:r w:rsidRPr="00A53539">
              <w:rPr>
                <w:color w:val="000000"/>
                <w:sz w:val="20"/>
                <w:szCs w:val="20"/>
              </w:rPr>
              <w:t>10%</w:t>
            </w:r>
          </w:p>
        </w:tc>
        <w:tc>
          <w:tcPr>
            <w:tcW w:w="162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9FE1F3B" w14:textId="2E82DC6D">
            <w:pPr>
              <w:widowControl/>
              <w:autoSpaceDE/>
              <w:autoSpaceDN/>
              <w:adjustRightInd/>
              <w:jc w:val="center"/>
              <w:rPr>
                <w:color w:val="000000"/>
                <w:sz w:val="20"/>
                <w:szCs w:val="20"/>
              </w:rPr>
            </w:pPr>
            <w:r w:rsidRPr="00A53539">
              <w:rPr>
                <w:color w:val="000000"/>
                <w:sz w:val="20"/>
                <w:szCs w:val="20"/>
              </w:rPr>
              <w:t>2,019</w:t>
            </w:r>
            <w:r w:rsidR="00133735">
              <w:rPr>
                <w:color w:val="000000"/>
                <w:sz w:val="20"/>
                <w:szCs w:val="20"/>
              </w:rPr>
              <w:t>.09</w:t>
            </w:r>
          </w:p>
        </w:tc>
        <w:tc>
          <w:tcPr>
            <w:tcW w:w="142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4500DA0C" w14:textId="469F8A59">
            <w:pPr>
              <w:widowControl/>
              <w:autoSpaceDE/>
              <w:autoSpaceDN/>
              <w:adjustRightInd/>
              <w:jc w:val="center"/>
              <w:rPr>
                <w:color w:val="000000"/>
                <w:sz w:val="20"/>
                <w:szCs w:val="20"/>
              </w:rPr>
            </w:pPr>
            <w:r w:rsidRPr="00A53539">
              <w:rPr>
                <w:color w:val="000000"/>
                <w:sz w:val="20"/>
                <w:szCs w:val="20"/>
              </w:rPr>
              <w:t>183,737</w:t>
            </w:r>
            <w:r w:rsidR="00133735">
              <w:rPr>
                <w:color w:val="000000"/>
                <w:sz w:val="20"/>
                <w:szCs w:val="20"/>
              </w:rPr>
              <w:t>.19</w:t>
            </w:r>
          </w:p>
        </w:tc>
        <w:tc>
          <w:tcPr>
            <w:tcW w:w="9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4CB9E05D" w14:textId="77777777">
            <w:pPr>
              <w:widowControl/>
              <w:autoSpaceDE/>
              <w:autoSpaceDN/>
              <w:adjustRightInd/>
              <w:jc w:val="center"/>
              <w:rPr>
                <w:color w:val="000000"/>
                <w:sz w:val="20"/>
                <w:szCs w:val="20"/>
              </w:rPr>
            </w:pPr>
            <w:r w:rsidRPr="00A53539">
              <w:rPr>
                <w:color w:val="000000"/>
                <w:sz w:val="20"/>
                <w:szCs w:val="20"/>
              </w:rPr>
              <w:t>10%</w:t>
            </w:r>
          </w:p>
        </w:tc>
        <w:tc>
          <w:tcPr>
            <w:tcW w:w="13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1E1401B" w14:textId="6B9B6FED">
            <w:pPr>
              <w:widowControl/>
              <w:autoSpaceDE/>
              <w:autoSpaceDN/>
              <w:adjustRightInd/>
              <w:jc w:val="center"/>
              <w:rPr>
                <w:color w:val="000000"/>
                <w:sz w:val="20"/>
                <w:szCs w:val="20"/>
              </w:rPr>
            </w:pPr>
            <w:r w:rsidRPr="00A53539">
              <w:rPr>
                <w:color w:val="000000"/>
                <w:sz w:val="20"/>
                <w:szCs w:val="20"/>
              </w:rPr>
              <w:t>18,37</w:t>
            </w:r>
            <w:r w:rsidR="00930FB5">
              <w:rPr>
                <w:color w:val="000000"/>
                <w:sz w:val="20"/>
                <w:szCs w:val="20"/>
              </w:rPr>
              <w:t>3.72</w:t>
            </w:r>
          </w:p>
        </w:tc>
      </w:tr>
      <w:tr w:rsidRPr="00A53539" w:rsidR="00FB25C9" w:rsidTr="00255B26" w14:paraId="0097C046"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043D72B4" w14:textId="77777777">
            <w:pPr>
              <w:widowControl/>
              <w:autoSpaceDE/>
              <w:autoSpaceDN/>
              <w:adjustRightInd/>
              <w:rPr>
                <w:color w:val="000000"/>
                <w:sz w:val="20"/>
                <w:szCs w:val="20"/>
              </w:rPr>
            </w:pPr>
            <w:r w:rsidRPr="00A53539">
              <w:rPr>
                <w:color w:val="000000"/>
                <w:sz w:val="20"/>
                <w:szCs w:val="20"/>
              </w:rPr>
              <w:t>Small</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4466088E" w14:textId="77777777">
            <w:pPr>
              <w:widowControl/>
              <w:autoSpaceDE/>
              <w:autoSpaceDN/>
              <w:adjustRightInd/>
              <w:jc w:val="center"/>
              <w:rPr>
                <w:color w:val="000000"/>
                <w:sz w:val="20"/>
                <w:szCs w:val="20"/>
              </w:rPr>
            </w:pPr>
            <w:r w:rsidRPr="00A53539">
              <w:rPr>
                <w:color w:val="000000"/>
                <w:sz w:val="20"/>
                <w:szCs w:val="20"/>
              </w:rPr>
              <w:t>63,860</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9630D06" w14:textId="77777777">
            <w:pPr>
              <w:widowControl/>
              <w:autoSpaceDE/>
              <w:autoSpaceDN/>
              <w:adjustRightInd/>
              <w:jc w:val="center"/>
              <w:rPr>
                <w:color w:val="000000"/>
                <w:sz w:val="20"/>
                <w:szCs w:val="20"/>
              </w:rPr>
            </w:pPr>
            <w:r w:rsidRPr="00A53539">
              <w:rPr>
                <w:color w:val="000000"/>
                <w:sz w:val="20"/>
                <w:szCs w:val="20"/>
              </w:rPr>
              <w:t>23%</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7F76611" w14:textId="77777777">
            <w:pPr>
              <w:widowControl/>
              <w:autoSpaceDE/>
              <w:autoSpaceDN/>
              <w:adjustRightInd/>
              <w:jc w:val="center"/>
              <w:rPr>
                <w:color w:val="000000"/>
                <w:sz w:val="20"/>
                <w:szCs w:val="20"/>
              </w:rPr>
            </w:pPr>
            <w:r w:rsidRPr="00A53539">
              <w:rPr>
                <w:color w:val="000000"/>
                <w:sz w:val="20"/>
                <w:szCs w:val="20"/>
              </w:rPr>
              <w:t>49,172</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9134735" w14:textId="77777777">
            <w:pPr>
              <w:widowControl/>
              <w:autoSpaceDE/>
              <w:autoSpaceDN/>
              <w:adjustRightInd/>
              <w:jc w:val="center"/>
              <w:rPr>
                <w:color w:val="000000"/>
                <w:sz w:val="20"/>
                <w:szCs w:val="20"/>
              </w:rPr>
            </w:pPr>
            <w:r w:rsidRPr="00A53539">
              <w:rPr>
                <w:color w:val="000000"/>
                <w:sz w:val="20"/>
                <w:szCs w:val="20"/>
              </w:rPr>
              <w:t>14,688</w:t>
            </w:r>
          </w:p>
        </w:tc>
        <w:tc>
          <w:tcPr>
            <w:tcW w:w="138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39F9C77" w14:textId="77777777">
            <w:pPr>
              <w:widowControl/>
              <w:autoSpaceDE/>
              <w:autoSpaceDN/>
              <w:adjustRightInd/>
              <w:jc w:val="center"/>
              <w:rPr>
                <w:color w:val="000000"/>
                <w:sz w:val="20"/>
                <w:szCs w:val="20"/>
              </w:rPr>
            </w:pPr>
            <w:r w:rsidRPr="00A53539">
              <w:rPr>
                <w:color w:val="000000"/>
                <w:sz w:val="20"/>
                <w:szCs w:val="20"/>
              </w:rPr>
              <w:t>10%</w:t>
            </w:r>
          </w:p>
        </w:tc>
        <w:tc>
          <w:tcPr>
            <w:tcW w:w="162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D423D67" w14:textId="1A874A5F">
            <w:pPr>
              <w:widowControl/>
              <w:autoSpaceDE/>
              <w:autoSpaceDN/>
              <w:adjustRightInd/>
              <w:jc w:val="center"/>
              <w:rPr>
                <w:color w:val="000000"/>
                <w:sz w:val="20"/>
                <w:szCs w:val="20"/>
              </w:rPr>
            </w:pPr>
            <w:r w:rsidRPr="00A53539">
              <w:rPr>
                <w:color w:val="000000"/>
                <w:sz w:val="20"/>
                <w:szCs w:val="20"/>
              </w:rPr>
              <w:t>1,469</w:t>
            </w:r>
            <w:r w:rsidR="00133735">
              <w:rPr>
                <w:color w:val="000000"/>
                <w:sz w:val="20"/>
                <w:szCs w:val="20"/>
              </w:rPr>
              <w:t>.78</w:t>
            </w:r>
          </w:p>
        </w:tc>
        <w:tc>
          <w:tcPr>
            <w:tcW w:w="142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413A466D" w14:textId="4521CFBB">
            <w:pPr>
              <w:widowControl/>
              <w:autoSpaceDE/>
              <w:autoSpaceDN/>
              <w:adjustRightInd/>
              <w:jc w:val="center"/>
              <w:rPr>
                <w:color w:val="000000"/>
                <w:sz w:val="20"/>
                <w:szCs w:val="20"/>
              </w:rPr>
            </w:pPr>
            <w:r w:rsidRPr="00A53539">
              <w:rPr>
                <w:color w:val="000000"/>
                <w:sz w:val="20"/>
                <w:szCs w:val="20"/>
              </w:rPr>
              <w:t>50,64</w:t>
            </w:r>
            <w:r w:rsidR="00930FB5">
              <w:rPr>
                <w:color w:val="000000"/>
                <w:sz w:val="20"/>
                <w:szCs w:val="20"/>
              </w:rPr>
              <w:t>0</w:t>
            </w:r>
            <w:r w:rsidR="00133735">
              <w:rPr>
                <w:color w:val="000000"/>
                <w:sz w:val="20"/>
                <w:szCs w:val="20"/>
              </w:rPr>
              <w:t>.98</w:t>
            </w:r>
          </w:p>
        </w:tc>
        <w:tc>
          <w:tcPr>
            <w:tcW w:w="9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73AC8B4D" w14:textId="77777777">
            <w:pPr>
              <w:widowControl/>
              <w:autoSpaceDE/>
              <w:autoSpaceDN/>
              <w:adjustRightInd/>
              <w:jc w:val="center"/>
              <w:rPr>
                <w:color w:val="000000"/>
                <w:sz w:val="20"/>
                <w:szCs w:val="20"/>
              </w:rPr>
            </w:pPr>
            <w:r w:rsidRPr="00A53539">
              <w:rPr>
                <w:color w:val="000000"/>
                <w:sz w:val="20"/>
                <w:szCs w:val="20"/>
              </w:rPr>
              <w:t>10%</w:t>
            </w:r>
          </w:p>
        </w:tc>
        <w:tc>
          <w:tcPr>
            <w:tcW w:w="13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D6902A8" w14:textId="4F1D95A3">
            <w:pPr>
              <w:widowControl/>
              <w:autoSpaceDE/>
              <w:autoSpaceDN/>
              <w:adjustRightInd/>
              <w:jc w:val="center"/>
              <w:rPr>
                <w:color w:val="000000"/>
                <w:sz w:val="20"/>
                <w:szCs w:val="20"/>
              </w:rPr>
            </w:pPr>
            <w:r w:rsidRPr="00A53539">
              <w:rPr>
                <w:color w:val="000000"/>
                <w:sz w:val="20"/>
                <w:szCs w:val="20"/>
              </w:rPr>
              <w:t>5,064</w:t>
            </w:r>
            <w:r w:rsidR="00930FB5">
              <w:rPr>
                <w:color w:val="000000"/>
                <w:sz w:val="20"/>
                <w:szCs w:val="20"/>
              </w:rPr>
              <w:t>.10</w:t>
            </w:r>
          </w:p>
        </w:tc>
      </w:tr>
      <w:tr w:rsidRPr="00A53539" w:rsidR="00FB25C9" w:rsidTr="00255B26" w14:paraId="30FFC9E9"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58B7FDB8" w14:textId="77777777">
            <w:pPr>
              <w:widowControl/>
              <w:autoSpaceDE/>
              <w:autoSpaceDN/>
              <w:adjustRightInd/>
              <w:rPr>
                <w:color w:val="000000"/>
                <w:sz w:val="20"/>
                <w:szCs w:val="20"/>
              </w:rPr>
            </w:pPr>
            <w:r w:rsidRPr="00A53539">
              <w:rPr>
                <w:color w:val="000000"/>
                <w:sz w:val="20"/>
                <w:szCs w:val="20"/>
              </w:rPr>
              <w:t>Medium</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58D4FD7" w14:textId="77777777">
            <w:pPr>
              <w:widowControl/>
              <w:autoSpaceDE/>
              <w:autoSpaceDN/>
              <w:adjustRightInd/>
              <w:jc w:val="center"/>
              <w:rPr>
                <w:color w:val="000000"/>
                <w:sz w:val="20"/>
                <w:szCs w:val="20"/>
              </w:rPr>
            </w:pPr>
            <w:r w:rsidRPr="00A53539">
              <w:rPr>
                <w:color w:val="000000"/>
                <w:sz w:val="20"/>
                <w:szCs w:val="20"/>
              </w:rPr>
              <w:t>16,558</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93CC1CC" w14:textId="77777777">
            <w:pPr>
              <w:widowControl/>
              <w:autoSpaceDE/>
              <w:autoSpaceDN/>
              <w:adjustRightInd/>
              <w:jc w:val="center"/>
              <w:rPr>
                <w:color w:val="000000"/>
                <w:sz w:val="20"/>
                <w:szCs w:val="20"/>
              </w:rPr>
            </w:pPr>
            <w:r w:rsidRPr="00A53539">
              <w:rPr>
                <w:color w:val="000000"/>
                <w:sz w:val="20"/>
                <w:szCs w:val="20"/>
              </w:rPr>
              <w:t>33%</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AE38F04" w14:textId="77777777">
            <w:pPr>
              <w:widowControl/>
              <w:autoSpaceDE/>
              <w:autoSpaceDN/>
              <w:adjustRightInd/>
              <w:jc w:val="center"/>
              <w:rPr>
                <w:color w:val="000000"/>
                <w:sz w:val="20"/>
                <w:szCs w:val="20"/>
              </w:rPr>
            </w:pPr>
            <w:r w:rsidRPr="00A53539">
              <w:rPr>
                <w:color w:val="000000"/>
                <w:sz w:val="20"/>
                <w:szCs w:val="20"/>
              </w:rPr>
              <w:t>11,094</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6F2797A" w14:textId="77777777">
            <w:pPr>
              <w:widowControl/>
              <w:autoSpaceDE/>
              <w:autoSpaceDN/>
              <w:adjustRightInd/>
              <w:jc w:val="center"/>
              <w:rPr>
                <w:color w:val="000000"/>
                <w:sz w:val="20"/>
                <w:szCs w:val="20"/>
              </w:rPr>
            </w:pPr>
            <w:r w:rsidRPr="00A53539">
              <w:rPr>
                <w:color w:val="000000"/>
                <w:sz w:val="20"/>
                <w:szCs w:val="20"/>
              </w:rPr>
              <w:t>5,464</w:t>
            </w:r>
          </w:p>
        </w:tc>
        <w:tc>
          <w:tcPr>
            <w:tcW w:w="138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F2AFBE4" w14:textId="77777777">
            <w:pPr>
              <w:widowControl/>
              <w:autoSpaceDE/>
              <w:autoSpaceDN/>
              <w:adjustRightInd/>
              <w:jc w:val="center"/>
              <w:rPr>
                <w:color w:val="000000"/>
                <w:sz w:val="20"/>
                <w:szCs w:val="20"/>
              </w:rPr>
            </w:pPr>
            <w:r w:rsidRPr="00A53539">
              <w:rPr>
                <w:color w:val="000000"/>
                <w:sz w:val="20"/>
                <w:szCs w:val="20"/>
              </w:rPr>
              <w:t>10%</w:t>
            </w:r>
          </w:p>
        </w:tc>
        <w:tc>
          <w:tcPr>
            <w:tcW w:w="162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7F0E00A3" w14:textId="2E8EB83F">
            <w:pPr>
              <w:widowControl/>
              <w:autoSpaceDE/>
              <w:autoSpaceDN/>
              <w:adjustRightInd/>
              <w:jc w:val="center"/>
              <w:rPr>
                <w:color w:val="000000"/>
                <w:sz w:val="20"/>
                <w:szCs w:val="20"/>
              </w:rPr>
            </w:pPr>
            <w:r w:rsidRPr="00A53539">
              <w:rPr>
                <w:color w:val="000000"/>
                <w:sz w:val="20"/>
                <w:szCs w:val="20"/>
              </w:rPr>
              <w:t>546</w:t>
            </w:r>
            <w:r w:rsidR="00133735">
              <w:rPr>
                <w:color w:val="000000"/>
                <w:sz w:val="20"/>
                <w:szCs w:val="20"/>
              </w:rPr>
              <w:t>.41</w:t>
            </w:r>
          </w:p>
        </w:tc>
        <w:tc>
          <w:tcPr>
            <w:tcW w:w="142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573B70DD" w14:textId="261A5D8E">
            <w:pPr>
              <w:widowControl/>
              <w:autoSpaceDE/>
              <w:autoSpaceDN/>
              <w:adjustRightInd/>
              <w:jc w:val="center"/>
              <w:rPr>
                <w:color w:val="000000"/>
                <w:sz w:val="20"/>
                <w:szCs w:val="20"/>
              </w:rPr>
            </w:pPr>
            <w:r w:rsidRPr="00A53539">
              <w:rPr>
                <w:color w:val="000000"/>
                <w:sz w:val="20"/>
                <w:szCs w:val="20"/>
              </w:rPr>
              <w:t>11,640</w:t>
            </w:r>
            <w:r w:rsidR="00133735">
              <w:rPr>
                <w:color w:val="000000"/>
                <w:sz w:val="20"/>
                <w:szCs w:val="20"/>
              </w:rPr>
              <w:t>.27</w:t>
            </w:r>
          </w:p>
        </w:tc>
        <w:tc>
          <w:tcPr>
            <w:tcW w:w="9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E65ADAC" w14:textId="77777777">
            <w:pPr>
              <w:widowControl/>
              <w:autoSpaceDE/>
              <w:autoSpaceDN/>
              <w:adjustRightInd/>
              <w:jc w:val="center"/>
              <w:rPr>
                <w:color w:val="000000"/>
                <w:sz w:val="20"/>
                <w:szCs w:val="20"/>
              </w:rPr>
            </w:pPr>
            <w:r w:rsidRPr="00A53539">
              <w:rPr>
                <w:color w:val="000000"/>
                <w:sz w:val="20"/>
                <w:szCs w:val="20"/>
              </w:rPr>
              <w:t>10%</w:t>
            </w:r>
          </w:p>
        </w:tc>
        <w:tc>
          <w:tcPr>
            <w:tcW w:w="13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DC45BBA" w14:textId="69C82DD9">
            <w:pPr>
              <w:widowControl/>
              <w:autoSpaceDE/>
              <w:autoSpaceDN/>
              <w:adjustRightInd/>
              <w:jc w:val="center"/>
              <w:rPr>
                <w:color w:val="000000"/>
                <w:sz w:val="20"/>
                <w:szCs w:val="20"/>
              </w:rPr>
            </w:pPr>
            <w:r w:rsidRPr="00A53539">
              <w:rPr>
                <w:color w:val="000000"/>
                <w:sz w:val="20"/>
                <w:szCs w:val="20"/>
              </w:rPr>
              <w:t>1,164</w:t>
            </w:r>
            <w:r w:rsidR="00930FB5">
              <w:rPr>
                <w:color w:val="000000"/>
                <w:sz w:val="20"/>
                <w:szCs w:val="20"/>
              </w:rPr>
              <w:t>.03</w:t>
            </w:r>
          </w:p>
        </w:tc>
      </w:tr>
      <w:tr w:rsidRPr="00A53539" w:rsidR="00FB25C9" w:rsidTr="00255B26" w14:paraId="7F322006"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5FF1B33A" w14:textId="77777777">
            <w:pPr>
              <w:widowControl/>
              <w:autoSpaceDE/>
              <w:autoSpaceDN/>
              <w:adjustRightInd/>
              <w:rPr>
                <w:color w:val="000000"/>
                <w:sz w:val="20"/>
                <w:szCs w:val="20"/>
              </w:rPr>
            </w:pPr>
            <w:r w:rsidRPr="00A53539">
              <w:rPr>
                <w:color w:val="000000"/>
                <w:sz w:val="20"/>
                <w:szCs w:val="20"/>
              </w:rPr>
              <w:t>Large</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5675B221" w14:textId="77777777">
            <w:pPr>
              <w:widowControl/>
              <w:autoSpaceDE/>
              <w:autoSpaceDN/>
              <w:adjustRightInd/>
              <w:jc w:val="center"/>
              <w:rPr>
                <w:color w:val="000000"/>
                <w:sz w:val="20"/>
                <w:szCs w:val="20"/>
              </w:rPr>
            </w:pPr>
            <w:r w:rsidRPr="00A53539">
              <w:rPr>
                <w:color w:val="000000"/>
                <w:sz w:val="20"/>
                <w:szCs w:val="20"/>
              </w:rPr>
              <w:t>8,233</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7C3F71B4" w14:textId="77777777">
            <w:pPr>
              <w:widowControl/>
              <w:autoSpaceDE/>
              <w:autoSpaceDN/>
              <w:adjustRightInd/>
              <w:jc w:val="center"/>
              <w:rPr>
                <w:color w:val="000000"/>
                <w:sz w:val="20"/>
                <w:szCs w:val="20"/>
              </w:rPr>
            </w:pPr>
            <w:r w:rsidRPr="00A53539">
              <w:rPr>
                <w:color w:val="000000"/>
                <w:sz w:val="20"/>
                <w:szCs w:val="20"/>
              </w:rPr>
              <w:t>45%</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8F9FECD" w14:textId="77777777">
            <w:pPr>
              <w:widowControl/>
              <w:autoSpaceDE/>
              <w:autoSpaceDN/>
              <w:adjustRightInd/>
              <w:jc w:val="center"/>
              <w:rPr>
                <w:color w:val="000000"/>
                <w:sz w:val="20"/>
                <w:szCs w:val="20"/>
              </w:rPr>
            </w:pPr>
            <w:r w:rsidRPr="00A53539">
              <w:rPr>
                <w:color w:val="000000"/>
                <w:sz w:val="20"/>
                <w:szCs w:val="20"/>
              </w:rPr>
              <w:t>4,528</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9B0D46B" w14:textId="77777777">
            <w:pPr>
              <w:widowControl/>
              <w:autoSpaceDE/>
              <w:autoSpaceDN/>
              <w:adjustRightInd/>
              <w:jc w:val="center"/>
              <w:rPr>
                <w:color w:val="000000"/>
                <w:sz w:val="20"/>
                <w:szCs w:val="20"/>
              </w:rPr>
            </w:pPr>
            <w:r w:rsidRPr="00A53539">
              <w:rPr>
                <w:color w:val="000000"/>
                <w:sz w:val="20"/>
                <w:szCs w:val="20"/>
              </w:rPr>
              <w:t>3,705</w:t>
            </w:r>
          </w:p>
        </w:tc>
        <w:tc>
          <w:tcPr>
            <w:tcW w:w="138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FD1CD76" w14:textId="77777777">
            <w:pPr>
              <w:widowControl/>
              <w:autoSpaceDE/>
              <w:autoSpaceDN/>
              <w:adjustRightInd/>
              <w:jc w:val="center"/>
              <w:rPr>
                <w:color w:val="000000"/>
                <w:sz w:val="20"/>
                <w:szCs w:val="20"/>
              </w:rPr>
            </w:pPr>
            <w:r w:rsidRPr="00A53539">
              <w:rPr>
                <w:color w:val="000000"/>
                <w:sz w:val="20"/>
                <w:szCs w:val="20"/>
              </w:rPr>
              <w:t>10%</w:t>
            </w:r>
          </w:p>
        </w:tc>
        <w:tc>
          <w:tcPr>
            <w:tcW w:w="162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EC3F160" w14:textId="2B212D20">
            <w:pPr>
              <w:widowControl/>
              <w:autoSpaceDE/>
              <w:autoSpaceDN/>
              <w:adjustRightInd/>
              <w:jc w:val="center"/>
              <w:rPr>
                <w:color w:val="000000"/>
                <w:sz w:val="20"/>
                <w:szCs w:val="20"/>
              </w:rPr>
            </w:pPr>
            <w:r w:rsidRPr="00A53539">
              <w:rPr>
                <w:color w:val="000000"/>
                <w:sz w:val="20"/>
                <w:szCs w:val="20"/>
              </w:rPr>
              <w:t>370</w:t>
            </w:r>
            <w:r w:rsidR="00133735">
              <w:rPr>
                <w:color w:val="000000"/>
                <w:sz w:val="20"/>
                <w:szCs w:val="20"/>
              </w:rPr>
              <w:t>.49</w:t>
            </w:r>
          </w:p>
        </w:tc>
        <w:tc>
          <w:tcPr>
            <w:tcW w:w="1420" w:type="dxa"/>
            <w:tcBorders>
              <w:top w:val="nil"/>
              <w:left w:val="nil"/>
              <w:bottom w:val="single" w:color="auto" w:sz="4" w:space="0"/>
              <w:right w:val="single" w:color="auto" w:sz="4" w:space="0"/>
            </w:tcBorders>
            <w:shd w:val="clear" w:color="000000" w:fill="FFFFFF"/>
            <w:noWrap/>
            <w:vAlign w:val="center"/>
            <w:hideMark/>
          </w:tcPr>
          <w:p w:rsidRPr="00A53539" w:rsidR="00A53539" w:rsidP="00930FB5" w:rsidRDefault="00A53539" w14:paraId="5E0FAA9E" w14:textId="3D2B23DB">
            <w:pPr>
              <w:widowControl/>
              <w:autoSpaceDE/>
              <w:autoSpaceDN/>
              <w:adjustRightInd/>
              <w:jc w:val="center"/>
              <w:rPr>
                <w:color w:val="000000"/>
                <w:sz w:val="20"/>
                <w:szCs w:val="20"/>
              </w:rPr>
            </w:pPr>
            <w:r w:rsidRPr="00A53539">
              <w:rPr>
                <w:color w:val="000000"/>
                <w:sz w:val="20"/>
                <w:szCs w:val="20"/>
              </w:rPr>
              <w:t>4,89</w:t>
            </w:r>
            <w:r w:rsidR="00930FB5">
              <w:rPr>
                <w:color w:val="000000"/>
                <w:sz w:val="20"/>
                <w:szCs w:val="20"/>
              </w:rPr>
              <w:t>8.64</w:t>
            </w:r>
          </w:p>
        </w:tc>
        <w:tc>
          <w:tcPr>
            <w:tcW w:w="9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A1158D3" w14:textId="77777777">
            <w:pPr>
              <w:widowControl/>
              <w:autoSpaceDE/>
              <w:autoSpaceDN/>
              <w:adjustRightInd/>
              <w:jc w:val="center"/>
              <w:rPr>
                <w:color w:val="000000"/>
                <w:sz w:val="20"/>
                <w:szCs w:val="20"/>
              </w:rPr>
            </w:pPr>
            <w:r w:rsidRPr="00A53539">
              <w:rPr>
                <w:color w:val="000000"/>
                <w:sz w:val="20"/>
                <w:szCs w:val="20"/>
              </w:rPr>
              <w:t>10%</w:t>
            </w:r>
          </w:p>
        </w:tc>
        <w:tc>
          <w:tcPr>
            <w:tcW w:w="13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6895FEF" w14:textId="3B0B6A1E">
            <w:pPr>
              <w:widowControl/>
              <w:autoSpaceDE/>
              <w:autoSpaceDN/>
              <w:adjustRightInd/>
              <w:jc w:val="center"/>
              <w:rPr>
                <w:color w:val="000000"/>
                <w:sz w:val="20"/>
                <w:szCs w:val="20"/>
              </w:rPr>
            </w:pPr>
            <w:r w:rsidRPr="00A53539">
              <w:rPr>
                <w:color w:val="000000"/>
                <w:sz w:val="20"/>
                <w:szCs w:val="20"/>
              </w:rPr>
              <w:t>4</w:t>
            </w:r>
            <w:r w:rsidR="00930FB5">
              <w:rPr>
                <w:color w:val="000000"/>
                <w:sz w:val="20"/>
                <w:szCs w:val="20"/>
              </w:rPr>
              <w:t>89.86</w:t>
            </w:r>
          </w:p>
        </w:tc>
      </w:tr>
      <w:tr w:rsidRPr="00A53539" w:rsidR="00FB25C9" w:rsidTr="00255B26" w14:paraId="5D398511"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41037BF8" w14:textId="77777777">
            <w:pPr>
              <w:widowControl/>
              <w:autoSpaceDE/>
              <w:autoSpaceDN/>
              <w:adjustRightInd/>
              <w:rPr>
                <w:b/>
                <w:bCs/>
                <w:color w:val="000000"/>
                <w:sz w:val="20"/>
                <w:szCs w:val="20"/>
              </w:rPr>
            </w:pPr>
            <w:r w:rsidRPr="00A53539">
              <w:rPr>
                <w:b/>
                <w:bCs/>
                <w:color w:val="000000"/>
                <w:sz w:val="20"/>
                <w:szCs w:val="20"/>
              </w:rPr>
              <w:t>Total</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DB7A140" w14:textId="77777777">
            <w:pPr>
              <w:widowControl/>
              <w:autoSpaceDE/>
              <w:autoSpaceDN/>
              <w:adjustRightInd/>
              <w:jc w:val="center"/>
              <w:rPr>
                <w:b/>
                <w:bCs/>
                <w:color w:val="000000"/>
                <w:sz w:val="20"/>
                <w:szCs w:val="20"/>
              </w:rPr>
            </w:pPr>
            <w:r w:rsidRPr="00A53539">
              <w:rPr>
                <w:b/>
                <w:bCs/>
                <w:color w:val="000000"/>
                <w:sz w:val="20"/>
                <w:szCs w:val="20"/>
              </w:rPr>
              <w:t>290,560</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48B1EB04" w14:textId="77777777">
            <w:pPr>
              <w:widowControl/>
              <w:autoSpaceDE/>
              <w:autoSpaceDN/>
              <w:adjustRightInd/>
              <w:jc w:val="center"/>
              <w:rPr>
                <w:b/>
                <w:bCs/>
                <w:color w:val="000000"/>
                <w:sz w:val="20"/>
                <w:szCs w:val="20"/>
              </w:rPr>
            </w:pPr>
            <w:r w:rsidRPr="00A53539">
              <w:rPr>
                <w:b/>
                <w:bCs/>
                <w:color w:val="000000"/>
                <w:sz w:val="20"/>
                <w:szCs w:val="20"/>
              </w:rPr>
              <w:t> </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C91DF54" w14:textId="77777777">
            <w:pPr>
              <w:widowControl/>
              <w:autoSpaceDE/>
              <w:autoSpaceDN/>
              <w:adjustRightInd/>
              <w:jc w:val="center"/>
              <w:rPr>
                <w:b/>
                <w:bCs/>
                <w:color w:val="000000"/>
                <w:sz w:val="20"/>
                <w:szCs w:val="20"/>
              </w:rPr>
            </w:pPr>
            <w:r w:rsidRPr="00A53539">
              <w:rPr>
                <w:b/>
                <w:bCs/>
                <w:color w:val="000000"/>
                <w:sz w:val="20"/>
                <w:szCs w:val="20"/>
              </w:rPr>
              <w:t>246,512</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331826B" w14:textId="77777777">
            <w:pPr>
              <w:widowControl/>
              <w:autoSpaceDE/>
              <w:autoSpaceDN/>
              <w:adjustRightInd/>
              <w:jc w:val="center"/>
              <w:rPr>
                <w:b/>
                <w:bCs/>
                <w:color w:val="000000"/>
                <w:sz w:val="20"/>
                <w:szCs w:val="20"/>
              </w:rPr>
            </w:pPr>
            <w:r w:rsidRPr="00A53539">
              <w:rPr>
                <w:b/>
                <w:bCs/>
                <w:color w:val="000000"/>
                <w:sz w:val="20"/>
                <w:szCs w:val="20"/>
              </w:rPr>
              <w:t>44,048</w:t>
            </w:r>
          </w:p>
        </w:tc>
        <w:tc>
          <w:tcPr>
            <w:tcW w:w="138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D6501BD" w14:textId="77777777">
            <w:pPr>
              <w:widowControl/>
              <w:autoSpaceDE/>
              <w:autoSpaceDN/>
              <w:adjustRightInd/>
              <w:jc w:val="center"/>
              <w:rPr>
                <w:b/>
                <w:bCs/>
                <w:color w:val="000000"/>
                <w:sz w:val="20"/>
                <w:szCs w:val="20"/>
              </w:rPr>
            </w:pPr>
            <w:r w:rsidRPr="00A53539">
              <w:rPr>
                <w:b/>
                <w:bCs/>
                <w:color w:val="000000"/>
                <w:sz w:val="20"/>
                <w:szCs w:val="20"/>
              </w:rPr>
              <w:t> </w:t>
            </w:r>
          </w:p>
        </w:tc>
        <w:tc>
          <w:tcPr>
            <w:tcW w:w="1620" w:type="dxa"/>
            <w:tcBorders>
              <w:top w:val="nil"/>
              <w:left w:val="nil"/>
              <w:bottom w:val="single" w:color="auto" w:sz="4" w:space="0"/>
              <w:right w:val="single" w:color="auto" w:sz="4" w:space="0"/>
            </w:tcBorders>
            <w:shd w:val="clear" w:color="000000" w:fill="FFFFFF"/>
            <w:noWrap/>
            <w:vAlign w:val="center"/>
            <w:hideMark/>
          </w:tcPr>
          <w:p w:rsidRPr="00A53539" w:rsidR="00A53539" w:rsidP="00B55DEF" w:rsidRDefault="00A53539" w14:paraId="77007258" w14:textId="3FF2C768">
            <w:pPr>
              <w:widowControl/>
              <w:autoSpaceDE/>
              <w:autoSpaceDN/>
              <w:adjustRightInd/>
              <w:jc w:val="center"/>
              <w:rPr>
                <w:b/>
                <w:bCs/>
                <w:color w:val="000000"/>
                <w:sz w:val="20"/>
                <w:szCs w:val="20"/>
              </w:rPr>
            </w:pPr>
            <w:r w:rsidRPr="00A53539">
              <w:rPr>
                <w:b/>
                <w:bCs/>
                <w:color w:val="000000"/>
                <w:sz w:val="20"/>
                <w:szCs w:val="20"/>
              </w:rPr>
              <w:t>4,40</w:t>
            </w:r>
            <w:r w:rsidR="00B55DEF">
              <w:rPr>
                <w:b/>
                <w:bCs/>
                <w:color w:val="000000"/>
                <w:sz w:val="20"/>
                <w:szCs w:val="20"/>
              </w:rPr>
              <w:t>4.77</w:t>
            </w:r>
          </w:p>
        </w:tc>
        <w:tc>
          <w:tcPr>
            <w:tcW w:w="142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72F8D22" w14:textId="11D53F86">
            <w:pPr>
              <w:widowControl/>
              <w:autoSpaceDE/>
              <w:autoSpaceDN/>
              <w:adjustRightInd/>
              <w:jc w:val="center"/>
              <w:rPr>
                <w:b/>
                <w:bCs/>
                <w:color w:val="000000"/>
                <w:sz w:val="20"/>
                <w:szCs w:val="20"/>
              </w:rPr>
            </w:pPr>
            <w:r w:rsidRPr="00A53539">
              <w:rPr>
                <w:b/>
                <w:bCs/>
                <w:color w:val="000000"/>
                <w:sz w:val="20"/>
                <w:szCs w:val="20"/>
              </w:rPr>
              <w:t>250,917</w:t>
            </w:r>
            <w:r w:rsidR="00930FB5">
              <w:rPr>
                <w:b/>
                <w:bCs/>
                <w:color w:val="000000"/>
                <w:sz w:val="20"/>
                <w:szCs w:val="20"/>
              </w:rPr>
              <w:t>.08</w:t>
            </w:r>
          </w:p>
        </w:tc>
        <w:tc>
          <w:tcPr>
            <w:tcW w:w="9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646323C" w14:textId="77777777">
            <w:pPr>
              <w:widowControl/>
              <w:autoSpaceDE/>
              <w:autoSpaceDN/>
              <w:adjustRightInd/>
              <w:jc w:val="center"/>
              <w:rPr>
                <w:b/>
                <w:bCs/>
                <w:color w:val="000000"/>
                <w:sz w:val="20"/>
                <w:szCs w:val="20"/>
              </w:rPr>
            </w:pPr>
            <w:r w:rsidRPr="00A53539">
              <w:rPr>
                <w:b/>
                <w:bCs/>
                <w:color w:val="000000"/>
                <w:sz w:val="20"/>
                <w:szCs w:val="20"/>
              </w:rPr>
              <w:t> </w:t>
            </w:r>
          </w:p>
        </w:tc>
        <w:tc>
          <w:tcPr>
            <w:tcW w:w="13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E01FC50" w14:textId="5FD8B7B2">
            <w:pPr>
              <w:widowControl/>
              <w:autoSpaceDE/>
              <w:autoSpaceDN/>
              <w:adjustRightInd/>
              <w:jc w:val="center"/>
              <w:rPr>
                <w:b/>
                <w:bCs/>
                <w:color w:val="000000"/>
                <w:sz w:val="20"/>
                <w:szCs w:val="20"/>
              </w:rPr>
            </w:pPr>
            <w:r w:rsidRPr="00A53539">
              <w:rPr>
                <w:b/>
                <w:bCs/>
                <w:color w:val="000000"/>
                <w:sz w:val="20"/>
                <w:szCs w:val="20"/>
              </w:rPr>
              <w:t>25,09</w:t>
            </w:r>
            <w:r w:rsidR="00930FB5">
              <w:rPr>
                <w:b/>
                <w:bCs/>
                <w:color w:val="000000"/>
                <w:sz w:val="20"/>
                <w:szCs w:val="20"/>
              </w:rPr>
              <w:t>1.71</w:t>
            </w:r>
          </w:p>
        </w:tc>
      </w:tr>
      <w:tr w:rsidRPr="00A53539" w:rsidR="00FB25C9" w:rsidTr="00255B26" w14:paraId="093D24A1"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hideMark/>
          </w:tcPr>
          <w:p w:rsidRPr="00A53539" w:rsidR="00A53539" w:rsidP="00A53539" w:rsidRDefault="00A53539" w14:paraId="02B2CEB2" w14:textId="77777777">
            <w:pPr>
              <w:widowControl/>
              <w:autoSpaceDE/>
              <w:autoSpaceDN/>
              <w:adjustRightInd/>
              <w:rPr>
                <w:color w:val="000000"/>
                <w:sz w:val="20"/>
                <w:szCs w:val="20"/>
              </w:rPr>
            </w:pPr>
            <w:r w:rsidRPr="00A53539">
              <w:rPr>
                <w:color w:val="000000"/>
                <w:sz w:val="20"/>
                <w:szCs w:val="20"/>
              </w:rPr>
              <w:t> </w:t>
            </w:r>
          </w:p>
        </w:tc>
        <w:tc>
          <w:tcPr>
            <w:tcW w:w="1360" w:type="dxa"/>
            <w:tcBorders>
              <w:top w:val="nil"/>
              <w:left w:val="nil"/>
              <w:bottom w:val="single" w:color="auto" w:sz="4" w:space="0"/>
              <w:right w:val="single" w:color="auto" w:sz="4" w:space="0"/>
            </w:tcBorders>
            <w:shd w:val="clear" w:color="000000" w:fill="FFFFFF"/>
            <w:hideMark/>
          </w:tcPr>
          <w:p w:rsidRPr="00A53539" w:rsidR="00A53539" w:rsidP="00A53539" w:rsidRDefault="00A53539" w14:paraId="20B03D43" w14:textId="77777777">
            <w:pPr>
              <w:widowControl/>
              <w:autoSpaceDE/>
              <w:autoSpaceDN/>
              <w:adjustRightInd/>
              <w:rPr>
                <w:color w:val="000000"/>
                <w:sz w:val="20"/>
                <w:szCs w:val="20"/>
              </w:rPr>
            </w:pPr>
            <w:r w:rsidRPr="00A53539">
              <w:rPr>
                <w:color w:val="000000"/>
                <w:sz w:val="20"/>
                <w:szCs w:val="20"/>
              </w:rPr>
              <w:t> </w:t>
            </w:r>
          </w:p>
        </w:tc>
        <w:tc>
          <w:tcPr>
            <w:tcW w:w="164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242AE878" w14:textId="77777777">
            <w:pPr>
              <w:widowControl/>
              <w:autoSpaceDE/>
              <w:autoSpaceDN/>
              <w:adjustRightInd/>
              <w:rPr>
                <w:color w:val="000000"/>
                <w:sz w:val="20"/>
                <w:szCs w:val="20"/>
              </w:rPr>
            </w:pPr>
            <w:r w:rsidRPr="00A53539">
              <w:rPr>
                <w:color w:val="000000"/>
                <w:sz w:val="20"/>
                <w:szCs w:val="20"/>
              </w:rPr>
              <w:t> </w:t>
            </w:r>
          </w:p>
        </w:tc>
        <w:tc>
          <w:tcPr>
            <w:tcW w:w="136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1D2505C2" w14:textId="77777777">
            <w:pPr>
              <w:widowControl/>
              <w:autoSpaceDE/>
              <w:autoSpaceDN/>
              <w:adjustRightInd/>
              <w:rPr>
                <w:color w:val="000000"/>
                <w:sz w:val="20"/>
                <w:szCs w:val="20"/>
              </w:rPr>
            </w:pPr>
            <w:r w:rsidRPr="00A53539">
              <w:rPr>
                <w:color w:val="000000"/>
                <w:sz w:val="20"/>
                <w:szCs w:val="20"/>
              </w:rPr>
              <w:t> </w:t>
            </w:r>
          </w:p>
        </w:tc>
        <w:tc>
          <w:tcPr>
            <w:tcW w:w="160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305AA5DD" w14:textId="77777777">
            <w:pPr>
              <w:widowControl/>
              <w:autoSpaceDE/>
              <w:autoSpaceDN/>
              <w:adjustRightInd/>
              <w:rPr>
                <w:color w:val="000000"/>
                <w:sz w:val="20"/>
                <w:szCs w:val="20"/>
              </w:rPr>
            </w:pPr>
            <w:r w:rsidRPr="00A53539">
              <w:rPr>
                <w:color w:val="000000"/>
                <w:sz w:val="20"/>
                <w:szCs w:val="20"/>
              </w:rPr>
              <w:t> </w:t>
            </w:r>
          </w:p>
        </w:tc>
        <w:tc>
          <w:tcPr>
            <w:tcW w:w="1380" w:type="dxa"/>
            <w:tcBorders>
              <w:top w:val="nil"/>
              <w:left w:val="nil"/>
              <w:bottom w:val="single" w:color="auto" w:sz="4" w:space="0"/>
              <w:right w:val="single" w:color="auto" w:sz="4" w:space="0"/>
            </w:tcBorders>
            <w:shd w:val="clear" w:color="000000" w:fill="FFFFFF"/>
            <w:noWrap/>
            <w:hideMark/>
          </w:tcPr>
          <w:p w:rsidRPr="00A53539" w:rsidR="00A53539" w:rsidP="00A53539" w:rsidRDefault="00A53539" w14:paraId="2099E694"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single" w:color="auto" w:sz="4" w:space="0"/>
              <w:right w:val="single" w:color="auto" w:sz="4" w:space="0"/>
            </w:tcBorders>
            <w:shd w:val="clear" w:color="000000" w:fill="FFFFFF"/>
            <w:noWrap/>
            <w:hideMark/>
          </w:tcPr>
          <w:p w:rsidRPr="00A53539" w:rsidR="00A53539" w:rsidP="00A53539" w:rsidRDefault="00A53539" w14:paraId="4B2F86B2"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single" w:color="auto" w:sz="4" w:space="0"/>
              <w:right w:val="single" w:color="auto" w:sz="4" w:space="0"/>
            </w:tcBorders>
            <w:shd w:val="clear" w:color="auto" w:fill="auto"/>
            <w:noWrap/>
            <w:vAlign w:val="bottom"/>
            <w:hideMark/>
          </w:tcPr>
          <w:p w:rsidRPr="00A53539" w:rsidR="00A53539" w:rsidP="00A53539" w:rsidRDefault="00A53539" w14:paraId="794F26B7" w14:textId="77777777">
            <w:pPr>
              <w:widowControl/>
              <w:autoSpaceDE/>
              <w:autoSpaceDN/>
              <w:adjustRightInd/>
              <w:rPr>
                <w:rFonts w:ascii="Arial" w:hAnsi="Arial" w:cs="Arial"/>
                <w:color w:val="000000"/>
                <w:sz w:val="20"/>
                <w:szCs w:val="20"/>
              </w:rPr>
            </w:pPr>
            <w:r w:rsidRPr="00A53539">
              <w:rPr>
                <w:rFonts w:ascii="Arial" w:hAnsi="Arial" w:cs="Arial"/>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bottom"/>
            <w:hideMark/>
          </w:tcPr>
          <w:p w:rsidRPr="00A53539" w:rsidR="00A53539" w:rsidP="00A53539" w:rsidRDefault="00A53539" w14:paraId="6C8D2254" w14:textId="77777777">
            <w:pPr>
              <w:widowControl/>
              <w:autoSpaceDE/>
              <w:autoSpaceDN/>
              <w:adjustRightInd/>
              <w:rPr>
                <w:rFonts w:ascii="Arial" w:hAnsi="Arial" w:cs="Arial"/>
                <w:color w:val="000000"/>
                <w:sz w:val="20"/>
                <w:szCs w:val="20"/>
              </w:rPr>
            </w:pPr>
            <w:r w:rsidRPr="00A53539">
              <w:rPr>
                <w:rFonts w:ascii="Arial" w:hAnsi="Arial" w:cs="Arial"/>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A53539" w:rsidR="00A53539" w:rsidP="00A53539" w:rsidRDefault="00A53539" w14:paraId="7D6AE76C" w14:textId="77777777">
            <w:pPr>
              <w:widowControl/>
              <w:autoSpaceDE/>
              <w:autoSpaceDN/>
              <w:adjustRightInd/>
              <w:rPr>
                <w:rFonts w:ascii="Arial" w:hAnsi="Arial" w:cs="Arial"/>
                <w:color w:val="000000"/>
                <w:sz w:val="20"/>
                <w:szCs w:val="20"/>
              </w:rPr>
            </w:pPr>
            <w:r w:rsidRPr="00A53539">
              <w:rPr>
                <w:rFonts w:ascii="Arial" w:hAnsi="Arial" w:cs="Arial"/>
                <w:color w:val="000000"/>
                <w:sz w:val="20"/>
                <w:szCs w:val="20"/>
              </w:rPr>
              <w:t> </w:t>
            </w:r>
          </w:p>
        </w:tc>
      </w:tr>
      <w:tr w:rsidRPr="00A53539" w:rsidR="00FB25C9" w:rsidTr="00255B26" w14:paraId="4920A64A" w14:textId="77777777">
        <w:trPr>
          <w:trHeight w:val="765"/>
          <w:jc w:val="center"/>
        </w:trPr>
        <w:tc>
          <w:tcPr>
            <w:tcW w:w="5760" w:type="dxa"/>
            <w:gridSpan w:val="4"/>
            <w:tcBorders>
              <w:top w:val="single" w:color="auto" w:sz="4" w:space="0"/>
              <w:left w:val="single" w:color="auto" w:sz="4" w:space="0"/>
              <w:bottom w:val="single" w:color="auto" w:sz="4" w:space="0"/>
              <w:right w:val="single" w:color="auto" w:sz="4" w:space="0"/>
            </w:tcBorders>
            <w:shd w:val="clear" w:color="000000" w:fill="FFFFFF"/>
            <w:vAlign w:val="center"/>
            <w:hideMark/>
          </w:tcPr>
          <w:p w:rsidRPr="00A53539" w:rsidR="00A53539" w:rsidP="00A53539" w:rsidRDefault="00A53539" w14:paraId="09B2FAD9" w14:textId="77777777">
            <w:pPr>
              <w:widowControl/>
              <w:autoSpaceDE/>
              <w:autoSpaceDN/>
              <w:adjustRightInd/>
              <w:jc w:val="center"/>
              <w:rPr>
                <w:color w:val="000000"/>
                <w:sz w:val="20"/>
                <w:szCs w:val="20"/>
              </w:rPr>
            </w:pPr>
            <w:r w:rsidRPr="00A53539">
              <w:rPr>
                <w:color w:val="000000"/>
                <w:sz w:val="20"/>
                <w:szCs w:val="20"/>
              </w:rPr>
              <w:t>Calculation of Hours for New Establishments (No Existing Program) -- High-Impact Establishments</w:t>
            </w:r>
          </w:p>
        </w:tc>
        <w:tc>
          <w:tcPr>
            <w:tcW w:w="160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324E1FD0" w14:textId="77777777">
            <w:pPr>
              <w:widowControl/>
              <w:autoSpaceDE/>
              <w:autoSpaceDN/>
              <w:adjustRightInd/>
              <w:rPr>
                <w:color w:val="000000"/>
                <w:sz w:val="20"/>
                <w:szCs w:val="20"/>
              </w:rPr>
            </w:pPr>
            <w:r w:rsidRPr="00A53539">
              <w:rPr>
                <w:color w:val="000000"/>
                <w:sz w:val="20"/>
                <w:szCs w:val="20"/>
              </w:rPr>
              <w:t> </w:t>
            </w:r>
          </w:p>
        </w:tc>
        <w:tc>
          <w:tcPr>
            <w:tcW w:w="138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7A274540"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nil"/>
              <w:right w:val="nil"/>
            </w:tcBorders>
            <w:shd w:val="clear" w:color="000000" w:fill="FFFFFF"/>
            <w:noWrap/>
            <w:vAlign w:val="bottom"/>
            <w:hideMark/>
          </w:tcPr>
          <w:p w:rsidRPr="00A53539" w:rsidR="00A53539" w:rsidP="00A53539" w:rsidRDefault="00A53539" w14:paraId="4F98AE85"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2F6C1157"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5FE1F518"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7A848649" w14:textId="77777777">
            <w:pPr>
              <w:widowControl/>
              <w:autoSpaceDE/>
              <w:autoSpaceDN/>
              <w:adjustRightInd/>
              <w:rPr>
                <w:sz w:val="20"/>
                <w:szCs w:val="20"/>
              </w:rPr>
            </w:pPr>
          </w:p>
        </w:tc>
      </w:tr>
      <w:tr w:rsidRPr="00A53539" w:rsidR="00FB25C9" w:rsidTr="00255B26" w14:paraId="365BF2DF" w14:textId="77777777">
        <w:trPr>
          <w:trHeight w:val="510"/>
          <w:jc w:val="center"/>
        </w:trPr>
        <w:tc>
          <w:tcPr>
            <w:tcW w:w="1400" w:type="dxa"/>
            <w:tcBorders>
              <w:top w:val="nil"/>
              <w:left w:val="single" w:color="auto" w:sz="4" w:space="0"/>
              <w:bottom w:val="single" w:color="auto" w:sz="4" w:space="0"/>
              <w:right w:val="single" w:color="auto" w:sz="4" w:space="0"/>
            </w:tcBorders>
            <w:shd w:val="clear" w:color="000000" w:fill="FFFFFF"/>
            <w:vAlign w:val="center"/>
            <w:hideMark/>
          </w:tcPr>
          <w:p w:rsidRPr="00A53539" w:rsidR="00A53539" w:rsidP="00A53539" w:rsidRDefault="00A53539" w14:paraId="049843D2" w14:textId="77777777">
            <w:pPr>
              <w:widowControl/>
              <w:autoSpaceDE/>
              <w:autoSpaceDN/>
              <w:adjustRightInd/>
              <w:jc w:val="center"/>
              <w:rPr>
                <w:b/>
                <w:bCs/>
                <w:color w:val="000000"/>
                <w:sz w:val="20"/>
                <w:szCs w:val="20"/>
              </w:rPr>
            </w:pPr>
            <w:r w:rsidRPr="00A53539">
              <w:rPr>
                <w:b/>
                <w:bCs/>
                <w:color w:val="000000"/>
                <w:sz w:val="20"/>
                <w:szCs w:val="20"/>
              </w:rPr>
              <w:t>Establishment Size</w:t>
            </w:r>
          </w:p>
        </w:tc>
        <w:tc>
          <w:tcPr>
            <w:tcW w:w="136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606E8815" w14:textId="77777777">
            <w:pPr>
              <w:widowControl/>
              <w:autoSpaceDE/>
              <w:autoSpaceDN/>
              <w:adjustRightInd/>
              <w:jc w:val="center"/>
              <w:rPr>
                <w:b/>
                <w:bCs/>
                <w:color w:val="000000"/>
                <w:sz w:val="20"/>
                <w:szCs w:val="20"/>
              </w:rPr>
            </w:pPr>
            <w:r w:rsidRPr="00A53539">
              <w:rPr>
                <w:b/>
                <w:bCs/>
                <w:color w:val="000000"/>
                <w:sz w:val="20"/>
                <w:szCs w:val="20"/>
              </w:rPr>
              <w:t>Number of Establishments</w:t>
            </w:r>
          </w:p>
        </w:tc>
        <w:tc>
          <w:tcPr>
            <w:tcW w:w="164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0B6781B2" w14:textId="77777777">
            <w:pPr>
              <w:widowControl/>
              <w:autoSpaceDE/>
              <w:autoSpaceDN/>
              <w:adjustRightInd/>
              <w:jc w:val="center"/>
              <w:rPr>
                <w:b/>
                <w:bCs/>
                <w:color w:val="000000"/>
                <w:sz w:val="20"/>
                <w:szCs w:val="20"/>
              </w:rPr>
            </w:pPr>
            <w:r w:rsidRPr="00A53539">
              <w:rPr>
                <w:b/>
                <w:bCs/>
                <w:color w:val="000000"/>
                <w:sz w:val="20"/>
                <w:szCs w:val="20"/>
              </w:rPr>
              <w:t>First Year Hours</w:t>
            </w:r>
          </w:p>
        </w:tc>
        <w:tc>
          <w:tcPr>
            <w:tcW w:w="136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1CE74B01" w14:textId="77777777">
            <w:pPr>
              <w:widowControl/>
              <w:autoSpaceDE/>
              <w:autoSpaceDN/>
              <w:adjustRightInd/>
              <w:jc w:val="center"/>
              <w:rPr>
                <w:b/>
                <w:bCs/>
                <w:color w:val="000000"/>
                <w:sz w:val="20"/>
                <w:szCs w:val="20"/>
              </w:rPr>
            </w:pPr>
            <w:r w:rsidRPr="00A53539">
              <w:rPr>
                <w:b/>
                <w:bCs/>
                <w:color w:val="000000"/>
                <w:sz w:val="20"/>
                <w:szCs w:val="20"/>
              </w:rPr>
              <w:t>Total Hours First Year</w:t>
            </w:r>
          </w:p>
        </w:tc>
        <w:tc>
          <w:tcPr>
            <w:tcW w:w="160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703527D2" w14:textId="77777777">
            <w:pPr>
              <w:widowControl/>
              <w:autoSpaceDE/>
              <w:autoSpaceDN/>
              <w:adjustRightInd/>
              <w:rPr>
                <w:color w:val="000000"/>
                <w:sz w:val="20"/>
                <w:szCs w:val="20"/>
              </w:rPr>
            </w:pPr>
            <w:r w:rsidRPr="00A53539">
              <w:rPr>
                <w:color w:val="000000"/>
                <w:sz w:val="20"/>
                <w:szCs w:val="20"/>
              </w:rPr>
              <w:t> </w:t>
            </w:r>
          </w:p>
        </w:tc>
        <w:tc>
          <w:tcPr>
            <w:tcW w:w="138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4245A7EA"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nil"/>
              <w:right w:val="nil"/>
            </w:tcBorders>
            <w:shd w:val="clear" w:color="000000" w:fill="FFFFFF"/>
            <w:noWrap/>
            <w:vAlign w:val="bottom"/>
            <w:hideMark/>
          </w:tcPr>
          <w:p w:rsidRPr="00A53539" w:rsidR="00A53539" w:rsidP="00A53539" w:rsidRDefault="00A53539" w14:paraId="054782F8"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23781819"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51412CCE"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4C60BDBE" w14:textId="77777777">
            <w:pPr>
              <w:widowControl/>
              <w:autoSpaceDE/>
              <w:autoSpaceDN/>
              <w:adjustRightInd/>
              <w:rPr>
                <w:sz w:val="20"/>
                <w:szCs w:val="20"/>
              </w:rPr>
            </w:pPr>
          </w:p>
        </w:tc>
      </w:tr>
      <w:tr w:rsidRPr="00A53539" w:rsidR="00FB25C9" w:rsidTr="00A53539" w14:paraId="3BF5B961"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00812E7B" w14:textId="77777777">
            <w:pPr>
              <w:widowControl/>
              <w:autoSpaceDE/>
              <w:autoSpaceDN/>
              <w:adjustRightInd/>
              <w:rPr>
                <w:color w:val="000000"/>
                <w:sz w:val="20"/>
                <w:szCs w:val="20"/>
              </w:rPr>
            </w:pPr>
            <w:r w:rsidRPr="00A53539">
              <w:rPr>
                <w:color w:val="000000"/>
                <w:sz w:val="20"/>
                <w:szCs w:val="20"/>
              </w:rPr>
              <w:t>Very Small</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76E0D383" w14:textId="77777777">
            <w:pPr>
              <w:widowControl/>
              <w:autoSpaceDE/>
              <w:autoSpaceDN/>
              <w:adjustRightInd/>
              <w:jc w:val="center"/>
              <w:rPr>
                <w:color w:val="000000"/>
                <w:sz w:val="20"/>
                <w:szCs w:val="20"/>
              </w:rPr>
            </w:pPr>
            <w:r w:rsidRPr="00A53539">
              <w:rPr>
                <w:color w:val="000000"/>
                <w:sz w:val="20"/>
                <w:szCs w:val="20"/>
              </w:rPr>
              <w:t>18,374</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A1F3696" w14:textId="77777777">
            <w:pPr>
              <w:widowControl/>
              <w:autoSpaceDE/>
              <w:autoSpaceDN/>
              <w:adjustRightInd/>
              <w:jc w:val="center"/>
              <w:rPr>
                <w:color w:val="000000"/>
                <w:sz w:val="20"/>
                <w:szCs w:val="20"/>
              </w:rPr>
            </w:pPr>
            <w:r w:rsidRPr="00A53539">
              <w:rPr>
                <w:color w:val="000000"/>
                <w:sz w:val="20"/>
                <w:szCs w:val="20"/>
              </w:rPr>
              <w:t>2</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1660E4" w:rsidRDefault="00A53539" w14:paraId="0A7DF063" w14:textId="180C1C7B">
            <w:pPr>
              <w:widowControl/>
              <w:autoSpaceDE/>
              <w:autoSpaceDN/>
              <w:adjustRightInd/>
              <w:jc w:val="center"/>
              <w:rPr>
                <w:color w:val="000000"/>
                <w:sz w:val="20"/>
                <w:szCs w:val="20"/>
              </w:rPr>
            </w:pPr>
            <w:r w:rsidRPr="00A53539">
              <w:rPr>
                <w:color w:val="000000"/>
                <w:sz w:val="20"/>
                <w:szCs w:val="20"/>
              </w:rPr>
              <w:t>36,74</w:t>
            </w:r>
            <w:r w:rsidR="001660E4">
              <w:rPr>
                <w:color w:val="000000"/>
                <w:sz w:val="20"/>
                <w:szCs w:val="20"/>
              </w:rPr>
              <w:t>8</w:t>
            </w:r>
            <w:r w:rsidR="0020324A">
              <w:rPr>
                <w:color w:val="000000"/>
                <w:sz w:val="20"/>
                <w:szCs w:val="20"/>
              </w:rPr>
              <w:t>.00</w:t>
            </w:r>
          </w:p>
        </w:tc>
        <w:tc>
          <w:tcPr>
            <w:tcW w:w="160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1C7BBBEA" w14:textId="23AD54FB">
            <w:pPr>
              <w:widowControl/>
              <w:autoSpaceDE/>
              <w:autoSpaceDN/>
              <w:adjustRightInd/>
              <w:rPr>
                <w:color w:val="000000"/>
                <w:sz w:val="20"/>
                <w:szCs w:val="20"/>
              </w:rPr>
            </w:pPr>
          </w:p>
        </w:tc>
        <w:tc>
          <w:tcPr>
            <w:tcW w:w="138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51E4D174"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nil"/>
              <w:right w:val="nil"/>
            </w:tcBorders>
            <w:shd w:val="clear" w:color="000000" w:fill="FFFFFF"/>
            <w:noWrap/>
            <w:vAlign w:val="bottom"/>
            <w:hideMark/>
          </w:tcPr>
          <w:p w:rsidRPr="00A53539" w:rsidR="00A53539" w:rsidP="00A53539" w:rsidRDefault="00A53539" w14:paraId="524439FD"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1E717980"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024EEE22"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29123E88" w14:textId="77777777">
            <w:pPr>
              <w:widowControl/>
              <w:autoSpaceDE/>
              <w:autoSpaceDN/>
              <w:adjustRightInd/>
              <w:rPr>
                <w:sz w:val="20"/>
                <w:szCs w:val="20"/>
              </w:rPr>
            </w:pPr>
          </w:p>
        </w:tc>
      </w:tr>
      <w:tr w:rsidRPr="00A53539" w:rsidR="00FB25C9" w:rsidTr="00A53539" w14:paraId="75657865"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5CD5A424" w14:textId="77777777">
            <w:pPr>
              <w:widowControl/>
              <w:autoSpaceDE/>
              <w:autoSpaceDN/>
              <w:adjustRightInd/>
              <w:rPr>
                <w:color w:val="000000"/>
                <w:sz w:val="20"/>
                <w:szCs w:val="20"/>
              </w:rPr>
            </w:pPr>
            <w:r w:rsidRPr="00A53539">
              <w:rPr>
                <w:color w:val="000000"/>
                <w:sz w:val="20"/>
                <w:szCs w:val="20"/>
              </w:rPr>
              <w:t>Small</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B06D41F" w14:textId="77777777">
            <w:pPr>
              <w:widowControl/>
              <w:autoSpaceDE/>
              <w:autoSpaceDN/>
              <w:adjustRightInd/>
              <w:jc w:val="center"/>
              <w:rPr>
                <w:color w:val="000000"/>
                <w:sz w:val="20"/>
                <w:szCs w:val="20"/>
              </w:rPr>
            </w:pPr>
            <w:r w:rsidRPr="00A53539">
              <w:rPr>
                <w:color w:val="000000"/>
                <w:sz w:val="20"/>
                <w:szCs w:val="20"/>
              </w:rPr>
              <w:t>5,064</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00450FA" w14:textId="77777777">
            <w:pPr>
              <w:widowControl/>
              <w:autoSpaceDE/>
              <w:autoSpaceDN/>
              <w:adjustRightInd/>
              <w:jc w:val="center"/>
              <w:rPr>
                <w:color w:val="000000"/>
                <w:sz w:val="20"/>
                <w:szCs w:val="20"/>
              </w:rPr>
            </w:pPr>
            <w:r w:rsidRPr="00A53539">
              <w:rPr>
                <w:color w:val="000000"/>
                <w:sz w:val="20"/>
                <w:szCs w:val="20"/>
              </w:rPr>
              <w:t>12</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1660E4" w:rsidRDefault="00A53539" w14:paraId="60A344A2" w14:textId="4BA1E0CC">
            <w:pPr>
              <w:widowControl/>
              <w:autoSpaceDE/>
              <w:autoSpaceDN/>
              <w:adjustRightInd/>
              <w:jc w:val="center"/>
              <w:rPr>
                <w:color w:val="000000"/>
                <w:sz w:val="20"/>
                <w:szCs w:val="20"/>
              </w:rPr>
            </w:pPr>
            <w:r w:rsidRPr="00A53539">
              <w:rPr>
                <w:color w:val="000000"/>
                <w:sz w:val="20"/>
                <w:szCs w:val="20"/>
              </w:rPr>
              <w:t>60,76</w:t>
            </w:r>
            <w:r w:rsidR="001660E4">
              <w:rPr>
                <w:color w:val="000000"/>
                <w:sz w:val="20"/>
                <w:szCs w:val="20"/>
              </w:rPr>
              <w:t>8</w:t>
            </w:r>
            <w:r w:rsidR="0020324A">
              <w:rPr>
                <w:color w:val="000000"/>
                <w:sz w:val="20"/>
                <w:szCs w:val="20"/>
              </w:rPr>
              <w:t>.00</w:t>
            </w:r>
          </w:p>
        </w:tc>
        <w:tc>
          <w:tcPr>
            <w:tcW w:w="160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728CF56E" w14:textId="77777777">
            <w:pPr>
              <w:widowControl/>
              <w:autoSpaceDE/>
              <w:autoSpaceDN/>
              <w:adjustRightInd/>
              <w:rPr>
                <w:color w:val="000000"/>
                <w:sz w:val="20"/>
                <w:szCs w:val="20"/>
              </w:rPr>
            </w:pPr>
            <w:r w:rsidRPr="00A53539">
              <w:rPr>
                <w:color w:val="000000"/>
                <w:sz w:val="20"/>
                <w:szCs w:val="20"/>
              </w:rPr>
              <w:t> </w:t>
            </w:r>
          </w:p>
        </w:tc>
        <w:tc>
          <w:tcPr>
            <w:tcW w:w="138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24B08376"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nil"/>
              <w:right w:val="nil"/>
            </w:tcBorders>
            <w:shd w:val="clear" w:color="000000" w:fill="FFFFFF"/>
            <w:noWrap/>
            <w:vAlign w:val="bottom"/>
            <w:hideMark/>
          </w:tcPr>
          <w:p w:rsidRPr="00A53539" w:rsidR="00A53539" w:rsidP="00A53539" w:rsidRDefault="00A53539" w14:paraId="22AFFB25"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54427389"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14573859"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71195F2F" w14:textId="77777777">
            <w:pPr>
              <w:widowControl/>
              <w:autoSpaceDE/>
              <w:autoSpaceDN/>
              <w:adjustRightInd/>
              <w:rPr>
                <w:sz w:val="20"/>
                <w:szCs w:val="20"/>
              </w:rPr>
            </w:pPr>
          </w:p>
        </w:tc>
      </w:tr>
      <w:tr w:rsidRPr="00A53539" w:rsidR="00FB25C9" w:rsidTr="00A53539" w14:paraId="2BCFE74A"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50C8B14D" w14:textId="77777777">
            <w:pPr>
              <w:widowControl/>
              <w:autoSpaceDE/>
              <w:autoSpaceDN/>
              <w:adjustRightInd/>
              <w:rPr>
                <w:color w:val="000000"/>
                <w:sz w:val="20"/>
                <w:szCs w:val="20"/>
              </w:rPr>
            </w:pPr>
            <w:r w:rsidRPr="00A53539">
              <w:rPr>
                <w:color w:val="000000"/>
                <w:sz w:val="20"/>
                <w:szCs w:val="20"/>
              </w:rPr>
              <w:t>Medium</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E46C57E" w14:textId="77777777">
            <w:pPr>
              <w:widowControl/>
              <w:autoSpaceDE/>
              <w:autoSpaceDN/>
              <w:adjustRightInd/>
              <w:jc w:val="center"/>
              <w:rPr>
                <w:color w:val="000000"/>
                <w:sz w:val="20"/>
                <w:szCs w:val="20"/>
              </w:rPr>
            </w:pPr>
            <w:r w:rsidRPr="00A53539">
              <w:rPr>
                <w:color w:val="000000"/>
                <w:sz w:val="20"/>
                <w:szCs w:val="20"/>
              </w:rPr>
              <w:t>1,164</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C13498A" w14:textId="77777777">
            <w:pPr>
              <w:widowControl/>
              <w:autoSpaceDE/>
              <w:autoSpaceDN/>
              <w:adjustRightInd/>
              <w:jc w:val="center"/>
              <w:rPr>
                <w:color w:val="000000"/>
                <w:sz w:val="20"/>
                <w:szCs w:val="20"/>
              </w:rPr>
            </w:pPr>
            <w:r w:rsidRPr="00A53539">
              <w:rPr>
                <w:color w:val="000000"/>
                <w:sz w:val="20"/>
                <w:szCs w:val="20"/>
              </w:rPr>
              <w:t>40</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1660E4" w:rsidRDefault="00A53539" w14:paraId="4AF91A02" w14:textId="1C39D41E">
            <w:pPr>
              <w:widowControl/>
              <w:autoSpaceDE/>
              <w:autoSpaceDN/>
              <w:adjustRightInd/>
              <w:jc w:val="center"/>
              <w:rPr>
                <w:color w:val="000000"/>
                <w:sz w:val="20"/>
                <w:szCs w:val="20"/>
              </w:rPr>
            </w:pPr>
            <w:r w:rsidRPr="00A53539">
              <w:rPr>
                <w:color w:val="000000"/>
                <w:sz w:val="20"/>
                <w:szCs w:val="20"/>
              </w:rPr>
              <w:t>46,56</w:t>
            </w:r>
            <w:r w:rsidR="001660E4">
              <w:rPr>
                <w:color w:val="000000"/>
                <w:sz w:val="20"/>
                <w:szCs w:val="20"/>
              </w:rPr>
              <w:t>0</w:t>
            </w:r>
            <w:r w:rsidR="0020324A">
              <w:rPr>
                <w:color w:val="000000"/>
                <w:sz w:val="20"/>
                <w:szCs w:val="20"/>
              </w:rPr>
              <w:t>.00</w:t>
            </w:r>
          </w:p>
        </w:tc>
        <w:tc>
          <w:tcPr>
            <w:tcW w:w="160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5167A7A0" w14:textId="77777777">
            <w:pPr>
              <w:widowControl/>
              <w:autoSpaceDE/>
              <w:autoSpaceDN/>
              <w:adjustRightInd/>
              <w:rPr>
                <w:color w:val="000000"/>
                <w:sz w:val="20"/>
                <w:szCs w:val="20"/>
              </w:rPr>
            </w:pPr>
            <w:r w:rsidRPr="00A53539">
              <w:rPr>
                <w:color w:val="000000"/>
                <w:sz w:val="20"/>
                <w:szCs w:val="20"/>
              </w:rPr>
              <w:t> </w:t>
            </w:r>
          </w:p>
        </w:tc>
        <w:tc>
          <w:tcPr>
            <w:tcW w:w="138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10968A5B"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nil"/>
              <w:right w:val="nil"/>
            </w:tcBorders>
            <w:shd w:val="clear" w:color="000000" w:fill="FFFFFF"/>
            <w:noWrap/>
            <w:vAlign w:val="bottom"/>
            <w:hideMark/>
          </w:tcPr>
          <w:p w:rsidRPr="00A53539" w:rsidR="00A53539" w:rsidP="00A53539" w:rsidRDefault="00A53539" w14:paraId="7A4687BE"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7ED2772F"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6B334D51"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2A2A1763" w14:textId="77777777">
            <w:pPr>
              <w:widowControl/>
              <w:autoSpaceDE/>
              <w:autoSpaceDN/>
              <w:adjustRightInd/>
              <w:rPr>
                <w:sz w:val="20"/>
                <w:szCs w:val="20"/>
              </w:rPr>
            </w:pPr>
          </w:p>
        </w:tc>
      </w:tr>
      <w:tr w:rsidRPr="00A53539" w:rsidR="00FB25C9" w:rsidTr="00A53539" w14:paraId="69A9BCBD"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61E8CFCE" w14:textId="77777777">
            <w:pPr>
              <w:widowControl/>
              <w:autoSpaceDE/>
              <w:autoSpaceDN/>
              <w:adjustRightInd/>
              <w:rPr>
                <w:color w:val="000000"/>
                <w:sz w:val="20"/>
                <w:szCs w:val="20"/>
              </w:rPr>
            </w:pPr>
            <w:r w:rsidRPr="00A53539">
              <w:rPr>
                <w:color w:val="000000"/>
                <w:sz w:val="20"/>
                <w:szCs w:val="20"/>
              </w:rPr>
              <w:t>Large</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B790E71" w14:textId="77777777">
            <w:pPr>
              <w:widowControl/>
              <w:autoSpaceDE/>
              <w:autoSpaceDN/>
              <w:adjustRightInd/>
              <w:jc w:val="center"/>
              <w:rPr>
                <w:color w:val="000000"/>
                <w:sz w:val="20"/>
                <w:szCs w:val="20"/>
              </w:rPr>
            </w:pPr>
            <w:r w:rsidRPr="00A53539">
              <w:rPr>
                <w:color w:val="000000"/>
                <w:sz w:val="20"/>
                <w:szCs w:val="20"/>
              </w:rPr>
              <w:t>490</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E2BE184" w14:textId="77777777">
            <w:pPr>
              <w:widowControl/>
              <w:autoSpaceDE/>
              <w:autoSpaceDN/>
              <w:adjustRightInd/>
              <w:jc w:val="center"/>
              <w:rPr>
                <w:color w:val="000000"/>
                <w:sz w:val="20"/>
                <w:szCs w:val="20"/>
              </w:rPr>
            </w:pPr>
            <w:r w:rsidRPr="00A53539">
              <w:rPr>
                <w:color w:val="000000"/>
                <w:sz w:val="20"/>
                <w:szCs w:val="20"/>
              </w:rPr>
              <w:t>80</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20324A" w:rsidRDefault="00A53539" w14:paraId="64773DF9" w14:textId="718B4CDA">
            <w:pPr>
              <w:widowControl/>
              <w:autoSpaceDE/>
              <w:autoSpaceDN/>
              <w:adjustRightInd/>
              <w:jc w:val="center"/>
              <w:rPr>
                <w:color w:val="000000"/>
                <w:sz w:val="20"/>
                <w:szCs w:val="20"/>
              </w:rPr>
            </w:pPr>
            <w:r w:rsidRPr="00A53539">
              <w:rPr>
                <w:color w:val="000000"/>
                <w:sz w:val="20"/>
                <w:szCs w:val="20"/>
              </w:rPr>
              <w:t>39,</w:t>
            </w:r>
            <w:r w:rsidR="0020324A">
              <w:rPr>
                <w:color w:val="000000"/>
                <w:sz w:val="20"/>
                <w:szCs w:val="20"/>
              </w:rPr>
              <w:t>200.00</w:t>
            </w:r>
          </w:p>
        </w:tc>
        <w:tc>
          <w:tcPr>
            <w:tcW w:w="160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4D915C10" w14:textId="77777777">
            <w:pPr>
              <w:widowControl/>
              <w:autoSpaceDE/>
              <w:autoSpaceDN/>
              <w:adjustRightInd/>
              <w:rPr>
                <w:color w:val="000000"/>
                <w:sz w:val="20"/>
                <w:szCs w:val="20"/>
              </w:rPr>
            </w:pPr>
            <w:r w:rsidRPr="00A53539">
              <w:rPr>
                <w:color w:val="000000"/>
                <w:sz w:val="20"/>
                <w:szCs w:val="20"/>
              </w:rPr>
              <w:t> </w:t>
            </w:r>
          </w:p>
        </w:tc>
        <w:tc>
          <w:tcPr>
            <w:tcW w:w="138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5C85AD26"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nil"/>
              <w:right w:val="nil"/>
            </w:tcBorders>
            <w:shd w:val="clear" w:color="000000" w:fill="FFFFFF"/>
            <w:noWrap/>
            <w:vAlign w:val="bottom"/>
            <w:hideMark/>
          </w:tcPr>
          <w:p w:rsidRPr="00A53539" w:rsidR="00A53539" w:rsidP="00A53539" w:rsidRDefault="00A53539" w14:paraId="0F5074C2"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1C9BE3D0"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237F51EB"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6676766A" w14:textId="77777777">
            <w:pPr>
              <w:widowControl/>
              <w:autoSpaceDE/>
              <w:autoSpaceDN/>
              <w:adjustRightInd/>
              <w:rPr>
                <w:sz w:val="20"/>
                <w:szCs w:val="20"/>
              </w:rPr>
            </w:pPr>
          </w:p>
        </w:tc>
      </w:tr>
      <w:tr w:rsidRPr="00A53539" w:rsidR="00FB25C9" w:rsidTr="00A53539" w14:paraId="0AF2B9D8"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2FBA7EA5" w14:textId="77777777">
            <w:pPr>
              <w:widowControl/>
              <w:autoSpaceDE/>
              <w:autoSpaceDN/>
              <w:adjustRightInd/>
              <w:rPr>
                <w:b/>
                <w:bCs/>
                <w:color w:val="000000"/>
                <w:sz w:val="20"/>
                <w:szCs w:val="20"/>
              </w:rPr>
            </w:pPr>
            <w:r w:rsidRPr="00A53539">
              <w:rPr>
                <w:b/>
                <w:bCs/>
                <w:color w:val="000000"/>
                <w:sz w:val="20"/>
                <w:szCs w:val="20"/>
              </w:rPr>
              <w:t>Total</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0994D92" w14:textId="77777777">
            <w:pPr>
              <w:widowControl/>
              <w:autoSpaceDE/>
              <w:autoSpaceDN/>
              <w:adjustRightInd/>
              <w:jc w:val="center"/>
              <w:rPr>
                <w:b/>
                <w:bCs/>
                <w:color w:val="000000"/>
                <w:sz w:val="20"/>
                <w:szCs w:val="20"/>
              </w:rPr>
            </w:pPr>
            <w:r w:rsidRPr="00A53539">
              <w:rPr>
                <w:b/>
                <w:bCs/>
                <w:color w:val="000000"/>
                <w:sz w:val="20"/>
                <w:szCs w:val="20"/>
              </w:rPr>
              <w:t>25,092</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4419469" w14:textId="77777777">
            <w:pPr>
              <w:widowControl/>
              <w:autoSpaceDE/>
              <w:autoSpaceDN/>
              <w:adjustRightInd/>
              <w:jc w:val="center"/>
              <w:rPr>
                <w:b/>
                <w:bCs/>
                <w:color w:val="000000"/>
                <w:sz w:val="20"/>
                <w:szCs w:val="20"/>
              </w:rPr>
            </w:pPr>
            <w:r w:rsidRPr="00A53539">
              <w:rPr>
                <w:b/>
                <w:bCs/>
                <w:color w:val="000000"/>
                <w:sz w:val="20"/>
                <w:szCs w:val="20"/>
              </w:rPr>
              <w:t> </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20324A" w:rsidRDefault="00A53539" w14:paraId="52E746BA" w14:textId="08102BC1">
            <w:pPr>
              <w:widowControl/>
              <w:autoSpaceDE/>
              <w:autoSpaceDN/>
              <w:adjustRightInd/>
              <w:jc w:val="center"/>
              <w:rPr>
                <w:b/>
                <w:bCs/>
                <w:color w:val="000000"/>
                <w:sz w:val="20"/>
                <w:szCs w:val="20"/>
              </w:rPr>
            </w:pPr>
            <w:r w:rsidRPr="00A53539">
              <w:rPr>
                <w:b/>
                <w:bCs/>
                <w:color w:val="000000"/>
                <w:sz w:val="20"/>
                <w:szCs w:val="20"/>
              </w:rPr>
              <w:t>183,2</w:t>
            </w:r>
            <w:r w:rsidR="0020324A">
              <w:rPr>
                <w:b/>
                <w:bCs/>
                <w:color w:val="000000"/>
                <w:sz w:val="20"/>
                <w:szCs w:val="20"/>
              </w:rPr>
              <w:t>76.00</w:t>
            </w:r>
          </w:p>
        </w:tc>
        <w:tc>
          <w:tcPr>
            <w:tcW w:w="160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0D912B75" w14:textId="77777777">
            <w:pPr>
              <w:widowControl/>
              <w:autoSpaceDE/>
              <w:autoSpaceDN/>
              <w:adjustRightInd/>
              <w:rPr>
                <w:color w:val="000000"/>
                <w:sz w:val="20"/>
                <w:szCs w:val="20"/>
              </w:rPr>
            </w:pPr>
            <w:r w:rsidRPr="00A53539">
              <w:rPr>
                <w:color w:val="000000"/>
                <w:sz w:val="20"/>
                <w:szCs w:val="20"/>
              </w:rPr>
              <w:t> </w:t>
            </w:r>
          </w:p>
        </w:tc>
        <w:tc>
          <w:tcPr>
            <w:tcW w:w="138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153CF1D6"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nil"/>
              <w:right w:val="nil"/>
            </w:tcBorders>
            <w:shd w:val="clear" w:color="000000" w:fill="FFFFFF"/>
            <w:noWrap/>
            <w:vAlign w:val="bottom"/>
            <w:hideMark/>
          </w:tcPr>
          <w:p w:rsidRPr="00A53539" w:rsidR="00A53539" w:rsidP="00A53539" w:rsidRDefault="00A53539" w14:paraId="5E165969"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1A70F39A"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7A3E2858"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3D9EAA29" w14:textId="77777777">
            <w:pPr>
              <w:widowControl/>
              <w:autoSpaceDE/>
              <w:autoSpaceDN/>
              <w:adjustRightInd/>
              <w:rPr>
                <w:sz w:val="20"/>
                <w:szCs w:val="20"/>
              </w:rPr>
            </w:pPr>
          </w:p>
        </w:tc>
      </w:tr>
      <w:tr w:rsidRPr="00A53539" w:rsidR="00FB25C9" w:rsidTr="00A53539" w14:paraId="0F580685"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bottom"/>
            <w:hideMark/>
          </w:tcPr>
          <w:p w:rsidRPr="00A53539" w:rsidR="00A53539" w:rsidP="00A53539" w:rsidRDefault="00A53539" w14:paraId="1CD049DF" w14:textId="77777777">
            <w:pPr>
              <w:widowControl/>
              <w:autoSpaceDE/>
              <w:autoSpaceDN/>
              <w:adjustRightInd/>
              <w:rPr>
                <w:color w:val="000000"/>
                <w:sz w:val="20"/>
                <w:szCs w:val="20"/>
              </w:rPr>
            </w:pPr>
            <w:r w:rsidRPr="00A53539">
              <w:rPr>
                <w:color w:val="000000"/>
                <w:sz w:val="20"/>
                <w:szCs w:val="20"/>
              </w:rPr>
              <w:t> </w:t>
            </w:r>
          </w:p>
        </w:tc>
        <w:tc>
          <w:tcPr>
            <w:tcW w:w="136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7DAE9E8A" w14:textId="77777777">
            <w:pPr>
              <w:widowControl/>
              <w:autoSpaceDE/>
              <w:autoSpaceDN/>
              <w:adjustRightInd/>
              <w:rPr>
                <w:color w:val="000000"/>
                <w:sz w:val="20"/>
                <w:szCs w:val="20"/>
              </w:rPr>
            </w:pPr>
            <w:r w:rsidRPr="00A53539">
              <w:rPr>
                <w:color w:val="000000"/>
                <w:sz w:val="20"/>
                <w:szCs w:val="20"/>
              </w:rPr>
              <w:t> </w:t>
            </w:r>
          </w:p>
        </w:tc>
        <w:tc>
          <w:tcPr>
            <w:tcW w:w="164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2F050C9E" w14:textId="77777777">
            <w:pPr>
              <w:widowControl/>
              <w:autoSpaceDE/>
              <w:autoSpaceDN/>
              <w:adjustRightInd/>
              <w:rPr>
                <w:color w:val="000000"/>
                <w:sz w:val="20"/>
                <w:szCs w:val="20"/>
              </w:rPr>
            </w:pPr>
            <w:r w:rsidRPr="00A53539">
              <w:rPr>
                <w:color w:val="000000"/>
                <w:sz w:val="20"/>
                <w:szCs w:val="20"/>
              </w:rPr>
              <w:t> </w:t>
            </w:r>
          </w:p>
        </w:tc>
        <w:tc>
          <w:tcPr>
            <w:tcW w:w="136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6FC1E63B" w14:textId="77777777">
            <w:pPr>
              <w:widowControl/>
              <w:autoSpaceDE/>
              <w:autoSpaceDN/>
              <w:adjustRightInd/>
              <w:rPr>
                <w:color w:val="000000"/>
                <w:sz w:val="20"/>
                <w:szCs w:val="20"/>
              </w:rPr>
            </w:pPr>
            <w:r w:rsidRPr="00A53539">
              <w:rPr>
                <w:color w:val="000000"/>
                <w:sz w:val="20"/>
                <w:szCs w:val="20"/>
              </w:rPr>
              <w:t> </w:t>
            </w:r>
          </w:p>
        </w:tc>
        <w:tc>
          <w:tcPr>
            <w:tcW w:w="160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7CAA67A8" w14:textId="77777777">
            <w:pPr>
              <w:widowControl/>
              <w:autoSpaceDE/>
              <w:autoSpaceDN/>
              <w:adjustRightInd/>
              <w:rPr>
                <w:color w:val="000000"/>
                <w:sz w:val="20"/>
                <w:szCs w:val="20"/>
              </w:rPr>
            </w:pPr>
            <w:r w:rsidRPr="00A53539">
              <w:rPr>
                <w:color w:val="000000"/>
                <w:sz w:val="20"/>
                <w:szCs w:val="20"/>
              </w:rPr>
              <w:t> </w:t>
            </w:r>
          </w:p>
        </w:tc>
        <w:tc>
          <w:tcPr>
            <w:tcW w:w="138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30578C8C"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nil"/>
              <w:right w:val="nil"/>
            </w:tcBorders>
            <w:shd w:val="clear" w:color="000000" w:fill="FFFFFF"/>
            <w:noWrap/>
            <w:vAlign w:val="bottom"/>
            <w:hideMark/>
          </w:tcPr>
          <w:p w:rsidRPr="00A53539" w:rsidR="00A53539" w:rsidP="00A53539" w:rsidRDefault="00A53539" w14:paraId="29B79BB8"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03DDB8EA"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6C0B9F07"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14E0CE53" w14:textId="77777777">
            <w:pPr>
              <w:widowControl/>
              <w:autoSpaceDE/>
              <w:autoSpaceDN/>
              <w:adjustRightInd/>
              <w:rPr>
                <w:sz w:val="20"/>
                <w:szCs w:val="20"/>
              </w:rPr>
            </w:pPr>
          </w:p>
        </w:tc>
      </w:tr>
      <w:tr w:rsidRPr="00A53539" w:rsidR="00515A0E" w:rsidTr="00255B26" w14:paraId="4A388563" w14:textId="77777777">
        <w:trPr>
          <w:trHeight w:val="510"/>
          <w:jc w:val="center"/>
        </w:trPr>
        <w:tc>
          <w:tcPr>
            <w:tcW w:w="7360" w:type="dxa"/>
            <w:gridSpan w:val="5"/>
            <w:tcBorders>
              <w:top w:val="single" w:color="auto" w:sz="4" w:space="0"/>
              <w:left w:val="single" w:color="auto" w:sz="4" w:space="0"/>
              <w:bottom w:val="single" w:color="auto" w:sz="4" w:space="0"/>
              <w:right w:val="single" w:color="auto" w:sz="4" w:space="0"/>
            </w:tcBorders>
            <w:shd w:val="clear" w:color="000000" w:fill="FFFFFF"/>
            <w:vAlign w:val="center"/>
            <w:hideMark/>
          </w:tcPr>
          <w:p w:rsidRPr="00A53539" w:rsidR="00A53539" w:rsidP="00A53539" w:rsidRDefault="00A53539" w14:paraId="3EFED0EB" w14:textId="77777777">
            <w:pPr>
              <w:widowControl/>
              <w:autoSpaceDE/>
              <w:autoSpaceDN/>
              <w:adjustRightInd/>
              <w:jc w:val="center"/>
              <w:rPr>
                <w:color w:val="000000"/>
                <w:sz w:val="20"/>
                <w:szCs w:val="20"/>
              </w:rPr>
            </w:pPr>
            <w:r w:rsidRPr="00A53539">
              <w:rPr>
                <w:color w:val="000000"/>
                <w:sz w:val="20"/>
                <w:szCs w:val="20"/>
              </w:rPr>
              <w:t>Calculation of Hours for Recurring Burden in Existing Establishments -- High-Impact Establishments</w:t>
            </w:r>
          </w:p>
        </w:tc>
        <w:tc>
          <w:tcPr>
            <w:tcW w:w="138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50A18E7A"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nil"/>
              <w:right w:val="nil"/>
            </w:tcBorders>
            <w:shd w:val="clear" w:color="000000" w:fill="FFFFFF"/>
            <w:noWrap/>
            <w:vAlign w:val="bottom"/>
            <w:hideMark/>
          </w:tcPr>
          <w:p w:rsidRPr="00A53539" w:rsidR="00A53539" w:rsidP="00A53539" w:rsidRDefault="00A53539" w14:paraId="60E3C69E"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1D47959C"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5E433EF6"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54D35389" w14:textId="77777777">
            <w:pPr>
              <w:widowControl/>
              <w:autoSpaceDE/>
              <w:autoSpaceDN/>
              <w:adjustRightInd/>
              <w:rPr>
                <w:sz w:val="20"/>
                <w:szCs w:val="20"/>
              </w:rPr>
            </w:pPr>
          </w:p>
        </w:tc>
      </w:tr>
      <w:tr w:rsidRPr="00A53539" w:rsidR="00FB25C9" w:rsidTr="00255B26" w14:paraId="22871921" w14:textId="77777777">
        <w:trPr>
          <w:trHeight w:val="765"/>
          <w:jc w:val="center"/>
        </w:trPr>
        <w:tc>
          <w:tcPr>
            <w:tcW w:w="1400" w:type="dxa"/>
            <w:tcBorders>
              <w:top w:val="nil"/>
              <w:left w:val="single" w:color="auto" w:sz="4" w:space="0"/>
              <w:bottom w:val="single" w:color="auto" w:sz="4" w:space="0"/>
              <w:right w:val="single" w:color="auto" w:sz="4" w:space="0"/>
            </w:tcBorders>
            <w:shd w:val="clear" w:color="000000" w:fill="FFFFFF"/>
            <w:vAlign w:val="center"/>
            <w:hideMark/>
          </w:tcPr>
          <w:p w:rsidRPr="00A53539" w:rsidR="00A53539" w:rsidP="00A53539" w:rsidRDefault="00A53539" w14:paraId="7561FFE7" w14:textId="77777777">
            <w:pPr>
              <w:widowControl/>
              <w:autoSpaceDE/>
              <w:autoSpaceDN/>
              <w:adjustRightInd/>
              <w:jc w:val="center"/>
              <w:rPr>
                <w:b/>
                <w:bCs/>
                <w:color w:val="000000"/>
                <w:sz w:val="20"/>
                <w:szCs w:val="20"/>
              </w:rPr>
            </w:pPr>
            <w:r w:rsidRPr="00A53539">
              <w:rPr>
                <w:b/>
                <w:bCs/>
                <w:color w:val="000000"/>
                <w:sz w:val="20"/>
                <w:szCs w:val="20"/>
              </w:rPr>
              <w:t>Establishment Size</w:t>
            </w:r>
          </w:p>
        </w:tc>
        <w:tc>
          <w:tcPr>
            <w:tcW w:w="136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4BA3320F" w14:textId="77777777">
            <w:pPr>
              <w:widowControl/>
              <w:autoSpaceDE/>
              <w:autoSpaceDN/>
              <w:adjustRightInd/>
              <w:jc w:val="center"/>
              <w:rPr>
                <w:b/>
                <w:bCs/>
                <w:color w:val="000000"/>
                <w:sz w:val="20"/>
                <w:szCs w:val="20"/>
              </w:rPr>
            </w:pPr>
            <w:r w:rsidRPr="00A53539">
              <w:rPr>
                <w:b/>
                <w:bCs/>
                <w:color w:val="000000"/>
                <w:sz w:val="20"/>
                <w:szCs w:val="20"/>
              </w:rPr>
              <w:t>Number of Establishments</w:t>
            </w:r>
          </w:p>
        </w:tc>
        <w:tc>
          <w:tcPr>
            <w:tcW w:w="164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4EC44E14" w14:textId="77777777">
            <w:pPr>
              <w:widowControl/>
              <w:autoSpaceDE/>
              <w:autoSpaceDN/>
              <w:adjustRightInd/>
              <w:jc w:val="center"/>
              <w:rPr>
                <w:b/>
                <w:bCs/>
                <w:color w:val="000000"/>
                <w:sz w:val="20"/>
                <w:szCs w:val="20"/>
              </w:rPr>
            </w:pPr>
            <w:r w:rsidRPr="00A53539">
              <w:rPr>
                <w:b/>
                <w:bCs/>
                <w:color w:val="000000"/>
                <w:sz w:val="20"/>
                <w:szCs w:val="20"/>
              </w:rPr>
              <w:t>Hours</w:t>
            </w:r>
          </w:p>
        </w:tc>
        <w:tc>
          <w:tcPr>
            <w:tcW w:w="136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5BF42CEE" w14:textId="77777777">
            <w:pPr>
              <w:widowControl/>
              <w:autoSpaceDE/>
              <w:autoSpaceDN/>
              <w:adjustRightInd/>
              <w:jc w:val="center"/>
              <w:rPr>
                <w:b/>
                <w:bCs/>
                <w:color w:val="000000"/>
                <w:sz w:val="20"/>
                <w:szCs w:val="20"/>
              </w:rPr>
            </w:pPr>
            <w:r w:rsidRPr="00A53539">
              <w:rPr>
                <w:b/>
                <w:bCs/>
                <w:color w:val="000000"/>
                <w:sz w:val="20"/>
                <w:szCs w:val="20"/>
              </w:rPr>
              <w:t>Existing Establishment Hours</w:t>
            </w:r>
          </w:p>
        </w:tc>
        <w:tc>
          <w:tcPr>
            <w:tcW w:w="160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416C943B" w14:textId="77777777">
            <w:pPr>
              <w:widowControl/>
              <w:autoSpaceDE/>
              <w:autoSpaceDN/>
              <w:adjustRightInd/>
              <w:jc w:val="center"/>
              <w:rPr>
                <w:b/>
                <w:bCs/>
                <w:color w:val="000000"/>
                <w:sz w:val="20"/>
                <w:szCs w:val="20"/>
              </w:rPr>
            </w:pPr>
            <w:r w:rsidRPr="00A53539">
              <w:rPr>
                <w:b/>
                <w:bCs/>
                <w:color w:val="000000"/>
                <w:sz w:val="20"/>
                <w:szCs w:val="20"/>
              </w:rPr>
              <w:t>Total Hours High Impact</w:t>
            </w:r>
          </w:p>
        </w:tc>
        <w:tc>
          <w:tcPr>
            <w:tcW w:w="1380" w:type="dxa"/>
            <w:tcBorders>
              <w:top w:val="nil"/>
              <w:left w:val="nil"/>
              <w:bottom w:val="single" w:color="auto" w:sz="4" w:space="0"/>
              <w:right w:val="single" w:color="auto" w:sz="4" w:space="0"/>
            </w:tcBorders>
            <w:shd w:val="clear" w:color="000000" w:fill="FFFFFF"/>
            <w:vAlign w:val="bottom"/>
            <w:hideMark/>
          </w:tcPr>
          <w:p w:rsidRPr="00A53539" w:rsidR="00A53539" w:rsidP="00A53539" w:rsidRDefault="00A53539" w14:paraId="7D7F793E"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nil"/>
              <w:right w:val="nil"/>
            </w:tcBorders>
            <w:shd w:val="clear" w:color="000000" w:fill="FFFFFF"/>
            <w:vAlign w:val="bottom"/>
            <w:hideMark/>
          </w:tcPr>
          <w:p w:rsidRPr="00A53539" w:rsidR="00A53539" w:rsidP="00A53539" w:rsidRDefault="00A53539" w14:paraId="1E5B2940"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2A4A3B1E"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7CCAB095"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06E5374C" w14:textId="77777777">
            <w:pPr>
              <w:widowControl/>
              <w:autoSpaceDE/>
              <w:autoSpaceDN/>
              <w:adjustRightInd/>
              <w:rPr>
                <w:sz w:val="20"/>
                <w:szCs w:val="20"/>
              </w:rPr>
            </w:pPr>
          </w:p>
        </w:tc>
      </w:tr>
      <w:tr w:rsidRPr="00A53539" w:rsidR="00FB25C9" w:rsidTr="00A53539" w14:paraId="660BD081"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33DBDB82" w14:textId="77777777">
            <w:pPr>
              <w:widowControl/>
              <w:autoSpaceDE/>
              <w:autoSpaceDN/>
              <w:adjustRightInd/>
              <w:rPr>
                <w:color w:val="000000"/>
                <w:sz w:val="20"/>
                <w:szCs w:val="20"/>
              </w:rPr>
            </w:pPr>
            <w:r w:rsidRPr="00A53539">
              <w:rPr>
                <w:color w:val="000000"/>
                <w:sz w:val="20"/>
                <w:szCs w:val="20"/>
              </w:rPr>
              <w:t>Very Small</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480DFDF" w14:textId="77777777">
            <w:pPr>
              <w:widowControl/>
              <w:autoSpaceDE/>
              <w:autoSpaceDN/>
              <w:adjustRightInd/>
              <w:jc w:val="center"/>
              <w:rPr>
                <w:color w:val="000000"/>
                <w:sz w:val="20"/>
                <w:szCs w:val="20"/>
              </w:rPr>
            </w:pPr>
            <w:r w:rsidRPr="00A53539">
              <w:rPr>
                <w:color w:val="000000"/>
                <w:sz w:val="20"/>
                <w:szCs w:val="20"/>
              </w:rPr>
              <w:t>183,737</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F193917" w14:textId="77777777">
            <w:pPr>
              <w:widowControl/>
              <w:autoSpaceDE/>
              <w:autoSpaceDN/>
              <w:adjustRightInd/>
              <w:jc w:val="center"/>
              <w:rPr>
                <w:color w:val="000000"/>
                <w:sz w:val="20"/>
                <w:szCs w:val="20"/>
              </w:rPr>
            </w:pPr>
            <w:r w:rsidRPr="00A53539">
              <w:rPr>
                <w:color w:val="000000"/>
                <w:sz w:val="20"/>
                <w:szCs w:val="20"/>
              </w:rPr>
              <w:t>0.5</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75B00157" w14:textId="6F6B3598">
            <w:pPr>
              <w:widowControl/>
              <w:autoSpaceDE/>
              <w:autoSpaceDN/>
              <w:adjustRightInd/>
              <w:jc w:val="center"/>
              <w:rPr>
                <w:color w:val="000000"/>
                <w:sz w:val="20"/>
                <w:szCs w:val="20"/>
              </w:rPr>
            </w:pPr>
            <w:r w:rsidRPr="00A53539">
              <w:rPr>
                <w:color w:val="000000"/>
                <w:sz w:val="20"/>
                <w:szCs w:val="20"/>
              </w:rPr>
              <w:t>91,868.</w:t>
            </w:r>
            <w:r w:rsidR="0020324A">
              <w:rPr>
                <w:color w:val="000000"/>
                <w:sz w:val="20"/>
                <w:szCs w:val="20"/>
              </w:rPr>
              <w:t>5</w:t>
            </w:r>
            <w:r w:rsidRPr="00A53539">
              <w:rPr>
                <w:color w:val="000000"/>
                <w:sz w:val="20"/>
                <w:szCs w:val="20"/>
              </w:rPr>
              <w:t>0</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7C306C93" w14:textId="7EF4080B">
            <w:pPr>
              <w:widowControl/>
              <w:autoSpaceDE/>
              <w:autoSpaceDN/>
              <w:adjustRightInd/>
              <w:jc w:val="center"/>
              <w:rPr>
                <w:color w:val="000000"/>
                <w:sz w:val="20"/>
                <w:szCs w:val="20"/>
              </w:rPr>
            </w:pPr>
            <w:r w:rsidRPr="00A53539">
              <w:rPr>
                <w:color w:val="000000"/>
                <w:sz w:val="20"/>
                <w:szCs w:val="20"/>
              </w:rPr>
              <w:t>128,616.</w:t>
            </w:r>
            <w:r w:rsidR="0020324A">
              <w:rPr>
                <w:color w:val="000000"/>
                <w:sz w:val="20"/>
                <w:szCs w:val="20"/>
              </w:rPr>
              <w:t>50</w:t>
            </w:r>
          </w:p>
        </w:tc>
        <w:tc>
          <w:tcPr>
            <w:tcW w:w="138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68C23AE9"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nil"/>
              <w:right w:val="nil"/>
            </w:tcBorders>
            <w:shd w:val="clear" w:color="000000" w:fill="FFFFFF"/>
            <w:noWrap/>
            <w:vAlign w:val="bottom"/>
            <w:hideMark/>
          </w:tcPr>
          <w:p w:rsidRPr="00A53539" w:rsidR="00A53539" w:rsidP="00A53539" w:rsidRDefault="00A53539" w14:paraId="7E5AF20E"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0204F522"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133CB826"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1B715663" w14:textId="77777777">
            <w:pPr>
              <w:widowControl/>
              <w:autoSpaceDE/>
              <w:autoSpaceDN/>
              <w:adjustRightInd/>
              <w:rPr>
                <w:sz w:val="20"/>
                <w:szCs w:val="20"/>
              </w:rPr>
            </w:pPr>
          </w:p>
        </w:tc>
      </w:tr>
      <w:tr w:rsidRPr="00A53539" w:rsidR="00FB25C9" w:rsidTr="00A53539" w14:paraId="2A8A74AB"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6E4ADC12" w14:textId="77777777">
            <w:pPr>
              <w:widowControl/>
              <w:autoSpaceDE/>
              <w:autoSpaceDN/>
              <w:adjustRightInd/>
              <w:rPr>
                <w:color w:val="000000"/>
                <w:sz w:val="20"/>
                <w:szCs w:val="20"/>
              </w:rPr>
            </w:pPr>
            <w:r w:rsidRPr="00A53539">
              <w:rPr>
                <w:color w:val="000000"/>
                <w:sz w:val="20"/>
                <w:szCs w:val="20"/>
              </w:rPr>
              <w:t>Small</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48E99E5E" w14:textId="77777777">
            <w:pPr>
              <w:widowControl/>
              <w:autoSpaceDE/>
              <w:autoSpaceDN/>
              <w:adjustRightInd/>
              <w:jc w:val="center"/>
              <w:rPr>
                <w:color w:val="000000"/>
                <w:sz w:val="20"/>
                <w:szCs w:val="20"/>
              </w:rPr>
            </w:pPr>
            <w:r w:rsidRPr="00A53539">
              <w:rPr>
                <w:color w:val="000000"/>
                <w:sz w:val="20"/>
                <w:szCs w:val="20"/>
              </w:rPr>
              <w:t>50,641</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456D517E" w14:textId="77777777">
            <w:pPr>
              <w:widowControl/>
              <w:autoSpaceDE/>
              <w:autoSpaceDN/>
              <w:adjustRightInd/>
              <w:jc w:val="center"/>
              <w:rPr>
                <w:color w:val="000000"/>
                <w:sz w:val="20"/>
                <w:szCs w:val="20"/>
              </w:rPr>
            </w:pPr>
            <w:r w:rsidRPr="00A53539">
              <w:rPr>
                <w:color w:val="000000"/>
                <w:sz w:val="20"/>
                <w:szCs w:val="20"/>
              </w:rPr>
              <w:t>4</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DDC2458" w14:textId="6AE09408">
            <w:pPr>
              <w:widowControl/>
              <w:autoSpaceDE/>
              <w:autoSpaceDN/>
              <w:adjustRightInd/>
              <w:jc w:val="center"/>
              <w:rPr>
                <w:color w:val="000000"/>
                <w:sz w:val="20"/>
                <w:szCs w:val="20"/>
              </w:rPr>
            </w:pPr>
            <w:r w:rsidRPr="00A53539">
              <w:rPr>
                <w:color w:val="000000"/>
                <w:sz w:val="20"/>
                <w:szCs w:val="20"/>
              </w:rPr>
              <w:t>202,56</w:t>
            </w:r>
            <w:r w:rsidR="0020324A">
              <w:rPr>
                <w:color w:val="000000"/>
                <w:sz w:val="20"/>
                <w:szCs w:val="20"/>
              </w:rPr>
              <w:t>4.00</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516B0814" w14:textId="449BE86C">
            <w:pPr>
              <w:widowControl/>
              <w:autoSpaceDE/>
              <w:autoSpaceDN/>
              <w:adjustRightInd/>
              <w:jc w:val="center"/>
              <w:rPr>
                <w:color w:val="000000"/>
                <w:sz w:val="20"/>
                <w:szCs w:val="20"/>
              </w:rPr>
            </w:pPr>
            <w:r w:rsidRPr="00A53539">
              <w:rPr>
                <w:color w:val="000000"/>
                <w:sz w:val="20"/>
                <w:szCs w:val="20"/>
              </w:rPr>
              <w:t>263,33</w:t>
            </w:r>
            <w:r w:rsidR="0020324A">
              <w:rPr>
                <w:color w:val="000000"/>
                <w:sz w:val="20"/>
                <w:szCs w:val="20"/>
              </w:rPr>
              <w:t>2.00</w:t>
            </w:r>
          </w:p>
        </w:tc>
        <w:tc>
          <w:tcPr>
            <w:tcW w:w="138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1221C561"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nil"/>
              <w:right w:val="nil"/>
            </w:tcBorders>
            <w:shd w:val="clear" w:color="000000" w:fill="FFFFFF"/>
            <w:noWrap/>
            <w:vAlign w:val="bottom"/>
            <w:hideMark/>
          </w:tcPr>
          <w:p w:rsidRPr="00A53539" w:rsidR="00A53539" w:rsidP="00A53539" w:rsidRDefault="00A53539" w14:paraId="349DD31C"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25B8ADD8"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38F1F4B0"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3544C6C6" w14:textId="77777777">
            <w:pPr>
              <w:widowControl/>
              <w:autoSpaceDE/>
              <w:autoSpaceDN/>
              <w:adjustRightInd/>
              <w:rPr>
                <w:sz w:val="20"/>
                <w:szCs w:val="20"/>
              </w:rPr>
            </w:pPr>
          </w:p>
        </w:tc>
      </w:tr>
      <w:tr w:rsidRPr="00A53539" w:rsidR="00FB25C9" w:rsidTr="00A53539" w14:paraId="1C35ADA2"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1CAA9CB0" w14:textId="77777777">
            <w:pPr>
              <w:widowControl/>
              <w:autoSpaceDE/>
              <w:autoSpaceDN/>
              <w:adjustRightInd/>
              <w:rPr>
                <w:color w:val="000000"/>
                <w:sz w:val="20"/>
                <w:szCs w:val="20"/>
              </w:rPr>
            </w:pPr>
            <w:r w:rsidRPr="00A53539">
              <w:rPr>
                <w:color w:val="000000"/>
                <w:sz w:val="20"/>
                <w:szCs w:val="20"/>
              </w:rPr>
              <w:t>Medium</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5849DA3D" w14:textId="77777777">
            <w:pPr>
              <w:widowControl/>
              <w:autoSpaceDE/>
              <w:autoSpaceDN/>
              <w:adjustRightInd/>
              <w:jc w:val="center"/>
              <w:rPr>
                <w:color w:val="000000"/>
                <w:sz w:val="20"/>
                <w:szCs w:val="20"/>
              </w:rPr>
            </w:pPr>
            <w:r w:rsidRPr="00A53539">
              <w:rPr>
                <w:color w:val="000000"/>
                <w:sz w:val="20"/>
                <w:szCs w:val="20"/>
              </w:rPr>
              <w:t>11,640</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44628E2" w14:textId="77777777">
            <w:pPr>
              <w:widowControl/>
              <w:autoSpaceDE/>
              <w:autoSpaceDN/>
              <w:adjustRightInd/>
              <w:jc w:val="center"/>
              <w:rPr>
                <w:color w:val="000000"/>
                <w:sz w:val="20"/>
                <w:szCs w:val="20"/>
              </w:rPr>
            </w:pPr>
            <w:r w:rsidRPr="00A53539">
              <w:rPr>
                <w:color w:val="000000"/>
                <w:sz w:val="20"/>
                <w:szCs w:val="20"/>
              </w:rPr>
              <w:t>12</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29B2DF5" w14:textId="2C305845">
            <w:pPr>
              <w:widowControl/>
              <w:autoSpaceDE/>
              <w:autoSpaceDN/>
              <w:adjustRightInd/>
              <w:jc w:val="center"/>
              <w:rPr>
                <w:color w:val="000000"/>
                <w:sz w:val="20"/>
                <w:szCs w:val="20"/>
              </w:rPr>
            </w:pPr>
            <w:r w:rsidRPr="00A53539">
              <w:rPr>
                <w:color w:val="000000"/>
                <w:sz w:val="20"/>
                <w:szCs w:val="20"/>
              </w:rPr>
              <w:t>139,68</w:t>
            </w:r>
            <w:r w:rsidR="0020324A">
              <w:rPr>
                <w:color w:val="000000"/>
                <w:sz w:val="20"/>
                <w:szCs w:val="20"/>
              </w:rPr>
              <w:t>0.00</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63EF144" w14:textId="55B70B28">
            <w:pPr>
              <w:widowControl/>
              <w:autoSpaceDE/>
              <w:autoSpaceDN/>
              <w:adjustRightInd/>
              <w:jc w:val="center"/>
              <w:rPr>
                <w:color w:val="000000"/>
                <w:sz w:val="20"/>
                <w:szCs w:val="20"/>
              </w:rPr>
            </w:pPr>
            <w:r w:rsidRPr="00A53539">
              <w:rPr>
                <w:color w:val="000000"/>
                <w:sz w:val="20"/>
                <w:szCs w:val="20"/>
              </w:rPr>
              <w:t>186,24</w:t>
            </w:r>
            <w:r w:rsidR="0020324A">
              <w:rPr>
                <w:color w:val="000000"/>
                <w:sz w:val="20"/>
                <w:szCs w:val="20"/>
              </w:rPr>
              <w:t>0.00</w:t>
            </w:r>
          </w:p>
        </w:tc>
        <w:tc>
          <w:tcPr>
            <w:tcW w:w="138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37BA6857"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nil"/>
              <w:right w:val="nil"/>
            </w:tcBorders>
            <w:shd w:val="clear" w:color="000000" w:fill="FFFFFF"/>
            <w:noWrap/>
            <w:vAlign w:val="bottom"/>
            <w:hideMark/>
          </w:tcPr>
          <w:p w:rsidRPr="00A53539" w:rsidR="00A53539" w:rsidP="00A53539" w:rsidRDefault="00A53539" w14:paraId="054192A6"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3FA390E5"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00FA6994"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21B0F1B7" w14:textId="77777777">
            <w:pPr>
              <w:widowControl/>
              <w:autoSpaceDE/>
              <w:autoSpaceDN/>
              <w:adjustRightInd/>
              <w:rPr>
                <w:sz w:val="20"/>
                <w:szCs w:val="20"/>
              </w:rPr>
            </w:pPr>
          </w:p>
        </w:tc>
      </w:tr>
      <w:tr w:rsidRPr="00A53539" w:rsidR="00FB25C9" w:rsidTr="005F1CE3" w14:paraId="54241087" w14:textId="77777777">
        <w:trPr>
          <w:trHeight w:val="50"/>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5252EF03" w14:textId="77777777">
            <w:pPr>
              <w:widowControl/>
              <w:autoSpaceDE/>
              <w:autoSpaceDN/>
              <w:adjustRightInd/>
              <w:rPr>
                <w:color w:val="000000"/>
                <w:sz w:val="20"/>
                <w:szCs w:val="20"/>
              </w:rPr>
            </w:pPr>
            <w:r w:rsidRPr="00A53539">
              <w:rPr>
                <w:color w:val="000000"/>
                <w:sz w:val="20"/>
                <w:szCs w:val="20"/>
              </w:rPr>
              <w:t>Large</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52A82F67" w14:textId="77777777">
            <w:pPr>
              <w:widowControl/>
              <w:autoSpaceDE/>
              <w:autoSpaceDN/>
              <w:adjustRightInd/>
              <w:jc w:val="center"/>
              <w:rPr>
                <w:color w:val="000000"/>
                <w:sz w:val="20"/>
                <w:szCs w:val="20"/>
              </w:rPr>
            </w:pPr>
            <w:r w:rsidRPr="00A53539">
              <w:rPr>
                <w:color w:val="000000"/>
                <w:sz w:val="20"/>
                <w:szCs w:val="20"/>
              </w:rPr>
              <w:t>4,899</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92F5464" w14:textId="77777777">
            <w:pPr>
              <w:widowControl/>
              <w:autoSpaceDE/>
              <w:autoSpaceDN/>
              <w:adjustRightInd/>
              <w:jc w:val="center"/>
              <w:rPr>
                <w:color w:val="000000"/>
                <w:sz w:val="20"/>
                <w:szCs w:val="20"/>
              </w:rPr>
            </w:pPr>
            <w:r w:rsidRPr="00A53539">
              <w:rPr>
                <w:color w:val="000000"/>
                <w:sz w:val="20"/>
                <w:szCs w:val="20"/>
              </w:rPr>
              <w:t>20</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47C54F3A" w14:textId="6A33F14B">
            <w:pPr>
              <w:widowControl/>
              <w:autoSpaceDE/>
              <w:autoSpaceDN/>
              <w:adjustRightInd/>
              <w:jc w:val="center"/>
              <w:rPr>
                <w:color w:val="000000"/>
                <w:sz w:val="20"/>
                <w:szCs w:val="20"/>
              </w:rPr>
            </w:pPr>
            <w:r w:rsidRPr="00A53539">
              <w:rPr>
                <w:color w:val="000000"/>
                <w:sz w:val="20"/>
                <w:szCs w:val="20"/>
              </w:rPr>
              <w:t>97,9</w:t>
            </w:r>
            <w:r w:rsidR="0020324A">
              <w:rPr>
                <w:color w:val="000000"/>
                <w:sz w:val="20"/>
                <w:szCs w:val="20"/>
              </w:rPr>
              <w:t>80.00</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777D482C" w14:textId="65BCBC6F">
            <w:pPr>
              <w:widowControl/>
              <w:autoSpaceDE/>
              <w:autoSpaceDN/>
              <w:adjustRightInd/>
              <w:jc w:val="center"/>
              <w:rPr>
                <w:color w:val="000000"/>
                <w:sz w:val="20"/>
                <w:szCs w:val="20"/>
              </w:rPr>
            </w:pPr>
            <w:r w:rsidRPr="00A53539">
              <w:rPr>
                <w:color w:val="000000"/>
                <w:sz w:val="20"/>
                <w:szCs w:val="20"/>
              </w:rPr>
              <w:t>137,</w:t>
            </w:r>
            <w:r w:rsidR="0020324A">
              <w:rPr>
                <w:color w:val="000000"/>
                <w:sz w:val="20"/>
                <w:szCs w:val="20"/>
              </w:rPr>
              <w:t>180.00</w:t>
            </w:r>
          </w:p>
        </w:tc>
        <w:tc>
          <w:tcPr>
            <w:tcW w:w="138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1C46B39A" w14:textId="77777777">
            <w:pPr>
              <w:widowControl/>
              <w:autoSpaceDE/>
              <w:autoSpaceDN/>
              <w:adjustRightInd/>
              <w:rPr>
                <w:color w:val="000000"/>
                <w:sz w:val="20"/>
                <w:szCs w:val="20"/>
              </w:rPr>
            </w:pPr>
            <w:r w:rsidRPr="00A53539">
              <w:rPr>
                <w:color w:val="000000"/>
                <w:sz w:val="20"/>
                <w:szCs w:val="20"/>
              </w:rPr>
              <w:t> </w:t>
            </w:r>
          </w:p>
        </w:tc>
        <w:tc>
          <w:tcPr>
            <w:tcW w:w="1620" w:type="dxa"/>
            <w:tcBorders>
              <w:top w:val="nil"/>
              <w:left w:val="nil"/>
              <w:bottom w:val="nil"/>
              <w:right w:val="nil"/>
            </w:tcBorders>
            <w:shd w:val="clear" w:color="000000" w:fill="FFFFFF"/>
            <w:noWrap/>
            <w:vAlign w:val="bottom"/>
            <w:hideMark/>
          </w:tcPr>
          <w:p w:rsidRPr="00A53539" w:rsidR="00A53539" w:rsidP="00A53539" w:rsidRDefault="00A53539" w14:paraId="5F64D8E9" w14:textId="77777777">
            <w:pPr>
              <w:widowControl/>
              <w:autoSpaceDE/>
              <w:autoSpaceDN/>
              <w:adjustRightInd/>
              <w:rPr>
                <w:color w:val="000000"/>
                <w:sz w:val="20"/>
                <w:szCs w:val="20"/>
              </w:rPr>
            </w:pPr>
            <w:r w:rsidRPr="00A53539">
              <w:rPr>
                <w:color w:val="000000"/>
                <w:sz w:val="20"/>
                <w:szCs w:val="20"/>
              </w:rPr>
              <w:t>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3AE244CD"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1576445E"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75298018" w14:textId="77777777">
            <w:pPr>
              <w:widowControl/>
              <w:autoSpaceDE/>
              <w:autoSpaceDN/>
              <w:adjustRightInd/>
              <w:rPr>
                <w:sz w:val="20"/>
                <w:szCs w:val="20"/>
              </w:rPr>
            </w:pPr>
          </w:p>
        </w:tc>
      </w:tr>
      <w:tr w:rsidRPr="00A53539" w:rsidR="00FB25C9" w:rsidTr="00255B26" w14:paraId="17DC3DB9"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069AF5F8" w14:textId="77777777">
            <w:pPr>
              <w:widowControl/>
              <w:autoSpaceDE/>
              <w:autoSpaceDN/>
              <w:adjustRightInd/>
              <w:rPr>
                <w:color w:val="000000"/>
                <w:sz w:val="20"/>
                <w:szCs w:val="20"/>
              </w:rPr>
            </w:pPr>
            <w:r w:rsidRPr="00A53539">
              <w:rPr>
                <w:color w:val="000000"/>
                <w:sz w:val="20"/>
                <w:szCs w:val="20"/>
              </w:rPr>
              <w:lastRenderedPageBreak/>
              <w:t>Total</w:t>
            </w:r>
          </w:p>
        </w:tc>
        <w:tc>
          <w:tcPr>
            <w:tcW w:w="1360" w:type="dxa"/>
            <w:tcBorders>
              <w:top w:val="nil"/>
              <w:left w:val="nil"/>
              <w:bottom w:val="single" w:color="auto" w:sz="4" w:space="0"/>
              <w:right w:val="single" w:color="auto" w:sz="4" w:space="0"/>
            </w:tcBorders>
            <w:shd w:val="clear" w:color="auto" w:fill="auto"/>
            <w:noWrap/>
            <w:vAlign w:val="bottom"/>
            <w:hideMark/>
          </w:tcPr>
          <w:p w:rsidRPr="00A53539" w:rsidR="00A53539" w:rsidP="00A53539" w:rsidRDefault="00A53539" w14:paraId="01DAE64B" w14:textId="77777777">
            <w:pPr>
              <w:widowControl/>
              <w:autoSpaceDE/>
              <w:autoSpaceDN/>
              <w:adjustRightInd/>
              <w:jc w:val="center"/>
              <w:rPr>
                <w:color w:val="000000"/>
                <w:sz w:val="20"/>
                <w:szCs w:val="20"/>
              </w:rPr>
            </w:pPr>
            <w:r w:rsidRPr="00A53539">
              <w:rPr>
                <w:color w:val="000000"/>
                <w:sz w:val="20"/>
                <w:szCs w:val="20"/>
              </w:rPr>
              <w:t>250,917</w:t>
            </w:r>
          </w:p>
        </w:tc>
        <w:tc>
          <w:tcPr>
            <w:tcW w:w="1640" w:type="dxa"/>
            <w:tcBorders>
              <w:top w:val="nil"/>
              <w:left w:val="nil"/>
              <w:bottom w:val="single" w:color="auto" w:sz="4" w:space="0"/>
              <w:right w:val="single" w:color="auto" w:sz="4" w:space="0"/>
            </w:tcBorders>
            <w:shd w:val="clear" w:color="auto" w:fill="auto"/>
            <w:noWrap/>
            <w:vAlign w:val="bottom"/>
            <w:hideMark/>
          </w:tcPr>
          <w:p w:rsidRPr="00A53539" w:rsidR="00A53539" w:rsidP="00A53539" w:rsidRDefault="00A53539" w14:paraId="45C16B64" w14:textId="77777777">
            <w:pPr>
              <w:widowControl/>
              <w:autoSpaceDE/>
              <w:autoSpaceDN/>
              <w:adjustRightInd/>
              <w:rPr>
                <w:rFonts w:ascii="Arial" w:hAnsi="Arial" w:cs="Arial"/>
                <w:color w:val="000000"/>
                <w:sz w:val="20"/>
                <w:szCs w:val="20"/>
              </w:rPr>
            </w:pPr>
            <w:r w:rsidRPr="00A53539">
              <w:rPr>
                <w:rFonts w:ascii="Arial" w:hAnsi="Arial" w:cs="Arial"/>
                <w:color w:val="000000"/>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A53539" w:rsidR="00A53539" w:rsidP="00A53539" w:rsidRDefault="00A53539" w14:paraId="2841B240" w14:textId="1495E7A3">
            <w:pPr>
              <w:widowControl/>
              <w:autoSpaceDE/>
              <w:autoSpaceDN/>
              <w:adjustRightInd/>
              <w:jc w:val="center"/>
              <w:rPr>
                <w:b/>
                <w:bCs/>
                <w:color w:val="000000"/>
                <w:sz w:val="20"/>
                <w:szCs w:val="20"/>
              </w:rPr>
            </w:pPr>
            <w:r w:rsidRPr="00A53539">
              <w:rPr>
                <w:b/>
                <w:bCs/>
                <w:color w:val="000000"/>
                <w:sz w:val="20"/>
                <w:szCs w:val="20"/>
              </w:rPr>
              <w:t>532,0</w:t>
            </w:r>
            <w:r w:rsidR="0020324A">
              <w:rPr>
                <w:b/>
                <w:bCs/>
                <w:color w:val="000000"/>
                <w:sz w:val="20"/>
                <w:szCs w:val="20"/>
              </w:rPr>
              <w:t>92</w:t>
            </w:r>
            <w:r w:rsidRPr="00A53539">
              <w:rPr>
                <w:b/>
                <w:bCs/>
                <w:color w:val="000000"/>
                <w:sz w:val="20"/>
                <w:szCs w:val="20"/>
              </w:rPr>
              <w:t>.50</w:t>
            </w:r>
          </w:p>
        </w:tc>
        <w:tc>
          <w:tcPr>
            <w:tcW w:w="1600" w:type="dxa"/>
            <w:tcBorders>
              <w:top w:val="nil"/>
              <w:left w:val="nil"/>
              <w:bottom w:val="single" w:color="auto" w:sz="4" w:space="0"/>
              <w:right w:val="single" w:color="auto" w:sz="4" w:space="0"/>
            </w:tcBorders>
            <w:shd w:val="clear" w:color="auto" w:fill="auto"/>
            <w:noWrap/>
            <w:vAlign w:val="bottom"/>
            <w:hideMark/>
          </w:tcPr>
          <w:p w:rsidRPr="00A53539" w:rsidR="00A53539" w:rsidP="00FB25C9" w:rsidRDefault="00A53539" w14:paraId="7B600056" w14:textId="291171EE">
            <w:pPr>
              <w:widowControl/>
              <w:autoSpaceDE/>
              <w:autoSpaceDN/>
              <w:adjustRightInd/>
              <w:jc w:val="center"/>
              <w:rPr>
                <w:b/>
                <w:bCs/>
                <w:color w:val="000000"/>
                <w:sz w:val="20"/>
                <w:szCs w:val="20"/>
              </w:rPr>
            </w:pPr>
            <w:r w:rsidRPr="00A53539">
              <w:rPr>
                <w:b/>
                <w:bCs/>
                <w:color w:val="000000"/>
                <w:sz w:val="20"/>
                <w:szCs w:val="20"/>
              </w:rPr>
              <w:t>715,</w:t>
            </w:r>
            <w:r w:rsidR="00FB25C9">
              <w:rPr>
                <w:b/>
                <w:bCs/>
                <w:color w:val="000000"/>
                <w:sz w:val="20"/>
                <w:szCs w:val="20"/>
              </w:rPr>
              <w:t>368.50</w:t>
            </w:r>
            <w:r w:rsidRPr="00A53539" w:rsidDel="00FB25C9" w:rsidR="00FB25C9">
              <w:rPr>
                <w:b/>
                <w:bCs/>
                <w:color w:val="000000"/>
                <w:sz w:val="20"/>
                <w:szCs w:val="20"/>
              </w:rPr>
              <w:t xml:space="preserve"> </w:t>
            </w:r>
          </w:p>
        </w:tc>
        <w:tc>
          <w:tcPr>
            <w:tcW w:w="1380" w:type="dxa"/>
            <w:tcBorders>
              <w:top w:val="nil"/>
              <w:left w:val="nil"/>
              <w:bottom w:val="single" w:color="auto" w:sz="4" w:space="0"/>
              <w:right w:val="single" w:color="auto" w:sz="4" w:space="0"/>
            </w:tcBorders>
            <w:shd w:val="clear" w:color="auto" w:fill="auto"/>
            <w:noWrap/>
            <w:vAlign w:val="bottom"/>
            <w:hideMark/>
          </w:tcPr>
          <w:p w:rsidRPr="00A53539" w:rsidR="00A53539" w:rsidP="00A53539" w:rsidRDefault="00A53539" w14:paraId="2CF9E133" w14:textId="77777777">
            <w:pPr>
              <w:widowControl/>
              <w:autoSpaceDE/>
              <w:autoSpaceDN/>
              <w:adjustRightInd/>
              <w:rPr>
                <w:rFonts w:ascii="Arial" w:hAnsi="Arial" w:cs="Arial"/>
                <w:color w:val="000000"/>
                <w:sz w:val="20"/>
                <w:szCs w:val="20"/>
              </w:rPr>
            </w:pPr>
            <w:r w:rsidRPr="00A53539">
              <w:rPr>
                <w:rFonts w:ascii="Arial" w:hAnsi="Arial" w:cs="Arial"/>
                <w:color w:val="000000"/>
                <w:sz w:val="20"/>
                <w:szCs w:val="20"/>
              </w:rPr>
              <w:t> </w:t>
            </w: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0941220B" w14:textId="77777777">
            <w:pPr>
              <w:widowControl/>
              <w:autoSpaceDE/>
              <w:autoSpaceDN/>
              <w:adjustRightInd/>
              <w:rPr>
                <w:rFonts w:ascii="Arial" w:hAnsi="Arial" w:cs="Arial"/>
                <w:color w:val="000000"/>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22C3C289"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4B0AC0A2"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768CEFE6" w14:textId="77777777">
            <w:pPr>
              <w:widowControl/>
              <w:autoSpaceDE/>
              <w:autoSpaceDN/>
              <w:adjustRightInd/>
              <w:rPr>
                <w:sz w:val="20"/>
                <w:szCs w:val="20"/>
              </w:rPr>
            </w:pPr>
          </w:p>
        </w:tc>
      </w:tr>
      <w:tr w:rsidRPr="00A53539" w:rsidR="00724215" w:rsidTr="00255B26" w14:paraId="53DFF07A" w14:textId="77777777">
        <w:trPr>
          <w:trHeight w:val="855"/>
          <w:jc w:val="center"/>
        </w:trPr>
        <w:tc>
          <w:tcPr>
            <w:tcW w:w="4400" w:type="dxa"/>
            <w:gridSpan w:val="3"/>
            <w:tcBorders>
              <w:top w:val="single" w:color="auto" w:sz="4" w:space="0"/>
              <w:left w:val="single" w:color="auto" w:sz="4" w:space="0"/>
              <w:bottom w:val="single" w:color="auto" w:sz="4" w:space="0"/>
              <w:right w:val="single" w:color="auto" w:sz="4" w:space="0"/>
            </w:tcBorders>
            <w:shd w:val="clear" w:color="000000" w:fill="FFFFFF"/>
            <w:vAlign w:val="center"/>
            <w:hideMark/>
          </w:tcPr>
          <w:p w:rsidRPr="00A53539" w:rsidR="00A53539" w:rsidP="00A53539" w:rsidRDefault="00A53539" w14:paraId="77389CB9" w14:textId="77777777">
            <w:pPr>
              <w:widowControl/>
              <w:autoSpaceDE/>
              <w:autoSpaceDN/>
              <w:adjustRightInd/>
              <w:jc w:val="center"/>
              <w:rPr>
                <w:color w:val="000000"/>
                <w:sz w:val="20"/>
                <w:szCs w:val="20"/>
              </w:rPr>
            </w:pPr>
            <w:r w:rsidRPr="00A53539">
              <w:rPr>
                <w:color w:val="000000"/>
                <w:sz w:val="20"/>
                <w:szCs w:val="20"/>
              </w:rPr>
              <w:t>Calculation of Hours for New Establishments (No Existing Program) -- Low-Impact Establishments</w:t>
            </w:r>
          </w:p>
        </w:tc>
        <w:tc>
          <w:tcPr>
            <w:tcW w:w="1360" w:type="dxa"/>
            <w:tcBorders>
              <w:top w:val="nil"/>
              <w:left w:val="nil"/>
              <w:bottom w:val="nil"/>
              <w:right w:val="nil"/>
            </w:tcBorders>
            <w:shd w:val="clear" w:color="auto" w:fill="auto"/>
            <w:noWrap/>
            <w:vAlign w:val="bottom"/>
            <w:hideMark/>
          </w:tcPr>
          <w:p w:rsidRPr="00A53539" w:rsidR="00A53539" w:rsidP="00A53539" w:rsidRDefault="00A53539" w14:paraId="51E16017" w14:textId="77777777">
            <w:pPr>
              <w:widowControl/>
              <w:autoSpaceDE/>
              <w:autoSpaceDN/>
              <w:adjustRightInd/>
              <w:jc w:val="center"/>
              <w:rPr>
                <w:color w:val="000000"/>
                <w:sz w:val="20"/>
                <w:szCs w:val="20"/>
              </w:rPr>
            </w:pP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4E3027FF"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287B5314"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1E2F0042"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0C299D3A"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338164DB"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0606F489" w14:textId="77777777">
            <w:pPr>
              <w:widowControl/>
              <w:autoSpaceDE/>
              <w:autoSpaceDN/>
              <w:adjustRightInd/>
              <w:rPr>
                <w:sz w:val="20"/>
                <w:szCs w:val="20"/>
              </w:rPr>
            </w:pPr>
          </w:p>
        </w:tc>
      </w:tr>
      <w:tr w:rsidRPr="00A53539" w:rsidR="00FB25C9" w:rsidTr="00A53539" w14:paraId="6F98CD51" w14:textId="77777777">
        <w:trPr>
          <w:trHeight w:val="510"/>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511967D0" w14:textId="77777777">
            <w:pPr>
              <w:widowControl/>
              <w:autoSpaceDE/>
              <w:autoSpaceDN/>
              <w:adjustRightInd/>
              <w:rPr>
                <w:b/>
                <w:bCs/>
                <w:color w:val="000000"/>
                <w:sz w:val="20"/>
                <w:szCs w:val="20"/>
              </w:rPr>
            </w:pPr>
            <w:r w:rsidRPr="00A53539">
              <w:rPr>
                <w:b/>
                <w:bCs/>
                <w:color w:val="000000"/>
                <w:sz w:val="20"/>
                <w:szCs w:val="20"/>
              </w:rPr>
              <w:t> </w:t>
            </w:r>
          </w:p>
        </w:tc>
        <w:tc>
          <w:tcPr>
            <w:tcW w:w="136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56B07B31" w14:textId="77777777">
            <w:pPr>
              <w:widowControl/>
              <w:autoSpaceDE/>
              <w:autoSpaceDN/>
              <w:adjustRightInd/>
              <w:jc w:val="center"/>
              <w:rPr>
                <w:b/>
                <w:bCs/>
                <w:color w:val="000000"/>
                <w:sz w:val="20"/>
                <w:szCs w:val="20"/>
              </w:rPr>
            </w:pPr>
            <w:r w:rsidRPr="00A53539">
              <w:rPr>
                <w:b/>
                <w:bCs/>
                <w:color w:val="000000"/>
                <w:sz w:val="20"/>
                <w:szCs w:val="20"/>
              </w:rPr>
              <w:t>Number of Establishments</w:t>
            </w:r>
          </w:p>
        </w:tc>
        <w:tc>
          <w:tcPr>
            <w:tcW w:w="164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4B72DE77" w14:textId="77777777">
            <w:pPr>
              <w:widowControl/>
              <w:autoSpaceDE/>
              <w:autoSpaceDN/>
              <w:adjustRightInd/>
              <w:jc w:val="center"/>
              <w:rPr>
                <w:b/>
                <w:bCs/>
                <w:color w:val="000000"/>
                <w:sz w:val="20"/>
                <w:szCs w:val="20"/>
              </w:rPr>
            </w:pPr>
            <w:r w:rsidRPr="00A53539">
              <w:rPr>
                <w:b/>
                <w:bCs/>
                <w:color w:val="000000"/>
                <w:sz w:val="20"/>
                <w:szCs w:val="20"/>
              </w:rPr>
              <w:t>First Year Hours</w:t>
            </w:r>
          </w:p>
        </w:tc>
        <w:tc>
          <w:tcPr>
            <w:tcW w:w="1360" w:type="dxa"/>
            <w:tcBorders>
              <w:top w:val="single" w:color="auto" w:sz="4" w:space="0"/>
              <w:left w:val="nil"/>
              <w:bottom w:val="single" w:color="auto" w:sz="4" w:space="0"/>
              <w:right w:val="single" w:color="auto" w:sz="4" w:space="0"/>
            </w:tcBorders>
            <w:shd w:val="clear" w:color="000000" w:fill="FFFFFF"/>
            <w:vAlign w:val="center"/>
            <w:hideMark/>
          </w:tcPr>
          <w:p w:rsidRPr="00A53539" w:rsidR="00A53539" w:rsidP="00A53539" w:rsidRDefault="00A53539" w14:paraId="10CD6901" w14:textId="77777777">
            <w:pPr>
              <w:widowControl/>
              <w:autoSpaceDE/>
              <w:autoSpaceDN/>
              <w:adjustRightInd/>
              <w:jc w:val="center"/>
              <w:rPr>
                <w:b/>
                <w:bCs/>
                <w:color w:val="000000"/>
                <w:sz w:val="20"/>
                <w:szCs w:val="20"/>
              </w:rPr>
            </w:pPr>
            <w:r w:rsidRPr="00A53539">
              <w:rPr>
                <w:b/>
                <w:bCs/>
                <w:color w:val="000000"/>
                <w:sz w:val="20"/>
                <w:szCs w:val="20"/>
              </w:rPr>
              <w:t>Total Hours First Year</w:t>
            </w: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334202D0" w14:textId="77777777">
            <w:pPr>
              <w:widowControl/>
              <w:autoSpaceDE/>
              <w:autoSpaceDN/>
              <w:adjustRightInd/>
              <w:jc w:val="center"/>
              <w:rPr>
                <w:b/>
                <w:bCs/>
                <w:color w:val="000000"/>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0672A8ED"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6E1808" w14:paraId="77C74AE2" w14:textId="7267A063">
            <w:pPr>
              <w:widowControl/>
              <w:autoSpaceDE/>
              <w:autoSpaceDN/>
              <w:adjustRightInd/>
              <w:rPr>
                <w:sz w:val="20"/>
                <w:szCs w:val="20"/>
              </w:rPr>
            </w:pPr>
            <w:r>
              <w:rPr>
                <w:sz w:val="20"/>
                <w:szCs w:val="20"/>
              </w:rPr>
              <w:t xml:space="preserve"> </w:t>
            </w: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3390C88C"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546A73DB"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12EB7FF6" w14:textId="77777777">
            <w:pPr>
              <w:widowControl/>
              <w:autoSpaceDE/>
              <w:autoSpaceDN/>
              <w:adjustRightInd/>
              <w:rPr>
                <w:sz w:val="20"/>
                <w:szCs w:val="20"/>
              </w:rPr>
            </w:pPr>
          </w:p>
        </w:tc>
      </w:tr>
      <w:tr w:rsidRPr="00A53539" w:rsidR="00FB25C9" w:rsidTr="00255B26" w14:paraId="24D4F265"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54098B2B" w14:textId="77777777">
            <w:pPr>
              <w:widowControl/>
              <w:autoSpaceDE/>
              <w:autoSpaceDN/>
              <w:adjustRightInd/>
              <w:rPr>
                <w:color w:val="000000"/>
                <w:sz w:val="20"/>
                <w:szCs w:val="20"/>
              </w:rPr>
            </w:pPr>
            <w:r w:rsidRPr="00A53539">
              <w:rPr>
                <w:color w:val="000000"/>
                <w:sz w:val="20"/>
                <w:szCs w:val="20"/>
              </w:rPr>
              <w:t>Transportation</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D2CDC72" w14:textId="77777777">
            <w:pPr>
              <w:widowControl/>
              <w:autoSpaceDE/>
              <w:autoSpaceDN/>
              <w:adjustRightInd/>
              <w:jc w:val="center"/>
              <w:rPr>
                <w:color w:val="000000"/>
                <w:sz w:val="20"/>
                <w:szCs w:val="20"/>
              </w:rPr>
            </w:pPr>
            <w:r w:rsidRPr="00A53539">
              <w:rPr>
                <w:color w:val="000000"/>
                <w:sz w:val="20"/>
                <w:szCs w:val="20"/>
              </w:rPr>
              <w:t>26,718</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D11C381" w14:textId="77777777">
            <w:pPr>
              <w:widowControl/>
              <w:autoSpaceDE/>
              <w:autoSpaceDN/>
              <w:adjustRightInd/>
              <w:jc w:val="center"/>
              <w:rPr>
                <w:color w:val="000000"/>
                <w:sz w:val="20"/>
                <w:szCs w:val="20"/>
              </w:rPr>
            </w:pPr>
            <w:r w:rsidRPr="00A53539">
              <w:rPr>
                <w:color w:val="000000"/>
                <w:sz w:val="20"/>
                <w:szCs w:val="20"/>
              </w:rPr>
              <w:t>2</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7D85E747" w14:textId="77777777">
            <w:pPr>
              <w:widowControl/>
              <w:autoSpaceDE/>
              <w:autoSpaceDN/>
              <w:adjustRightInd/>
              <w:jc w:val="center"/>
              <w:rPr>
                <w:color w:val="000000"/>
                <w:sz w:val="20"/>
                <w:szCs w:val="20"/>
              </w:rPr>
            </w:pPr>
            <w:r w:rsidRPr="00A53539">
              <w:rPr>
                <w:color w:val="000000"/>
                <w:sz w:val="20"/>
                <w:szCs w:val="20"/>
              </w:rPr>
              <w:t>53,436.</w:t>
            </w:r>
            <w:r w:rsidR="000B4416">
              <w:rPr>
                <w:color w:val="000000"/>
                <w:sz w:val="20"/>
                <w:szCs w:val="20"/>
              </w:rPr>
              <w:t>00</w:t>
            </w: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15069092" w14:textId="77777777">
            <w:pPr>
              <w:widowControl/>
              <w:autoSpaceDE/>
              <w:autoSpaceDN/>
              <w:adjustRightInd/>
              <w:jc w:val="center"/>
              <w:rPr>
                <w:color w:val="000000"/>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37E4FB98"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6694C5CA"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7474D2D6"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40C950A1"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0627181E" w14:textId="77777777">
            <w:pPr>
              <w:widowControl/>
              <w:autoSpaceDE/>
              <w:autoSpaceDN/>
              <w:adjustRightInd/>
              <w:rPr>
                <w:sz w:val="20"/>
                <w:szCs w:val="20"/>
              </w:rPr>
            </w:pPr>
          </w:p>
        </w:tc>
      </w:tr>
      <w:tr w:rsidRPr="00A53539" w:rsidR="00FB25C9" w:rsidTr="00255B26" w14:paraId="51D160AF"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1863C8B6" w14:textId="77777777">
            <w:pPr>
              <w:widowControl/>
              <w:autoSpaceDE/>
              <w:autoSpaceDN/>
              <w:adjustRightInd/>
              <w:rPr>
                <w:color w:val="000000"/>
                <w:sz w:val="20"/>
                <w:szCs w:val="20"/>
              </w:rPr>
            </w:pPr>
            <w:r w:rsidRPr="00A53539">
              <w:rPr>
                <w:color w:val="000000"/>
                <w:sz w:val="20"/>
                <w:szCs w:val="20"/>
              </w:rPr>
              <w:t>Communications</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4717B48D" w14:textId="77777777">
            <w:pPr>
              <w:widowControl/>
              <w:autoSpaceDE/>
              <w:autoSpaceDN/>
              <w:adjustRightInd/>
              <w:jc w:val="center"/>
              <w:rPr>
                <w:color w:val="000000"/>
                <w:sz w:val="20"/>
                <w:szCs w:val="20"/>
              </w:rPr>
            </w:pPr>
            <w:r w:rsidRPr="00A53539">
              <w:rPr>
                <w:color w:val="000000"/>
                <w:sz w:val="20"/>
                <w:szCs w:val="20"/>
              </w:rPr>
              <w:t>6,047</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7376552B" w14:textId="77777777">
            <w:pPr>
              <w:widowControl/>
              <w:autoSpaceDE/>
              <w:autoSpaceDN/>
              <w:adjustRightInd/>
              <w:jc w:val="center"/>
              <w:rPr>
                <w:color w:val="000000"/>
                <w:sz w:val="20"/>
                <w:szCs w:val="20"/>
              </w:rPr>
            </w:pPr>
            <w:r w:rsidRPr="00A53539">
              <w:rPr>
                <w:color w:val="000000"/>
                <w:sz w:val="20"/>
                <w:szCs w:val="20"/>
              </w:rPr>
              <w:t>2</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DAE4B8F" w14:textId="77777777">
            <w:pPr>
              <w:widowControl/>
              <w:autoSpaceDE/>
              <w:autoSpaceDN/>
              <w:adjustRightInd/>
              <w:jc w:val="center"/>
              <w:rPr>
                <w:color w:val="000000"/>
                <w:sz w:val="20"/>
                <w:szCs w:val="20"/>
              </w:rPr>
            </w:pPr>
            <w:r w:rsidRPr="00A53539">
              <w:rPr>
                <w:color w:val="000000"/>
                <w:sz w:val="20"/>
                <w:szCs w:val="20"/>
              </w:rPr>
              <w:t>12,09</w:t>
            </w:r>
            <w:r w:rsidR="000B4416">
              <w:rPr>
                <w:color w:val="000000"/>
                <w:sz w:val="20"/>
                <w:szCs w:val="20"/>
              </w:rPr>
              <w:t>4</w:t>
            </w:r>
            <w:r w:rsidRPr="00A53539">
              <w:rPr>
                <w:color w:val="000000"/>
                <w:sz w:val="20"/>
                <w:szCs w:val="20"/>
              </w:rPr>
              <w:t>.</w:t>
            </w:r>
            <w:r w:rsidR="000B4416">
              <w:rPr>
                <w:color w:val="000000"/>
                <w:sz w:val="20"/>
                <w:szCs w:val="20"/>
              </w:rPr>
              <w:t>00</w:t>
            </w: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42956705" w14:textId="77777777">
            <w:pPr>
              <w:widowControl/>
              <w:autoSpaceDE/>
              <w:autoSpaceDN/>
              <w:adjustRightInd/>
              <w:jc w:val="center"/>
              <w:rPr>
                <w:color w:val="000000"/>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789DFBE3"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5FD521D5"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0E7FD7A7"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5980CB07"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3CF9AF93" w14:textId="77777777">
            <w:pPr>
              <w:widowControl/>
              <w:autoSpaceDE/>
              <w:autoSpaceDN/>
              <w:adjustRightInd/>
              <w:rPr>
                <w:sz w:val="20"/>
                <w:szCs w:val="20"/>
              </w:rPr>
            </w:pPr>
          </w:p>
        </w:tc>
      </w:tr>
      <w:tr w:rsidRPr="00A53539" w:rsidR="00FB25C9" w:rsidTr="00255B26" w14:paraId="167DB2F7"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687701F2" w14:textId="77777777">
            <w:pPr>
              <w:widowControl/>
              <w:autoSpaceDE/>
              <w:autoSpaceDN/>
              <w:adjustRightInd/>
              <w:rPr>
                <w:color w:val="000000"/>
                <w:sz w:val="20"/>
                <w:szCs w:val="20"/>
              </w:rPr>
            </w:pPr>
            <w:r w:rsidRPr="00A53539">
              <w:rPr>
                <w:color w:val="000000"/>
                <w:sz w:val="20"/>
                <w:szCs w:val="20"/>
              </w:rPr>
              <w:t>Utilities</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892A217" w14:textId="77777777">
            <w:pPr>
              <w:widowControl/>
              <w:autoSpaceDE/>
              <w:autoSpaceDN/>
              <w:adjustRightInd/>
              <w:jc w:val="center"/>
              <w:rPr>
                <w:color w:val="000000"/>
                <w:sz w:val="20"/>
                <w:szCs w:val="20"/>
              </w:rPr>
            </w:pPr>
            <w:r w:rsidRPr="00A53539">
              <w:rPr>
                <w:color w:val="000000"/>
                <w:sz w:val="20"/>
                <w:szCs w:val="20"/>
              </w:rPr>
              <w:t>1,344</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C612BE3" w14:textId="77777777">
            <w:pPr>
              <w:widowControl/>
              <w:autoSpaceDE/>
              <w:autoSpaceDN/>
              <w:adjustRightInd/>
              <w:jc w:val="center"/>
              <w:rPr>
                <w:color w:val="000000"/>
                <w:sz w:val="20"/>
                <w:szCs w:val="20"/>
              </w:rPr>
            </w:pPr>
            <w:r w:rsidRPr="00A53539">
              <w:rPr>
                <w:color w:val="000000"/>
                <w:sz w:val="20"/>
                <w:szCs w:val="20"/>
              </w:rPr>
              <w:t>2</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6DD9401" w14:textId="77777777">
            <w:pPr>
              <w:widowControl/>
              <w:autoSpaceDE/>
              <w:autoSpaceDN/>
              <w:adjustRightInd/>
              <w:jc w:val="center"/>
              <w:rPr>
                <w:color w:val="000000"/>
                <w:sz w:val="20"/>
                <w:szCs w:val="20"/>
              </w:rPr>
            </w:pPr>
            <w:r w:rsidRPr="00A53539">
              <w:rPr>
                <w:color w:val="000000"/>
                <w:sz w:val="20"/>
                <w:szCs w:val="20"/>
              </w:rPr>
              <w:t>2,688.00</w:t>
            </w: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5D83E3F8" w14:textId="77777777">
            <w:pPr>
              <w:widowControl/>
              <w:autoSpaceDE/>
              <w:autoSpaceDN/>
              <w:adjustRightInd/>
              <w:jc w:val="center"/>
              <w:rPr>
                <w:color w:val="000000"/>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27CD99BB"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158F5F59"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38498697"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77BD1D9A"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2D25997A" w14:textId="77777777">
            <w:pPr>
              <w:widowControl/>
              <w:autoSpaceDE/>
              <w:autoSpaceDN/>
              <w:adjustRightInd/>
              <w:rPr>
                <w:sz w:val="20"/>
                <w:szCs w:val="20"/>
              </w:rPr>
            </w:pPr>
          </w:p>
        </w:tc>
      </w:tr>
      <w:tr w:rsidRPr="00A53539" w:rsidR="00FB25C9" w:rsidTr="00255B26" w14:paraId="75816570"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6F4778CE" w14:textId="77777777">
            <w:pPr>
              <w:widowControl/>
              <w:autoSpaceDE/>
              <w:autoSpaceDN/>
              <w:adjustRightInd/>
              <w:rPr>
                <w:color w:val="000000"/>
                <w:sz w:val="20"/>
                <w:szCs w:val="20"/>
              </w:rPr>
            </w:pPr>
            <w:r w:rsidRPr="00A53539">
              <w:rPr>
                <w:color w:val="000000"/>
                <w:sz w:val="20"/>
                <w:szCs w:val="20"/>
              </w:rPr>
              <w:t>Wholesale Trade</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3F27731" w14:textId="77777777">
            <w:pPr>
              <w:widowControl/>
              <w:autoSpaceDE/>
              <w:autoSpaceDN/>
              <w:adjustRightInd/>
              <w:jc w:val="center"/>
              <w:rPr>
                <w:color w:val="000000"/>
                <w:sz w:val="20"/>
                <w:szCs w:val="20"/>
              </w:rPr>
            </w:pPr>
            <w:r w:rsidRPr="00A53539">
              <w:rPr>
                <w:color w:val="000000"/>
                <w:sz w:val="20"/>
                <w:szCs w:val="20"/>
              </w:rPr>
              <w:t>3,56</w:t>
            </w:r>
            <w:r w:rsidR="009C677F">
              <w:rPr>
                <w:color w:val="000000"/>
                <w:sz w:val="20"/>
                <w:szCs w:val="20"/>
              </w:rPr>
              <w:t>4</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7D34C1F" w14:textId="77777777">
            <w:pPr>
              <w:widowControl/>
              <w:autoSpaceDE/>
              <w:autoSpaceDN/>
              <w:adjustRightInd/>
              <w:jc w:val="center"/>
              <w:rPr>
                <w:color w:val="000000"/>
                <w:sz w:val="20"/>
                <w:szCs w:val="20"/>
              </w:rPr>
            </w:pPr>
            <w:r w:rsidRPr="00A53539">
              <w:rPr>
                <w:color w:val="000000"/>
                <w:sz w:val="20"/>
                <w:szCs w:val="20"/>
              </w:rPr>
              <w:t>2</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701C1960" w14:textId="77777777">
            <w:pPr>
              <w:widowControl/>
              <w:autoSpaceDE/>
              <w:autoSpaceDN/>
              <w:adjustRightInd/>
              <w:jc w:val="center"/>
              <w:rPr>
                <w:color w:val="000000"/>
                <w:sz w:val="20"/>
                <w:szCs w:val="20"/>
              </w:rPr>
            </w:pPr>
            <w:r w:rsidRPr="00A53539">
              <w:rPr>
                <w:color w:val="000000"/>
                <w:sz w:val="20"/>
                <w:szCs w:val="20"/>
              </w:rPr>
              <w:t>7,12</w:t>
            </w:r>
            <w:r w:rsidR="009C677F">
              <w:rPr>
                <w:color w:val="000000"/>
                <w:sz w:val="20"/>
                <w:szCs w:val="20"/>
              </w:rPr>
              <w:t>8</w:t>
            </w:r>
            <w:r w:rsidRPr="00A53539">
              <w:rPr>
                <w:color w:val="000000"/>
                <w:sz w:val="20"/>
                <w:szCs w:val="20"/>
              </w:rPr>
              <w:t>.</w:t>
            </w:r>
            <w:r w:rsidR="000B4416">
              <w:rPr>
                <w:color w:val="000000"/>
                <w:sz w:val="20"/>
                <w:szCs w:val="20"/>
              </w:rPr>
              <w:t>00</w:t>
            </w: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01066919" w14:textId="77777777">
            <w:pPr>
              <w:widowControl/>
              <w:autoSpaceDE/>
              <w:autoSpaceDN/>
              <w:adjustRightInd/>
              <w:jc w:val="center"/>
              <w:rPr>
                <w:color w:val="000000"/>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6DFA82E0"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3E7BBE51"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2C4100DE"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54CB1D83"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0F3814C4" w14:textId="77777777">
            <w:pPr>
              <w:widowControl/>
              <w:autoSpaceDE/>
              <w:autoSpaceDN/>
              <w:adjustRightInd/>
              <w:rPr>
                <w:sz w:val="20"/>
                <w:szCs w:val="20"/>
              </w:rPr>
            </w:pPr>
          </w:p>
        </w:tc>
      </w:tr>
      <w:tr w:rsidRPr="00A53539" w:rsidR="00FB25C9" w:rsidTr="00255B26" w14:paraId="6B528818"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001D6969" w14:textId="77777777">
            <w:pPr>
              <w:widowControl/>
              <w:autoSpaceDE/>
              <w:autoSpaceDN/>
              <w:adjustRightInd/>
              <w:rPr>
                <w:color w:val="000000"/>
                <w:sz w:val="20"/>
                <w:szCs w:val="20"/>
              </w:rPr>
            </w:pPr>
            <w:r w:rsidRPr="00A53539">
              <w:rPr>
                <w:color w:val="000000"/>
                <w:sz w:val="20"/>
                <w:szCs w:val="20"/>
              </w:rPr>
              <w:t>Food Stores</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3618E08" w14:textId="77777777">
            <w:pPr>
              <w:widowControl/>
              <w:autoSpaceDE/>
              <w:autoSpaceDN/>
              <w:adjustRightInd/>
              <w:jc w:val="center"/>
              <w:rPr>
                <w:color w:val="000000"/>
                <w:sz w:val="20"/>
                <w:szCs w:val="20"/>
              </w:rPr>
            </w:pPr>
            <w:r w:rsidRPr="00A53539">
              <w:rPr>
                <w:color w:val="000000"/>
                <w:sz w:val="20"/>
                <w:szCs w:val="20"/>
              </w:rPr>
              <w:t>1,559</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509274D1" w14:textId="77777777">
            <w:pPr>
              <w:widowControl/>
              <w:autoSpaceDE/>
              <w:autoSpaceDN/>
              <w:adjustRightInd/>
              <w:jc w:val="center"/>
              <w:rPr>
                <w:color w:val="000000"/>
                <w:sz w:val="20"/>
                <w:szCs w:val="20"/>
              </w:rPr>
            </w:pPr>
            <w:r w:rsidRPr="00A53539">
              <w:rPr>
                <w:color w:val="000000"/>
                <w:sz w:val="20"/>
                <w:szCs w:val="20"/>
              </w:rPr>
              <w:t>2</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D9848B6" w14:textId="77777777">
            <w:pPr>
              <w:widowControl/>
              <w:autoSpaceDE/>
              <w:autoSpaceDN/>
              <w:adjustRightInd/>
              <w:jc w:val="center"/>
              <w:rPr>
                <w:color w:val="000000"/>
                <w:sz w:val="20"/>
                <w:szCs w:val="20"/>
              </w:rPr>
            </w:pPr>
            <w:r w:rsidRPr="00A53539">
              <w:rPr>
                <w:color w:val="000000"/>
                <w:sz w:val="20"/>
                <w:szCs w:val="20"/>
              </w:rPr>
              <w:t>3,11</w:t>
            </w:r>
            <w:r w:rsidR="000B4416">
              <w:rPr>
                <w:color w:val="000000"/>
                <w:sz w:val="20"/>
                <w:szCs w:val="20"/>
              </w:rPr>
              <w:t>8.00</w:t>
            </w: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762A2616" w14:textId="77777777">
            <w:pPr>
              <w:widowControl/>
              <w:autoSpaceDE/>
              <w:autoSpaceDN/>
              <w:adjustRightInd/>
              <w:jc w:val="center"/>
              <w:rPr>
                <w:color w:val="000000"/>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4A040E21"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189EF6CF"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256F2F7A"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357D31B7"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1EE8FD85" w14:textId="77777777">
            <w:pPr>
              <w:widowControl/>
              <w:autoSpaceDE/>
              <w:autoSpaceDN/>
              <w:adjustRightInd/>
              <w:rPr>
                <w:sz w:val="20"/>
                <w:szCs w:val="20"/>
              </w:rPr>
            </w:pPr>
          </w:p>
        </w:tc>
      </w:tr>
      <w:tr w:rsidRPr="00A53539" w:rsidR="00FB25C9" w:rsidTr="00255B26" w14:paraId="15BE6D39"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583BE413" w14:textId="77777777">
            <w:pPr>
              <w:widowControl/>
              <w:autoSpaceDE/>
              <w:autoSpaceDN/>
              <w:adjustRightInd/>
              <w:rPr>
                <w:color w:val="000000"/>
                <w:sz w:val="20"/>
                <w:szCs w:val="20"/>
              </w:rPr>
            </w:pPr>
            <w:r w:rsidRPr="00A53539">
              <w:rPr>
                <w:color w:val="000000"/>
                <w:sz w:val="20"/>
                <w:szCs w:val="20"/>
              </w:rPr>
              <w:t>Services</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CA9815A" w14:textId="77777777">
            <w:pPr>
              <w:widowControl/>
              <w:autoSpaceDE/>
              <w:autoSpaceDN/>
              <w:adjustRightInd/>
              <w:jc w:val="center"/>
              <w:rPr>
                <w:color w:val="000000"/>
                <w:sz w:val="20"/>
                <w:szCs w:val="20"/>
              </w:rPr>
            </w:pPr>
            <w:r w:rsidRPr="00A53539">
              <w:rPr>
                <w:color w:val="000000"/>
                <w:sz w:val="20"/>
                <w:szCs w:val="20"/>
              </w:rPr>
              <w:t>9,03</w:t>
            </w:r>
            <w:r w:rsidR="009C677F">
              <w:rPr>
                <w:color w:val="000000"/>
                <w:sz w:val="20"/>
                <w:szCs w:val="20"/>
              </w:rPr>
              <w:t>4</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5DD40201" w14:textId="77777777">
            <w:pPr>
              <w:widowControl/>
              <w:autoSpaceDE/>
              <w:autoSpaceDN/>
              <w:adjustRightInd/>
              <w:jc w:val="center"/>
              <w:rPr>
                <w:color w:val="000000"/>
                <w:sz w:val="20"/>
                <w:szCs w:val="20"/>
              </w:rPr>
            </w:pPr>
            <w:r w:rsidRPr="00A53539">
              <w:rPr>
                <w:color w:val="000000"/>
                <w:sz w:val="20"/>
                <w:szCs w:val="20"/>
              </w:rPr>
              <w:t>2</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95DD5ED" w14:textId="77777777">
            <w:pPr>
              <w:widowControl/>
              <w:autoSpaceDE/>
              <w:autoSpaceDN/>
              <w:adjustRightInd/>
              <w:jc w:val="center"/>
              <w:rPr>
                <w:color w:val="000000"/>
                <w:sz w:val="20"/>
                <w:szCs w:val="20"/>
              </w:rPr>
            </w:pPr>
            <w:r w:rsidRPr="00A53539">
              <w:rPr>
                <w:color w:val="000000"/>
                <w:sz w:val="20"/>
                <w:szCs w:val="20"/>
              </w:rPr>
              <w:t>18,06</w:t>
            </w:r>
            <w:r w:rsidR="009C677F">
              <w:rPr>
                <w:color w:val="000000"/>
                <w:sz w:val="20"/>
                <w:szCs w:val="20"/>
              </w:rPr>
              <w:t>8</w:t>
            </w:r>
            <w:r w:rsidRPr="00A53539">
              <w:rPr>
                <w:color w:val="000000"/>
                <w:sz w:val="20"/>
                <w:szCs w:val="20"/>
              </w:rPr>
              <w:t>.</w:t>
            </w:r>
            <w:r w:rsidR="000B4416">
              <w:rPr>
                <w:color w:val="000000"/>
                <w:sz w:val="20"/>
                <w:szCs w:val="20"/>
              </w:rPr>
              <w:t>00</w:t>
            </w: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0FE4BEB7" w14:textId="77777777">
            <w:pPr>
              <w:widowControl/>
              <w:autoSpaceDE/>
              <w:autoSpaceDN/>
              <w:adjustRightInd/>
              <w:jc w:val="center"/>
              <w:rPr>
                <w:color w:val="000000"/>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55752F3F"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0BA269A5"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70BB85AD"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65043A87"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6E463078" w14:textId="77777777">
            <w:pPr>
              <w:widowControl/>
              <w:autoSpaceDE/>
              <w:autoSpaceDN/>
              <w:adjustRightInd/>
              <w:rPr>
                <w:sz w:val="20"/>
                <w:szCs w:val="20"/>
              </w:rPr>
            </w:pPr>
          </w:p>
        </w:tc>
      </w:tr>
      <w:tr w:rsidRPr="00A53539" w:rsidR="00FB25C9" w:rsidTr="00255B26" w14:paraId="42FE7454"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4570E079" w14:textId="77777777">
            <w:pPr>
              <w:widowControl/>
              <w:autoSpaceDE/>
              <w:autoSpaceDN/>
              <w:adjustRightInd/>
              <w:rPr>
                <w:b/>
                <w:bCs/>
                <w:color w:val="000000"/>
                <w:sz w:val="20"/>
                <w:szCs w:val="20"/>
              </w:rPr>
            </w:pPr>
            <w:r w:rsidRPr="00A53539">
              <w:rPr>
                <w:b/>
                <w:bCs/>
                <w:color w:val="000000"/>
                <w:sz w:val="20"/>
                <w:szCs w:val="20"/>
              </w:rPr>
              <w:t>Total</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66067B6" w14:textId="77777777">
            <w:pPr>
              <w:widowControl/>
              <w:autoSpaceDE/>
              <w:autoSpaceDN/>
              <w:adjustRightInd/>
              <w:jc w:val="center"/>
              <w:rPr>
                <w:b/>
                <w:bCs/>
                <w:color w:val="000000"/>
                <w:sz w:val="20"/>
                <w:szCs w:val="20"/>
              </w:rPr>
            </w:pPr>
            <w:r w:rsidRPr="00A53539">
              <w:rPr>
                <w:b/>
                <w:bCs/>
                <w:color w:val="000000"/>
                <w:sz w:val="20"/>
                <w:szCs w:val="20"/>
              </w:rPr>
              <w:t>48,26</w:t>
            </w:r>
            <w:r w:rsidR="009C677F">
              <w:rPr>
                <w:b/>
                <w:bCs/>
                <w:color w:val="000000"/>
                <w:sz w:val="20"/>
                <w:szCs w:val="20"/>
              </w:rPr>
              <w:t>6</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B777E39" w14:textId="77777777">
            <w:pPr>
              <w:widowControl/>
              <w:autoSpaceDE/>
              <w:autoSpaceDN/>
              <w:adjustRightInd/>
              <w:jc w:val="center"/>
              <w:rPr>
                <w:b/>
                <w:bCs/>
                <w:color w:val="000000"/>
                <w:sz w:val="20"/>
                <w:szCs w:val="20"/>
              </w:rPr>
            </w:pPr>
            <w:r w:rsidRPr="00A53539">
              <w:rPr>
                <w:b/>
                <w:bCs/>
                <w:color w:val="000000"/>
                <w:sz w:val="20"/>
                <w:szCs w:val="20"/>
              </w:rPr>
              <w:t> </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23200AA" w14:textId="77777777">
            <w:pPr>
              <w:widowControl/>
              <w:autoSpaceDE/>
              <w:autoSpaceDN/>
              <w:adjustRightInd/>
              <w:jc w:val="center"/>
              <w:rPr>
                <w:b/>
                <w:bCs/>
                <w:color w:val="000000"/>
                <w:sz w:val="20"/>
                <w:szCs w:val="20"/>
              </w:rPr>
            </w:pPr>
            <w:r w:rsidRPr="00A53539">
              <w:rPr>
                <w:b/>
                <w:bCs/>
                <w:color w:val="000000"/>
                <w:sz w:val="20"/>
                <w:szCs w:val="20"/>
              </w:rPr>
              <w:t>96,5</w:t>
            </w:r>
            <w:r w:rsidR="009C677F">
              <w:rPr>
                <w:b/>
                <w:bCs/>
                <w:color w:val="000000"/>
                <w:sz w:val="20"/>
                <w:szCs w:val="20"/>
              </w:rPr>
              <w:t>32.00</w:t>
            </w: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535036D3" w14:textId="77777777">
            <w:pPr>
              <w:widowControl/>
              <w:autoSpaceDE/>
              <w:autoSpaceDN/>
              <w:adjustRightInd/>
              <w:jc w:val="center"/>
              <w:rPr>
                <w:b/>
                <w:bCs/>
                <w:color w:val="000000"/>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475417EB"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002665FF"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5C239006"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5B590C59"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023B9637" w14:textId="77777777">
            <w:pPr>
              <w:widowControl/>
              <w:autoSpaceDE/>
              <w:autoSpaceDN/>
              <w:adjustRightInd/>
              <w:rPr>
                <w:sz w:val="20"/>
                <w:szCs w:val="20"/>
              </w:rPr>
            </w:pPr>
          </w:p>
        </w:tc>
      </w:tr>
      <w:tr w:rsidRPr="00A53539" w:rsidR="00FB25C9" w:rsidTr="00255B26" w14:paraId="5BC72993"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bottom"/>
            <w:hideMark/>
          </w:tcPr>
          <w:p w:rsidRPr="00A53539" w:rsidR="00A53539" w:rsidP="00A53539" w:rsidRDefault="00A53539" w14:paraId="36C184C6" w14:textId="77777777">
            <w:pPr>
              <w:widowControl/>
              <w:autoSpaceDE/>
              <w:autoSpaceDN/>
              <w:adjustRightInd/>
              <w:rPr>
                <w:color w:val="000000"/>
                <w:sz w:val="20"/>
                <w:szCs w:val="20"/>
              </w:rPr>
            </w:pPr>
            <w:r w:rsidRPr="00A53539">
              <w:rPr>
                <w:color w:val="000000"/>
                <w:sz w:val="20"/>
                <w:szCs w:val="20"/>
              </w:rPr>
              <w:t> </w:t>
            </w:r>
          </w:p>
        </w:tc>
        <w:tc>
          <w:tcPr>
            <w:tcW w:w="136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390F6AA2" w14:textId="77777777">
            <w:pPr>
              <w:widowControl/>
              <w:autoSpaceDE/>
              <w:autoSpaceDN/>
              <w:adjustRightInd/>
              <w:rPr>
                <w:color w:val="000000"/>
                <w:sz w:val="20"/>
                <w:szCs w:val="20"/>
              </w:rPr>
            </w:pPr>
            <w:r w:rsidRPr="00A53539">
              <w:rPr>
                <w:color w:val="000000"/>
                <w:sz w:val="20"/>
                <w:szCs w:val="20"/>
              </w:rPr>
              <w:t> </w:t>
            </w:r>
          </w:p>
        </w:tc>
        <w:tc>
          <w:tcPr>
            <w:tcW w:w="164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1F7AA65D" w14:textId="77777777">
            <w:pPr>
              <w:widowControl/>
              <w:autoSpaceDE/>
              <w:autoSpaceDN/>
              <w:adjustRightInd/>
              <w:rPr>
                <w:color w:val="000000"/>
                <w:sz w:val="20"/>
                <w:szCs w:val="20"/>
              </w:rPr>
            </w:pPr>
            <w:r w:rsidRPr="00A53539">
              <w:rPr>
                <w:color w:val="000000"/>
                <w:sz w:val="20"/>
                <w:szCs w:val="20"/>
              </w:rPr>
              <w:t> </w:t>
            </w:r>
          </w:p>
        </w:tc>
        <w:tc>
          <w:tcPr>
            <w:tcW w:w="1360" w:type="dxa"/>
            <w:tcBorders>
              <w:top w:val="nil"/>
              <w:left w:val="nil"/>
              <w:bottom w:val="nil"/>
              <w:right w:val="nil"/>
            </w:tcBorders>
            <w:shd w:val="clear" w:color="auto" w:fill="auto"/>
            <w:noWrap/>
            <w:vAlign w:val="bottom"/>
            <w:hideMark/>
          </w:tcPr>
          <w:p w:rsidRPr="00A53539" w:rsidR="00A53539" w:rsidP="00A53539" w:rsidRDefault="00A53539" w14:paraId="3F4D0BA3" w14:textId="77777777">
            <w:pPr>
              <w:widowControl/>
              <w:autoSpaceDE/>
              <w:autoSpaceDN/>
              <w:adjustRightInd/>
              <w:rPr>
                <w:color w:val="000000"/>
                <w:sz w:val="20"/>
                <w:szCs w:val="20"/>
              </w:rPr>
            </w:pP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09C43B7E"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482B0AFE"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36519149"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723F5D48"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03EA831A"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56B43E4E" w14:textId="77777777">
            <w:pPr>
              <w:widowControl/>
              <w:autoSpaceDE/>
              <w:autoSpaceDN/>
              <w:adjustRightInd/>
              <w:rPr>
                <w:sz w:val="20"/>
                <w:szCs w:val="20"/>
              </w:rPr>
            </w:pPr>
          </w:p>
        </w:tc>
      </w:tr>
      <w:tr w:rsidRPr="00A53539" w:rsidR="00724215" w:rsidTr="00255B26" w14:paraId="5DEDCB75" w14:textId="77777777">
        <w:trPr>
          <w:trHeight w:val="510"/>
          <w:jc w:val="center"/>
        </w:trPr>
        <w:tc>
          <w:tcPr>
            <w:tcW w:w="4400" w:type="dxa"/>
            <w:gridSpan w:val="3"/>
            <w:tcBorders>
              <w:top w:val="single" w:color="auto" w:sz="4" w:space="0"/>
              <w:left w:val="single" w:color="auto" w:sz="4" w:space="0"/>
              <w:bottom w:val="single" w:color="auto" w:sz="4" w:space="0"/>
              <w:right w:val="single" w:color="auto" w:sz="4" w:space="0"/>
            </w:tcBorders>
            <w:shd w:val="clear" w:color="000000" w:fill="FFFFFF"/>
            <w:vAlign w:val="center"/>
            <w:hideMark/>
          </w:tcPr>
          <w:p w:rsidRPr="00A53539" w:rsidR="00A53539" w:rsidP="00A53539" w:rsidRDefault="00A53539" w14:paraId="0292D42F" w14:textId="77777777">
            <w:pPr>
              <w:widowControl/>
              <w:autoSpaceDE/>
              <w:autoSpaceDN/>
              <w:adjustRightInd/>
              <w:jc w:val="center"/>
              <w:rPr>
                <w:color w:val="000000"/>
                <w:sz w:val="20"/>
                <w:szCs w:val="20"/>
              </w:rPr>
            </w:pPr>
            <w:r w:rsidRPr="00A53539">
              <w:rPr>
                <w:color w:val="000000"/>
                <w:sz w:val="20"/>
                <w:szCs w:val="20"/>
              </w:rPr>
              <w:t>Calculation of Hours for Recurring Burden in Existing Establishments -- Low-Impact Establishments</w:t>
            </w:r>
          </w:p>
        </w:tc>
        <w:tc>
          <w:tcPr>
            <w:tcW w:w="1360" w:type="dxa"/>
            <w:tcBorders>
              <w:top w:val="nil"/>
              <w:left w:val="nil"/>
              <w:bottom w:val="nil"/>
              <w:right w:val="nil"/>
            </w:tcBorders>
            <w:shd w:val="clear" w:color="auto" w:fill="auto"/>
            <w:noWrap/>
            <w:vAlign w:val="bottom"/>
            <w:hideMark/>
          </w:tcPr>
          <w:p w:rsidRPr="00A53539" w:rsidR="00A53539" w:rsidP="00A53539" w:rsidRDefault="00A53539" w14:paraId="55E2B224" w14:textId="77777777">
            <w:pPr>
              <w:widowControl/>
              <w:autoSpaceDE/>
              <w:autoSpaceDN/>
              <w:adjustRightInd/>
              <w:jc w:val="center"/>
              <w:rPr>
                <w:color w:val="000000"/>
                <w:sz w:val="20"/>
                <w:szCs w:val="20"/>
              </w:rPr>
            </w:pP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74D8E937"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4077E787"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52FA0C52"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5DB77D4E"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634EF92B"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67B9CCAC" w14:textId="77777777">
            <w:pPr>
              <w:widowControl/>
              <w:autoSpaceDE/>
              <w:autoSpaceDN/>
              <w:adjustRightInd/>
              <w:rPr>
                <w:sz w:val="20"/>
                <w:szCs w:val="20"/>
              </w:rPr>
            </w:pPr>
          </w:p>
        </w:tc>
      </w:tr>
      <w:tr w:rsidRPr="00A53539" w:rsidR="00FB25C9" w:rsidTr="00255B26" w14:paraId="2696AE70" w14:textId="77777777">
        <w:trPr>
          <w:trHeight w:val="76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06A333B4" w14:textId="77777777">
            <w:pPr>
              <w:widowControl/>
              <w:autoSpaceDE/>
              <w:autoSpaceDN/>
              <w:adjustRightInd/>
              <w:rPr>
                <w:b/>
                <w:bCs/>
                <w:color w:val="000000"/>
                <w:sz w:val="20"/>
                <w:szCs w:val="20"/>
              </w:rPr>
            </w:pPr>
            <w:r w:rsidRPr="00A53539">
              <w:rPr>
                <w:b/>
                <w:bCs/>
                <w:color w:val="000000"/>
                <w:sz w:val="20"/>
                <w:szCs w:val="20"/>
              </w:rPr>
              <w:t> </w:t>
            </w:r>
          </w:p>
        </w:tc>
        <w:tc>
          <w:tcPr>
            <w:tcW w:w="136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3E033EF5" w14:textId="77777777">
            <w:pPr>
              <w:widowControl/>
              <w:autoSpaceDE/>
              <w:autoSpaceDN/>
              <w:adjustRightInd/>
              <w:jc w:val="center"/>
              <w:rPr>
                <w:b/>
                <w:bCs/>
                <w:color w:val="000000"/>
                <w:sz w:val="20"/>
                <w:szCs w:val="20"/>
              </w:rPr>
            </w:pPr>
            <w:r w:rsidRPr="00A53539">
              <w:rPr>
                <w:b/>
                <w:bCs/>
                <w:color w:val="000000"/>
                <w:sz w:val="20"/>
                <w:szCs w:val="20"/>
              </w:rPr>
              <w:t>Number of Establishments</w:t>
            </w:r>
          </w:p>
        </w:tc>
        <w:tc>
          <w:tcPr>
            <w:tcW w:w="1640" w:type="dxa"/>
            <w:tcBorders>
              <w:top w:val="nil"/>
              <w:left w:val="nil"/>
              <w:bottom w:val="single" w:color="auto" w:sz="4" w:space="0"/>
              <w:right w:val="single" w:color="auto" w:sz="4" w:space="0"/>
            </w:tcBorders>
            <w:shd w:val="clear" w:color="000000" w:fill="FFFFFF"/>
            <w:vAlign w:val="center"/>
            <w:hideMark/>
          </w:tcPr>
          <w:p w:rsidRPr="00A53539" w:rsidR="00A53539" w:rsidP="00A53539" w:rsidRDefault="00A53539" w14:paraId="1D930A2F" w14:textId="77777777">
            <w:pPr>
              <w:widowControl/>
              <w:autoSpaceDE/>
              <w:autoSpaceDN/>
              <w:adjustRightInd/>
              <w:jc w:val="center"/>
              <w:rPr>
                <w:b/>
                <w:bCs/>
                <w:color w:val="000000"/>
                <w:sz w:val="20"/>
                <w:szCs w:val="20"/>
              </w:rPr>
            </w:pPr>
            <w:r w:rsidRPr="00A53539">
              <w:rPr>
                <w:b/>
                <w:bCs/>
                <w:color w:val="000000"/>
                <w:sz w:val="20"/>
                <w:szCs w:val="20"/>
              </w:rPr>
              <w:t>Hours</w:t>
            </w:r>
          </w:p>
        </w:tc>
        <w:tc>
          <w:tcPr>
            <w:tcW w:w="1360" w:type="dxa"/>
            <w:tcBorders>
              <w:top w:val="single" w:color="auto" w:sz="4" w:space="0"/>
              <w:left w:val="nil"/>
              <w:bottom w:val="single" w:color="auto" w:sz="4" w:space="0"/>
              <w:right w:val="single" w:color="auto" w:sz="4" w:space="0"/>
            </w:tcBorders>
            <w:shd w:val="clear" w:color="000000" w:fill="FFFFFF"/>
            <w:vAlign w:val="center"/>
            <w:hideMark/>
          </w:tcPr>
          <w:p w:rsidRPr="00A53539" w:rsidR="00A53539" w:rsidP="00A53539" w:rsidRDefault="00A53539" w14:paraId="2CFA6400" w14:textId="77777777">
            <w:pPr>
              <w:widowControl/>
              <w:autoSpaceDE/>
              <w:autoSpaceDN/>
              <w:adjustRightInd/>
              <w:jc w:val="center"/>
              <w:rPr>
                <w:b/>
                <w:bCs/>
                <w:color w:val="000000"/>
                <w:sz w:val="20"/>
                <w:szCs w:val="20"/>
              </w:rPr>
            </w:pPr>
            <w:r w:rsidRPr="00A53539">
              <w:rPr>
                <w:b/>
                <w:bCs/>
                <w:color w:val="000000"/>
                <w:sz w:val="20"/>
                <w:szCs w:val="20"/>
              </w:rPr>
              <w:t>Existing Establishment Hours</w:t>
            </w:r>
          </w:p>
        </w:tc>
        <w:tc>
          <w:tcPr>
            <w:tcW w:w="1600" w:type="dxa"/>
            <w:tcBorders>
              <w:top w:val="single" w:color="auto" w:sz="4" w:space="0"/>
              <w:left w:val="nil"/>
              <w:bottom w:val="single" w:color="auto" w:sz="4" w:space="0"/>
              <w:right w:val="single" w:color="auto" w:sz="4" w:space="0"/>
            </w:tcBorders>
            <w:shd w:val="clear" w:color="000000" w:fill="FFFFFF"/>
            <w:vAlign w:val="center"/>
            <w:hideMark/>
          </w:tcPr>
          <w:p w:rsidRPr="00A53539" w:rsidR="00A53539" w:rsidP="00A53539" w:rsidRDefault="00A53539" w14:paraId="1CDB0CF3" w14:textId="77777777">
            <w:pPr>
              <w:widowControl/>
              <w:autoSpaceDE/>
              <w:autoSpaceDN/>
              <w:adjustRightInd/>
              <w:jc w:val="center"/>
              <w:rPr>
                <w:b/>
                <w:bCs/>
                <w:color w:val="000000"/>
                <w:sz w:val="20"/>
                <w:szCs w:val="20"/>
              </w:rPr>
            </w:pPr>
            <w:r w:rsidRPr="00A53539">
              <w:rPr>
                <w:b/>
                <w:bCs/>
                <w:color w:val="000000"/>
                <w:sz w:val="20"/>
                <w:szCs w:val="20"/>
              </w:rPr>
              <w:t>Total Hours Low Impact</w:t>
            </w: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1A8C7B8E" w14:textId="77777777">
            <w:pPr>
              <w:widowControl/>
              <w:autoSpaceDE/>
              <w:autoSpaceDN/>
              <w:adjustRightInd/>
              <w:jc w:val="center"/>
              <w:rPr>
                <w:b/>
                <w:bCs/>
                <w:color w:val="000000"/>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1A6CAFAF"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569C8FC9"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4F44E93C"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21B48D1F" w14:textId="77777777">
            <w:pPr>
              <w:widowControl/>
              <w:autoSpaceDE/>
              <w:autoSpaceDN/>
              <w:adjustRightInd/>
              <w:rPr>
                <w:sz w:val="20"/>
                <w:szCs w:val="20"/>
              </w:rPr>
            </w:pPr>
          </w:p>
        </w:tc>
      </w:tr>
      <w:tr w:rsidRPr="00A53539" w:rsidR="00FB25C9" w:rsidTr="00A53539" w14:paraId="20862FFB"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7DAEBFCC" w14:textId="77777777">
            <w:pPr>
              <w:widowControl/>
              <w:autoSpaceDE/>
              <w:autoSpaceDN/>
              <w:adjustRightInd/>
              <w:rPr>
                <w:color w:val="000000"/>
                <w:sz w:val="20"/>
                <w:szCs w:val="20"/>
              </w:rPr>
            </w:pPr>
            <w:r w:rsidRPr="00A53539">
              <w:rPr>
                <w:color w:val="000000"/>
                <w:sz w:val="20"/>
                <w:szCs w:val="20"/>
              </w:rPr>
              <w:t>Transportation</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400EF65" w14:textId="77777777">
            <w:pPr>
              <w:widowControl/>
              <w:autoSpaceDE/>
              <w:autoSpaceDN/>
              <w:adjustRightInd/>
              <w:jc w:val="center"/>
              <w:rPr>
                <w:color w:val="000000"/>
                <w:sz w:val="20"/>
                <w:szCs w:val="20"/>
              </w:rPr>
            </w:pPr>
            <w:r w:rsidRPr="00A53539">
              <w:rPr>
                <w:color w:val="000000"/>
                <w:sz w:val="20"/>
                <w:szCs w:val="20"/>
              </w:rPr>
              <w:t>267,181</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2ECB9F4" w14:textId="77777777">
            <w:pPr>
              <w:widowControl/>
              <w:autoSpaceDE/>
              <w:autoSpaceDN/>
              <w:adjustRightInd/>
              <w:jc w:val="center"/>
              <w:rPr>
                <w:color w:val="000000"/>
                <w:sz w:val="20"/>
                <w:szCs w:val="20"/>
              </w:rPr>
            </w:pPr>
            <w:r w:rsidRPr="00A53539">
              <w:rPr>
                <w:color w:val="000000"/>
                <w:sz w:val="20"/>
                <w:szCs w:val="20"/>
              </w:rPr>
              <w:t>0.5</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EA68B52" w14:textId="77777777">
            <w:pPr>
              <w:widowControl/>
              <w:autoSpaceDE/>
              <w:autoSpaceDN/>
              <w:adjustRightInd/>
              <w:jc w:val="center"/>
              <w:rPr>
                <w:color w:val="000000"/>
                <w:sz w:val="20"/>
                <w:szCs w:val="20"/>
              </w:rPr>
            </w:pPr>
            <w:r w:rsidRPr="00A53539">
              <w:rPr>
                <w:color w:val="000000"/>
                <w:sz w:val="20"/>
                <w:szCs w:val="20"/>
              </w:rPr>
              <w:t>133,590.50</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63BC626" w14:textId="1D4C8996">
            <w:pPr>
              <w:widowControl/>
              <w:autoSpaceDE/>
              <w:autoSpaceDN/>
              <w:adjustRightInd/>
              <w:jc w:val="center"/>
              <w:rPr>
                <w:color w:val="000000"/>
                <w:sz w:val="20"/>
                <w:szCs w:val="20"/>
              </w:rPr>
            </w:pPr>
            <w:r w:rsidRPr="00A53539">
              <w:rPr>
                <w:color w:val="000000"/>
                <w:sz w:val="20"/>
                <w:szCs w:val="20"/>
              </w:rPr>
              <w:t>187,026.</w:t>
            </w:r>
            <w:r w:rsidR="00F36F64">
              <w:rPr>
                <w:color w:val="000000"/>
                <w:sz w:val="20"/>
                <w:szCs w:val="20"/>
              </w:rPr>
              <w:t>5</w:t>
            </w:r>
            <w:r w:rsidRPr="00A53539">
              <w:rPr>
                <w:color w:val="000000"/>
                <w:sz w:val="20"/>
                <w:szCs w:val="20"/>
              </w:rPr>
              <w:t>0</w:t>
            </w: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3E2D4EEF" w14:textId="77777777">
            <w:pPr>
              <w:widowControl/>
              <w:autoSpaceDE/>
              <w:autoSpaceDN/>
              <w:adjustRightInd/>
              <w:jc w:val="center"/>
              <w:rPr>
                <w:color w:val="000000"/>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6B3A0A54"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2CAB1AC0"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3B2DF052"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6C6958F2" w14:textId="77777777">
            <w:pPr>
              <w:widowControl/>
              <w:autoSpaceDE/>
              <w:autoSpaceDN/>
              <w:adjustRightInd/>
              <w:rPr>
                <w:sz w:val="20"/>
                <w:szCs w:val="20"/>
              </w:rPr>
            </w:pPr>
          </w:p>
        </w:tc>
      </w:tr>
      <w:tr w:rsidRPr="00A53539" w:rsidR="00FB25C9" w:rsidTr="00A53539" w14:paraId="6CBB917F"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56EB7198" w14:textId="77777777">
            <w:pPr>
              <w:widowControl/>
              <w:autoSpaceDE/>
              <w:autoSpaceDN/>
              <w:adjustRightInd/>
              <w:rPr>
                <w:color w:val="000000"/>
                <w:sz w:val="20"/>
                <w:szCs w:val="20"/>
              </w:rPr>
            </w:pPr>
            <w:r w:rsidRPr="00A53539">
              <w:rPr>
                <w:color w:val="000000"/>
                <w:sz w:val="20"/>
                <w:szCs w:val="20"/>
              </w:rPr>
              <w:t>Communications</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171C404" w14:textId="77777777">
            <w:pPr>
              <w:widowControl/>
              <w:autoSpaceDE/>
              <w:autoSpaceDN/>
              <w:adjustRightInd/>
              <w:jc w:val="center"/>
              <w:rPr>
                <w:color w:val="000000"/>
                <w:sz w:val="20"/>
                <w:szCs w:val="20"/>
              </w:rPr>
            </w:pPr>
            <w:r w:rsidRPr="00A53539">
              <w:rPr>
                <w:color w:val="000000"/>
                <w:sz w:val="20"/>
                <w:szCs w:val="20"/>
              </w:rPr>
              <w:t>60,469</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479813B" w14:textId="77777777">
            <w:pPr>
              <w:widowControl/>
              <w:autoSpaceDE/>
              <w:autoSpaceDN/>
              <w:adjustRightInd/>
              <w:jc w:val="center"/>
              <w:rPr>
                <w:color w:val="000000"/>
                <w:sz w:val="20"/>
                <w:szCs w:val="20"/>
              </w:rPr>
            </w:pPr>
            <w:r w:rsidRPr="00A53539">
              <w:rPr>
                <w:color w:val="000000"/>
                <w:sz w:val="20"/>
                <w:szCs w:val="20"/>
              </w:rPr>
              <w:t>0.5</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45F7B9D" w14:textId="77777777">
            <w:pPr>
              <w:widowControl/>
              <w:autoSpaceDE/>
              <w:autoSpaceDN/>
              <w:adjustRightInd/>
              <w:jc w:val="center"/>
              <w:rPr>
                <w:color w:val="000000"/>
                <w:sz w:val="20"/>
                <w:szCs w:val="20"/>
              </w:rPr>
            </w:pPr>
            <w:r w:rsidRPr="00A53539">
              <w:rPr>
                <w:color w:val="000000"/>
                <w:sz w:val="20"/>
                <w:szCs w:val="20"/>
              </w:rPr>
              <w:t>30,234.50</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E16254E" w14:textId="77777777">
            <w:pPr>
              <w:widowControl/>
              <w:autoSpaceDE/>
              <w:autoSpaceDN/>
              <w:adjustRightInd/>
              <w:jc w:val="center"/>
              <w:rPr>
                <w:color w:val="000000"/>
                <w:sz w:val="20"/>
                <w:szCs w:val="20"/>
              </w:rPr>
            </w:pPr>
            <w:r w:rsidRPr="00A53539">
              <w:rPr>
                <w:color w:val="000000"/>
                <w:sz w:val="20"/>
                <w:szCs w:val="20"/>
              </w:rPr>
              <w:t>42,328.</w:t>
            </w:r>
            <w:r w:rsidR="009C677F">
              <w:rPr>
                <w:color w:val="000000"/>
                <w:sz w:val="20"/>
                <w:szCs w:val="20"/>
              </w:rPr>
              <w:t>5</w:t>
            </w:r>
            <w:r w:rsidRPr="00A53539">
              <w:rPr>
                <w:color w:val="000000"/>
                <w:sz w:val="20"/>
                <w:szCs w:val="20"/>
              </w:rPr>
              <w:t>0</w:t>
            </w: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72A1F10F" w14:textId="77777777">
            <w:pPr>
              <w:widowControl/>
              <w:autoSpaceDE/>
              <w:autoSpaceDN/>
              <w:adjustRightInd/>
              <w:jc w:val="center"/>
              <w:rPr>
                <w:color w:val="000000"/>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49A9B07A"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0DE4250B"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046DDFFB"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06365084" w14:textId="77777777">
            <w:pPr>
              <w:widowControl/>
              <w:autoSpaceDE/>
              <w:autoSpaceDN/>
              <w:adjustRightInd/>
              <w:rPr>
                <w:sz w:val="20"/>
                <w:szCs w:val="20"/>
              </w:rPr>
            </w:pPr>
          </w:p>
        </w:tc>
      </w:tr>
      <w:tr w:rsidRPr="00A53539" w:rsidR="00FB25C9" w:rsidTr="00A53539" w14:paraId="4E07F138"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72C9A228" w14:textId="77777777">
            <w:pPr>
              <w:widowControl/>
              <w:autoSpaceDE/>
              <w:autoSpaceDN/>
              <w:adjustRightInd/>
              <w:rPr>
                <w:color w:val="000000"/>
                <w:sz w:val="20"/>
                <w:szCs w:val="20"/>
              </w:rPr>
            </w:pPr>
            <w:r w:rsidRPr="00A53539">
              <w:rPr>
                <w:color w:val="000000"/>
                <w:sz w:val="20"/>
                <w:szCs w:val="20"/>
              </w:rPr>
              <w:t>Utilities</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C5EBD76" w14:textId="77777777">
            <w:pPr>
              <w:widowControl/>
              <w:autoSpaceDE/>
              <w:autoSpaceDN/>
              <w:adjustRightInd/>
              <w:jc w:val="center"/>
              <w:rPr>
                <w:color w:val="000000"/>
                <w:sz w:val="20"/>
                <w:szCs w:val="20"/>
              </w:rPr>
            </w:pPr>
            <w:r w:rsidRPr="00A53539">
              <w:rPr>
                <w:color w:val="000000"/>
                <w:sz w:val="20"/>
                <w:szCs w:val="20"/>
              </w:rPr>
              <w:t>13,440</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1997251F" w14:textId="77777777">
            <w:pPr>
              <w:widowControl/>
              <w:autoSpaceDE/>
              <w:autoSpaceDN/>
              <w:adjustRightInd/>
              <w:jc w:val="center"/>
              <w:rPr>
                <w:color w:val="000000"/>
                <w:sz w:val="20"/>
                <w:szCs w:val="20"/>
              </w:rPr>
            </w:pPr>
            <w:r w:rsidRPr="00A53539">
              <w:rPr>
                <w:color w:val="000000"/>
                <w:sz w:val="20"/>
                <w:szCs w:val="20"/>
              </w:rPr>
              <w:t>0.5</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5677D427" w14:textId="77777777">
            <w:pPr>
              <w:widowControl/>
              <w:autoSpaceDE/>
              <w:autoSpaceDN/>
              <w:adjustRightInd/>
              <w:jc w:val="center"/>
              <w:rPr>
                <w:color w:val="000000"/>
                <w:sz w:val="20"/>
                <w:szCs w:val="20"/>
              </w:rPr>
            </w:pPr>
            <w:r w:rsidRPr="00A53539">
              <w:rPr>
                <w:color w:val="000000"/>
                <w:sz w:val="20"/>
                <w:szCs w:val="20"/>
              </w:rPr>
              <w:t>6,720.00</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4E12B75B" w14:textId="77777777">
            <w:pPr>
              <w:widowControl/>
              <w:autoSpaceDE/>
              <w:autoSpaceDN/>
              <w:adjustRightInd/>
              <w:jc w:val="center"/>
              <w:rPr>
                <w:color w:val="000000"/>
                <w:sz w:val="20"/>
                <w:szCs w:val="20"/>
              </w:rPr>
            </w:pPr>
            <w:r w:rsidRPr="00A53539">
              <w:rPr>
                <w:color w:val="000000"/>
                <w:sz w:val="20"/>
                <w:szCs w:val="20"/>
              </w:rPr>
              <w:t>9,408.00</w:t>
            </w: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3F10FA12" w14:textId="77777777">
            <w:pPr>
              <w:widowControl/>
              <w:autoSpaceDE/>
              <w:autoSpaceDN/>
              <w:adjustRightInd/>
              <w:jc w:val="center"/>
              <w:rPr>
                <w:color w:val="000000"/>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0956607B"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51BFFD4A"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4D64D8F9"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30E4A12C" w14:textId="77777777">
            <w:pPr>
              <w:widowControl/>
              <w:autoSpaceDE/>
              <w:autoSpaceDN/>
              <w:adjustRightInd/>
              <w:rPr>
                <w:sz w:val="20"/>
                <w:szCs w:val="20"/>
              </w:rPr>
            </w:pPr>
          </w:p>
        </w:tc>
      </w:tr>
      <w:tr w:rsidRPr="00A53539" w:rsidR="00FB25C9" w:rsidTr="00A53539" w14:paraId="1AD4FB01"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21BDE230" w14:textId="77777777">
            <w:pPr>
              <w:widowControl/>
              <w:autoSpaceDE/>
              <w:autoSpaceDN/>
              <w:adjustRightInd/>
              <w:rPr>
                <w:color w:val="000000"/>
                <w:sz w:val="20"/>
                <w:szCs w:val="20"/>
              </w:rPr>
            </w:pPr>
            <w:r w:rsidRPr="00A53539">
              <w:rPr>
                <w:color w:val="000000"/>
                <w:sz w:val="20"/>
                <w:szCs w:val="20"/>
              </w:rPr>
              <w:t>Wholesale Trade</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0C9B140C" w14:textId="77777777">
            <w:pPr>
              <w:widowControl/>
              <w:autoSpaceDE/>
              <w:autoSpaceDN/>
              <w:adjustRightInd/>
              <w:jc w:val="center"/>
              <w:rPr>
                <w:color w:val="000000"/>
                <w:sz w:val="20"/>
                <w:szCs w:val="20"/>
              </w:rPr>
            </w:pPr>
            <w:r w:rsidRPr="00A53539">
              <w:rPr>
                <w:color w:val="000000"/>
                <w:sz w:val="20"/>
                <w:szCs w:val="20"/>
              </w:rPr>
              <w:t>35,635</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45CC436" w14:textId="77777777">
            <w:pPr>
              <w:widowControl/>
              <w:autoSpaceDE/>
              <w:autoSpaceDN/>
              <w:adjustRightInd/>
              <w:jc w:val="center"/>
              <w:rPr>
                <w:color w:val="000000"/>
                <w:sz w:val="20"/>
                <w:szCs w:val="20"/>
              </w:rPr>
            </w:pPr>
            <w:r w:rsidRPr="00A53539">
              <w:rPr>
                <w:color w:val="000000"/>
                <w:sz w:val="20"/>
                <w:szCs w:val="20"/>
              </w:rPr>
              <w:t>0.5</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5E019C4" w14:textId="77777777">
            <w:pPr>
              <w:widowControl/>
              <w:autoSpaceDE/>
              <w:autoSpaceDN/>
              <w:adjustRightInd/>
              <w:jc w:val="center"/>
              <w:rPr>
                <w:color w:val="000000"/>
                <w:sz w:val="20"/>
                <w:szCs w:val="20"/>
              </w:rPr>
            </w:pPr>
            <w:r w:rsidRPr="00A53539">
              <w:rPr>
                <w:color w:val="000000"/>
                <w:sz w:val="20"/>
                <w:szCs w:val="20"/>
              </w:rPr>
              <w:t>17,817.</w:t>
            </w:r>
            <w:r w:rsidR="009C677F">
              <w:rPr>
                <w:color w:val="000000"/>
                <w:sz w:val="20"/>
                <w:szCs w:val="20"/>
              </w:rPr>
              <w:t>50</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44743A" w:rsidRDefault="00A53539" w14:paraId="61495F59" w14:textId="2383CAAB">
            <w:pPr>
              <w:widowControl/>
              <w:autoSpaceDE/>
              <w:autoSpaceDN/>
              <w:adjustRightInd/>
              <w:jc w:val="center"/>
              <w:rPr>
                <w:color w:val="000000"/>
                <w:sz w:val="20"/>
                <w:szCs w:val="20"/>
              </w:rPr>
            </w:pPr>
            <w:r w:rsidRPr="00A53539">
              <w:rPr>
                <w:color w:val="000000"/>
                <w:sz w:val="20"/>
                <w:szCs w:val="20"/>
              </w:rPr>
              <w:t>24,94</w:t>
            </w:r>
            <w:r w:rsidR="009C677F">
              <w:rPr>
                <w:color w:val="000000"/>
                <w:sz w:val="20"/>
                <w:szCs w:val="20"/>
              </w:rPr>
              <w:t>5.50</w:t>
            </w: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56DBCFCB" w14:textId="77777777">
            <w:pPr>
              <w:widowControl/>
              <w:autoSpaceDE/>
              <w:autoSpaceDN/>
              <w:adjustRightInd/>
              <w:jc w:val="center"/>
              <w:rPr>
                <w:color w:val="000000"/>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49BF7F41"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5281B8A7"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5595C8EA"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6E49A893" w14:textId="77777777">
            <w:pPr>
              <w:widowControl/>
              <w:autoSpaceDE/>
              <w:autoSpaceDN/>
              <w:adjustRightInd/>
              <w:rPr>
                <w:sz w:val="20"/>
                <w:szCs w:val="20"/>
              </w:rPr>
            </w:pPr>
          </w:p>
        </w:tc>
      </w:tr>
      <w:tr w:rsidRPr="00A53539" w:rsidR="00FB25C9" w:rsidTr="00A53539" w14:paraId="3257DA02"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77AE028B" w14:textId="77777777">
            <w:pPr>
              <w:widowControl/>
              <w:autoSpaceDE/>
              <w:autoSpaceDN/>
              <w:adjustRightInd/>
              <w:rPr>
                <w:color w:val="000000"/>
                <w:sz w:val="20"/>
                <w:szCs w:val="20"/>
              </w:rPr>
            </w:pPr>
            <w:r w:rsidRPr="00A53539">
              <w:rPr>
                <w:color w:val="000000"/>
                <w:sz w:val="20"/>
                <w:szCs w:val="20"/>
              </w:rPr>
              <w:t>Food Stores</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9A47CA3" w14:textId="77777777">
            <w:pPr>
              <w:widowControl/>
              <w:autoSpaceDE/>
              <w:autoSpaceDN/>
              <w:adjustRightInd/>
              <w:jc w:val="center"/>
              <w:rPr>
                <w:color w:val="000000"/>
                <w:sz w:val="20"/>
                <w:szCs w:val="20"/>
              </w:rPr>
            </w:pPr>
            <w:r w:rsidRPr="00A53539">
              <w:rPr>
                <w:color w:val="000000"/>
                <w:sz w:val="20"/>
                <w:szCs w:val="20"/>
              </w:rPr>
              <w:t>15,589</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64E7A04" w14:textId="77777777">
            <w:pPr>
              <w:widowControl/>
              <w:autoSpaceDE/>
              <w:autoSpaceDN/>
              <w:adjustRightInd/>
              <w:jc w:val="center"/>
              <w:rPr>
                <w:color w:val="000000"/>
                <w:sz w:val="20"/>
                <w:szCs w:val="20"/>
              </w:rPr>
            </w:pPr>
            <w:r w:rsidRPr="00A53539">
              <w:rPr>
                <w:color w:val="000000"/>
                <w:sz w:val="20"/>
                <w:szCs w:val="20"/>
              </w:rPr>
              <w:t>0.5</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BABCE82" w14:textId="77777777">
            <w:pPr>
              <w:widowControl/>
              <w:autoSpaceDE/>
              <w:autoSpaceDN/>
              <w:adjustRightInd/>
              <w:jc w:val="center"/>
              <w:rPr>
                <w:color w:val="000000"/>
                <w:sz w:val="20"/>
                <w:szCs w:val="20"/>
              </w:rPr>
            </w:pPr>
            <w:r w:rsidRPr="00A53539">
              <w:rPr>
                <w:color w:val="000000"/>
                <w:sz w:val="20"/>
                <w:szCs w:val="20"/>
              </w:rPr>
              <w:t>7,794.50</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91E3003" w14:textId="1C46F5F8">
            <w:pPr>
              <w:widowControl/>
              <w:autoSpaceDE/>
              <w:autoSpaceDN/>
              <w:adjustRightInd/>
              <w:jc w:val="center"/>
              <w:rPr>
                <w:color w:val="000000"/>
                <w:sz w:val="20"/>
                <w:szCs w:val="20"/>
              </w:rPr>
            </w:pPr>
            <w:r w:rsidRPr="00A53539">
              <w:rPr>
                <w:color w:val="000000"/>
                <w:sz w:val="20"/>
                <w:szCs w:val="20"/>
              </w:rPr>
              <w:t>10,912.</w:t>
            </w:r>
            <w:r w:rsidR="00F36F64">
              <w:rPr>
                <w:color w:val="000000"/>
                <w:sz w:val="20"/>
                <w:szCs w:val="20"/>
              </w:rPr>
              <w:t>5</w:t>
            </w:r>
            <w:r w:rsidRPr="00A53539">
              <w:rPr>
                <w:color w:val="000000"/>
                <w:sz w:val="20"/>
                <w:szCs w:val="20"/>
              </w:rPr>
              <w:t>0</w:t>
            </w: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5624B463" w14:textId="77777777">
            <w:pPr>
              <w:widowControl/>
              <w:autoSpaceDE/>
              <w:autoSpaceDN/>
              <w:adjustRightInd/>
              <w:jc w:val="center"/>
              <w:rPr>
                <w:color w:val="000000"/>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592916E0"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185F7235"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20AD2523"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2D7666F0" w14:textId="77777777">
            <w:pPr>
              <w:widowControl/>
              <w:autoSpaceDE/>
              <w:autoSpaceDN/>
              <w:adjustRightInd/>
              <w:rPr>
                <w:sz w:val="20"/>
                <w:szCs w:val="20"/>
              </w:rPr>
            </w:pPr>
          </w:p>
        </w:tc>
      </w:tr>
      <w:tr w:rsidRPr="00A53539" w:rsidR="00FB25C9" w:rsidTr="00A53539" w14:paraId="0D65E7B4"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6F5349E1" w14:textId="77777777">
            <w:pPr>
              <w:widowControl/>
              <w:autoSpaceDE/>
              <w:autoSpaceDN/>
              <w:adjustRightInd/>
              <w:rPr>
                <w:color w:val="000000"/>
                <w:sz w:val="20"/>
                <w:szCs w:val="20"/>
              </w:rPr>
            </w:pPr>
            <w:r w:rsidRPr="00A53539">
              <w:rPr>
                <w:color w:val="000000"/>
                <w:sz w:val="20"/>
                <w:szCs w:val="20"/>
              </w:rPr>
              <w:t>Services</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9461DB1" w14:textId="77777777">
            <w:pPr>
              <w:widowControl/>
              <w:autoSpaceDE/>
              <w:autoSpaceDN/>
              <w:adjustRightInd/>
              <w:jc w:val="center"/>
              <w:rPr>
                <w:color w:val="000000"/>
                <w:sz w:val="20"/>
                <w:szCs w:val="20"/>
              </w:rPr>
            </w:pPr>
            <w:r w:rsidRPr="00A53539">
              <w:rPr>
                <w:color w:val="000000"/>
                <w:sz w:val="20"/>
                <w:szCs w:val="20"/>
              </w:rPr>
              <w:t>90,335</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41EE114D" w14:textId="77777777">
            <w:pPr>
              <w:widowControl/>
              <w:autoSpaceDE/>
              <w:autoSpaceDN/>
              <w:adjustRightInd/>
              <w:jc w:val="center"/>
              <w:rPr>
                <w:color w:val="000000"/>
                <w:sz w:val="20"/>
                <w:szCs w:val="20"/>
              </w:rPr>
            </w:pPr>
            <w:r w:rsidRPr="00A53539">
              <w:rPr>
                <w:color w:val="000000"/>
                <w:sz w:val="20"/>
                <w:szCs w:val="20"/>
              </w:rPr>
              <w:t>0.5</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651A966E" w14:textId="77777777">
            <w:pPr>
              <w:widowControl/>
              <w:autoSpaceDE/>
              <w:autoSpaceDN/>
              <w:adjustRightInd/>
              <w:jc w:val="center"/>
              <w:rPr>
                <w:color w:val="000000"/>
                <w:sz w:val="20"/>
                <w:szCs w:val="20"/>
              </w:rPr>
            </w:pPr>
            <w:r w:rsidRPr="00A53539">
              <w:rPr>
                <w:color w:val="000000"/>
                <w:sz w:val="20"/>
                <w:szCs w:val="20"/>
              </w:rPr>
              <w:t>45,167.</w:t>
            </w:r>
            <w:r w:rsidR="009C677F">
              <w:rPr>
                <w:color w:val="000000"/>
                <w:sz w:val="20"/>
                <w:szCs w:val="20"/>
              </w:rPr>
              <w:t>50</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4809E389" w14:textId="77777777">
            <w:pPr>
              <w:widowControl/>
              <w:autoSpaceDE/>
              <w:autoSpaceDN/>
              <w:adjustRightInd/>
              <w:jc w:val="center"/>
              <w:rPr>
                <w:color w:val="000000"/>
                <w:sz w:val="20"/>
                <w:szCs w:val="20"/>
              </w:rPr>
            </w:pPr>
            <w:r w:rsidRPr="00A53539">
              <w:rPr>
                <w:color w:val="000000"/>
                <w:sz w:val="20"/>
                <w:szCs w:val="20"/>
              </w:rPr>
              <w:t>63,23</w:t>
            </w:r>
            <w:r w:rsidR="009C677F">
              <w:rPr>
                <w:color w:val="000000"/>
                <w:sz w:val="20"/>
                <w:szCs w:val="20"/>
              </w:rPr>
              <w:t>5.50</w:t>
            </w: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3E6AD5FD" w14:textId="77777777">
            <w:pPr>
              <w:widowControl/>
              <w:autoSpaceDE/>
              <w:autoSpaceDN/>
              <w:adjustRightInd/>
              <w:jc w:val="center"/>
              <w:rPr>
                <w:color w:val="000000"/>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23A00EDF"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4E67512F"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6CA25F8C"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2C387825" w14:textId="77777777">
            <w:pPr>
              <w:widowControl/>
              <w:autoSpaceDE/>
              <w:autoSpaceDN/>
              <w:adjustRightInd/>
              <w:rPr>
                <w:sz w:val="20"/>
                <w:szCs w:val="20"/>
              </w:rPr>
            </w:pPr>
          </w:p>
        </w:tc>
      </w:tr>
      <w:tr w:rsidRPr="00A53539" w:rsidR="00FB25C9" w:rsidTr="00A53539" w14:paraId="73FCCB61"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1976AA14" w14:textId="77777777">
            <w:pPr>
              <w:widowControl/>
              <w:autoSpaceDE/>
              <w:autoSpaceDN/>
              <w:adjustRightInd/>
              <w:rPr>
                <w:b/>
                <w:bCs/>
                <w:color w:val="000000"/>
                <w:sz w:val="20"/>
                <w:szCs w:val="20"/>
              </w:rPr>
            </w:pPr>
            <w:r w:rsidRPr="00A53539">
              <w:rPr>
                <w:b/>
                <w:bCs/>
                <w:color w:val="000000"/>
                <w:sz w:val="20"/>
                <w:szCs w:val="20"/>
              </w:rPr>
              <w:t>Total</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786771E4" w14:textId="77777777">
            <w:pPr>
              <w:widowControl/>
              <w:autoSpaceDE/>
              <w:autoSpaceDN/>
              <w:adjustRightInd/>
              <w:jc w:val="center"/>
              <w:rPr>
                <w:b/>
                <w:bCs/>
                <w:color w:val="000000"/>
                <w:sz w:val="20"/>
                <w:szCs w:val="20"/>
              </w:rPr>
            </w:pPr>
            <w:r w:rsidRPr="00A53539">
              <w:rPr>
                <w:b/>
                <w:bCs/>
                <w:color w:val="000000"/>
                <w:sz w:val="20"/>
                <w:szCs w:val="20"/>
              </w:rPr>
              <w:t>482,64</w:t>
            </w:r>
            <w:r w:rsidR="009C677F">
              <w:rPr>
                <w:b/>
                <w:bCs/>
                <w:color w:val="000000"/>
                <w:sz w:val="20"/>
                <w:szCs w:val="20"/>
              </w:rPr>
              <w:t>9</w:t>
            </w:r>
          </w:p>
        </w:tc>
        <w:tc>
          <w:tcPr>
            <w:tcW w:w="164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389339C" w14:textId="77777777">
            <w:pPr>
              <w:widowControl/>
              <w:autoSpaceDE/>
              <w:autoSpaceDN/>
              <w:adjustRightInd/>
              <w:jc w:val="center"/>
              <w:rPr>
                <w:b/>
                <w:bCs/>
                <w:color w:val="000000"/>
                <w:sz w:val="20"/>
                <w:szCs w:val="20"/>
              </w:rPr>
            </w:pPr>
            <w:r w:rsidRPr="00A53539">
              <w:rPr>
                <w:b/>
                <w:bCs/>
                <w:color w:val="000000"/>
                <w:sz w:val="20"/>
                <w:szCs w:val="20"/>
              </w:rPr>
              <w:t> </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18DC436" w14:textId="6956E097">
            <w:pPr>
              <w:widowControl/>
              <w:autoSpaceDE/>
              <w:autoSpaceDN/>
              <w:adjustRightInd/>
              <w:jc w:val="center"/>
              <w:rPr>
                <w:b/>
                <w:bCs/>
                <w:color w:val="000000"/>
                <w:sz w:val="20"/>
                <w:szCs w:val="20"/>
              </w:rPr>
            </w:pPr>
            <w:r w:rsidRPr="00A53539">
              <w:rPr>
                <w:b/>
                <w:bCs/>
                <w:color w:val="000000"/>
                <w:sz w:val="20"/>
                <w:szCs w:val="20"/>
              </w:rPr>
              <w:t>241,324.</w:t>
            </w:r>
            <w:r w:rsidR="00F36F64">
              <w:rPr>
                <w:b/>
                <w:bCs/>
                <w:color w:val="000000"/>
                <w:sz w:val="20"/>
                <w:szCs w:val="20"/>
              </w:rPr>
              <w:t>5</w:t>
            </w:r>
            <w:r w:rsidRPr="00A53539">
              <w:rPr>
                <w:b/>
                <w:bCs/>
                <w:color w:val="000000"/>
                <w:sz w:val="20"/>
                <w:szCs w:val="20"/>
              </w:rPr>
              <w:t>0</w:t>
            </w:r>
          </w:p>
        </w:tc>
        <w:tc>
          <w:tcPr>
            <w:tcW w:w="160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26AD0B9C" w14:textId="2C51E4A8">
            <w:pPr>
              <w:widowControl/>
              <w:autoSpaceDE/>
              <w:autoSpaceDN/>
              <w:adjustRightInd/>
              <w:jc w:val="center"/>
              <w:rPr>
                <w:b/>
                <w:bCs/>
                <w:color w:val="000000"/>
                <w:sz w:val="20"/>
                <w:szCs w:val="20"/>
              </w:rPr>
            </w:pPr>
            <w:r w:rsidRPr="00A53539">
              <w:rPr>
                <w:b/>
                <w:bCs/>
                <w:color w:val="000000"/>
                <w:sz w:val="20"/>
                <w:szCs w:val="20"/>
              </w:rPr>
              <w:t>337,85</w:t>
            </w:r>
            <w:r w:rsidR="009C677F">
              <w:rPr>
                <w:b/>
                <w:bCs/>
                <w:color w:val="000000"/>
                <w:sz w:val="20"/>
                <w:szCs w:val="20"/>
              </w:rPr>
              <w:t>6.50</w:t>
            </w: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57A317CB" w14:textId="77777777">
            <w:pPr>
              <w:widowControl/>
              <w:autoSpaceDE/>
              <w:autoSpaceDN/>
              <w:adjustRightInd/>
              <w:jc w:val="center"/>
              <w:rPr>
                <w:b/>
                <w:bCs/>
                <w:color w:val="000000"/>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26D4A276"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466948EE"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501FB7EA"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6BDF6399" w14:textId="77777777">
            <w:pPr>
              <w:widowControl/>
              <w:autoSpaceDE/>
              <w:autoSpaceDN/>
              <w:adjustRightInd/>
              <w:rPr>
                <w:sz w:val="20"/>
                <w:szCs w:val="20"/>
              </w:rPr>
            </w:pPr>
          </w:p>
        </w:tc>
      </w:tr>
      <w:tr w:rsidRPr="00A53539" w:rsidR="00FB25C9" w:rsidTr="00255B26" w14:paraId="0DEC9D67"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bottom"/>
            <w:hideMark/>
          </w:tcPr>
          <w:p w:rsidRPr="00A53539" w:rsidR="00A53539" w:rsidP="00A53539" w:rsidRDefault="00A53539" w14:paraId="44135088" w14:textId="77777777">
            <w:pPr>
              <w:widowControl/>
              <w:autoSpaceDE/>
              <w:autoSpaceDN/>
              <w:adjustRightInd/>
              <w:rPr>
                <w:color w:val="000000"/>
                <w:sz w:val="20"/>
                <w:szCs w:val="20"/>
              </w:rPr>
            </w:pPr>
            <w:r w:rsidRPr="00A53539">
              <w:rPr>
                <w:color w:val="000000"/>
                <w:sz w:val="20"/>
                <w:szCs w:val="20"/>
              </w:rPr>
              <w:t> </w:t>
            </w:r>
          </w:p>
        </w:tc>
        <w:tc>
          <w:tcPr>
            <w:tcW w:w="136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34055AD5" w14:textId="77777777">
            <w:pPr>
              <w:widowControl/>
              <w:autoSpaceDE/>
              <w:autoSpaceDN/>
              <w:adjustRightInd/>
              <w:rPr>
                <w:color w:val="000000"/>
                <w:sz w:val="20"/>
                <w:szCs w:val="20"/>
              </w:rPr>
            </w:pPr>
            <w:r w:rsidRPr="00A53539">
              <w:rPr>
                <w:color w:val="000000"/>
                <w:sz w:val="20"/>
                <w:szCs w:val="20"/>
              </w:rPr>
              <w:t> </w:t>
            </w:r>
          </w:p>
        </w:tc>
        <w:tc>
          <w:tcPr>
            <w:tcW w:w="164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4C7A66A9" w14:textId="77777777">
            <w:pPr>
              <w:widowControl/>
              <w:autoSpaceDE/>
              <w:autoSpaceDN/>
              <w:adjustRightInd/>
              <w:rPr>
                <w:color w:val="000000"/>
                <w:sz w:val="20"/>
                <w:szCs w:val="20"/>
              </w:rPr>
            </w:pPr>
            <w:r w:rsidRPr="00A53539">
              <w:rPr>
                <w:color w:val="000000"/>
                <w:sz w:val="20"/>
                <w:szCs w:val="20"/>
              </w:rPr>
              <w:t> </w:t>
            </w:r>
          </w:p>
        </w:tc>
        <w:tc>
          <w:tcPr>
            <w:tcW w:w="1360" w:type="dxa"/>
            <w:tcBorders>
              <w:top w:val="nil"/>
              <w:left w:val="nil"/>
              <w:bottom w:val="nil"/>
              <w:right w:val="nil"/>
            </w:tcBorders>
            <w:shd w:val="clear" w:color="auto" w:fill="auto"/>
            <w:noWrap/>
            <w:vAlign w:val="bottom"/>
            <w:hideMark/>
          </w:tcPr>
          <w:p w:rsidRPr="00A53539" w:rsidR="00A53539" w:rsidP="00A53539" w:rsidRDefault="00A53539" w14:paraId="0EC12D9A" w14:textId="77777777">
            <w:pPr>
              <w:widowControl/>
              <w:autoSpaceDE/>
              <w:autoSpaceDN/>
              <w:adjustRightInd/>
              <w:rPr>
                <w:color w:val="000000"/>
                <w:sz w:val="20"/>
                <w:szCs w:val="20"/>
              </w:rPr>
            </w:pP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23FF1602"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0BFC12E3"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606D3EDE"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5A11B186"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73D44A94"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323DF4FF" w14:textId="77777777">
            <w:pPr>
              <w:widowControl/>
              <w:autoSpaceDE/>
              <w:autoSpaceDN/>
              <w:adjustRightInd/>
              <w:rPr>
                <w:sz w:val="20"/>
                <w:szCs w:val="20"/>
              </w:rPr>
            </w:pPr>
          </w:p>
        </w:tc>
      </w:tr>
      <w:tr w:rsidRPr="00A53539" w:rsidR="00515A0E" w:rsidTr="00255B26" w14:paraId="03F3CECE" w14:textId="77777777">
        <w:trPr>
          <w:trHeight w:val="255"/>
          <w:jc w:val="center"/>
        </w:trPr>
        <w:tc>
          <w:tcPr>
            <w:tcW w:w="276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495F25D3" w14:textId="77777777">
            <w:pPr>
              <w:widowControl/>
              <w:autoSpaceDE/>
              <w:autoSpaceDN/>
              <w:adjustRightInd/>
              <w:rPr>
                <w:color w:val="000000"/>
                <w:sz w:val="20"/>
                <w:szCs w:val="20"/>
              </w:rPr>
            </w:pPr>
            <w:r w:rsidRPr="00A53539">
              <w:rPr>
                <w:color w:val="000000"/>
                <w:sz w:val="20"/>
                <w:szCs w:val="20"/>
              </w:rPr>
              <w:t>Grand Totals</w:t>
            </w:r>
          </w:p>
        </w:tc>
        <w:tc>
          <w:tcPr>
            <w:tcW w:w="164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623AEC56" w14:textId="77777777">
            <w:pPr>
              <w:widowControl/>
              <w:autoSpaceDE/>
              <w:autoSpaceDN/>
              <w:adjustRightInd/>
              <w:rPr>
                <w:color w:val="000000"/>
                <w:sz w:val="20"/>
                <w:szCs w:val="20"/>
              </w:rPr>
            </w:pPr>
            <w:r w:rsidRPr="00A53539">
              <w:rPr>
                <w:color w:val="000000"/>
                <w:sz w:val="20"/>
                <w:szCs w:val="20"/>
              </w:rPr>
              <w:t> </w:t>
            </w:r>
          </w:p>
        </w:tc>
        <w:tc>
          <w:tcPr>
            <w:tcW w:w="1360" w:type="dxa"/>
            <w:tcBorders>
              <w:top w:val="nil"/>
              <w:left w:val="nil"/>
              <w:bottom w:val="nil"/>
              <w:right w:val="nil"/>
            </w:tcBorders>
            <w:shd w:val="clear" w:color="auto" w:fill="auto"/>
            <w:noWrap/>
            <w:vAlign w:val="bottom"/>
            <w:hideMark/>
          </w:tcPr>
          <w:p w:rsidRPr="00A53539" w:rsidR="00A53539" w:rsidP="00A53539" w:rsidRDefault="00A53539" w14:paraId="09899389" w14:textId="77777777">
            <w:pPr>
              <w:widowControl/>
              <w:autoSpaceDE/>
              <w:autoSpaceDN/>
              <w:adjustRightInd/>
              <w:rPr>
                <w:color w:val="000000"/>
                <w:sz w:val="20"/>
                <w:szCs w:val="20"/>
              </w:rPr>
            </w:pP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7DED9EA5"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1FEC22C5"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40FE98BD"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023654D8"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79618F33"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2EBF823B" w14:textId="77777777">
            <w:pPr>
              <w:widowControl/>
              <w:autoSpaceDE/>
              <w:autoSpaceDN/>
              <w:adjustRightInd/>
              <w:rPr>
                <w:sz w:val="20"/>
                <w:szCs w:val="20"/>
              </w:rPr>
            </w:pPr>
          </w:p>
        </w:tc>
      </w:tr>
      <w:tr w:rsidRPr="00A53539" w:rsidR="00FB25C9" w:rsidTr="00255B26" w14:paraId="0F45F1E9" w14:textId="77777777">
        <w:trPr>
          <w:trHeight w:val="255"/>
          <w:jc w:val="center"/>
        </w:trPr>
        <w:tc>
          <w:tcPr>
            <w:tcW w:w="1400" w:type="dxa"/>
            <w:tcBorders>
              <w:top w:val="nil"/>
              <w:left w:val="single" w:color="auto" w:sz="4" w:space="0"/>
              <w:bottom w:val="single" w:color="auto" w:sz="4" w:space="0"/>
              <w:right w:val="single" w:color="auto" w:sz="4" w:space="0"/>
            </w:tcBorders>
            <w:shd w:val="clear" w:color="000000" w:fill="FFFFFF"/>
            <w:noWrap/>
            <w:vAlign w:val="center"/>
            <w:hideMark/>
          </w:tcPr>
          <w:p w:rsidRPr="00A53539" w:rsidR="00A53539" w:rsidP="00A53539" w:rsidRDefault="00A53539" w14:paraId="3B515F3F" w14:textId="77777777">
            <w:pPr>
              <w:widowControl/>
              <w:autoSpaceDE/>
              <w:autoSpaceDN/>
              <w:adjustRightInd/>
              <w:rPr>
                <w:color w:val="000000"/>
                <w:sz w:val="20"/>
                <w:szCs w:val="20"/>
              </w:rPr>
            </w:pPr>
            <w:r w:rsidRPr="00A53539">
              <w:rPr>
                <w:color w:val="000000"/>
                <w:sz w:val="20"/>
                <w:szCs w:val="20"/>
              </w:rPr>
              <w:t> </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A53539" w:rsidRDefault="00A53539" w14:paraId="3BBFC662" w14:textId="77777777">
            <w:pPr>
              <w:widowControl/>
              <w:autoSpaceDE/>
              <w:autoSpaceDN/>
              <w:adjustRightInd/>
              <w:jc w:val="center"/>
              <w:rPr>
                <w:color w:val="000000"/>
                <w:sz w:val="20"/>
                <w:szCs w:val="20"/>
              </w:rPr>
            </w:pPr>
            <w:r w:rsidRPr="00A53539">
              <w:rPr>
                <w:color w:val="000000"/>
                <w:sz w:val="20"/>
                <w:szCs w:val="20"/>
              </w:rPr>
              <w:t>Total Hours</w:t>
            </w:r>
          </w:p>
        </w:tc>
        <w:tc>
          <w:tcPr>
            <w:tcW w:w="164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472A76EA" w14:textId="77777777">
            <w:pPr>
              <w:widowControl/>
              <w:autoSpaceDE/>
              <w:autoSpaceDN/>
              <w:adjustRightInd/>
              <w:rPr>
                <w:color w:val="000000"/>
                <w:sz w:val="20"/>
                <w:szCs w:val="20"/>
              </w:rPr>
            </w:pPr>
            <w:r w:rsidRPr="00A53539">
              <w:rPr>
                <w:color w:val="000000"/>
                <w:sz w:val="20"/>
                <w:szCs w:val="20"/>
              </w:rPr>
              <w:t> </w:t>
            </w:r>
          </w:p>
        </w:tc>
        <w:tc>
          <w:tcPr>
            <w:tcW w:w="1360" w:type="dxa"/>
            <w:tcBorders>
              <w:top w:val="nil"/>
              <w:left w:val="nil"/>
              <w:bottom w:val="nil"/>
              <w:right w:val="nil"/>
            </w:tcBorders>
            <w:shd w:val="clear" w:color="auto" w:fill="auto"/>
            <w:noWrap/>
            <w:vAlign w:val="bottom"/>
            <w:hideMark/>
          </w:tcPr>
          <w:p w:rsidRPr="00A53539" w:rsidR="00A53539" w:rsidP="00A53539" w:rsidRDefault="00A53539" w14:paraId="4320DCA1" w14:textId="77777777">
            <w:pPr>
              <w:widowControl/>
              <w:autoSpaceDE/>
              <w:autoSpaceDN/>
              <w:adjustRightInd/>
              <w:rPr>
                <w:color w:val="000000"/>
                <w:sz w:val="20"/>
                <w:szCs w:val="20"/>
              </w:rPr>
            </w:pP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5EBCDC5C"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0E5EA764"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6048655E"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5465B046"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5C284133"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0F5A1E38" w14:textId="77777777">
            <w:pPr>
              <w:widowControl/>
              <w:autoSpaceDE/>
              <w:autoSpaceDN/>
              <w:adjustRightInd/>
              <w:rPr>
                <w:sz w:val="20"/>
                <w:szCs w:val="20"/>
              </w:rPr>
            </w:pPr>
          </w:p>
        </w:tc>
      </w:tr>
      <w:tr w:rsidRPr="00A53539" w:rsidR="00FB25C9" w:rsidTr="00255B26" w14:paraId="4C08642E" w14:textId="77777777">
        <w:trPr>
          <w:trHeight w:val="510"/>
          <w:jc w:val="center"/>
        </w:trPr>
        <w:tc>
          <w:tcPr>
            <w:tcW w:w="1400" w:type="dxa"/>
            <w:tcBorders>
              <w:top w:val="nil"/>
              <w:left w:val="single" w:color="auto" w:sz="4" w:space="0"/>
              <w:bottom w:val="single" w:color="auto" w:sz="4" w:space="0"/>
              <w:right w:val="single" w:color="auto" w:sz="4" w:space="0"/>
            </w:tcBorders>
            <w:shd w:val="clear" w:color="000000" w:fill="FFFFFF"/>
            <w:vAlign w:val="center"/>
            <w:hideMark/>
          </w:tcPr>
          <w:p w:rsidRPr="00A53539" w:rsidR="00A53539" w:rsidP="00A53539" w:rsidRDefault="00A53539" w14:paraId="095E2787" w14:textId="77777777">
            <w:pPr>
              <w:widowControl/>
              <w:autoSpaceDE/>
              <w:autoSpaceDN/>
              <w:adjustRightInd/>
              <w:rPr>
                <w:color w:val="000000"/>
                <w:sz w:val="20"/>
                <w:szCs w:val="20"/>
              </w:rPr>
            </w:pPr>
            <w:r w:rsidRPr="00A53539">
              <w:rPr>
                <w:color w:val="000000"/>
                <w:sz w:val="20"/>
                <w:szCs w:val="20"/>
              </w:rPr>
              <w:t>High-Impact Establishments</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724215" w:rsidRDefault="00A53539" w14:paraId="7C1F1C23" w14:textId="662419ED">
            <w:pPr>
              <w:widowControl/>
              <w:autoSpaceDE/>
              <w:autoSpaceDN/>
              <w:adjustRightInd/>
              <w:jc w:val="center"/>
              <w:rPr>
                <w:color w:val="000000"/>
                <w:sz w:val="20"/>
                <w:szCs w:val="20"/>
              </w:rPr>
            </w:pPr>
            <w:r w:rsidRPr="00A53539">
              <w:rPr>
                <w:color w:val="000000"/>
                <w:sz w:val="20"/>
                <w:szCs w:val="20"/>
              </w:rPr>
              <w:t>715,3</w:t>
            </w:r>
            <w:r w:rsidR="00724215">
              <w:rPr>
                <w:color w:val="000000"/>
                <w:sz w:val="20"/>
                <w:szCs w:val="20"/>
              </w:rPr>
              <w:t>68</w:t>
            </w:r>
            <w:r w:rsidR="009C677F">
              <w:rPr>
                <w:color w:val="000000"/>
                <w:sz w:val="20"/>
                <w:szCs w:val="20"/>
              </w:rPr>
              <w:t>.</w:t>
            </w:r>
            <w:r w:rsidR="00724215">
              <w:rPr>
                <w:color w:val="000000"/>
                <w:sz w:val="20"/>
                <w:szCs w:val="20"/>
              </w:rPr>
              <w:t>50</w:t>
            </w:r>
          </w:p>
        </w:tc>
        <w:tc>
          <w:tcPr>
            <w:tcW w:w="164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50877076" w14:textId="77777777">
            <w:pPr>
              <w:widowControl/>
              <w:autoSpaceDE/>
              <w:autoSpaceDN/>
              <w:adjustRightInd/>
              <w:rPr>
                <w:color w:val="000000"/>
                <w:sz w:val="20"/>
                <w:szCs w:val="20"/>
              </w:rPr>
            </w:pPr>
            <w:r w:rsidRPr="00A53539">
              <w:rPr>
                <w:color w:val="000000"/>
                <w:sz w:val="20"/>
                <w:szCs w:val="20"/>
              </w:rPr>
              <w:t> </w:t>
            </w:r>
          </w:p>
        </w:tc>
        <w:tc>
          <w:tcPr>
            <w:tcW w:w="1360" w:type="dxa"/>
            <w:tcBorders>
              <w:top w:val="nil"/>
              <w:left w:val="nil"/>
              <w:bottom w:val="nil"/>
              <w:right w:val="nil"/>
            </w:tcBorders>
            <w:shd w:val="clear" w:color="auto" w:fill="auto"/>
            <w:noWrap/>
            <w:vAlign w:val="bottom"/>
            <w:hideMark/>
          </w:tcPr>
          <w:p w:rsidRPr="00A53539" w:rsidR="00A53539" w:rsidP="00A53539" w:rsidRDefault="00A53539" w14:paraId="76F2418B" w14:textId="77777777">
            <w:pPr>
              <w:widowControl/>
              <w:autoSpaceDE/>
              <w:autoSpaceDN/>
              <w:adjustRightInd/>
              <w:rPr>
                <w:color w:val="000000"/>
                <w:sz w:val="20"/>
                <w:szCs w:val="20"/>
              </w:rPr>
            </w:pP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46C97A2A"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3A608316"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2391B710"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2828B303"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3C683788"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05273427" w14:textId="77777777">
            <w:pPr>
              <w:widowControl/>
              <w:autoSpaceDE/>
              <w:autoSpaceDN/>
              <w:adjustRightInd/>
              <w:rPr>
                <w:sz w:val="20"/>
                <w:szCs w:val="20"/>
              </w:rPr>
            </w:pPr>
          </w:p>
        </w:tc>
      </w:tr>
      <w:tr w:rsidRPr="00A53539" w:rsidR="00FB25C9" w:rsidTr="00255B26" w14:paraId="74500BA7" w14:textId="77777777">
        <w:trPr>
          <w:trHeight w:val="510"/>
          <w:jc w:val="center"/>
        </w:trPr>
        <w:tc>
          <w:tcPr>
            <w:tcW w:w="1400" w:type="dxa"/>
            <w:tcBorders>
              <w:top w:val="nil"/>
              <w:left w:val="single" w:color="auto" w:sz="4" w:space="0"/>
              <w:bottom w:val="single" w:color="auto" w:sz="4" w:space="0"/>
              <w:right w:val="single" w:color="auto" w:sz="4" w:space="0"/>
            </w:tcBorders>
            <w:shd w:val="clear" w:color="000000" w:fill="FFFFFF"/>
            <w:vAlign w:val="center"/>
            <w:hideMark/>
          </w:tcPr>
          <w:p w:rsidRPr="00A53539" w:rsidR="00A53539" w:rsidP="00A53539" w:rsidRDefault="00A53539" w14:paraId="78F81266" w14:textId="77777777">
            <w:pPr>
              <w:widowControl/>
              <w:autoSpaceDE/>
              <w:autoSpaceDN/>
              <w:adjustRightInd/>
              <w:rPr>
                <w:color w:val="000000"/>
                <w:sz w:val="20"/>
                <w:szCs w:val="20"/>
              </w:rPr>
            </w:pPr>
            <w:r w:rsidRPr="00A53539">
              <w:rPr>
                <w:color w:val="000000"/>
                <w:sz w:val="20"/>
                <w:szCs w:val="20"/>
              </w:rPr>
              <w:t>Low-Impact Establishments</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515A0E" w:rsidRDefault="00A53539" w14:paraId="5FE6BD27" w14:textId="72F854CB">
            <w:pPr>
              <w:widowControl/>
              <w:autoSpaceDE/>
              <w:autoSpaceDN/>
              <w:adjustRightInd/>
              <w:jc w:val="center"/>
              <w:rPr>
                <w:color w:val="000000"/>
                <w:sz w:val="20"/>
                <w:szCs w:val="20"/>
              </w:rPr>
            </w:pPr>
            <w:r w:rsidRPr="00A53539">
              <w:rPr>
                <w:color w:val="000000"/>
                <w:sz w:val="20"/>
                <w:szCs w:val="20"/>
              </w:rPr>
              <w:t>337,85</w:t>
            </w:r>
            <w:r w:rsidR="009C677F">
              <w:rPr>
                <w:color w:val="000000"/>
                <w:sz w:val="20"/>
                <w:szCs w:val="20"/>
              </w:rPr>
              <w:t>6.50</w:t>
            </w:r>
          </w:p>
        </w:tc>
        <w:tc>
          <w:tcPr>
            <w:tcW w:w="164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31F362CD" w14:textId="77777777">
            <w:pPr>
              <w:widowControl/>
              <w:autoSpaceDE/>
              <w:autoSpaceDN/>
              <w:adjustRightInd/>
              <w:rPr>
                <w:color w:val="000000"/>
                <w:sz w:val="20"/>
                <w:szCs w:val="20"/>
              </w:rPr>
            </w:pPr>
            <w:r w:rsidRPr="00A53539">
              <w:rPr>
                <w:color w:val="000000"/>
                <w:sz w:val="20"/>
                <w:szCs w:val="20"/>
              </w:rPr>
              <w:t> </w:t>
            </w:r>
          </w:p>
        </w:tc>
        <w:tc>
          <w:tcPr>
            <w:tcW w:w="1360" w:type="dxa"/>
            <w:tcBorders>
              <w:top w:val="nil"/>
              <w:left w:val="nil"/>
              <w:bottom w:val="nil"/>
              <w:right w:val="nil"/>
            </w:tcBorders>
            <w:shd w:val="clear" w:color="auto" w:fill="auto"/>
            <w:noWrap/>
            <w:vAlign w:val="bottom"/>
            <w:hideMark/>
          </w:tcPr>
          <w:p w:rsidRPr="00A53539" w:rsidR="00A53539" w:rsidP="00A53539" w:rsidRDefault="00A53539" w14:paraId="61221FF2" w14:textId="77777777">
            <w:pPr>
              <w:widowControl/>
              <w:autoSpaceDE/>
              <w:autoSpaceDN/>
              <w:adjustRightInd/>
              <w:rPr>
                <w:color w:val="000000"/>
                <w:sz w:val="20"/>
                <w:szCs w:val="20"/>
              </w:rPr>
            </w:pP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75308012"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60AE27BA"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1436E7B6"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1963DC21"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27009B82"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5D5A8292" w14:textId="77777777">
            <w:pPr>
              <w:widowControl/>
              <w:autoSpaceDE/>
              <w:autoSpaceDN/>
              <w:adjustRightInd/>
              <w:rPr>
                <w:sz w:val="20"/>
                <w:szCs w:val="20"/>
              </w:rPr>
            </w:pPr>
          </w:p>
        </w:tc>
      </w:tr>
      <w:tr w:rsidRPr="00A53539" w:rsidR="00FB25C9" w:rsidTr="00255B26" w14:paraId="382E0445" w14:textId="77777777">
        <w:trPr>
          <w:trHeight w:val="510"/>
          <w:jc w:val="center"/>
        </w:trPr>
        <w:tc>
          <w:tcPr>
            <w:tcW w:w="1400" w:type="dxa"/>
            <w:tcBorders>
              <w:top w:val="nil"/>
              <w:left w:val="single" w:color="auto" w:sz="4" w:space="0"/>
              <w:bottom w:val="single" w:color="auto" w:sz="4" w:space="0"/>
              <w:right w:val="single" w:color="auto" w:sz="4" w:space="0"/>
            </w:tcBorders>
            <w:shd w:val="clear" w:color="000000" w:fill="FFFFFF"/>
            <w:vAlign w:val="center"/>
            <w:hideMark/>
          </w:tcPr>
          <w:p w:rsidRPr="00A53539" w:rsidR="00A53539" w:rsidP="00A53539" w:rsidRDefault="00A53539" w14:paraId="3DDC0618" w14:textId="77777777">
            <w:pPr>
              <w:widowControl/>
              <w:autoSpaceDE/>
              <w:autoSpaceDN/>
              <w:adjustRightInd/>
              <w:rPr>
                <w:b/>
                <w:bCs/>
                <w:color w:val="000000"/>
                <w:sz w:val="20"/>
                <w:szCs w:val="20"/>
              </w:rPr>
            </w:pPr>
            <w:r w:rsidRPr="00A53539">
              <w:rPr>
                <w:b/>
                <w:bCs/>
                <w:color w:val="000000"/>
                <w:sz w:val="20"/>
                <w:szCs w:val="20"/>
              </w:rPr>
              <w:lastRenderedPageBreak/>
              <w:t>Grand Total Hours:</w:t>
            </w:r>
          </w:p>
        </w:tc>
        <w:tc>
          <w:tcPr>
            <w:tcW w:w="1360" w:type="dxa"/>
            <w:tcBorders>
              <w:top w:val="nil"/>
              <w:left w:val="nil"/>
              <w:bottom w:val="single" w:color="auto" w:sz="4" w:space="0"/>
              <w:right w:val="single" w:color="auto" w:sz="4" w:space="0"/>
            </w:tcBorders>
            <w:shd w:val="clear" w:color="000000" w:fill="FFFFFF"/>
            <w:noWrap/>
            <w:vAlign w:val="center"/>
            <w:hideMark/>
          </w:tcPr>
          <w:p w:rsidRPr="00A53539" w:rsidR="00A53539" w:rsidP="0044743A" w:rsidRDefault="00A53539" w14:paraId="3CE2AD72" w14:textId="2A4048A5">
            <w:pPr>
              <w:widowControl/>
              <w:autoSpaceDE/>
              <w:autoSpaceDN/>
              <w:adjustRightInd/>
              <w:jc w:val="center"/>
              <w:rPr>
                <w:b/>
                <w:bCs/>
                <w:color w:val="000000"/>
                <w:sz w:val="20"/>
                <w:szCs w:val="20"/>
              </w:rPr>
            </w:pPr>
            <w:r w:rsidRPr="00A53539">
              <w:rPr>
                <w:b/>
                <w:bCs/>
                <w:color w:val="000000"/>
                <w:sz w:val="20"/>
                <w:szCs w:val="20"/>
              </w:rPr>
              <w:t>1,053,2</w:t>
            </w:r>
            <w:r w:rsidR="00515A0E">
              <w:rPr>
                <w:b/>
                <w:bCs/>
                <w:color w:val="000000"/>
                <w:sz w:val="20"/>
                <w:szCs w:val="20"/>
              </w:rPr>
              <w:t>25</w:t>
            </w:r>
            <w:r w:rsidR="009C677F">
              <w:rPr>
                <w:b/>
                <w:bCs/>
                <w:color w:val="000000"/>
                <w:sz w:val="20"/>
                <w:szCs w:val="20"/>
              </w:rPr>
              <w:t>.</w:t>
            </w:r>
            <w:r w:rsidR="0044743A">
              <w:rPr>
                <w:b/>
                <w:bCs/>
                <w:color w:val="000000"/>
                <w:sz w:val="20"/>
                <w:szCs w:val="20"/>
              </w:rPr>
              <w:t>00</w:t>
            </w:r>
          </w:p>
        </w:tc>
        <w:tc>
          <w:tcPr>
            <w:tcW w:w="1640" w:type="dxa"/>
            <w:tcBorders>
              <w:top w:val="nil"/>
              <w:left w:val="nil"/>
              <w:bottom w:val="single" w:color="auto" w:sz="4" w:space="0"/>
              <w:right w:val="single" w:color="auto" w:sz="4" w:space="0"/>
            </w:tcBorders>
            <w:shd w:val="clear" w:color="000000" w:fill="FFFFFF"/>
            <w:noWrap/>
            <w:vAlign w:val="bottom"/>
            <w:hideMark/>
          </w:tcPr>
          <w:p w:rsidRPr="00A53539" w:rsidR="00A53539" w:rsidP="00A53539" w:rsidRDefault="00A53539" w14:paraId="5F24C960" w14:textId="77777777">
            <w:pPr>
              <w:widowControl/>
              <w:autoSpaceDE/>
              <w:autoSpaceDN/>
              <w:adjustRightInd/>
              <w:rPr>
                <w:color w:val="000000"/>
                <w:sz w:val="20"/>
                <w:szCs w:val="20"/>
              </w:rPr>
            </w:pPr>
            <w:r w:rsidRPr="00A53539">
              <w:rPr>
                <w:color w:val="000000"/>
                <w:sz w:val="20"/>
                <w:szCs w:val="20"/>
              </w:rPr>
              <w:t> </w:t>
            </w:r>
          </w:p>
        </w:tc>
        <w:tc>
          <w:tcPr>
            <w:tcW w:w="1360" w:type="dxa"/>
            <w:tcBorders>
              <w:top w:val="nil"/>
              <w:left w:val="nil"/>
              <w:bottom w:val="nil"/>
              <w:right w:val="nil"/>
            </w:tcBorders>
            <w:shd w:val="clear" w:color="auto" w:fill="auto"/>
            <w:noWrap/>
            <w:vAlign w:val="bottom"/>
            <w:hideMark/>
          </w:tcPr>
          <w:p w:rsidRPr="00A53539" w:rsidR="00A53539" w:rsidP="00A53539" w:rsidRDefault="00A53539" w14:paraId="214E5559" w14:textId="77777777">
            <w:pPr>
              <w:widowControl/>
              <w:autoSpaceDE/>
              <w:autoSpaceDN/>
              <w:adjustRightInd/>
              <w:rPr>
                <w:color w:val="000000"/>
                <w:sz w:val="20"/>
                <w:szCs w:val="20"/>
              </w:rPr>
            </w:pPr>
          </w:p>
        </w:tc>
        <w:tc>
          <w:tcPr>
            <w:tcW w:w="1600" w:type="dxa"/>
            <w:tcBorders>
              <w:top w:val="nil"/>
              <w:left w:val="nil"/>
              <w:bottom w:val="nil"/>
              <w:right w:val="nil"/>
            </w:tcBorders>
            <w:shd w:val="clear" w:color="auto" w:fill="auto"/>
            <w:noWrap/>
            <w:vAlign w:val="bottom"/>
            <w:hideMark/>
          </w:tcPr>
          <w:p w:rsidRPr="00A53539" w:rsidR="00A53539" w:rsidP="00A53539" w:rsidRDefault="00A53539" w14:paraId="552CF945"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A53539" w:rsidR="00A53539" w:rsidP="00A53539" w:rsidRDefault="00A53539" w14:paraId="39639FE9"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A53539" w:rsidR="00A53539" w:rsidP="00A53539" w:rsidRDefault="00A53539" w14:paraId="3DFA914D"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A53539" w:rsidR="00A53539" w:rsidP="00A53539" w:rsidRDefault="00A53539" w14:paraId="50A500C7"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53539" w:rsidR="00A53539" w:rsidP="00A53539" w:rsidRDefault="00A53539" w14:paraId="651BA8E8"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A53539" w:rsidR="00A53539" w:rsidP="00A53539" w:rsidRDefault="00A53539" w14:paraId="712BCB95" w14:textId="77777777">
            <w:pPr>
              <w:widowControl/>
              <w:autoSpaceDE/>
              <w:autoSpaceDN/>
              <w:adjustRightInd/>
              <w:rPr>
                <w:sz w:val="20"/>
                <w:szCs w:val="20"/>
              </w:rPr>
            </w:pPr>
          </w:p>
        </w:tc>
      </w:tr>
    </w:tbl>
    <w:p w:rsidR="005F5D50" w:rsidP="00F21F52" w:rsidRDefault="005F5D50" w14:paraId="5866AFB2" w14:textId="77777777">
      <w:pPr>
        <w:widowControl/>
        <w:tabs>
          <w:tab w:val="left" w:pos="3093"/>
        </w:tabs>
      </w:pPr>
    </w:p>
    <w:p w:rsidR="00D26281" w:rsidP="00921CE1" w:rsidRDefault="005F5D50" w14:paraId="766F1754" w14:textId="77777777">
      <w:pPr>
        <w:widowControl/>
        <w:tabs>
          <w:tab w:val="center" w:pos="6480"/>
          <w:tab w:val="left" w:pos="7200"/>
          <w:tab w:val="left" w:pos="7920"/>
          <w:tab w:val="left" w:pos="8640"/>
          <w:tab w:val="left" w:pos="9360"/>
          <w:tab w:val="left" w:pos="10080"/>
          <w:tab w:val="left" w:pos="10800"/>
          <w:tab w:val="left" w:pos="11520"/>
          <w:tab w:val="left" w:pos="12240"/>
          <w:tab w:val="left" w:pos="12960"/>
        </w:tabs>
      </w:pPr>
      <w:r>
        <w:br w:type="page"/>
      </w:r>
    </w:p>
    <w:p w:rsidR="00A53539" w:rsidP="00921CE1" w:rsidRDefault="00A53539" w14:paraId="1EDEDF4A" w14:textId="77777777">
      <w:pPr>
        <w:widowControl/>
        <w:tabs>
          <w:tab w:val="center" w:pos="6480"/>
          <w:tab w:val="left" w:pos="7200"/>
          <w:tab w:val="left" w:pos="7920"/>
          <w:tab w:val="left" w:pos="8640"/>
          <w:tab w:val="left" w:pos="9360"/>
          <w:tab w:val="left" w:pos="10080"/>
          <w:tab w:val="left" w:pos="10800"/>
          <w:tab w:val="left" w:pos="11520"/>
          <w:tab w:val="left" w:pos="12240"/>
          <w:tab w:val="left" w:pos="12960"/>
        </w:tabs>
      </w:pPr>
    </w:p>
    <w:tbl>
      <w:tblPr>
        <w:tblW w:w="5000" w:type="pct"/>
        <w:jc w:val="center"/>
        <w:tblLook w:val="04A0" w:firstRow="1" w:lastRow="0" w:firstColumn="1" w:lastColumn="0" w:noHBand="0" w:noVBand="1"/>
      </w:tblPr>
      <w:tblGrid>
        <w:gridCol w:w="267"/>
        <w:gridCol w:w="3082"/>
        <w:gridCol w:w="1445"/>
        <w:gridCol w:w="1498"/>
        <w:gridCol w:w="1104"/>
        <w:gridCol w:w="924"/>
        <w:gridCol w:w="1756"/>
        <w:gridCol w:w="1481"/>
        <w:gridCol w:w="3197"/>
        <w:gridCol w:w="222"/>
      </w:tblGrid>
      <w:tr w:rsidRPr="00421F81" w:rsidR="0019104A" w:rsidTr="0019104A" w14:paraId="31EB33A4" w14:textId="77777777">
        <w:trPr>
          <w:gridAfter w:val="1"/>
          <w:wAfter w:w="73" w:type="pct"/>
          <w:cantSplit/>
          <w:tblHeader/>
          <w:jc w:val="center"/>
        </w:trPr>
        <w:tc>
          <w:tcPr>
            <w:tcW w:w="1578" w:type="pct"/>
            <w:gridSpan w:val="3"/>
            <w:tcBorders>
              <w:top w:val="nil"/>
              <w:left w:val="nil"/>
              <w:bottom w:val="nil"/>
              <w:right w:val="nil"/>
            </w:tcBorders>
            <w:shd w:val="clear" w:color="auto" w:fill="auto"/>
            <w:noWrap/>
            <w:vAlign w:val="bottom"/>
            <w:hideMark/>
          </w:tcPr>
          <w:p w:rsidR="00421F81" w:rsidP="00421F81" w:rsidRDefault="00421F81" w14:paraId="6728D167" w14:textId="77777777">
            <w:pPr>
              <w:widowControl/>
              <w:autoSpaceDE/>
              <w:autoSpaceDN/>
              <w:adjustRightInd/>
              <w:rPr>
                <w:b/>
                <w:bCs/>
                <w:color w:val="000000"/>
                <w:sz w:val="20"/>
                <w:szCs w:val="20"/>
              </w:rPr>
            </w:pPr>
            <w:r w:rsidRPr="00421F81">
              <w:rPr>
                <w:b/>
                <w:bCs/>
                <w:color w:val="000000"/>
                <w:sz w:val="20"/>
                <w:szCs w:val="20"/>
              </w:rPr>
              <w:t>Table 4: Requested Burden-Hour Adjustments</w:t>
            </w:r>
          </w:p>
          <w:p w:rsidR="005D5566" w:rsidP="00421F81" w:rsidRDefault="005D5566" w14:paraId="23F64D1D" w14:textId="77777777">
            <w:pPr>
              <w:widowControl/>
              <w:autoSpaceDE/>
              <w:autoSpaceDN/>
              <w:adjustRightInd/>
              <w:rPr>
                <w:b/>
                <w:bCs/>
                <w:color w:val="000000"/>
                <w:sz w:val="20"/>
                <w:szCs w:val="20"/>
              </w:rPr>
            </w:pPr>
          </w:p>
          <w:p w:rsidRPr="00421F81" w:rsidR="005D5566" w:rsidP="00421F81" w:rsidRDefault="005D5566" w14:paraId="3AF90C34" w14:textId="77777777">
            <w:pPr>
              <w:widowControl/>
              <w:autoSpaceDE/>
              <w:autoSpaceDN/>
              <w:adjustRightInd/>
              <w:rPr>
                <w:b/>
                <w:bCs/>
                <w:color w:val="000000"/>
                <w:sz w:val="20"/>
                <w:szCs w:val="20"/>
              </w:rPr>
            </w:pPr>
          </w:p>
        </w:tc>
        <w:tc>
          <w:tcPr>
            <w:tcW w:w="570" w:type="pct"/>
            <w:tcBorders>
              <w:top w:val="nil"/>
              <w:left w:val="nil"/>
              <w:bottom w:val="nil"/>
              <w:right w:val="nil"/>
            </w:tcBorders>
            <w:shd w:val="clear" w:color="auto" w:fill="auto"/>
            <w:noWrap/>
            <w:vAlign w:val="bottom"/>
            <w:hideMark/>
          </w:tcPr>
          <w:p w:rsidRPr="00421F81" w:rsidR="00421F81" w:rsidP="00421F81" w:rsidRDefault="00421F81" w14:paraId="7F560958" w14:textId="77777777">
            <w:pPr>
              <w:widowControl/>
              <w:autoSpaceDE/>
              <w:autoSpaceDN/>
              <w:adjustRightInd/>
              <w:rPr>
                <w:b/>
                <w:bCs/>
                <w:color w:val="000000"/>
                <w:sz w:val="20"/>
                <w:szCs w:val="20"/>
              </w:rPr>
            </w:pPr>
          </w:p>
        </w:tc>
        <w:tc>
          <w:tcPr>
            <w:tcW w:w="363" w:type="pct"/>
            <w:tcBorders>
              <w:top w:val="nil"/>
              <w:left w:val="nil"/>
              <w:bottom w:val="nil"/>
              <w:right w:val="nil"/>
            </w:tcBorders>
            <w:shd w:val="clear" w:color="auto" w:fill="auto"/>
            <w:noWrap/>
            <w:vAlign w:val="bottom"/>
            <w:hideMark/>
          </w:tcPr>
          <w:p w:rsidRPr="00421F81" w:rsidR="00421F81" w:rsidP="00421F81" w:rsidRDefault="00421F81" w14:paraId="22B168BC" w14:textId="77777777">
            <w:pPr>
              <w:widowControl/>
              <w:autoSpaceDE/>
              <w:autoSpaceDN/>
              <w:adjustRightInd/>
              <w:rPr>
                <w:sz w:val="20"/>
                <w:szCs w:val="20"/>
              </w:rPr>
            </w:pPr>
          </w:p>
        </w:tc>
        <w:tc>
          <w:tcPr>
            <w:tcW w:w="304" w:type="pct"/>
            <w:tcBorders>
              <w:top w:val="nil"/>
              <w:left w:val="nil"/>
              <w:bottom w:val="nil"/>
              <w:right w:val="nil"/>
            </w:tcBorders>
            <w:shd w:val="clear" w:color="auto" w:fill="auto"/>
            <w:noWrap/>
            <w:vAlign w:val="bottom"/>
            <w:hideMark/>
          </w:tcPr>
          <w:p w:rsidRPr="00421F81" w:rsidR="00421F81" w:rsidP="00421F81" w:rsidRDefault="00421F81" w14:paraId="0B0BC034" w14:textId="77777777">
            <w:pPr>
              <w:widowControl/>
              <w:autoSpaceDE/>
              <w:autoSpaceDN/>
              <w:adjustRightInd/>
              <w:rPr>
                <w:sz w:val="20"/>
                <w:szCs w:val="20"/>
              </w:rPr>
            </w:pPr>
          </w:p>
        </w:tc>
        <w:tc>
          <w:tcPr>
            <w:tcW w:w="578" w:type="pct"/>
            <w:tcBorders>
              <w:top w:val="nil"/>
              <w:left w:val="nil"/>
              <w:bottom w:val="nil"/>
              <w:right w:val="nil"/>
            </w:tcBorders>
            <w:shd w:val="clear" w:color="auto" w:fill="auto"/>
            <w:noWrap/>
            <w:vAlign w:val="bottom"/>
            <w:hideMark/>
          </w:tcPr>
          <w:p w:rsidRPr="00421F81" w:rsidR="00421F81" w:rsidP="00421F81" w:rsidRDefault="00421F81" w14:paraId="5CD93E71" w14:textId="77777777">
            <w:pPr>
              <w:widowControl/>
              <w:autoSpaceDE/>
              <w:autoSpaceDN/>
              <w:adjustRightInd/>
              <w:rPr>
                <w:sz w:val="20"/>
                <w:szCs w:val="20"/>
              </w:rPr>
            </w:pPr>
          </w:p>
        </w:tc>
        <w:tc>
          <w:tcPr>
            <w:tcW w:w="397" w:type="pct"/>
            <w:tcBorders>
              <w:top w:val="nil"/>
              <w:left w:val="nil"/>
              <w:bottom w:val="nil"/>
              <w:right w:val="nil"/>
            </w:tcBorders>
            <w:shd w:val="clear" w:color="auto" w:fill="auto"/>
            <w:noWrap/>
            <w:vAlign w:val="bottom"/>
            <w:hideMark/>
          </w:tcPr>
          <w:p w:rsidRPr="00421F81" w:rsidR="00421F81" w:rsidP="00421F81" w:rsidRDefault="00421F81" w14:paraId="153D4DB2" w14:textId="77777777">
            <w:pPr>
              <w:widowControl/>
              <w:autoSpaceDE/>
              <w:autoSpaceDN/>
              <w:adjustRightInd/>
              <w:rPr>
                <w:sz w:val="20"/>
                <w:szCs w:val="20"/>
              </w:rPr>
            </w:pPr>
          </w:p>
        </w:tc>
        <w:tc>
          <w:tcPr>
            <w:tcW w:w="1137" w:type="pct"/>
            <w:tcBorders>
              <w:top w:val="nil"/>
              <w:left w:val="nil"/>
              <w:bottom w:val="nil"/>
              <w:right w:val="nil"/>
            </w:tcBorders>
            <w:shd w:val="clear" w:color="auto" w:fill="auto"/>
            <w:noWrap/>
            <w:vAlign w:val="bottom"/>
            <w:hideMark/>
          </w:tcPr>
          <w:p w:rsidRPr="00421F81" w:rsidR="00421F81" w:rsidP="00421F81" w:rsidRDefault="00421F81" w14:paraId="6BDA5491" w14:textId="77777777">
            <w:pPr>
              <w:widowControl/>
              <w:autoSpaceDE/>
              <w:autoSpaceDN/>
              <w:adjustRightInd/>
              <w:rPr>
                <w:sz w:val="20"/>
                <w:szCs w:val="20"/>
              </w:rPr>
            </w:pPr>
          </w:p>
        </w:tc>
      </w:tr>
      <w:tr w:rsidRPr="00421F81" w:rsidR="0019104A" w:rsidTr="0019104A" w14:paraId="767DCF94" w14:textId="77777777">
        <w:trPr>
          <w:gridAfter w:val="1"/>
          <w:wAfter w:w="73" w:type="pct"/>
          <w:cantSplit/>
          <w:tblHeader/>
          <w:jc w:val="center"/>
        </w:trPr>
        <w:tc>
          <w:tcPr>
            <w:tcW w:w="110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421F81" w:rsidR="00421F81" w:rsidP="00421F81" w:rsidRDefault="00421F81" w14:paraId="2728E2E3" w14:textId="77777777">
            <w:pPr>
              <w:widowControl/>
              <w:autoSpaceDE/>
              <w:autoSpaceDN/>
              <w:adjustRightInd/>
              <w:jc w:val="center"/>
              <w:rPr>
                <w:b/>
                <w:bCs/>
                <w:color w:val="000000"/>
                <w:sz w:val="20"/>
                <w:szCs w:val="20"/>
              </w:rPr>
            </w:pPr>
            <w:bookmarkStart w:name="RANGE!B8:J21" w:id="11"/>
            <w:r w:rsidRPr="00421F81">
              <w:rPr>
                <w:b/>
                <w:bCs/>
                <w:color w:val="000000"/>
                <w:sz w:val="20"/>
                <w:szCs w:val="20"/>
              </w:rPr>
              <w:t>Information Collection Requirement</w:t>
            </w:r>
            <w:bookmarkEnd w:id="11"/>
          </w:p>
        </w:tc>
        <w:tc>
          <w:tcPr>
            <w:tcW w:w="476" w:type="pct"/>
            <w:tcBorders>
              <w:top w:val="single" w:color="000000" w:sz="8" w:space="0"/>
              <w:left w:val="nil"/>
              <w:bottom w:val="nil"/>
              <w:right w:val="single" w:color="000000" w:sz="8" w:space="0"/>
            </w:tcBorders>
            <w:shd w:val="clear" w:color="auto" w:fill="auto"/>
            <w:noWrap/>
            <w:vAlign w:val="center"/>
            <w:hideMark/>
          </w:tcPr>
          <w:p w:rsidRPr="00421F81" w:rsidR="00421F81" w:rsidP="00421F81" w:rsidRDefault="00421F81" w14:paraId="6694DCCE" w14:textId="77777777">
            <w:pPr>
              <w:widowControl/>
              <w:autoSpaceDE/>
              <w:autoSpaceDN/>
              <w:adjustRightInd/>
              <w:jc w:val="center"/>
              <w:rPr>
                <w:b/>
                <w:bCs/>
                <w:color w:val="000000"/>
                <w:sz w:val="20"/>
                <w:szCs w:val="20"/>
              </w:rPr>
            </w:pPr>
            <w:r w:rsidRPr="00421F81">
              <w:rPr>
                <w:b/>
                <w:bCs/>
                <w:color w:val="000000"/>
                <w:sz w:val="20"/>
                <w:szCs w:val="20"/>
              </w:rPr>
              <w:t>Current</w:t>
            </w:r>
          </w:p>
        </w:tc>
        <w:tc>
          <w:tcPr>
            <w:tcW w:w="570" w:type="pct"/>
            <w:tcBorders>
              <w:top w:val="single" w:color="000000" w:sz="8" w:space="0"/>
              <w:left w:val="nil"/>
              <w:bottom w:val="nil"/>
              <w:right w:val="single" w:color="000000" w:sz="8" w:space="0"/>
            </w:tcBorders>
            <w:shd w:val="clear" w:color="auto" w:fill="auto"/>
            <w:noWrap/>
            <w:vAlign w:val="center"/>
            <w:hideMark/>
          </w:tcPr>
          <w:p w:rsidRPr="00421F81" w:rsidR="00421F81" w:rsidP="00421F81" w:rsidRDefault="00421F81" w14:paraId="77E7A978" w14:textId="77777777">
            <w:pPr>
              <w:widowControl/>
              <w:autoSpaceDE/>
              <w:autoSpaceDN/>
              <w:adjustRightInd/>
              <w:jc w:val="center"/>
              <w:rPr>
                <w:b/>
                <w:bCs/>
                <w:color w:val="000000"/>
                <w:sz w:val="20"/>
                <w:szCs w:val="20"/>
              </w:rPr>
            </w:pPr>
            <w:r w:rsidRPr="00421F81">
              <w:rPr>
                <w:b/>
                <w:bCs/>
                <w:color w:val="000000"/>
                <w:sz w:val="20"/>
                <w:szCs w:val="20"/>
              </w:rPr>
              <w:t>Requested</w:t>
            </w:r>
          </w:p>
        </w:tc>
        <w:tc>
          <w:tcPr>
            <w:tcW w:w="667"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421F81" w:rsidR="00421F81" w:rsidP="00421F81" w:rsidRDefault="00421F81" w14:paraId="0D5D4A3F" w14:textId="77777777">
            <w:pPr>
              <w:widowControl/>
              <w:autoSpaceDE/>
              <w:autoSpaceDN/>
              <w:adjustRightInd/>
              <w:jc w:val="center"/>
              <w:rPr>
                <w:b/>
                <w:bCs/>
                <w:color w:val="000000"/>
                <w:sz w:val="20"/>
                <w:szCs w:val="20"/>
              </w:rPr>
            </w:pPr>
            <w:r w:rsidRPr="00421F81">
              <w:rPr>
                <w:b/>
                <w:bCs/>
                <w:color w:val="000000"/>
                <w:sz w:val="20"/>
                <w:szCs w:val="20"/>
              </w:rPr>
              <w:t>Adjustment to Hours</w:t>
            </w:r>
          </w:p>
        </w:tc>
        <w:tc>
          <w:tcPr>
            <w:tcW w:w="578" w:type="pct"/>
            <w:tcBorders>
              <w:top w:val="single" w:color="000000" w:sz="8" w:space="0"/>
              <w:left w:val="nil"/>
              <w:bottom w:val="nil"/>
              <w:right w:val="single" w:color="000000" w:sz="8" w:space="0"/>
            </w:tcBorders>
            <w:shd w:val="clear" w:color="auto" w:fill="auto"/>
            <w:noWrap/>
            <w:vAlign w:val="center"/>
            <w:hideMark/>
          </w:tcPr>
          <w:p w:rsidRPr="00421F81" w:rsidR="00421F81" w:rsidP="00421F81" w:rsidRDefault="00421F81" w14:paraId="4EF60ADC" w14:textId="77777777">
            <w:pPr>
              <w:widowControl/>
              <w:autoSpaceDE/>
              <w:autoSpaceDN/>
              <w:adjustRightInd/>
              <w:jc w:val="center"/>
              <w:rPr>
                <w:b/>
                <w:bCs/>
                <w:color w:val="000000"/>
                <w:sz w:val="20"/>
                <w:szCs w:val="20"/>
              </w:rPr>
            </w:pPr>
            <w:r w:rsidRPr="00421F81">
              <w:rPr>
                <w:b/>
                <w:bCs/>
                <w:color w:val="000000"/>
                <w:sz w:val="20"/>
                <w:szCs w:val="20"/>
              </w:rPr>
              <w:t>Cost Under</w:t>
            </w:r>
          </w:p>
        </w:tc>
        <w:tc>
          <w:tcPr>
            <w:tcW w:w="39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421F81" w:rsidR="00421F81" w:rsidP="00421F81" w:rsidRDefault="00421F81" w14:paraId="500B67B2" w14:textId="77777777">
            <w:pPr>
              <w:widowControl/>
              <w:autoSpaceDE/>
              <w:autoSpaceDN/>
              <w:adjustRightInd/>
              <w:jc w:val="center"/>
              <w:rPr>
                <w:b/>
                <w:bCs/>
                <w:color w:val="000000"/>
                <w:sz w:val="20"/>
                <w:szCs w:val="20"/>
              </w:rPr>
            </w:pPr>
            <w:r w:rsidRPr="00421F81">
              <w:rPr>
                <w:b/>
                <w:bCs/>
                <w:color w:val="000000"/>
                <w:sz w:val="20"/>
                <w:szCs w:val="20"/>
              </w:rPr>
              <w:t>Responses</w:t>
            </w:r>
          </w:p>
        </w:tc>
        <w:tc>
          <w:tcPr>
            <w:tcW w:w="113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421F81" w:rsidR="00421F81" w:rsidP="00421F81" w:rsidRDefault="00421F81" w14:paraId="60960655" w14:textId="77777777">
            <w:pPr>
              <w:widowControl/>
              <w:autoSpaceDE/>
              <w:autoSpaceDN/>
              <w:adjustRightInd/>
              <w:jc w:val="center"/>
              <w:rPr>
                <w:b/>
                <w:bCs/>
                <w:color w:val="000000"/>
                <w:sz w:val="20"/>
                <w:szCs w:val="20"/>
              </w:rPr>
            </w:pPr>
            <w:r w:rsidRPr="00421F81">
              <w:rPr>
                <w:b/>
                <w:bCs/>
                <w:color w:val="000000"/>
                <w:sz w:val="20"/>
                <w:szCs w:val="20"/>
              </w:rPr>
              <w:t>Explanation of Adjustment</w:t>
            </w:r>
          </w:p>
        </w:tc>
      </w:tr>
      <w:tr w:rsidRPr="00421F81" w:rsidR="0019104A" w:rsidTr="0019104A" w14:paraId="04C9A523" w14:textId="77777777">
        <w:trPr>
          <w:gridAfter w:val="1"/>
          <w:wAfter w:w="73" w:type="pct"/>
          <w:trHeight w:val="270"/>
          <w:jc w:val="center"/>
        </w:trPr>
        <w:tc>
          <w:tcPr>
            <w:tcW w:w="1102" w:type="pct"/>
            <w:gridSpan w:val="2"/>
            <w:vMerge/>
            <w:tcBorders>
              <w:top w:val="single" w:color="000000" w:sz="8" w:space="0"/>
              <w:left w:val="single" w:color="000000" w:sz="8" w:space="0"/>
              <w:bottom w:val="single" w:color="000000" w:sz="8" w:space="0"/>
              <w:right w:val="single" w:color="000000" w:sz="8" w:space="0"/>
            </w:tcBorders>
            <w:vAlign w:val="center"/>
            <w:hideMark/>
          </w:tcPr>
          <w:p w:rsidRPr="00421F81" w:rsidR="00421F81" w:rsidP="00421F81" w:rsidRDefault="00421F81" w14:paraId="539165C3" w14:textId="77777777">
            <w:pPr>
              <w:widowControl/>
              <w:autoSpaceDE/>
              <w:autoSpaceDN/>
              <w:adjustRightInd/>
              <w:rPr>
                <w:b/>
                <w:bCs/>
                <w:color w:val="000000"/>
                <w:sz w:val="20"/>
                <w:szCs w:val="20"/>
              </w:rPr>
            </w:pPr>
          </w:p>
        </w:tc>
        <w:tc>
          <w:tcPr>
            <w:tcW w:w="476" w:type="pct"/>
            <w:tcBorders>
              <w:top w:val="nil"/>
              <w:left w:val="nil"/>
              <w:bottom w:val="single" w:color="000000" w:sz="8" w:space="0"/>
              <w:right w:val="single" w:color="000000" w:sz="8" w:space="0"/>
            </w:tcBorders>
            <w:shd w:val="clear" w:color="auto" w:fill="auto"/>
            <w:noWrap/>
            <w:vAlign w:val="center"/>
            <w:hideMark/>
          </w:tcPr>
          <w:p w:rsidRPr="00421F81" w:rsidR="00421F81" w:rsidP="00421F81" w:rsidRDefault="00421F81" w14:paraId="0BF9D391" w14:textId="77777777">
            <w:pPr>
              <w:widowControl/>
              <w:autoSpaceDE/>
              <w:autoSpaceDN/>
              <w:adjustRightInd/>
              <w:jc w:val="center"/>
              <w:rPr>
                <w:b/>
                <w:bCs/>
                <w:color w:val="000000"/>
                <w:sz w:val="20"/>
                <w:szCs w:val="20"/>
              </w:rPr>
            </w:pPr>
            <w:r w:rsidRPr="00421F81">
              <w:rPr>
                <w:b/>
                <w:bCs/>
                <w:color w:val="000000"/>
                <w:sz w:val="20"/>
                <w:szCs w:val="20"/>
              </w:rPr>
              <w:t>Burden Hours</w:t>
            </w:r>
          </w:p>
        </w:tc>
        <w:tc>
          <w:tcPr>
            <w:tcW w:w="570" w:type="pct"/>
            <w:tcBorders>
              <w:top w:val="nil"/>
              <w:left w:val="nil"/>
              <w:bottom w:val="single" w:color="000000" w:sz="8" w:space="0"/>
              <w:right w:val="single" w:color="000000" w:sz="8" w:space="0"/>
            </w:tcBorders>
            <w:shd w:val="clear" w:color="auto" w:fill="auto"/>
            <w:noWrap/>
            <w:vAlign w:val="center"/>
            <w:hideMark/>
          </w:tcPr>
          <w:p w:rsidRPr="00421F81" w:rsidR="00421F81" w:rsidP="00421F81" w:rsidRDefault="00421F81" w14:paraId="0A362078" w14:textId="77777777">
            <w:pPr>
              <w:widowControl/>
              <w:autoSpaceDE/>
              <w:autoSpaceDN/>
              <w:adjustRightInd/>
              <w:jc w:val="center"/>
              <w:rPr>
                <w:b/>
                <w:bCs/>
                <w:color w:val="000000"/>
                <w:sz w:val="20"/>
                <w:szCs w:val="20"/>
              </w:rPr>
            </w:pPr>
            <w:r w:rsidRPr="00421F81">
              <w:rPr>
                <w:b/>
                <w:bCs/>
                <w:color w:val="000000"/>
                <w:sz w:val="20"/>
                <w:szCs w:val="20"/>
              </w:rPr>
              <w:t>Burden Hours</w:t>
            </w:r>
          </w:p>
        </w:tc>
        <w:tc>
          <w:tcPr>
            <w:tcW w:w="667" w:type="pct"/>
            <w:gridSpan w:val="2"/>
            <w:vMerge/>
            <w:tcBorders>
              <w:top w:val="nil"/>
              <w:left w:val="nil"/>
              <w:bottom w:val="single" w:color="000000" w:sz="8" w:space="0"/>
              <w:right w:val="single" w:color="000000" w:sz="8" w:space="0"/>
            </w:tcBorders>
            <w:vAlign w:val="center"/>
            <w:hideMark/>
          </w:tcPr>
          <w:p w:rsidRPr="00421F81" w:rsidR="00421F81" w:rsidP="00421F81" w:rsidRDefault="00421F81" w14:paraId="5988574F" w14:textId="77777777">
            <w:pPr>
              <w:widowControl/>
              <w:autoSpaceDE/>
              <w:autoSpaceDN/>
              <w:adjustRightInd/>
              <w:rPr>
                <w:b/>
                <w:bCs/>
                <w:color w:val="000000"/>
                <w:sz w:val="20"/>
                <w:szCs w:val="20"/>
              </w:rPr>
            </w:pPr>
          </w:p>
        </w:tc>
        <w:tc>
          <w:tcPr>
            <w:tcW w:w="578" w:type="pct"/>
            <w:tcBorders>
              <w:top w:val="nil"/>
              <w:left w:val="nil"/>
              <w:bottom w:val="single" w:color="000000" w:sz="8" w:space="0"/>
              <w:right w:val="single" w:color="000000" w:sz="8" w:space="0"/>
            </w:tcBorders>
            <w:shd w:val="clear" w:color="auto" w:fill="auto"/>
            <w:noWrap/>
            <w:vAlign w:val="center"/>
            <w:hideMark/>
          </w:tcPr>
          <w:p w:rsidRPr="00421F81" w:rsidR="00421F81" w:rsidP="00421F81" w:rsidRDefault="00421F81" w14:paraId="5E8A68FC" w14:textId="77777777">
            <w:pPr>
              <w:widowControl/>
              <w:autoSpaceDE/>
              <w:autoSpaceDN/>
              <w:adjustRightInd/>
              <w:jc w:val="center"/>
              <w:rPr>
                <w:b/>
                <w:bCs/>
                <w:color w:val="000000"/>
                <w:sz w:val="20"/>
                <w:szCs w:val="20"/>
              </w:rPr>
            </w:pPr>
            <w:r w:rsidRPr="00421F81">
              <w:rPr>
                <w:b/>
                <w:bCs/>
                <w:color w:val="000000"/>
                <w:sz w:val="20"/>
                <w:szCs w:val="20"/>
              </w:rPr>
              <w:t>Item 12</w:t>
            </w:r>
          </w:p>
        </w:tc>
        <w:tc>
          <w:tcPr>
            <w:tcW w:w="397" w:type="pct"/>
            <w:vMerge/>
            <w:tcBorders>
              <w:top w:val="single" w:color="000000" w:sz="8" w:space="0"/>
              <w:left w:val="single" w:color="000000" w:sz="8" w:space="0"/>
              <w:bottom w:val="single" w:color="000000" w:sz="8" w:space="0"/>
              <w:right w:val="single" w:color="000000" w:sz="8" w:space="0"/>
            </w:tcBorders>
            <w:vAlign w:val="center"/>
            <w:hideMark/>
          </w:tcPr>
          <w:p w:rsidRPr="00421F81" w:rsidR="00421F81" w:rsidP="00421F81" w:rsidRDefault="00421F81" w14:paraId="7EEA6BFA" w14:textId="77777777">
            <w:pPr>
              <w:widowControl/>
              <w:autoSpaceDE/>
              <w:autoSpaceDN/>
              <w:adjustRightInd/>
              <w:rPr>
                <w:b/>
                <w:bCs/>
                <w:color w:val="000000"/>
                <w:sz w:val="20"/>
                <w:szCs w:val="20"/>
              </w:rPr>
            </w:pPr>
          </w:p>
        </w:tc>
        <w:tc>
          <w:tcPr>
            <w:tcW w:w="1137" w:type="pct"/>
            <w:vMerge/>
            <w:tcBorders>
              <w:top w:val="single" w:color="000000" w:sz="8" w:space="0"/>
              <w:left w:val="single" w:color="000000" w:sz="8" w:space="0"/>
              <w:bottom w:val="single" w:color="000000" w:sz="8" w:space="0"/>
              <w:right w:val="single" w:color="000000" w:sz="8" w:space="0"/>
            </w:tcBorders>
            <w:vAlign w:val="center"/>
            <w:hideMark/>
          </w:tcPr>
          <w:p w:rsidRPr="00421F81" w:rsidR="00421F81" w:rsidP="00421F81" w:rsidRDefault="00421F81" w14:paraId="023D4D43" w14:textId="77777777">
            <w:pPr>
              <w:widowControl/>
              <w:autoSpaceDE/>
              <w:autoSpaceDN/>
              <w:adjustRightInd/>
              <w:rPr>
                <w:b/>
                <w:bCs/>
                <w:color w:val="000000"/>
                <w:sz w:val="20"/>
                <w:szCs w:val="20"/>
              </w:rPr>
            </w:pPr>
          </w:p>
        </w:tc>
      </w:tr>
      <w:tr w:rsidRPr="00421F81" w:rsidR="0019104A" w:rsidTr="0019104A" w14:paraId="784C421C" w14:textId="77777777">
        <w:trPr>
          <w:gridAfter w:val="1"/>
          <w:wAfter w:w="73" w:type="pct"/>
          <w:trHeight w:val="765"/>
          <w:jc w:val="center"/>
        </w:trPr>
        <w:tc>
          <w:tcPr>
            <w:tcW w:w="11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421F81" w:rsidR="00421F81" w:rsidP="00421F81" w:rsidRDefault="00421F81" w14:paraId="46D0E01F" w14:textId="77777777">
            <w:pPr>
              <w:widowControl/>
              <w:autoSpaceDE/>
              <w:autoSpaceDN/>
              <w:adjustRightInd/>
              <w:rPr>
                <w:color w:val="000000"/>
                <w:sz w:val="20"/>
                <w:szCs w:val="20"/>
              </w:rPr>
            </w:pPr>
            <w:r w:rsidRPr="00421F81">
              <w:rPr>
                <w:color w:val="000000"/>
                <w:sz w:val="20"/>
                <w:szCs w:val="20"/>
              </w:rPr>
              <w:t>(</w:t>
            </w:r>
            <w:r w:rsidRPr="00421F81">
              <w:rPr>
                <w:b/>
                <w:bCs/>
                <w:color w:val="000000"/>
                <w:sz w:val="20"/>
                <w:szCs w:val="20"/>
              </w:rPr>
              <w:t>A)  Energy-Control Procedure (paragraph (c)(4)(i))</w:t>
            </w:r>
          </w:p>
        </w:tc>
        <w:tc>
          <w:tcPr>
            <w:tcW w:w="3825" w:type="pct"/>
            <w:gridSpan w:val="7"/>
            <w:tcBorders>
              <w:top w:val="single" w:color="000000" w:sz="8" w:space="0"/>
              <w:left w:val="nil"/>
              <w:bottom w:val="single" w:color="000000" w:sz="8" w:space="0"/>
              <w:right w:val="single" w:color="000000" w:sz="8" w:space="0"/>
            </w:tcBorders>
            <w:shd w:val="clear" w:color="000000" w:fill="CCCCCC"/>
            <w:vAlign w:val="center"/>
            <w:hideMark/>
          </w:tcPr>
          <w:p w:rsidRPr="00421F81" w:rsidR="00421F81" w:rsidP="00421F81" w:rsidRDefault="00421F81" w14:paraId="5632DCC4" w14:textId="77777777">
            <w:pPr>
              <w:widowControl/>
              <w:autoSpaceDE/>
              <w:autoSpaceDN/>
              <w:adjustRightInd/>
              <w:rPr>
                <w:color w:val="000000"/>
                <w:sz w:val="20"/>
                <w:szCs w:val="20"/>
              </w:rPr>
            </w:pPr>
            <w:r w:rsidRPr="00421F81">
              <w:rPr>
                <w:color w:val="000000"/>
                <w:sz w:val="20"/>
                <w:szCs w:val="20"/>
              </w:rPr>
              <w:t> </w:t>
            </w:r>
          </w:p>
        </w:tc>
      </w:tr>
      <w:tr w:rsidRPr="00421F81" w:rsidR="0019104A" w:rsidTr="0019104A" w14:paraId="7411BB2A" w14:textId="77777777">
        <w:trPr>
          <w:gridAfter w:val="1"/>
          <w:wAfter w:w="73" w:type="pct"/>
          <w:trHeight w:val="2304"/>
          <w:jc w:val="center"/>
        </w:trPr>
        <w:tc>
          <w:tcPr>
            <w:tcW w:w="88" w:type="pct"/>
            <w:tcBorders>
              <w:top w:val="nil"/>
              <w:left w:val="single" w:color="000000" w:sz="8" w:space="0"/>
              <w:bottom w:val="single" w:color="000000" w:sz="8" w:space="0"/>
              <w:right w:val="nil"/>
            </w:tcBorders>
            <w:shd w:val="clear" w:color="000000" w:fill="D9D9D9"/>
            <w:vAlign w:val="center"/>
            <w:hideMark/>
          </w:tcPr>
          <w:p w:rsidRPr="00421F81" w:rsidR="00421F81" w:rsidP="00421F81" w:rsidRDefault="00421F81" w14:paraId="2091367E" w14:textId="77777777">
            <w:pPr>
              <w:widowControl/>
              <w:autoSpaceDE/>
              <w:autoSpaceDN/>
              <w:adjustRightInd/>
              <w:rPr>
                <w:color w:val="000000"/>
                <w:sz w:val="20"/>
                <w:szCs w:val="20"/>
              </w:rPr>
            </w:pPr>
            <w:r w:rsidRPr="00421F81">
              <w:rPr>
                <w:color w:val="000000"/>
                <w:sz w:val="20"/>
                <w:szCs w:val="20"/>
              </w:rPr>
              <w:t> </w:t>
            </w:r>
          </w:p>
        </w:tc>
        <w:tc>
          <w:tcPr>
            <w:tcW w:w="1014"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7DE43F3C" w14:textId="77777777">
            <w:pPr>
              <w:widowControl/>
              <w:autoSpaceDE/>
              <w:autoSpaceDN/>
              <w:adjustRightInd/>
              <w:rPr>
                <w:color w:val="000000"/>
                <w:sz w:val="20"/>
                <w:szCs w:val="20"/>
              </w:rPr>
            </w:pPr>
            <w:r w:rsidRPr="00421F81">
              <w:rPr>
                <w:color w:val="000000"/>
                <w:sz w:val="20"/>
                <w:szCs w:val="20"/>
              </w:rPr>
              <w:t>High-impact establishments   developing new procedures</w:t>
            </w:r>
          </w:p>
        </w:tc>
        <w:tc>
          <w:tcPr>
            <w:tcW w:w="476"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385ADB3B" w14:textId="77777777">
            <w:pPr>
              <w:widowControl/>
              <w:autoSpaceDE/>
              <w:autoSpaceDN/>
              <w:adjustRightInd/>
              <w:jc w:val="center"/>
              <w:rPr>
                <w:color w:val="000000"/>
                <w:sz w:val="22"/>
                <w:szCs w:val="22"/>
              </w:rPr>
            </w:pPr>
            <w:r w:rsidRPr="00421F81">
              <w:rPr>
                <w:color w:val="000000"/>
                <w:sz w:val="22"/>
                <w:szCs w:val="22"/>
              </w:rPr>
              <w:t>185,040.00</w:t>
            </w:r>
          </w:p>
        </w:tc>
        <w:tc>
          <w:tcPr>
            <w:tcW w:w="570"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109938C8" w14:textId="77777777">
            <w:pPr>
              <w:widowControl/>
              <w:autoSpaceDE/>
              <w:autoSpaceDN/>
              <w:adjustRightInd/>
              <w:jc w:val="center"/>
              <w:rPr>
                <w:color w:val="000000"/>
                <w:sz w:val="22"/>
                <w:szCs w:val="22"/>
              </w:rPr>
            </w:pPr>
            <w:r w:rsidRPr="00421F81">
              <w:rPr>
                <w:color w:val="000000"/>
                <w:sz w:val="22"/>
                <w:szCs w:val="22"/>
              </w:rPr>
              <w:t>183,2</w:t>
            </w:r>
            <w:r w:rsidR="008E3529">
              <w:rPr>
                <w:color w:val="000000"/>
                <w:sz w:val="22"/>
                <w:szCs w:val="22"/>
              </w:rPr>
              <w:t>76.00</w:t>
            </w:r>
          </w:p>
        </w:tc>
        <w:tc>
          <w:tcPr>
            <w:tcW w:w="667" w:type="pct"/>
            <w:gridSpan w:val="2"/>
            <w:tcBorders>
              <w:top w:val="single" w:color="000000" w:sz="8" w:space="0"/>
              <w:left w:val="nil"/>
              <w:bottom w:val="single" w:color="000000" w:sz="8" w:space="0"/>
              <w:right w:val="single" w:color="000000" w:sz="8" w:space="0"/>
            </w:tcBorders>
            <w:shd w:val="clear" w:color="auto" w:fill="auto"/>
            <w:vAlign w:val="center"/>
            <w:hideMark/>
          </w:tcPr>
          <w:p w:rsidRPr="00421F81" w:rsidR="00421F81" w:rsidP="00421F81" w:rsidRDefault="00421F81" w14:paraId="61241C08" w14:textId="77777777">
            <w:pPr>
              <w:widowControl/>
              <w:autoSpaceDE/>
              <w:autoSpaceDN/>
              <w:adjustRightInd/>
              <w:jc w:val="center"/>
              <w:rPr>
                <w:color w:val="000000"/>
                <w:sz w:val="22"/>
                <w:szCs w:val="22"/>
              </w:rPr>
            </w:pPr>
            <w:r w:rsidRPr="00421F81">
              <w:rPr>
                <w:color w:val="000000"/>
                <w:sz w:val="22"/>
                <w:szCs w:val="22"/>
              </w:rPr>
              <w:t>-1,7</w:t>
            </w:r>
            <w:r w:rsidR="008E3529">
              <w:rPr>
                <w:color w:val="000000"/>
                <w:sz w:val="22"/>
                <w:szCs w:val="22"/>
              </w:rPr>
              <w:t>64.00</w:t>
            </w:r>
          </w:p>
        </w:tc>
        <w:tc>
          <w:tcPr>
            <w:tcW w:w="578" w:type="pct"/>
            <w:tcBorders>
              <w:top w:val="nil"/>
              <w:left w:val="nil"/>
              <w:bottom w:val="single" w:color="000000" w:sz="8" w:space="0"/>
              <w:right w:val="single" w:color="000000" w:sz="8" w:space="0"/>
            </w:tcBorders>
            <w:shd w:val="clear" w:color="auto" w:fill="auto"/>
            <w:vAlign w:val="center"/>
            <w:hideMark/>
          </w:tcPr>
          <w:p w:rsidRPr="00421F81" w:rsidR="00421F81" w:rsidP="0020415A" w:rsidRDefault="00421F81" w14:paraId="415454C5" w14:textId="77777777">
            <w:pPr>
              <w:widowControl/>
              <w:autoSpaceDE/>
              <w:autoSpaceDN/>
              <w:adjustRightInd/>
              <w:jc w:val="center"/>
              <w:rPr>
                <w:color w:val="000000"/>
                <w:sz w:val="22"/>
                <w:szCs w:val="22"/>
              </w:rPr>
            </w:pPr>
            <w:r w:rsidRPr="00421F81">
              <w:rPr>
                <w:color w:val="000000"/>
                <w:sz w:val="22"/>
                <w:szCs w:val="22"/>
              </w:rPr>
              <w:t>$8,</w:t>
            </w:r>
            <w:r w:rsidR="008E3529">
              <w:rPr>
                <w:color w:val="000000"/>
                <w:sz w:val="22"/>
                <w:szCs w:val="22"/>
              </w:rPr>
              <w:t>362,883.88</w:t>
            </w:r>
            <w:r w:rsidRPr="00421F81">
              <w:rPr>
                <w:color w:val="000000"/>
                <w:sz w:val="22"/>
                <w:szCs w:val="22"/>
              </w:rPr>
              <w:t xml:space="preserve"> </w:t>
            </w:r>
          </w:p>
        </w:tc>
        <w:tc>
          <w:tcPr>
            <w:tcW w:w="397"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5B44D8B0" w14:textId="77777777">
            <w:pPr>
              <w:widowControl/>
              <w:autoSpaceDE/>
              <w:autoSpaceDN/>
              <w:adjustRightInd/>
              <w:jc w:val="center"/>
              <w:rPr>
                <w:color w:val="000000"/>
                <w:sz w:val="22"/>
                <w:szCs w:val="22"/>
              </w:rPr>
            </w:pPr>
            <w:r w:rsidRPr="00421F81">
              <w:rPr>
                <w:color w:val="000000"/>
                <w:sz w:val="22"/>
                <w:szCs w:val="22"/>
              </w:rPr>
              <w:t>25,09</w:t>
            </w:r>
            <w:r w:rsidR="00BE6628">
              <w:rPr>
                <w:color w:val="000000"/>
                <w:sz w:val="22"/>
                <w:szCs w:val="22"/>
              </w:rPr>
              <w:t>2</w:t>
            </w:r>
            <w:r w:rsidR="008E3529">
              <w:rPr>
                <w:color w:val="000000"/>
                <w:sz w:val="22"/>
                <w:szCs w:val="22"/>
              </w:rPr>
              <w:t>.00</w:t>
            </w:r>
          </w:p>
        </w:tc>
        <w:tc>
          <w:tcPr>
            <w:tcW w:w="1137"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7B39D0F2" w14:textId="77777777">
            <w:pPr>
              <w:widowControl/>
              <w:autoSpaceDE/>
              <w:autoSpaceDN/>
              <w:adjustRightInd/>
              <w:rPr>
                <w:color w:val="000000"/>
                <w:sz w:val="20"/>
                <w:szCs w:val="20"/>
              </w:rPr>
            </w:pPr>
            <w:r w:rsidRPr="00421F81">
              <w:rPr>
                <w:color w:val="000000"/>
                <w:sz w:val="20"/>
                <w:szCs w:val="20"/>
              </w:rPr>
              <w:t xml:space="preserve">The estimated number of high-impact establishments developing new procedures decreased from 25,281 to 25,092 based on new data derived from the 2017 County Business Patterns. The estimated burden also declined because the number of remaining high-impact establishments was smaller as well (see Table 3).  </w:t>
            </w:r>
          </w:p>
        </w:tc>
      </w:tr>
      <w:tr w:rsidRPr="00421F81" w:rsidR="0019104A" w:rsidTr="0019104A" w14:paraId="296F3588" w14:textId="77777777">
        <w:trPr>
          <w:gridAfter w:val="1"/>
          <w:wAfter w:w="73" w:type="pct"/>
          <w:trHeight w:val="1485"/>
          <w:jc w:val="center"/>
        </w:trPr>
        <w:tc>
          <w:tcPr>
            <w:tcW w:w="88" w:type="pct"/>
            <w:tcBorders>
              <w:top w:val="nil"/>
              <w:left w:val="single" w:color="000000" w:sz="8" w:space="0"/>
              <w:bottom w:val="single" w:color="000000" w:sz="8" w:space="0"/>
              <w:right w:val="nil"/>
            </w:tcBorders>
            <w:shd w:val="clear" w:color="000000" w:fill="D9D9D9"/>
            <w:vAlign w:val="center"/>
            <w:hideMark/>
          </w:tcPr>
          <w:p w:rsidRPr="00421F81" w:rsidR="00421F81" w:rsidP="00421F81" w:rsidRDefault="00421F81" w14:paraId="67461FC9" w14:textId="77777777">
            <w:pPr>
              <w:widowControl/>
              <w:autoSpaceDE/>
              <w:autoSpaceDN/>
              <w:adjustRightInd/>
              <w:rPr>
                <w:i/>
                <w:iCs/>
                <w:color w:val="000000"/>
                <w:sz w:val="20"/>
                <w:szCs w:val="20"/>
              </w:rPr>
            </w:pPr>
            <w:r w:rsidRPr="00421F81">
              <w:rPr>
                <w:i/>
                <w:iCs/>
                <w:color w:val="000000"/>
                <w:sz w:val="20"/>
                <w:szCs w:val="20"/>
              </w:rPr>
              <w:t> </w:t>
            </w:r>
          </w:p>
        </w:tc>
        <w:tc>
          <w:tcPr>
            <w:tcW w:w="1014"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083E40A8" w14:textId="77777777">
            <w:pPr>
              <w:widowControl/>
              <w:autoSpaceDE/>
              <w:autoSpaceDN/>
              <w:adjustRightInd/>
              <w:rPr>
                <w:color w:val="000000"/>
                <w:sz w:val="20"/>
                <w:szCs w:val="20"/>
              </w:rPr>
            </w:pPr>
            <w:r w:rsidRPr="00421F81">
              <w:rPr>
                <w:color w:val="000000"/>
                <w:sz w:val="20"/>
                <w:szCs w:val="20"/>
              </w:rPr>
              <w:t>Low-impact establishments developing new procedures</w:t>
            </w:r>
          </w:p>
        </w:tc>
        <w:tc>
          <w:tcPr>
            <w:tcW w:w="476"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57433051" w14:textId="77777777">
            <w:pPr>
              <w:widowControl/>
              <w:autoSpaceDE/>
              <w:autoSpaceDN/>
              <w:adjustRightInd/>
              <w:jc w:val="center"/>
              <w:rPr>
                <w:color w:val="000000"/>
                <w:sz w:val="22"/>
                <w:szCs w:val="22"/>
              </w:rPr>
            </w:pPr>
            <w:r w:rsidRPr="00421F81">
              <w:rPr>
                <w:color w:val="000000"/>
                <w:sz w:val="22"/>
                <w:szCs w:val="22"/>
              </w:rPr>
              <w:t>92,306.00</w:t>
            </w:r>
          </w:p>
        </w:tc>
        <w:tc>
          <w:tcPr>
            <w:tcW w:w="570"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47A1719C" w14:textId="77777777">
            <w:pPr>
              <w:widowControl/>
              <w:autoSpaceDE/>
              <w:autoSpaceDN/>
              <w:adjustRightInd/>
              <w:jc w:val="center"/>
              <w:rPr>
                <w:color w:val="000000"/>
                <w:sz w:val="22"/>
                <w:szCs w:val="22"/>
              </w:rPr>
            </w:pPr>
            <w:r w:rsidRPr="00421F81">
              <w:rPr>
                <w:color w:val="000000"/>
                <w:sz w:val="22"/>
                <w:szCs w:val="22"/>
              </w:rPr>
              <w:t>96,5</w:t>
            </w:r>
            <w:r w:rsidR="00F73D82">
              <w:rPr>
                <w:color w:val="000000"/>
                <w:sz w:val="22"/>
                <w:szCs w:val="22"/>
              </w:rPr>
              <w:t>32.00</w:t>
            </w:r>
          </w:p>
        </w:tc>
        <w:tc>
          <w:tcPr>
            <w:tcW w:w="667" w:type="pct"/>
            <w:gridSpan w:val="2"/>
            <w:tcBorders>
              <w:top w:val="single" w:color="000000" w:sz="8" w:space="0"/>
              <w:left w:val="nil"/>
              <w:bottom w:val="single" w:color="000000" w:sz="8" w:space="0"/>
              <w:right w:val="single" w:color="000000" w:sz="8" w:space="0"/>
            </w:tcBorders>
            <w:shd w:val="clear" w:color="auto" w:fill="auto"/>
            <w:vAlign w:val="center"/>
            <w:hideMark/>
          </w:tcPr>
          <w:p w:rsidRPr="00421F81" w:rsidR="00421F81" w:rsidP="00421F81" w:rsidRDefault="00421F81" w14:paraId="179053E0" w14:textId="77777777">
            <w:pPr>
              <w:widowControl/>
              <w:autoSpaceDE/>
              <w:autoSpaceDN/>
              <w:adjustRightInd/>
              <w:jc w:val="center"/>
              <w:rPr>
                <w:color w:val="000000"/>
                <w:sz w:val="22"/>
                <w:szCs w:val="22"/>
              </w:rPr>
            </w:pPr>
            <w:r w:rsidRPr="00421F81">
              <w:rPr>
                <w:color w:val="000000"/>
                <w:sz w:val="22"/>
                <w:szCs w:val="22"/>
              </w:rPr>
              <w:t>4,22</w:t>
            </w:r>
            <w:r w:rsidR="00F73D82">
              <w:rPr>
                <w:color w:val="000000"/>
                <w:sz w:val="22"/>
                <w:szCs w:val="22"/>
              </w:rPr>
              <w:t>6.00</w:t>
            </w:r>
          </w:p>
        </w:tc>
        <w:tc>
          <w:tcPr>
            <w:tcW w:w="578" w:type="pct"/>
            <w:tcBorders>
              <w:top w:val="nil"/>
              <w:left w:val="nil"/>
              <w:bottom w:val="single" w:color="000000" w:sz="8" w:space="0"/>
              <w:right w:val="single" w:color="000000" w:sz="8" w:space="0"/>
            </w:tcBorders>
            <w:shd w:val="clear" w:color="auto" w:fill="auto"/>
            <w:vAlign w:val="center"/>
            <w:hideMark/>
          </w:tcPr>
          <w:p w:rsidRPr="00421F81" w:rsidR="00421F81" w:rsidP="00F73D82" w:rsidRDefault="00421F81" w14:paraId="16EE88ED" w14:textId="77777777">
            <w:pPr>
              <w:widowControl/>
              <w:autoSpaceDE/>
              <w:autoSpaceDN/>
              <w:adjustRightInd/>
              <w:jc w:val="center"/>
              <w:rPr>
                <w:color w:val="000000"/>
                <w:sz w:val="22"/>
                <w:szCs w:val="22"/>
              </w:rPr>
            </w:pPr>
            <w:r w:rsidRPr="00421F81">
              <w:rPr>
                <w:color w:val="000000"/>
                <w:sz w:val="22"/>
                <w:szCs w:val="22"/>
              </w:rPr>
              <w:t>$4,404,</w:t>
            </w:r>
            <w:r w:rsidR="00F73D82">
              <w:rPr>
                <w:color w:val="000000"/>
                <w:sz w:val="22"/>
                <w:szCs w:val="22"/>
              </w:rPr>
              <w:t>755.16</w:t>
            </w:r>
          </w:p>
        </w:tc>
        <w:tc>
          <w:tcPr>
            <w:tcW w:w="397"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5807A9B0" w14:textId="77777777">
            <w:pPr>
              <w:widowControl/>
              <w:autoSpaceDE/>
              <w:autoSpaceDN/>
              <w:adjustRightInd/>
              <w:jc w:val="center"/>
              <w:rPr>
                <w:color w:val="000000"/>
                <w:sz w:val="22"/>
                <w:szCs w:val="22"/>
              </w:rPr>
            </w:pPr>
            <w:r w:rsidRPr="00421F81">
              <w:rPr>
                <w:color w:val="000000"/>
                <w:sz w:val="22"/>
                <w:szCs w:val="22"/>
              </w:rPr>
              <w:t>48,26</w:t>
            </w:r>
            <w:r w:rsidR="00F73D82">
              <w:rPr>
                <w:color w:val="000000"/>
                <w:sz w:val="22"/>
                <w:szCs w:val="22"/>
              </w:rPr>
              <w:t>6</w:t>
            </w:r>
            <w:r w:rsidR="008E3529">
              <w:rPr>
                <w:color w:val="000000"/>
                <w:sz w:val="22"/>
                <w:szCs w:val="22"/>
              </w:rPr>
              <w:t>.00</w:t>
            </w:r>
          </w:p>
        </w:tc>
        <w:tc>
          <w:tcPr>
            <w:tcW w:w="1137"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3905AA9E" w14:textId="77777777">
            <w:pPr>
              <w:widowControl/>
              <w:autoSpaceDE/>
              <w:autoSpaceDN/>
              <w:adjustRightInd/>
              <w:rPr>
                <w:color w:val="000000"/>
                <w:sz w:val="20"/>
                <w:szCs w:val="20"/>
              </w:rPr>
            </w:pPr>
            <w:r w:rsidRPr="00421F81">
              <w:rPr>
                <w:color w:val="000000"/>
                <w:sz w:val="20"/>
                <w:szCs w:val="20"/>
              </w:rPr>
              <w:t>The estimated number of low-impact establishments developing new procedures increased from 46,153 to 48,26</w:t>
            </w:r>
            <w:r w:rsidR="00F73D82">
              <w:rPr>
                <w:color w:val="000000"/>
                <w:sz w:val="20"/>
                <w:szCs w:val="20"/>
              </w:rPr>
              <w:t>6</w:t>
            </w:r>
            <w:r w:rsidRPr="00421F81">
              <w:rPr>
                <w:color w:val="000000"/>
                <w:sz w:val="20"/>
                <w:szCs w:val="20"/>
              </w:rPr>
              <w:t xml:space="preserve"> based on new data derived from the 2017 County Business Patterns.</w:t>
            </w:r>
          </w:p>
        </w:tc>
      </w:tr>
      <w:tr w:rsidRPr="00421F81" w:rsidR="0019104A" w:rsidTr="0019104A" w14:paraId="4E813E6D" w14:textId="77777777">
        <w:trPr>
          <w:gridAfter w:val="1"/>
          <w:wAfter w:w="73" w:type="pct"/>
          <w:trHeight w:val="2160"/>
          <w:jc w:val="center"/>
        </w:trPr>
        <w:tc>
          <w:tcPr>
            <w:tcW w:w="88" w:type="pct"/>
            <w:tcBorders>
              <w:top w:val="nil"/>
              <w:left w:val="single" w:color="000000" w:sz="8" w:space="0"/>
              <w:bottom w:val="single" w:color="000000" w:sz="8" w:space="0"/>
              <w:right w:val="nil"/>
            </w:tcBorders>
            <w:shd w:val="clear" w:color="000000" w:fill="D9D9D9"/>
            <w:vAlign w:val="center"/>
            <w:hideMark/>
          </w:tcPr>
          <w:p w:rsidRPr="00421F81" w:rsidR="00421F81" w:rsidP="00421F81" w:rsidRDefault="00421F81" w14:paraId="2A657CD9" w14:textId="77777777">
            <w:pPr>
              <w:widowControl/>
              <w:autoSpaceDE/>
              <w:autoSpaceDN/>
              <w:adjustRightInd/>
              <w:rPr>
                <w:i/>
                <w:iCs/>
                <w:color w:val="000000"/>
                <w:sz w:val="20"/>
                <w:szCs w:val="20"/>
              </w:rPr>
            </w:pPr>
            <w:r w:rsidRPr="00421F81">
              <w:rPr>
                <w:i/>
                <w:iCs/>
                <w:color w:val="000000"/>
                <w:sz w:val="20"/>
                <w:szCs w:val="20"/>
              </w:rPr>
              <w:t> </w:t>
            </w:r>
          </w:p>
        </w:tc>
        <w:tc>
          <w:tcPr>
            <w:tcW w:w="1014"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12734D87" w14:textId="77777777">
            <w:pPr>
              <w:widowControl/>
              <w:autoSpaceDE/>
              <w:autoSpaceDN/>
              <w:adjustRightInd/>
              <w:rPr>
                <w:color w:val="000000"/>
                <w:sz w:val="20"/>
                <w:szCs w:val="20"/>
              </w:rPr>
            </w:pPr>
            <w:r w:rsidRPr="00421F81">
              <w:rPr>
                <w:color w:val="000000"/>
                <w:sz w:val="20"/>
                <w:szCs w:val="20"/>
              </w:rPr>
              <w:t>High-impact establishments updating procedures</w:t>
            </w:r>
          </w:p>
        </w:tc>
        <w:tc>
          <w:tcPr>
            <w:tcW w:w="476"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6C71EC76" w14:textId="77777777">
            <w:pPr>
              <w:widowControl/>
              <w:autoSpaceDE/>
              <w:autoSpaceDN/>
              <w:adjustRightInd/>
              <w:jc w:val="center"/>
              <w:rPr>
                <w:color w:val="000000"/>
                <w:sz w:val="22"/>
                <w:szCs w:val="22"/>
              </w:rPr>
            </w:pPr>
            <w:r w:rsidRPr="00421F81">
              <w:rPr>
                <w:color w:val="000000"/>
                <w:sz w:val="22"/>
                <w:szCs w:val="22"/>
              </w:rPr>
              <w:t>537,285.00</w:t>
            </w:r>
          </w:p>
        </w:tc>
        <w:tc>
          <w:tcPr>
            <w:tcW w:w="570"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69896273" w14:textId="77777777">
            <w:pPr>
              <w:widowControl/>
              <w:autoSpaceDE/>
              <w:autoSpaceDN/>
              <w:adjustRightInd/>
              <w:jc w:val="center"/>
              <w:rPr>
                <w:color w:val="000000"/>
                <w:sz w:val="22"/>
                <w:szCs w:val="22"/>
              </w:rPr>
            </w:pPr>
            <w:r w:rsidRPr="00421F81">
              <w:rPr>
                <w:color w:val="000000"/>
                <w:sz w:val="22"/>
                <w:szCs w:val="22"/>
              </w:rPr>
              <w:t>532,0</w:t>
            </w:r>
            <w:r w:rsidR="00476F1C">
              <w:rPr>
                <w:color w:val="000000"/>
                <w:sz w:val="22"/>
                <w:szCs w:val="22"/>
              </w:rPr>
              <w:t>92</w:t>
            </w:r>
            <w:r w:rsidRPr="00421F81">
              <w:rPr>
                <w:color w:val="000000"/>
                <w:sz w:val="22"/>
                <w:szCs w:val="22"/>
              </w:rPr>
              <w:t>.50</w:t>
            </w:r>
          </w:p>
        </w:tc>
        <w:tc>
          <w:tcPr>
            <w:tcW w:w="667" w:type="pct"/>
            <w:gridSpan w:val="2"/>
            <w:tcBorders>
              <w:top w:val="single" w:color="000000" w:sz="8" w:space="0"/>
              <w:left w:val="nil"/>
              <w:bottom w:val="single" w:color="000000" w:sz="8" w:space="0"/>
              <w:right w:val="single" w:color="000000" w:sz="8" w:space="0"/>
            </w:tcBorders>
            <w:shd w:val="clear" w:color="auto" w:fill="auto"/>
            <w:vAlign w:val="center"/>
            <w:hideMark/>
          </w:tcPr>
          <w:p w:rsidRPr="00421F81" w:rsidR="00421F81" w:rsidP="00421F81" w:rsidRDefault="00421F81" w14:paraId="5692D215" w14:textId="77777777">
            <w:pPr>
              <w:widowControl/>
              <w:autoSpaceDE/>
              <w:autoSpaceDN/>
              <w:adjustRightInd/>
              <w:jc w:val="center"/>
              <w:rPr>
                <w:color w:val="000000"/>
                <w:sz w:val="22"/>
                <w:szCs w:val="22"/>
              </w:rPr>
            </w:pPr>
            <w:r w:rsidRPr="00421F81">
              <w:rPr>
                <w:color w:val="000000"/>
                <w:sz w:val="22"/>
                <w:szCs w:val="22"/>
              </w:rPr>
              <w:t>-5,19</w:t>
            </w:r>
            <w:r w:rsidR="00476F1C">
              <w:rPr>
                <w:color w:val="000000"/>
                <w:sz w:val="22"/>
                <w:szCs w:val="22"/>
              </w:rPr>
              <w:t>2</w:t>
            </w:r>
            <w:r w:rsidRPr="00421F81">
              <w:rPr>
                <w:color w:val="000000"/>
                <w:sz w:val="22"/>
                <w:szCs w:val="22"/>
              </w:rPr>
              <w:t>.50</w:t>
            </w:r>
          </w:p>
        </w:tc>
        <w:tc>
          <w:tcPr>
            <w:tcW w:w="578" w:type="pct"/>
            <w:tcBorders>
              <w:top w:val="nil"/>
              <w:left w:val="nil"/>
              <w:bottom w:val="single" w:color="000000" w:sz="8" w:space="0"/>
              <w:right w:val="single" w:color="000000" w:sz="8" w:space="0"/>
            </w:tcBorders>
            <w:shd w:val="clear" w:color="auto" w:fill="auto"/>
            <w:vAlign w:val="center"/>
            <w:hideMark/>
          </w:tcPr>
          <w:p w:rsidRPr="00421F81" w:rsidR="00421F81" w:rsidP="00476F1C" w:rsidRDefault="00421F81" w14:paraId="59925694" w14:textId="7F2FA8AC">
            <w:pPr>
              <w:widowControl/>
              <w:autoSpaceDE/>
              <w:autoSpaceDN/>
              <w:adjustRightInd/>
              <w:jc w:val="center"/>
              <w:rPr>
                <w:color w:val="000000"/>
                <w:sz w:val="22"/>
                <w:szCs w:val="22"/>
              </w:rPr>
            </w:pPr>
            <w:r w:rsidRPr="00421F81">
              <w:rPr>
                <w:color w:val="000000"/>
                <w:sz w:val="22"/>
                <w:szCs w:val="22"/>
              </w:rPr>
              <w:t>$24,</w:t>
            </w:r>
            <w:r w:rsidR="00476F1C">
              <w:rPr>
                <w:color w:val="000000"/>
                <w:sz w:val="22"/>
                <w:szCs w:val="22"/>
              </w:rPr>
              <w:t>279,380.7</w:t>
            </w:r>
            <w:r w:rsidR="00467098">
              <w:rPr>
                <w:color w:val="000000"/>
                <w:sz w:val="22"/>
                <w:szCs w:val="22"/>
              </w:rPr>
              <w:t>7</w:t>
            </w:r>
            <w:r w:rsidRPr="00421F81">
              <w:rPr>
                <w:color w:val="000000"/>
                <w:sz w:val="22"/>
                <w:szCs w:val="22"/>
              </w:rPr>
              <w:t xml:space="preserve"> </w:t>
            </w:r>
          </w:p>
        </w:tc>
        <w:tc>
          <w:tcPr>
            <w:tcW w:w="397"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5E105BA2" w14:textId="77777777">
            <w:pPr>
              <w:widowControl/>
              <w:autoSpaceDE/>
              <w:autoSpaceDN/>
              <w:adjustRightInd/>
              <w:jc w:val="center"/>
              <w:rPr>
                <w:color w:val="000000"/>
                <w:sz w:val="22"/>
                <w:szCs w:val="22"/>
              </w:rPr>
            </w:pPr>
            <w:r w:rsidRPr="00421F81">
              <w:rPr>
                <w:color w:val="000000"/>
                <w:sz w:val="22"/>
                <w:szCs w:val="22"/>
              </w:rPr>
              <w:t>252,</w:t>
            </w:r>
            <w:r w:rsidR="00C733C2">
              <w:rPr>
                <w:color w:val="000000"/>
                <w:sz w:val="22"/>
                <w:szCs w:val="22"/>
              </w:rPr>
              <w:t>917</w:t>
            </w:r>
            <w:r w:rsidR="008E3529">
              <w:rPr>
                <w:color w:val="000000"/>
                <w:sz w:val="22"/>
                <w:szCs w:val="22"/>
              </w:rPr>
              <w:t>.00</w:t>
            </w:r>
          </w:p>
        </w:tc>
        <w:tc>
          <w:tcPr>
            <w:tcW w:w="1137"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349836F6" w14:textId="77777777">
            <w:pPr>
              <w:widowControl/>
              <w:autoSpaceDE/>
              <w:autoSpaceDN/>
              <w:adjustRightInd/>
              <w:rPr>
                <w:color w:val="000000"/>
                <w:sz w:val="20"/>
                <w:szCs w:val="20"/>
              </w:rPr>
            </w:pPr>
            <w:r w:rsidRPr="00421F81">
              <w:rPr>
                <w:color w:val="000000"/>
                <w:sz w:val="20"/>
                <w:szCs w:val="20"/>
              </w:rPr>
              <w:t xml:space="preserve">The estimated number of high-impact establishments updating existing procedures decreased from 252,814 to 250,917 based on new data derived from the 2017 County Business Patterns. This resulted in a decline in the estimated burden (see Table 3).  </w:t>
            </w:r>
          </w:p>
        </w:tc>
      </w:tr>
      <w:tr w:rsidRPr="00421F81" w:rsidR="0019104A" w:rsidTr="0019104A" w14:paraId="052700ED" w14:textId="77777777">
        <w:trPr>
          <w:gridAfter w:val="1"/>
          <w:wAfter w:w="73" w:type="pct"/>
          <w:trHeight w:val="1590"/>
          <w:jc w:val="center"/>
        </w:trPr>
        <w:tc>
          <w:tcPr>
            <w:tcW w:w="88" w:type="pct"/>
            <w:tcBorders>
              <w:top w:val="nil"/>
              <w:left w:val="single" w:color="000000" w:sz="8" w:space="0"/>
              <w:bottom w:val="single" w:color="000000" w:sz="8" w:space="0"/>
              <w:right w:val="nil"/>
            </w:tcBorders>
            <w:shd w:val="clear" w:color="000000" w:fill="D9D9D9"/>
            <w:vAlign w:val="center"/>
            <w:hideMark/>
          </w:tcPr>
          <w:p w:rsidRPr="00421F81" w:rsidR="00421F81" w:rsidP="00421F81" w:rsidRDefault="00421F81" w14:paraId="4F44CB3D" w14:textId="77777777">
            <w:pPr>
              <w:widowControl/>
              <w:autoSpaceDE/>
              <w:autoSpaceDN/>
              <w:adjustRightInd/>
              <w:rPr>
                <w:color w:val="000000"/>
                <w:sz w:val="20"/>
                <w:szCs w:val="20"/>
              </w:rPr>
            </w:pPr>
            <w:r w:rsidRPr="00421F81">
              <w:rPr>
                <w:color w:val="000000"/>
                <w:sz w:val="20"/>
                <w:szCs w:val="20"/>
              </w:rPr>
              <w:lastRenderedPageBreak/>
              <w:t> </w:t>
            </w:r>
          </w:p>
        </w:tc>
        <w:tc>
          <w:tcPr>
            <w:tcW w:w="1014"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1D35D5BA" w14:textId="77777777">
            <w:pPr>
              <w:widowControl/>
              <w:autoSpaceDE/>
              <w:autoSpaceDN/>
              <w:adjustRightInd/>
              <w:rPr>
                <w:color w:val="000000"/>
                <w:sz w:val="20"/>
                <w:szCs w:val="20"/>
              </w:rPr>
            </w:pPr>
            <w:r w:rsidRPr="00421F81">
              <w:rPr>
                <w:color w:val="000000"/>
                <w:sz w:val="20"/>
                <w:szCs w:val="20"/>
              </w:rPr>
              <w:t xml:space="preserve">Low-impact establishments updating procedures </w:t>
            </w:r>
          </w:p>
        </w:tc>
        <w:tc>
          <w:tcPr>
            <w:tcW w:w="476"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35550FFF" w14:textId="77777777">
            <w:pPr>
              <w:widowControl/>
              <w:autoSpaceDE/>
              <w:autoSpaceDN/>
              <w:adjustRightInd/>
              <w:jc w:val="center"/>
              <w:rPr>
                <w:color w:val="000000"/>
                <w:sz w:val="22"/>
                <w:szCs w:val="22"/>
              </w:rPr>
            </w:pPr>
            <w:r w:rsidRPr="00421F81">
              <w:rPr>
                <w:color w:val="000000"/>
                <w:sz w:val="22"/>
                <w:szCs w:val="22"/>
              </w:rPr>
              <w:t>230,763.00</w:t>
            </w:r>
          </w:p>
        </w:tc>
        <w:tc>
          <w:tcPr>
            <w:tcW w:w="570"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1B5371CC" w14:textId="77777777">
            <w:pPr>
              <w:widowControl/>
              <w:autoSpaceDE/>
              <w:autoSpaceDN/>
              <w:adjustRightInd/>
              <w:jc w:val="center"/>
              <w:rPr>
                <w:color w:val="000000"/>
                <w:sz w:val="22"/>
                <w:szCs w:val="22"/>
              </w:rPr>
            </w:pPr>
            <w:r w:rsidRPr="00421F81">
              <w:rPr>
                <w:color w:val="000000"/>
                <w:sz w:val="22"/>
                <w:szCs w:val="22"/>
              </w:rPr>
              <w:t>241,324.</w:t>
            </w:r>
            <w:r w:rsidR="00C733C2">
              <w:rPr>
                <w:color w:val="000000"/>
                <w:sz w:val="22"/>
                <w:szCs w:val="22"/>
              </w:rPr>
              <w:t>5</w:t>
            </w:r>
            <w:r w:rsidRPr="00421F81">
              <w:rPr>
                <w:color w:val="000000"/>
                <w:sz w:val="22"/>
                <w:szCs w:val="22"/>
              </w:rPr>
              <w:t>0</w:t>
            </w:r>
          </w:p>
        </w:tc>
        <w:tc>
          <w:tcPr>
            <w:tcW w:w="667" w:type="pct"/>
            <w:gridSpan w:val="2"/>
            <w:tcBorders>
              <w:top w:val="single" w:color="000000" w:sz="8" w:space="0"/>
              <w:left w:val="nil"/>
              <w:bottom w:val="single" w:color="000000" w:sz="8" w:space="0"/>
              <w:right w:val="single" w:color="000000" w:sz="8" w:space="0"/>
            </w:tcBorders>
            <w:shd w:val="clear" w:color="auto" w:fill="auto"/>
            <w:vAlign w:val="center"/>
            <w:hideMark/>
          </w:tcPr>
          <w:p w:rsidRPr="00421F81" w:rsidR="00421F81" w:rsidP="00421F81" w:rsidRDefault="00421F81" w14:paraId="6B414F83" w14:textId="77777777">
            <w:pPr>
              <w:widowControl/>
              <w:autoSpaceDE/>
              <w:autoSpaceDN/>
              <w:adjustRightInd/>
              <w:jc w:val="center"/>
              <w:rPr>
                <w:color w:val="000000"/>
                <w:sz w:val="22"/>
                <w:szCs w:val="22"/>
              </w:rPr>
            </w:pPr>
            <w:r w:rsidRPr="00421F81">
              <w:rPr>
                <w:color w:val="000000"/>
                <w:sz w:val="22"/>
                <w:szCs w:val="22"/>
              </w:rPr>
              <w:t>10,561.</w:t>
            </w:r>
            <w:r w:rsidR="00C733C2">
              <w:rPr>
                <w:color w:val="000000"/>
                <w:sz w:val="22"/>
                <w:szCs w:val="22"/>
              </w:rPr>
              <w:t>5</w:t>
            </w:r>
            <w:r w:rsidRPr="00421F81">
              <w:rPr>
                <w:color w:val="000000"/>
                <w:sz w:val="22"/>
                <w:szCs w:val="22"/>
              </w:rPr>
              <w:t>0</w:t>
            </w:r>
          </w:p>
        </w:tc>
        <w:tc>
          <w:tcPr>
            <w:tcW w:w="578" w:type="pct"/>
            <w:tcBorders>
              <w:top w:val="nil"/>
              <w:left w:val="nil"/>
              <w:bottom w:val="single" w:color="000000" w:sz="8" w:space="0"/>
              <w:right w:val="single" w:color="000000" w:sz="8" w:space="0"/>
            </w:tcBorders>
            <w:shd w:val="clear" w:color="auto" w:fill="auto"/>
            <w:vAlign w:val="center"/>
            <w:hideMark/>
          </w:tcPr>
          <w:p w:rsidRPr="00421F81" w:rsidR="00421F81" w:rsidP="0020415A" w:rsidRDefault="00421F81" w14:paraId="43943B77" w14:textId="6266BA4E">
            <w:pPr>
              <w:widowControl/>
              <w:autoSpaceDE/>
              <w:autoSpaceDN/>
              <w:adjustRightInd/>
              <w:jc w:val="center"/>
              <w:rPr>
                <w:color w:val="000000"/>
                <w:sz w:val="22"/>
                <w:szCs w:val="22"/>
              </w:rPr>
            </w:pPr>
            <w:r w:rsidRPr="00421F81">
              <w:rPr>
                <w:color w:val="000000"/>
                <w:sz w:val="22"/>
                <w:szCs w:val="22"/>
              </w:rPr>
              <w:t>$11,</w:t>
            </w:r>
            <w:r w:rsidR="00C733C2">
              <w:rPr>
                <w:color w:val="000000"/>
                <w:sz w:val="22"/>
                <w:szCs w:val="22"/>
              </w:rPr>
              <w:t>011,636.9</w:t>
            </w:r>
            <w:r w:rsidR="00B55DEF">
              <w:rPr>
                <w:color w:val="000000"/>
                <w:sz w:val="22"/>
                <w:szCs w:val="22"/>
              </w:rPr>
              <w:t>3</w:t>
            </w:r>
            <w:r w:rsidRPr="00421F81">
              <w:rPr>
                <w:color w:val="000000"/>
                <w:sz w:val="22"/>
                <w:szCs w:val="22"/>
              </w:rPr>
              <w:t xml:space="preserve"> </w:t>
            </w:r>
          </w:p>
        </w:tc>
        <w:tc>
          <w:tcPr>
            <w:tcW w:w="397"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C733C2" w14:paraId="28BA2D35" w14:textId="77777777">
            <w:pPr>
              <w:widowControl/>
              <w:autoSpaceDE/>
              <w:autoSpaceDN/>
              <w:adjustRightInd/>
              <w:jc w:val="center"/>
              <w:rPr>
                <w:color w:val="000000"/>
                <w:sz w:val="22"/>
                <w:szCs w:val="22"/>
              </w:rPr>
            </w:pPr>
            <w:r>
              <w:rPr>
                <w:color w:val="000000"/>
                <w:sz w:val="22"/>
                <w:szCs w:val="22"/>
              </w:rPr>
              <w:t>482,649.00</w:t>
            </w:r>
          </w:p>
        </w:tc>
        <w:tc>
          <w:tcPr>
            <w:tcW w:w="1137" w:type="pct"/>
            <w:tcBorders>
              <w:top w:val="nil"/>
              <w:left w:val="nil"/>
              <w:bottom w:val="single" w:color="000000" w:sz="8" w:space="0"/>
              <w:right w:val="single" w:color="000000" w:sz="8" w:space="0"/>
            </w:tcBorders>
            <w:shd w:val="clear" w:color="auto" w:fill="auto"/>
            <w:vAlign w:val="center"/>
            <w:hideMark/>
          </w:tcPr>
          <w:p w:rsidRPr="00421F81" w:rsidR="00421F81" w:rsidP="003B7F76" w:rsidRDefault="00421F81" w14:paraId="09651017" w14:textId="77777777">
            <w:pPr>
              <w:widowControl/>
              <w:autoSpaceDE/>
              <w:autoSpaceDN/>
              <w:adjustRightInd/>
              <w:rPr>
                <w:color w:val="000000"/>
                <w:sz w:val="20"/>
                <w:szCs w:val="20"/>
              </w:rPr>
            </w:pPr>
            <w:r w:rsidRPr="00421F81">
              <w:rPr>
                <w:color w:val="000000"/>
                <w:sz w:val="20"/>
                <w:szCs w:val="20"/>
              </w:rPr>
              <w:t>The estimated number of low-impact establishments updating existing procedures increased from 461,523 to 482,64</w:t>
            </w:r>
            <w:r w:rsidR="00C733C2">
              <w:rPr>
                <w:color w:val="000000"/>
                <w:sz w:val="20"/>
                <w:szCs w:val="20"/>
              </w:rPr>
              <w:t>9</w:t>
            </w:r>
            <w:r w:rsidRPr="00421F81">
              <w:rPr>
                <w:color w:val="000000"/>
                <w:sz w:val="20"/>
                <w:szCs w:val="20"/>
              </w:rPr>
              <w:t xml:space="preserve"> based on new data from the 2017 County Business Patterns.</w:t>
            </w:r>
          </w:p>
        </w:tc>
      </w:tr>
      <w:tr w:rsidRPr="00421F81" w:rsidR="0019104A" w:rsidTr="0019104A" w14:paraId="3F45C564" w14:textId="77777777">
        <w:trPr>
          <w:gridAfter w:val="1"/>
          <w:wAfter w:w="73" w:type="pct"/>
          <w:trHeight w:val="2595"/>
          <w:jc w:val="center"/>
        </w:trPr>
        <w:tc>
          <w:tcPr>
            <w:tcW w:w="11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421F81" w:rsidR="00421F81" w:rsidP="00421F81" w:rsidRDefault="00421F81" w14:paraId="445B2AE9" w14:textId="77777777">
            <w:pPr>
              <w:widowControl/>
              <w:autoSpaceDE/>
              <w:autoSpaceDN/>
              <w:adjustRightInd/>
              <w:rPr>
                <w:b/>
                <w:bCs/>
                <w:color w:val="000000"/>
                <w:sz w:val="20"/>
                <w:szCs w:val="20"/>
              </w:rPr>
            </w:pPr>
            <w:r w:rsidRPr="00421F81">
              <w:rPr>
                <w:b/>
                <w:bCs/>
                <w:color w:val="000000"/>
                <w:sz w:val="20"/>
                <w:szCs w:val="20"/>
              </w:rPr>
              <w:t>(B)  Periodic Inspection Certification Records (paragraph (c)(6)(ii)</w:t>
            </w:r>
          </w:p>
        </w:tc>
        <w:tc>
          <w:tcPr>
            <w:tcW w:w="476"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788A09ED" w14:textId="77777777">
            <w:pPr>
              <w:widowControl/>
              <w:autoSpaceDE/>
              <w:autoSpaceDN/>
              <w:adjustRightInd/>
              <w:jc w:val="center"/>
              <w:rPr>
                <w:color w:val="000000"/>
                <w:sz w:val="22"/>
                <w:szCs w:val="22"/>
              </w:rPr>
            </w:pPr>
            <w:r w:rsidRPr="00421F81">
              <w:rPr>
                <w:color w:val="000000"/>
                <w:sz w:val="22"/>
                <w:szCs w:val="22"/>
              </w:rPr>
              <w:t>248,935.00</w:t>
            </w:r>
          </w:p>
        </w:tc>
        <w:tc>
          <w:tcPr>
            <w:tcW w:w="570"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62ABCEC5" w14:textId="77777777">
            <w:pPr>
              <w:widowControl/>
              <w:autoSpaceDE/>
              <w:autoSpaceDN/>
              <w:adjustRightInd/>
              <w:jc w:val="center"/>
              <w:rPr>
                <w:color w:val="000000"/>
                <w:sz w:val="22"/>
                <w:szCs w:val="22"/>
              </w:rPr>
            </w:pPr>
            <w:r w:rsidRPr="00421F81">
              <w:rPr>
                <w:color w:val="000000"/>
                <w:sz w:val="22"/>
                <w:szCs w:val="22"/>
              </w:rPr>
              <w:t>25</w:t>
            </w:r>
            <w:r w:rsidR="009E5031">
              <w:rPr>
                <w:color w:val="000000"/>
                <w:sz w:val="22"/>
                <w:szCs w:val="22"/>
              </w:rPr>
              <w:t>7,736.</w:t>
            </w:r>
            <w:r w:rsidR="00C733C2">
              <w:rPr>
                <w:color w:val="000000"/>
                <w:sz w:val="22"/>
                <w:szCs w:val="22"/>
              </w:rPr>
              <w:t>33</w:t>
            </w:r>
          </w:p>
        </w:tc>
        <w:tc>
          <w:tcPr>
            <w:tcW w:w="667" w:type="pct"/>
            <w:gridSpan w:val="2"/>
            <w:tcBorders>
              <w:top w:val="single" w:color="000000" w:sz="8" w:space="0"/>
              <w:left w:val="nil"/>
              <w:bottom w:val="single" w:color="000000" w:sz="8" w:space="0"/>
              <w:right w:val="single" w:color="000000" w:sz="8" w:space="0"/>
            </w:tcBorders>
            <w:shd w:val="clear" w:color="auto" w:fill="auto"/>
            <w:vAlign w:val="center"/>
            <w:hideMark/>
          </w:tcPr>
          <w:p w:rsidRPr="00421F81" w:rsidR="00421F81" w:rsidP="00421F81" w:rsidRDefault="009E5031" w14:paraId="74283733" w14:textId="77777777">
            <w:pPr>
              <w:widowControl/>
              <w:autoSpaceDE/>
              <w:autoSpaceDN/>
              <w:adjustRightInd/>
              <w:jc w:val="center"/>
              <w:rPr>
                <w:color w:val="000000"/>
                <w:sz w:val="22"/>
                <w:szCs w:val="22"/>
              </w:rPr>
            </w:pPr>
            <w:r>
              <w:rPr>
                <w:color w:val="000000"/>
                <w:sz w:val="22"/>
                <w:szCs w:val="22"/>
              </w:rPr>
              <w:t>8,801.</w:t>
            </w:r>
            <w:r w:rsidR="00C733C2">
              <w:rPr>
                <w:color w:val="000000"/>
                <w:sz w:val="22"/>
                <w:szCs w:val="22"/>
              </w:rPr>
              <w:t>33</w:t>
            </w:r>
          </w:p>
        </w:tc>
        <w:tc>
          <w:tcPr>
            <w:tcW w:w="578" w:type="pct"/>
            <w:tcBorders>
              <w:top w:val="nil"/>
              <w:left w:val="nil"/>
              <w:bottom w:val="single" w:color="000000" w:sz="8" w:space="0"/>
              <w:right w:val="single" w:color="000000" w:sz="8" w:space="0"/>
            </w:tcBorders>
            <w:shd w:val="clear" w:color="auto" w:fill="auto"/>
            <w:vAlign w:val="center"/>
            <w:hideMark/>
          </w:tcPr>
          <w:p w:rsidRPr="00421F81" w:rsidR="00421F81" w:rsidP="0020415A" w:rsidRDefault="00421F81" w14:paraId="45DAA559" w14:textId="77777777">
            <w:pPr>
              <w:widowControl/>
              <w:autoSpaceDE/>
              <w:autoSpaceDN/>
              <w:adjustRightInd/>
              <w:jc w:val="center"/>
              <w:rPr>
                <w:color w:val="000000"/>
                <w:sz w:val="22"/>
                <w:szCs w:val="22"/>
              </w:rPr>
            </w:pPr>
            <w:r w:rsidRPr="00421F81">
              <w:rPr>
                <w:color w:val="000000"/>
                <w:sz w:val="22"/>
                <w:szCs w:val="22"/>
              </w:rPr>
              <w:t>$11,</w:t>
            </w:r>
            <w:r w:rsidR="00C733C2">
              <w:rPr>
                <w:color w:val="000000"/>
                <w:sz w:val="22"/>
                <w:szCs w:val="22"/>
              </w:rPr>
              <w:t>760,508.89</w:t>
            </w:r>
            <w:r w:rsidRPr="00421F81">
              <w:rPr>
                <w:color w:val="000000"/>
                <w:sz w:val="22"/>
                <w:szCs w:val="22"/>
              </w:rPr>
              <w:t xml:space="preserve"> </w:t>
            </w:r>
          </w:p>
        </w:tc>
        <w:tc>
          <w:tcPr>
            <w:tcW w:w="397"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7006310E" w14:textId="77777777">
            <w:pPr>
              <w:widowControl/>
              <w:autoSpaceDE/>
              <w:autoSpaceDN/>
              <w:adjustRightInd/>
              <w:jc w:val="center"/>
              <w:rPr>
                <w:color w:val="000000"/>
                <w:sz w:val="22"/>
                <w:szCs w:val="22"/>
              </w:rPr>
            </w:pPr>
            <w:r w:rsidRPr="00421F81">
              <w:rPr>
                <w:color w:val="000000"/>
                <w:sz w:val="22"/>
                <w:szCs w:val="22"/>
              </w:rPr>
              <w:t>773,20</w:t>
            </w:r>
            <w:r w:rsidR="00C733C2">
              <w:rPr>
                <w:color w:val="000000"/>
                <w:sz w:val="22"/>
                <w:szCs w:val="22"/>
              </w:rPr>
              <w:t>9.00</w:t>
            </w:r>
          </w:p>
        </w:tc>
        <w:tc>
          <w:tcPr>
            <w:tcW w:w="1137" w:type="pct"/>
            <w:tcBorders>
              <w:top w:val="nil"/>
              <w:left w:val="nil"/>
              <w:bottom w:val="single" w:color="000000" w:sz="8" w:space="0"/>
              <w:right w:val="single" w:color="000000" w:sz="8" w:space="0"/>
            </w:tcBorders>
            <w:shd w:val="clear" w:color="auto" w:fill="auto"/>
            <w:vAlign w:val="center"/>
            <w:hideMark/>
          </w:tcPr>
          <w:p w:rsidRPr="00421F81" w:rsidR="00421F81" w:rsidP="003B7F76" w:rsidRDefault="00421F81" w14:paraId="3894CB3D" w14:textId="77777777">
            <w:pPr>
              <w:widowControl/>
              <w:autoSpaceDE/>
              <w:autoSpaceDN/>
              <w:adjustRightInd/>
              <w:rPr>
                <w:color w:val="000000"/>
                <w:sz w:val="20"/>
                <w:szCs w:val="20"/>
              </w:rPr>
            </w:pPr>
            <w:r w:rsidRPr="00421F81">
              <w:rPr>
                <w:color w:val="000000"/>
                <w:sz w:val="20"/>
                <w:szCs w:val="20"/>
              </w:rPr>
              <w:t>The estimated number of high-impact establishments being inspected annually decreased from 252,814 to 290,560; this increase was off-set by the number of low-impact establishments being inspected annually, which increased from 461,523 to 482,64</w:t>
            </w:r>
            <w:r w:rsidR="00C733C2">
              <w:rPr>
                <w:color w:val="000000"/>
                <w:sz w:val="20"/>
                <w:szCs w:val="20"/>
              </w:rPr>
              <w:t>9</w:t>
            </w:r>
            <w:r w:rsidRPr="00421F81">
              <w:rPr>
                <w:color w:val="000000"/>
                <w:sz w:val="20"/>
                <w:szCs w:val="20"/>
              </w:rPr>
              <w:t xml:space="preserve"> based on new data from the 2017 County Business Patterns.</w:t>
            </w:r>
          </w:p>
        </w:tc>
      </w:tr>
      <w:tr w:rsidRPr="00421F81" w:rsidR="0019104A" w:rsidTr="0019104A" w14:paraId="36696DB0" w14:textId="77777777">
        <w:trPr>
          <w:gridAfter w:val="1"/>
          <w:wAfter w:w="73" w:type="pct"/>
          <w:trHeight w:val="1290"/>
          <w:jc w:val="center"/>
        </w:trPr>
        <w:tc>
          <w:tcPr>
            <w:tcW w:w="11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421F81" w:rsidR="00421F81" w:rsidP="00421F81" w:rsidRDefault="00421F81" w14:paraId="72B26C2F" w14:textId="77777777">
            <w:pPr>
              <w:widowControl/>
              <w:autoSpaceDE/>
              <w:autoSpaceDN/>
              <w:adjustRightInd/>
              <w:rPr>
                <w:b/>
                <w:bCs/>
                <w:color w:val="000000"/>
                <w:sz w:val="20"/>
                <w:szCs w:val="20"/>
              </w:rPr>
            </w:pPr>
            <w:r w:rsidRPr="00421F81">
              <w:rPr>
                <w:b/>
                <w:bCs/>
                <w:color w:val="000000"/>
                <w:sz w:val="20"/>
                <w:szCs w:val="20"/>
              </w:rPr>
              <w:t>(C)  Training Certification Records (paragraph (c)(7)(iv))</w:t>
            </w:r>
          </w:p>
        </w:tc>
        <w:tc>
          <w:tcPr>
            <w:tcW w:w="476"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41ED45A1" w14:textId="77777777">
            <w:pPr>
              <w:widowControl/>
              <w:autoSpaceDE/>
              <w:autoSpaceDN/>
              <w:adjustRightInd/>
              <w:jc w:val="center"/>
              <w:rPr>
                <w:color w:val="000000"/>
                <w:sz w:val="22"/>
                <w:szCs w:val="22"/>
              </w:rPr>
            </w:pPr>
            <w:r w:rsidRPr="00421F81">
              <w:rPr>
                <w:color w:val="000000"/>
                <w:sz w:val="22"/>
                <w:szCs w:val="22"/>
              </w:rPr>
              <w:t>176,359.00</w:t>
            </w:r>
          </w:p>
        </w:tc>
        <w:tc>
          <w:tcPr>
            <w:tcW w:w="570"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9E5031" w14:paraId="46950363" w14:textId="77777777">
            <w:pPr>
              <w:widowControl/>
              <w:autoSpaceDE/>
              <w:autoSpaceDN/>
              <w:adjustRightInd/>
              <w:jc w:val="center"/>
              <w:rPr>
                <w:color w:val="000000"/>
                <w:sz w:val="22"/>
                <w:szCs w:val="22"/>
              </w:rPr>
            </w:pPr>
            <w:r>
              <w:rPr>
                <w:color w:val="000000"/>
                <w:sz w:val="22"/>
                <w:szCs w:val="22"/>
              </w:rPr>
              <w:t>136,144.1</w:t>
            </w:r>
            <w:r w:rsidR="00C733C2">
              <w:rPr>
                <w:color w:val="000000"/>
                <w:sz w:val="22"/>
                <w:szCs w:val="22"/>
              </w:rPr>
              <w:t>3</w:t>
            </w:r>
          </w:p>
        </w:tc>
        <w:tc>
          <w:tcPr>
            <w:tcW w:w="667" w:type="pct"/>
            <w:gridSpan w:val="2"/>
            <w:tcBorders>
              <w:top w:val="single" w:color="000000" w:sz="8" w:space="0"/>
              <w:left w:val="nil"/>
              <w:bottom w:val="single" w:color="000000" w:sz="8" w:space="0"/>
              <w:right w:val="single" w:color="000000" w:sz="8" w:space="0"/>
            </w:tcBorders>
            <w:shd w:val="clear" w:color="auto" w:fill="auto"/>
            <w:vAlign w:val="center"/>
            <w:hideMark/>
          </w:tcPr>
          <w:p w:rsidRPr="00421F81" w:rsidR="00421F81" w:rsidP="009E5031" w:rsidRDefault="00421F81" w14:paraId="5DAFB4E5" w14:textId="77777777">
            <w:pPr>
              <w:widowControl/>
              <w:autoSpaceDE/>
              <w:autoSpaceDN/>
              <w:adjustRightInd/>
              <w:jc w:val="center"/>
              <w:rPr>
                <w:color w:val="000000"/>
                <w:sz w:val="22"/>
                <w:szCs w:val="22"/>
              </w:rPr>
            </w:pPr>
            <w:r w:rsidRPr="00421F81">
              <w:rPr>
                <w:color w:val="000000"/>
                <w:sz w:val="22"/>
                <w:szCs w:val="22"/>
              </w:rPr>
              <w:t>-</w:t>
            </w:r>
            <w:r w:rsidR="009E5031">
              <w:rPr>
                <w:color w:val="000000"/>
                <w:sz w:val="22"/>
                <w:szCs w:val="22"/>
              </w:rPr>
              <w:t>40,214.8</w:t>
            </w:r>
            <w:r w:rsidR="00C733C2">
              <w:rPr>
                <w:color w:val="000000"/>
                <w:sz w:val="22"/>
                <w:szCs w:val="22"/>
              </w:rPr>
              <w:t>7</w:t>
            </w:r>
          </w:p>
        </w:tc>
        <w:tc>
          <w:tcPr>
            <w:tcW w:w="578" w:type="pct"/>
            <w:tcBorders>
              <w:top w:val="nil"/>
              <w:left w:val="nil"/>
              <w:bottom w:val="single" w:color="000000" w:sz="8" w:space="0"/>
              <w:right w:val="single" w:color="000000" w:sz="8" w:space="0"/>
            </w:tcBorders>
            <w:shd w:val="clear" w:color="auto" w:fill="auto"/>
            <w:vAlign w:val="center"/>
            <w:hideMark/>
          </w:tcPr>
          <w:p w:rsidRPr="00421F81" w:rsidR="00421F81" w:rsidP="0020415A" w:rsidRDefault="00421F81" w14:paraId="38BB9D6B" w14:textId="77777777">
            <w:pPr>
              <w:widowControl/>
              <w:autoSpaceDE/>
              <w:autoSpaceDN/>
              <w:adjustRightInd/>
              <w:jc w:val="center"/>
              <w:rPr>
                <w:color w:val="000000"/>
                <w:sz w:val="22"/>
                <w:szCs w:val="22"/>
              </w:rPr>
            </w:pPr>
            <w:r w:rsidRPr="00421F81">
              <w:rPr>
                <w:color w:val="000000"/>
                <w:sz w:val="22"/>
                <w:szCs w:val="22"/>
              </w:rPr>
              <w:t>$</w:t>
            </w:r>
            <w:r w:rsidR="009E5031">
              <w:rPr>
                <w:color w:val="000000"/>
                <w:sz w:val="22"/>
                <w:szCs w:val="22"/>
              </w:rPr>
              <w:t>3,733,</w:t>
            </w:r>
            <w:r w:rsidR="00C733C2">
              <w:rPr>
                <w:color w:val="000000"/>
                <w:sz w:val="22"/>
                <w:szCs w:val="22"/>
              </w:rPr>
              <w:t>072.1</w:t>
            </w:r>
            <w:r w:rsidR="005703D2">
              <w:rPr>
                <w:color w:val="000000"/>
                <w:sz w:val="22"/>
                <w:szCs w:val="22"/>
              </w:rPr>
              <w:t>3</w:t>
            </w:r>
          </w:p>
        </w:tc>
        <w:tc>
          <w:tcPr>
            <w:tcW w:w="397"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1092DEC0" w14:textId="77777777">
            <w:pPr>
              <w:widowControl/>
              <w:autoSpaceDE/>
              <w:autoSpaceDN/>
              <w:adjustRightInd/>
              <w:jc w:val="center"/>
              <w:rPr>
                <w:color w:val="000000"/>
                <w:sz w:val="22"/>
                <w:szCs w:val="22"/>
              </w:rPr>
            </w:pPr>
            <w:r w:rsidRPr="00421F81">
              <w:rPr>
                <w:color w:val="000000"/>
                <w:sz w:val="22"/>
                <w:szCs w:val="22"/>
              </w:rPr>
              <w:t>5,594,96</w:t>
            </w:r>
            <w:r w:rsidR="00BE6628">
              <w:rPr>
                <w:color w:val="000000"/>
                <w:sz w:val="22"/>
                <w:szCs w:val="22"/>
              </w:rPr>
              <w:t>4</w:t>
            </w:r>
            <w:r w:rsidR="00C733C2">
              <w:rPr>
                <w:color w:val="000000"/>
                <w:sz w:val="22"/>
                <w:szCs w:val="22"/>
              </w:rPr>
              <w:t>.00</w:t>
            </w:r>
          </w:p>
        </w:tc>
        <w:tc>
          <w:tcPr>
            <w:tcW w:w="1137" w:type="pct"/>
            <w:tcBorders>
              <w:top w:val="nil"/>
              <w:left w:val="nil"/>
              <w:bottom w:val="single" w:color="000000" w:sz="8" w:space="0"/>
              <w:right w:val="single" w:color="000000" w:sz="8" w:space="0"/>
            </w:tcBorders>
            <w:shd w:val="clear" w:color="auto" w:fill="auto"/>
            <w:vAlign w:val="center"/>
            <w:hideMark/>
          </w:tcPr>
          <w:p w:rsidRPr="00421F81" w:rsidR="00421F81" w:rsidP="0019104A" w:rsidRDefault="00421F81" w14:paraId="6D782D29" w14:textId="77777777">
            <w:pPr>
              <w:widowControl/>
              <w:autoSpaceDE/>
              <w:autoSpaceDN/>
              <w:adjustRightInd/>
              <w:rPr>
                <w:color w:val="000000"/>
                <w:sz w:val="20"/>
                <w:szCs w:val="20"/>
              </w:rPr>
            </w:pPr>
            <w:r w:rsidRPr="00421F81">
              <w:rPr>
                <w:color w:val="000000"/>
                <w:sz w:val="20"/>
                <w:szCs w:val="20"/>
              </w:rPr>
              <w:t xml:space="preserve">Based on new data, the number of employees covered by the Standard who require training annually decreased </w:t>
            </w:r>
            <w:r w:rsidR="000A3E11">
              <w:rPr>
                <w:color w:val="000000"/>
                <w:sz w:val="20"/>
                <w:szCs w:val="20"/>
              </w:rPr>
              <w:t xml:space="preserve">from </w:t>
            </w:r>
            <w:r w:rsidRPr="00421F81">
              <w:rPr>
                <w:color w:val="000000"/>
                <w:sz w:val="20"/>
                <w:szCs w:val="20"/>
              </w:rPr>
              <w:t>6.56 million to 5.59 million.</w:t>
            </w:r>
          </w:p>
        </w:tc>
      </w:tr>
      <w:tr w:rsidRPr="00421F81" w:rsidR="0019104A" w:rsidTr="0019104A" w14:paraId="1D46FE51" w14:textId="77777777">
        <w:trPr>
          <w:gridAfter w:val="1"/>
          <w:wAfter w:w="73" w:type="pct"/>
          <w:trHeight w:val="1035"/>
          <w:jc w:val="center"/>
        </w:trPr>
        <w:tc>
          <w:tcPr>
            <w:tcW w:w="11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421F81" w:rsidR="00421F81" w:rsidP="00421F81" w:rsidRDefault="00421F81" w14:paraId="05A1D315" w14:textId="77777777">
            <w:pPr>
              <w:widowControl/>
              <w:autoSpaceDE/>
              <w:autoSpaceDN/>
              <w:adjustRightInd/>
              <w:rPr>
                <w:b/>
                <w:bCs/>
                <w:color w:val="000000"/>
                <w:sz w:val="18"/>
                <w:szCs w:val="18"/>
              </w:rPr>
            </w:pPr>
            <w:r w:rsidRPr="00421F81">
              <w:rPr>
                <w:b/>
                <w:bCs/>
                <w:color w:val="000000"/>
                <w:sz w:val="18"/>
                <w:szCs w:val="18"/>
              </w:rPr>
              <w:t>(D)  Notification of Workers (paragraph (c)(9))</w:t>
            </w:r>
          </w:p>
        </w:tc>
        <w:tc>
          <w:tcPr>
            <w:tcW w:w="476"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2C2B6D73" w14:textId="77777777">
            <w:pPr>
              <w:widowControl/>
              <w:autoSpaceDE/>
              <w:autoSpaceDN/>
              <w:adjustRightInd/>
              <w:jc w:val="center"/>
              <w:rPr>
                <w:color w:val="000000"/>
                <w:sz w:val="22"/>
                <w:szCs w:val="22"/>
              </w:rPr>
            </w:pPr>
            <w:r w:rsidRPr="00421F81">
              <w:rPr>
                <w:color w:val="000000"/>
                <w:sz w:val="22"/>
                <w:szCs w:val="22"/>
              </w:rPr>
              <w:t>243,547.00</w:t>
            </w:r>
          </w:p>
        </w:tc>
        <w:tc>
          <w:tcPr>
            <w:tcW w:w="570"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9E5031" w14:paraId="19129DAF" w14:textId="77777777">
            <w:pPr>
              <w:widowControl/>
              <w:autoSpaceDE/>
              <w:autoSpaceDN/>
              <w:adjustRightInd/>
              <w:jc w:val="center"/>
              <w:rPr>
                <w:color w:val="000000"/>
                <w:sz w:val="22"/>
                <w:szCs w:val="22"/>
              </w:rPr>
            </w:pPr>
            <w:r>
              <w:rPr>
                <w:color w:val="000000"/>
                <w:sz w:val="22"/>
                <w:szCs w:val="22"/>
              </w:rPr>
              <w:t>235,161.</w:t>
            </w:r>
            <w:r w:rsidR="00C733C2">
              <w:rPr>
                <w:color w:val="000000"/>
                <w:sz w:val="22"/>
                <w:szCs w:val="22"/>
              </w:rPr>
              <w:t>21</w:t>
            </w:r>
          </w:p>
        </w:tc>
        <w:tc>
          <w:tcPr>
            <w:tcW w:w="667" w:type="pct"/>
            <w:gridSpan w:val="2"/>
            <w:tcBorders>
              <w:top w:val="single" w:color="000000" w:sz="8" w:space="0"/>
              <w:left w:val="nil"/>
              <w:bottom w:val="single" w:color="000000" w:sz="8" w:space="0"/>
              <w:right w:val="single" w:color="000000" w:sz="8" w:space="0"/>
            </w:tcBorders>
            <w:shd w:val="clear" w:color="auto" w:fill="auto"/>
            <w:vAlign w:val="center"/>
            <w:hideMark/>
          </w:tcPr>
          <w:p w:rsidRPr="00421F81" w:rsidR="00421F81" w:rsidP="009E5031" w:rsidRDefault="00421F81" w14:paraId="7A38124B" w14:textId="77777777">
            <w:pPr>
              <w:widowControl/>
              <w:autoSpaceDE/>
              <w:autoSpaceDN/>
              <w:adjustRightInd/>
              <w:jc w:val="center"/>
              <w:rPr>
                <w:color w:val="000000"/>
                <w:sz w:val="22"/>
                <w:szCs w:val="22"/>
              </w:rPr>
            </w:pPr>
            <w:r w:rsidRPr="00421F81">
              <w:rPr>
                <w:color w:val="000000"/>
                <w:sz w:val="22"/>
                <w:szCs w:val="22"/>
              </w:rPr>
              <w:t>-</w:t>
            </w:r>
            <w:r w:rsidR="009E5031">
              <w:rPr>
                <w:color w:val="000000"/>
                <w:sz w:val="22"/>
                <w:szCs w:val="22"/>
              </w:rPr>
              <w:t>8,385.</w:t>
            </w:r>
            <w:r w:rsidR="00C733C2">
              <w:rPr>
                <w:color w:val="000000"/>
                <w:sz w:val="22"/>
                <w:szCs w:val="22"/>
              </w:rPr>
              <w:t>79</w:t>
            </w:r>
          </w:p>
        </w:tc>
        <w:tc>
          <w:tcPr>
            <w:tcW w:w="578" w:type="pct"/>
            <w:tcBorders>
              <w:top w:val="nil"/>
              <w:left w:val="nil"/>
              <w:bottom w:val="single" w:color="000000" w:sz="8" w:space="0"/>
              <w:right w:val="single" w:color="000000" w:sz="8" w:space="0"/>
            </w:tcBorders>
            <w:shd w:val="clear" w:color="auto" w:fill="auto"/>
            <w:vAlign w:val="center"/>
            <w:hideMark/>
          </w:tcPr>
          <w:p w:rsidRPr="00421F81" w:rsidR="00421F81" w:rsidP="00F7111B" w:rsidRDefault="00421F81" w14:paraId="5422D1A3" w14:textId="1A062ADD">
            <w:pPr>
              <w:widowControl/>
              <w:autoSpaceDE/>
              <w:autoSpaceDN/>
              <w:adjustRightInd/>
              <w:jc w:val="center"/>
              <w:rPr>
                <w:color w:val="000000"/>
                <w:sz w:val="22"/>
                <w:szCs w:val="22"/>
              </w:rPr>
            </w:pPr>
            <w:r w:rsidRPr="00421F81">
              <w:rPr>
                <w:color w:val="000000"/>
                <w:sz w:val="22"/>
                <w:szCs w:val="22"/>
              </w:rPr>
              <w:t>$6,</w:t>
            </w:r>
            <w:r w:rsidR="00C733C2">
              <w:rPr>
                <w:color w:val="000000"/>
                <w:sz w:val="22"/>
                <w:szCs w:val="22"/>
              </w:rPr>
              <w:t>605,678.4</w:t>
            </w:r>
            <w:r w:rsidR="00B55DEF">
              <w:rPr>
                <w:color w:val="000000"/>
                <w:sz w:val="22"/>
                <w:szCs w:val="22"/>
              </w:rPr>
              <w:t>5</w:t>
            </w:r>
            <w:r w:rsidRPr="00421F81">
              <w:rPr>
                <w:color w:val="000000"/>
                <w:sz w:val="22"/>
                <w:szCs w:val="22"/>
              </w:rPr>
              <w:t xml:space="preserve"> </w:t>
            </w:r>
          </w:p>
        </w:tc>
        <w:tc>
          <w:tcPr>
            <w:tcW w:w="397"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56D146EF" w14:textId="35F0CA76">
            <w:pPr>
              <w:widowControl/>
              <w:autoSpaceDE/>
              <w:autoSpaceDN/>
              <w:adjustRightInd/>
              <w:jc w:val="center"/>
              <w:rPr>
                <w:color w:val="000000"/>
                <w:sz w:val="22"/>
                <w:szCs w:val="22"/>
              </w:rPr>
            </w:pPr>
            <w:r w:rsidRPr="00421F81">
              <w:rPr>
                <w:color w:val="000000"/>
                <w:sz w:val="22"/>
                <w:szCs w:val="22"/>
              </w:rPr>
              <w:t>56,438,</w:t>
            </w:r>
            <w:r w:rsidR="00C733C2">
              <w:rPr>
                <w:color w:val="000000"/>
                <w:sz w:val="22"/>
                <w:szCs w:val="22"/>
              </w:rPr>
              <w:t>691</w:t>
            </w:r>
            <w:r w:rsidR="00467098">
              <w:rPr>
                <w:color w:val="000000"/>
                <w:sz w:val="22"/>
                <w:szCs w:val="22"/>
              </w:rPr>
              <w:t>.00</w:t>
            </w:r>
          </w:p>
        </w:tc>
        <w:tc>
          <w:tcPr>
            <w:tcW w:w="1137"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19104A" w14:paraId="359B2E2B" w14:textId="77777777">
            <w:pPr>
              <w:widowControl/>
              <w:autoSpaceDE/>
              <w:autoSpaceDN/>
              <w:adjustRightInd/>
              <w:rPr>
                <w:color w:val="000000"/>
                <w:sz w:val="20"/>
                <w:szCs w:val="20"/>
              </w:rPr>
            </w:pPr>
            <w:r>
              <w:rPr>
                <w:color w:val="000000"/>
                <w:sz w:val="20"/>
                <w:szCs w:val="20"/>
              </w:rPr>
              <w:t>There was a</w:t>
            </w:r>
            <w:r w:rsidRPr="00421F81" w:rsidR="00421F81">
              <w:rPr>
                <w:color w:val="000000"/>
                <w:sz w:val="20"/>
                <w:szCs w:val="20"/>
              </w:rPr>
              <w:t xml:space="preserve"> decrease in the estimated number of employee notifications from 60,887,058 to 56,438,</w:t>
            </w:r>
            <w:r w:rsidR="00C733C2">
              <w:rPr>
                <w:color w:val="000000"/>
                <w:sz w:val="20"/>
                <w:szCs w:val="20"/>
              </w:rPr>
              <w:t>691</w:t>
            </w:r>
            <w:r w:rsidRPr="00421F81" w:rsidR="00421F81">
              <w:rPr>
                <w:color w:val="000000"/>
                <w:sz w:val="20"/>
                <w:szCs w:val="20"/>
              </w:rPr>
              <w:t>.</w:t>
            </w:r>
          </w:p>
        </w:tc>
      </w:tr>
      <w:tr w:rsidRPr="00421F81" w:rsidR="0019104A" w:rsidTr="0019104A" w14:paraId="0DB68C21" w14:textId="77777777">
        <w:trPr>
          <w:gridAfter w:val="1"/>
          <w:wAfter w:w="73" w:type="pct"/>
          <w:trHeight w:val="525"/>
          <w:jc w:val="center"/>
        </w:trPr>
        <w:tc>
          <w:tcPr>
            <w:tcW w:w="11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421F81" w:rsidR="00421F81" w:rsidP="00421F81" w:rsidRDefault="00421F81" w14:paraId="479722F8" w14:textId="77777777">
            <w:pPr>
              <w:widowControl/>
              <w:autoSpaceDE/>
              <w:autoSpaceDN/>
              <w:adjustRightInd/>
              <w:rPr>
                <w:b/>
                <w:bCs/>
                <w:color w:val="000000"/>
                <w:sz w:val="20"/>
                <w:szCs w:val="20"/>
              </w:rPr>
            </w:pPr>
            <w:r w:rsidRPr="00421F81">
              <w:rPr>
                <w:b/>
                <w:bCs/>
                <w:color w:val="000000"/>
                <w:sz w:val="20"/>
                <w:szCs w:val="20"/>
              </w:rPr>
              <w:t>(E)  Offsite Personnel (Contractors, etc.) (paragraph (f)(2)(i))</w:t>
            </w:r>
          </w:p>
        </w:tc>
        <w:tc>
          <w:tcPr>
            <w:tcW w:w="476"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0C25711E" w14:textId="77777777">
            <w:pPr>
              <w:widowControl/>
              <w:autoSpaceDE/>
              <w:autoSpaceDN/>
              <w:adjustRightInd/>
              <w:jc w:val="center"/>
              <w:rPr>
                <w:color w:val="000000"/>
                <w:sz w:val="22"/>
                <w:szCs w:val="22"/>
              </w:rPr>
            </w:pPr>
            <w:r w:rsidRPr="00421F81">
              <w:rPr>
                <w:color w:val="000000"/>
                <w:sz w:val="22"/>
                <w:szCs w:val="22"/>
              </w:rPr>
              <w:t>1,035,080.00</w:t>
            </w:r>
          </w:p>
        </w:tc>
        <w:tc>
          <w:tcPr>
            <w:tcW w:w="570"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9E5031" w14:paraId="13714A64" w14:textId="77777777">
            <w:pPr>
              <w:widowControl/>
              <w:autoSpaceDE/>
              <w:autoSpaceDN/>
              <w:adjustRightInd/>
              <w:jc w:val="center"/>
              <w:rPr>
                <w:color w:val="000000"/>
                <w:sz w:val="22"/>
                <w:szCs w:val="22"/>
              </w:rPr>
            </w:pPr>
            <w:r>
              <w:rPr>
                <w:color w:val="000000"/>
                <w:sz w:val="22"/>
                <w:szCs w:val="22"/>
              </w:rPr>
              <w:t>940,64</w:t>
            </w:r>
            <w:r w:rsidR="00C733C2">
              <w:rPr>
                <w:color w:val="000000"/>
                <w:sz w:val="22"/>
                <w:szCs w:val="22"/>
              </w:rPr>
              <w:t>4.83</w:t>
            </w:r>
          </w:p>
        </w:tc>
        <w:tc>
          <w:tcPr>
            <w:tcW w:w="667" w:type="pct"/>
            <w:gridSpan w:val="2"/>
            <w:tcBorders>
              <w:top w:val="single" w:color="000000" w:sz="8" w:space="0"/>
              <w:left w:val="nil"/>
              <w:bottom w:val="single" w:color="000000" w:sz="8" w:space="0"/>
              <w:right w:val="single" w:color="000000" w:sz="8" w:space="0"/>
            </w:tcBorders>
            <w:shd w:val="clear" w:color="auto" w:fill="auto"/>
            <w:vAlign w:val="center"/>
            <w:hideMark/>
          </w:tcPr>
          <w:p w:rsidRPr="00421F81" w:rsidR="00421F81" w:rsidP="009E5031" w:rsidRDefault="00421F81" w14:paraId="7C3FA488" w14:textId="77777777">
            <w:pPr>
              <w:widowControl/>
              <w:autoSpaceDE/>
              <w:autoSpaceDN/>
              <w:adjustRightInd/>
              <w:jc w:val="center"/>
              <w:rPr>
                <w:color w:val="000000"/>
                <w:sz w:val="22"/>
                <w:szCs w:val="22"/>
              </w:rPr>
            </w:pPr>
            <w:r w:rsidRPr="00421F81">
              <w:rPr>
                <w:color w:val="000000"/>
                <w:sz w:val="22"/>
                <w:szCs w:val="22"/>
              </w:rPr>
              <w:t>-</w:t>
            </w:r>
            <w:r w:rsidR="009E5031">
              <w:rPr>
                <w:color w:val="000000"/>
                <w:sz w:val="22"/>
                <w:szCs w:val="22"/>
              </w:rPr>
              <w:t>94,43</w:t>
            </w:r>
            <w:r w:rsidR="00C733C2">
              <w:rPr>
                <w:color w:val="000000"/>
                <w:sz w:val="22"/>
                <w:szCs w:val="22"/>
              </w:rPr>
              <w:t>5.17</w:t>
            </w:r>
          </w:p>
        </w:tc>
        <w:tc>
          <w:tcPr>
            <w:tcW w:w="578" w:type="pct"/>
            <w:tcBorders>
              <w:top w:val="nil"/>
              <w:left w:val="nil"/>
              <w:bottom w:val="single" w:color="000000" w:sz="8" w:space="0"/>
              <w:right w:val="single" w:color="000000" w:sz="8" w:space="0"/>
            </w:tcBorders>
            <w:shd w:val="clear" w:color="auto" w:fill="auto"/>
            <w:vAlign w:val="center"/>
            <w:hideMark/>
          </w:tcPr>
          <w:p w:rsidRPr="00421F81" w:rsidR="00421F81" w:rsidP="00C733C2" w:rsidRDefault="00421F81" w14:paraId="3097FD2D" w14:textId="77777777">
            <w:pPr>
              <w:widowControl/>
              <w:autoSpaceDE/>
              <w:autoSpaceDN/>
              <w:adjustRightInd/>
              <w:jc w:val="center"/>
              <w:rPr>
                <w:color w:val="000000"/>
                <w:sz w:val="22"/>
                <w:szCs w:val="22"/>
              </w:rPr>
            </w:pPr>
            <w:r w:rsidRPr="00421F81">
              <w:rPr>
                <w:color w:val="000000"/>
                <w:sz w:val="22"/>
                <w:szCs w:val="22"/>
              </w:rPr>
              <w:t>$</w:t>
            </w:r>
            <w:r w:rsidR="009E5031">
              <w:rPr>
                <w:color w:val="000000"/>
                <w:sz w:val="22"/>
                <w:szCs w:val="22"/>
              </w:rPr>
              <w:t>42,</w:t>
            </w:r>
            <w:r w:rsidR="00C733C2">
              <w:rPr>
                <w:color w:val="000000"/>
                <w:sz w:val="22"/>
                <w:szCs w:val="22"/>
              </w:rPr>
              <w:t>921,623.7</w:t>
            </w:r>
            <w:r w:rsidR="005703D2">
              <w:rPr>
                <w:color w:val="000000"/>
                <w:sz w:val="22"/>
                <w:szCs w:val="22"/>
              </w:rPr>
              <w:t>2</w:t>
            </w:r>
          </w:p>
        </w:tc>
        <w:tc>
          <w:tcPr>
            <w:tcW w:w="397"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51D88648" w14:textId="77777777">
            <w:pPr>
              <w:widowControl/>
              <w:autoSpaceDE/>
              <w:autoSpaceDN/>
              <w:adjustRightInd/>
              <w:jc w:val="center"/>
              <w:rPr>
                <w:color w:val="000000"/>
                <w:sz w:val="22"/>
                <w:szCs w:val="22"/>
              </w:rPr>
            </w:pPr>
            <w:r w:rsidRPr="00421F81">
              <w:rPr>
                <w:color w:val="000000"/>
                <w:sz w:val="22"/>
                <w:szCs w:val="22"/>
              </w:rPr>
              <w:t>5,643,8</w:t>
            </w:r>
            <w:r w:rsidR="00C733C2">
              <w:rPr>
                <w:color w:val="000000"/>
                <w:sz w:val="22"/>
                <w:szCs w:val="22"/>
              </w:rPr>
              <w:t>69.00</w:t>
            </w:r>
          </w:p>
        </w:tc>
        <w:tc>
          <w:tcPr>
            <w:tcW w:w="1137" w:type="pct"/>
            <w:tcBorders>
              <w:top w:val="nil"/>
              <w:left w:val="nil"/>
              <w:bottom w:val="single" w:color="000000" w:sz="8" w:space="0"/>
              <w:right w:val="single" w:color="000000" w:sz="8" w:space="0"/>
            </w:tcBorders>
            <w:shd w:val="clear" w:color="auto" w:fill="auto"/>
            <w:vAlign w:val="center"/>
            <w:hideMark/>
          </w:tcPr>
          <w:p w:rsidRPr="00421F81" w:rsidR="00421F81" w:rsidP="00421F81" w:rsidRDefault="00421F81" w14:paraId="7AA45750" w14:textId="77777777">
            <w:pPr>
              <w:widowControl/>
              <w:autoSpaceDE/>
              <w:autoSpaceDN/>
              <w:adjustRightInd/>
              <w:rPr>
                <w:color w:val="000000"/>
                <w:sz w:val="20"/>
                <w:szCs w:val="20"/>
              </w:rPr>
            </w:pPr>
            <w:r w:rsidRPr="00421F81">
              <w:rPr>
                <w:color w:val="000000"/>
                <w:sz w:val="20"/>
                <w:szCs w:val="20"/>
              </w:rPr>
              <w:t>Lockout/Tagout notifications decreased 6,088,706 to 5,643,</w:t>
            </w:r>
            <w:r w:rsidR="00C733C2">
              <w:rPr>
                <w:color w:val="000000"/>
                <w:sz w:val="20"/>
                <w:szCs w:val="20"/>
              </w:rPr>
              <w:t>8</w:t>
            </w:r>
            <w:r w:rsidR="00C115D6">
              <w:rPr>
                <w:color w:val="000000"/>
                <w:sz w:val="20"/>
                <w:szCs w:val="20"/>
              </w:rPr>
              <w:t>6</w:t>
            </w:r>
            <w:r w:rsidRPr="00421F81">
              <w:rPr>
                <w:color w:val="000000"/>
                <w:sz w:val="20"/>
                <w:szCs w:val="20"/>
              </w:rPr>
              <w:t>9</w:t>
            </w:r>
            <w:r w:rsidR="00C115D6">
              <w:rPr>
                <w:color w:val="000000"/>
                <w:sz w:val="20"/>
                <w:szCs w:val="20"/>
              </w:rPr>
              <w:t>.</w:t>
            </w:r>
          </w:p>
        </w:tc>
      </w:tr>
      <w:tr w:rsidRPr="00421F81" w:rsidR="0019104A" w:rsidTr="0019104A" w14:paraId="13E08EAA" w14:textId="77777777">
        <w:trPr>
          <w:trHeight w:val="300"/>
          <w:jc w:val="center"/>
        </w:trPr>
        <w:tc>
          <w:tcPr>
            <w:tcW w:w="1102"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hideMark/>
          </w:tcPr>
          <w:p w:rsidRPr="00421F81" w:rsidR="00421F81" w:rsidP="00421F81" w:rsidRDefault="00421F81" w14:paraId="2F2A8F67" w14:textId="77777777">
            <w:pPr>
              <w:widowControl/>
              <w:autoSpaceDE/>
              <w:autoSpaceDN/>
              <w:adjustRightInd/>
              <w:jc w:val="center"/>
              <w:rPr>
                <w:b/>
                <w:bCs/>
                <w:color w:val="000000"/>
                <w:sz w:val="20"/>
                <w:szCs w:val="20"/>
              </w:rPr>
            </w:pPr>
            <w:r w:rsidRPr="00421F81">
              <w:rPr>
                <w:b/>
                <w:bCs/>
                <w:color w:val="000000"/>
                <w:sz w:val="20"/>
                <w:szCs w:val="20"/>
              </w:rPr>
              <w:t>TOTALS</w:t>
            </w:r>
          </w:p>
        </w:tc>
        <w:tc>
          <w:tcPr>
            <w:tcW w:w="476" w:type="pct"/>
            <w:tcBorders>
              <w:top w:val="nil"/>
              <w:left w:val="nil"/>
              <w:bottom w:val="single" w:color="000000" w:sz="8" w:space="0"/>
              <w:right w:val="single" w:color="000000" w:sz="8" w:space="0"/>
            </w:tcBorders>
            <w:shd w:val="clear" w:color="auto" w:fill="auto"/>
            <w:noWrap/>
            <w:vAlign w:val="center"/>
            <w:hideMark/>
          </w:tcPr>
          <w:p w:rsidRPr="00421F81" w:rsidR="00421F81" w:rsidP="00421F81" w:rsidRDefault="00421F81" w14:paraId="0ECC2BDA" w14:textId="77777777">
            <w:pPr>
              <w:widowControl/>
              <w:autoSpaceDE/>
              <w:autoSpaceDN/>
              <w:adjustRightInd/>
              <w:jc w:val="center"/>
              <w:rPr>
                <w:b/>
                <w:bCs/>
                <w:color w:val="000000"/>
                <w:sz w:val="22"/>
                <w:szCs w:val="22"/>
              </w:rPr>
            </w:pPr>
            <w:r w:rsidRPr="00421F81">
              <w:rPr>
                <w:b/>
                <w:bCs/>
                <w:color w:val="000000"/>
                <w:sz w:val="22"/>
                <w:szCs w:val="22"/>
              </w:rPr>
              <w:t>2,749,315.00</w:t>
            </w:r>
          </w:p>
        </w:tc>
        <w:tc>
          <w:tcPr>
            <w:tcW w:w="570" w:type="pct"/>
            <w:tcBorders>
              <w:top w:val="nil"/>
              <w:left w:val="nil"/>
              <w:bottom w:val="single" w:color="000000" w:sz="8" w:space="0"/>
              <w:right w:val="single" w:color="000000" w:sz="8" w:space="0"/>
            </w:tcBorders>
            <w:shd w:val="clear" w:color="auto" w:fill="auto"/>
            <w:noWrap/>
            <w:vAlign w:val="center"/>
            <w:hideMark/>
          </w:tcPr>
          <w:p w:rsidRPr="00421F81" w:rsidR="00421F81" w:rsidP="00421F81" w:rsidRDefault="00421F81" w14:paraId="49BAFDF8" w14:textId="77777777">
            <w:pPr>
              <w:widowControl/>
              <w:autoSpaceDE/>
              <w:autoSpaceDN/>
              <w:adjustRightInd/>
              <w:jc w:val="center"/>
              <w:rPr>
                <w:b/>
                <w:bCs/>
                <w:color w:val="000000"/>
                <w:sz w:val="22"/>
                <w:szCs w:val="22"/>
              </w:rPr>
            </w:pPr>
            <w:r w:rsidRPr="00421F81">
              <w:rPr>
                <w:b/>
                <w:bCs/>
                <w:color w:val="000000"/>
                <w:sz w:val="22"/>
                <w:szCs w:val="22"/>
              </w:rPr>
              <w:t>2,6</w:t>
            </w:r>
            <w:r w:rsidR="009E5031">
              <w:rPr>
                <w:b/>
                <w:bCs/>
                <w:color w:val="000000"/>
                <w:sz w:val="22"/>
                <w:szCs w:val="22"/>
              </w:rPr>
              <w:t>22,</w:t>
            </w:r>
            <w:r w:rsidR="00C733C2">
              <w:rPr>
                <w:b/>
                <w:bCs/>
                <w:color w:val="000000"/>
                <w:sz w:val="22"/>
                <w:szCs w:val="22"/>
              </w:rPr>
              <w:t>911</w:t>
            </w:r>
            <w:r w:rsidR="009E5031">
              <w:rPr>
                <w:b/>
                <w:bCs/>
                <w:color w:val="000000"/>
                <w:sz w:val="22"/>
                <w:szCs w:val="22"/>
              </w:rPr>
              <w:t>.</w:t>
            </w:r>
            <w:r w:rsidR="00C733C2">
              <w:rPr>
                <w:b/>
                <w:bCs/>
                <w:color w:val="000000"/>
                <w:sz w:val="22"/>
                <w:szCs w:val="22"/>
              </w:rPr>
              <w:t>51</w:t>
            </w:r>
          </w:p>
        </w:tc>
        <w:tc>
          <w:tcPr>
            <w:tcW w:w="667" w:type="pct"/>
            <w:gridSpan w:val="2"/>
            <w:tcBorders>
              <w:top w:val="single" w:color="000000" w:sz="8" w:space="0"/>
              <w:left w:val="nil"/>
              <w:bottom w:val="single" w:color="000000" w:sz="8" w:space="0"/>
              <w:right w:val="single" w:color="000000" w:sz="8" w:space="0"/>
            </w:tcBorders>
            <w:shd w:val="clear" w:color="auto" w:fill="auto"/>
            <w:noWrap/>
            <w:vAlign w:val="center"/>
            <w:hideMark/>
          </w:tcPr>
          <w:p w:rsidRPr="00BE47A0" w:rsidR="00421F81" w:rsidP="00421F81" w:rsidRDefault="00421F81" w14:paraId="25AE00A4" w14:textId="77777777">
            <w:pPr>
              <w:widowControl/>
              <w:autoSpaceDE/>
              <w:autoSpaceDN/>
              <w:adjustRightInd/>
              <w:jc w:val="center"/>
              <w:rPr>
                <w:b/>
                <w:bCs/>
                <w:color w:val="000000"/>
                <w:sz w:val="20"/>
                <w:szCs w:val="20"/>
              </w:rPr>
            </w:pPr>
            <w:r w:rsidRPr="00BE47A0">
              <w:rPr>
                <w:b/>
                <w:bCs/>
                <w:color w:val="000000"/>
                <w:sz w:val="20"/>
                <w:szCs w:val="20"/>
              </w:rPr>
              <w:t>-</w:t>
            </w:r>
            <w:r w:rsidRPr="00BE47A0" w:rsidR="009E5031">
              <w:rPr>
                <w:b/>
                <w:bCs/>
                <w:color w:val="000000"/>
                <w:sz w:val="20"/>
                <w:szCs w:val="20"/>
              </w:rPr>
              <w:t>126,4</w:t>
            </w:r>
            <w:r w:rsidR="00C733C2">
              <w:rPr>
                <w:b/>
                <w:bCs/>
                <w:color w:val="000000"/>
                <w:sz w:val="20"/>
                <w:szCs w:val="20"/>
              </w:rPr>
              <w:t>03.49</w:t>
            </w:r>
          </w:p>
        </w:tc>
        <w:tc>
          <w:tcPr>
            <w:tcW w:w="578" w:type="pct"/>
            <w:tcBorders>
              <w:top w:val="nil"/>
              <w:left w:val="nil"/>
              <w:bottom w:val="single" w:color="000000" w:sz="8" w:space="0"/>
              <w:right w:val="single" w:color="000000" w:sz="8" w:space="0"/>
            </w:tcBorders>
            <w:shd w:val="clear" w:color="auto" w:fill="auto"/>
            <w:noWrap/>
            <w:vAlign w:val="center"/>
            <w:hideMark/>
          </w:tcPr>
          <w:p w:rsidRPr="00421F81" w:rsidR="00421F81" w:rsidP="00467098" w:rsidRDefault="00421F81" w14:paraId="1F5B5C7C" w14:textId="1BE9F7C7">
            <w:pPr>
              <w:widowControl/>
              <w:autoSpaceDE/>
              <w:autoSpaceDN/>
              <w:adjustRightInd/>
              <w:jc w:val="center"/>
              <w:rPr>
                <w:b/>
                <w:bCs/>
                <w:color w:val="000000"/>
                <w:sz w:val="22"/>
                <w:szCs w:val="22"/>
              </w:rPr>
            </w:pPr>
            <w:r w:rsidRPr="00421F81">
              <w:rPr>
                <w:b/>
                <w:bCs/>
                <w:color w:val="000000"/>
                <w:sz w:val="22"/>
                <w:szCs w:val="22"/>
              </w:rPr>
              <w:t xml:space="preserve"> $</w:t>
            </w:r>
            <w:r w:rsidR="00BE6628">
              <w:rPr>
                <w:b/>
                <w:bCs/>
                <w:color w:val="000000"/>
                <w:sz w:val="22"/>
                <w:szCs w:val="22"/>
              </w:rPr>
              <w:t>113,</w:t>
            </w:r>
            <w:r w:rsidR="00C733C2">
              <w:rPr>
                <w:b/>
                <w:bCs/>
                <w:color w:val="000000"/>
                <w:sz w:val="22"/>
                <w:szCs w:val="22"/>
              </w:rPr>
              <w:t>07</w:t>
            </w:r>
            <w:r w:rsidR="00F552E9">
              <w:rPr>
                <w:b/>
                <w:bCs/>
                <w:color w:val="000000"/>
                <w:sz w:val="22"/>
                <w:szCs w:val="22"/>
              </w:rPr>
              <w:t>9</w:t>
            </w:r>
            <w:r w:rsidR="00C733C2">
              <w:rPr>
                <w:b/>
                <w:bCs/>
                <w:color w:val="000000"/>
                <w:sz w:val="22"/>
                <w:szCs w:val="22"/>
              </w:rPr>
              <w:t>,539.9</w:t>
            </w:r>
            <w:r w:rsidR="00467098">
              <w:rPr>
                <w:b/>
                <w:bCs/>
                <w:color w:val="000000"/>
                <w:sz w:val="22"/>
                <w:szCs w:val="22"/>
              </w:rPr>
              <w:t>5</w:t>
            </w:r>
          </w:p>
        </w:tc>
        <w:tc>
          <w:tcPr>
            <w:tcW w:w="397" w:type="pct"/>
            <w:tcBorders>
              <w:top w:val="nil"/>
              <w:left w:val="nil"/>
              <w:bottom w:val="single" w:color="000000" w:sz="8" w:space="0"/>
              <w:right w:val="single" w:color="000000" w:sz="8" w:space="0"/>
            </w:tcBorders>
            <w:shd w:val="clear" w:color="auto" w:fill="auto"/>
            <w:noWrap/>
            <w:vAlign w:val="center"/>
            <w:hideMark/>
          </w:tcPr>
          <w:p w:rsidRPr="00421F81" w:rsidR="00421F81" w:rsidP="00BE6628" w:rsidRDefault="00421F81" w14:paraId="0EF7D0C6" w14:textId="77777777">
            <w:pPr>
              <w:widowControl/>
              <w:autoSpaceDE/>
              <w:autoSpaceDN/>
              <w:adjustRightInd/>
              <w:jc w:val="center"/>
              <w:rPr>
                <w:b/>
                <w:bCs/>
                <w:color w:val="000000"/>
                <w:sz w:val="22"/>
                <w:szCs w:val="22"/>
              </w:rPr>
            </w:pPr>
            <w:r w:rsidRPr="00421F81">
              <w:rPr>
                <w:b/>
                <w:bCs/>
                <w:color w:val="000000"/>
                <w:sz w:val="22"/>
                <w:szCs w:val="22"/>
              </w:rPr>
              <w:t>69,</w:t>
            </w:r>
            <w:r w:rsidR="00BE6628">
              <w:rPr>
                <w:b/>
                <w:bCs/>
                <w:color w:val="000000"/>
                <w:sz w:val="22"/>
                <w:szCs w:val="22"/>
              </w:rPr>
              <w:t>25</w:t>
            </w:r>
            <w:r w:rsidR="00C733C2">
              <w:rPr>
                <w:b/>
                <w:bCs/>
                <w:color w:val="000000"/>
                <w:sz w:val="22"/>
                <w:szCs w:val="22"/>
              </w:rPr>
              <w:t>7,657.00</w:t>
            </w:r>
          </w:p>
        </w:tc>
        <w:tc>
          <w:tcPr>
            <w:tcW w:w="1137" w:type="pct"/>
            <w:tcBorders>
              <w:top w:val="nil"/>
              <w:left w:val="nil"/>
              <w:bottom w:val="single" w:color="000000" w:sz="8" w:space="0"/>
              <w:right w:val="nil"/>
            </w:tcBorders>
            <w:shd w:val="clear" w:color="000000" w:fill="CCCCCC"/>
            <w:noWrap/>
            <w:vAlign w:val="center"/>
            <w:hideMark/>
          </w:tcPr>
          <w:p w:rsidRPr="00421F81" w:rsidR="00421F81" w:rsidP="00421F81" w:rsidRDefault="00421F81" w14:paraId="5410F998" w14:textId="77777777">
            <w:pPr>
              <w:widowControl/>
              <w:autoSpaceDE/>
              <w:autoSpaceDN/>
              <w:adjustRightInd/>
              <w:rPr>
                <w:color w:val="000000"/>
                <w:sz w:val="20"/>
                <w:szCs w:val="20"/>
              </w:rPr>
            </w:pPr>
            <w:r w:rsidRPr="00421F81">
              <w:rPr>
                <w:color w:val="000000"/>
                <w:sz w:val="20"/>
                <w:szCs w:val="20"/>
              </w:rPr>
              <w:t> </w:t>
            </w:r>
          </w:p>
        </w:tc>
        <w:tc>
          <w:tcPr>
            <w:tcW w:w="73" w:type="pct"/>
            <w:vAlign w:val="center"/>
            <w:hideMark/>
          </w:tcPr>
          <w:p w:rsidRPr="00421F81" w:rsidR="00421F81" w:rsidP="00421F81" w:rsidRDefault="00421F81" w14:paraId="2A4428DE" w14:textId="77777777">
            <w:pPr>
              <w:widowControl/>
              <w:autoSpaceDE/>
              <w:autoSpaceDN/>
              <w:adjustRightInd/>
              <w:rPr>
                <w:sz w:val="20"/>
                <w:szCs w:val="20"/>
              </w:rPr>
            </w:pPr>
          </w:p>
        </w:tc>
      </w:tr>
    </w:tbl>
    <w:p w:rsidRPr="00CA4589" w:rsidR="00A53539" w:rsidP="00255B26" w:rsidRDefault="00A53539" w14:paraId="28CDC436" w14:textId="77777777">
      <w:pPr>
        <w:widowControl/>
        <w:tabs>
          <w:tab w:val="center" w:pos="6480"/>
          <w:tab w:val="left" w:pos="7200"/>
          <w:tab w:val="left" w:pos="7920"/>
          <w:tab w:val="left" w:pos="8640"/>
          <w:tab w:val="left" w:pos="9360"/>
          <w:tab w:val="left" w:pos="10080"/>
          <w:tab w:val="left" w:pos="10800"/>
          <w:tab w:val="left" w:pos="11520"/>
          <w:tab w:val="left" w:pos="12240"/>
          <w:tab w:val="left" w:pos="12960"/>
        </w:tabs>
      </w:pPr>
    </w:p>
    <w:sectPr w:rsidRPr="00CA4589" w:rsidR="00A53539" w:rsidSect="00BE47A0">
      <w:pgSz w:w="15840" w:h="12240" w:orient="landscape" w:code="1"/>
      <w:pgMar w:top="720" w:right="432" w:bottom="720" w:left="432"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C090FCC" w16cex:dateUtc="2020-12-17T14:40:11.976Z"/>
  <w16cex:commentExtensible w16cex:durableId="1C98547B" w16cex:dateUtc="2020-12-17T15:03:11.44Z"/>
</w16cex:commentsExtensible>
</file>

<file path=word/commentsIds.xml><?xml version="1.0" encoding="utf-8"?>
<w16cid:commentsIds xmlns:mc="http://schemas.openxmlformats.org/markup-compatibility/2006" xmlns:w16cid="http://schemas.microsoft.com/office/word/2016/wordml/cid" mc:Ignorable="w16cid">
  <w16cid:commentId w16cid:paraId="0DFAE7F3" w16cid:durableId="7C090FCC"/>
  <w16cid:commentId w16cid:paraId="5BB865E9" w16cid:durableId="1C9854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211C0" w14:textId="77777777" w:rsidR="00605F38" w:rsidRDefault="00605F38">
      <w:r>
        <w:separator/>
      </w:r>
    </w:p>
  </w:endnote>
  <w:endnote w:type="continuationSeparator" w:id="0">
    <w:p w14:paraId="4C4976BB" w14:textId="77777777" w:rsidR="00605F38" w:rsidRDefault="00605F38">
      <w:r>
        <w:continuationSeparator/>
      </w:r>
    </w:p>
  </w:endnote>
  <w:endnote w:type="continuationNotice" w:id="1">
    <w:p w14:paraId="3730D7DC" w14:textId="77777777" w:rsidR="00605F38" w:rsidRDefault="00605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Cambria Math"/>
    <w:panose1 w:val="0200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12cpi">
    <w:panose1 w:val="00000000000000000000"/>
    <w:charset w:val="00"/>
    <w:family w:val="auto"/>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92CA" w14:textId="77777777" w:rsidR="00F26881" w:rsidRDefault="00F26881" w:rsidP="005136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F880567" w14:textId="77777777" w:rsidR="00F26881" w:rsidRDefault="00F26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947E3" w14:textId="73A6C1D1" w:rsidR="00F26881" w:rsidRDefault="00F26881" w:rsidP="005136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2D46">
      <w:rPr>
        <w:rStyle w:val="PageNumber"/>
        <w:noProof/>
      </w:rPr>
      <w:t>12</w:t>
    </w:r>
    <w:r>
      <w:rPr>
        <w:rStyle w:val="PageNumber"/>
      </w:rPr>
      <w:fldChar w:fldCharType="end"/>
    </w:r>
  </w:p>
  <w:p w14:paraId="3187D0CB" w14:textId="77777777" w:rsidR="00F26881" w:rsidRDefault="00F26881" w:rsidP="00475AC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E1AD" w14:textId="77777777" w:rsidR="00F26881" w:rsidRDefault="00F26881" w:rsidP="0064035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1A577" w14:textId="77777777" w:rsidR="00605F38" w:rsidRDefault="00605F38">
      <w:r>
        <w:separator/>
      </w:r>
    </w:p>
  </w:footnote>
  <w:footnote w:type="continuationSeparator" w:id="0">
    <w:p w14:paraId="1A0B5681" w14:textId="77777777" w:rsidR="00605F38" w:rsidRDefault="00605F38">
      <w:r>
        <w:continuationSeparator/>
      </w:r>
    </w:p>
  </w:footnote>
  <w:footnote w:type="continuationNotice" w:id="1">
    <w:p w14:paraId="35C6A172" w14:textId="77777777" w:rsidR="00605F38" w:rsidRDefault="00605F38"/>
  </w:footnote>
  <w:footnote w:id="2">
    <w:p w14:paraId="4E3950BE" w14:textId="77777777" w:rsidR="00F26881" w:rsidRDefault="00F26881" w:rsidP="00251CC1">
      <w:pPr>
        <w:pStyle w:val="FootnoteText"/>
      </w:pPr>
      <w:r w:rsidRPr="002A2451">
        <w:rPr>
          <w:rStyle w:val="FootnoteReference"/>
          <w:vertAlign w:val="superscript"/>
        </w:rPr>
        <w:footnoteRef/>
      </w:r>
      <w:r w:rsidRPr="002A2451">
        <w:rPr>
          <w:vertAlign w:val="superscript"/>
        </w:rPr>
        <w:t xml:space="preserve"> </w:t>
      </w:r>
      <w:r>
        <w:t>The purpose of this Supporting Statement analyzes and describes burden hours and cost associated with provisions of this standard that contain information collection ; this Supporting Statement does not provide information or guidance on how to comply with, or how to enforce, these provisions.</w:t>
      </w:r>
    </w:p>
  </w:footnote>
  <w:footnote w:id="3">
    <w:p w14:paraId="07DB6D82" w14:textId="77777777" w:rsidR="00F26881" w:rsidRDefault="00F26881" w:rsidP="00251CC1">
      <w:pPr>
        <w:rPr>
          <w:sz w:val="20"/>
          <w:szCs w:val="20"/>
        </w:rPr>
      </w:pPr>
      <w:r w:rsidRPr="00B97EF2">
        <w:rPr>
          <w:rStyle w:val="FootnoteReference"/>
          <w:vertAlign w:val="superscript"/>
        </w:rPr>
        <w:footnoteRef/>
      </w:r>
      <w:r>
        <w:rPr>
          <w:sz w:val="20"/>
          <w:szCs w:val="20"/>
        </w:rPr>
        <w:t>Paragraph (e)(2) requires similar notification; because of this similarity, the Agency is taking no burden hours or cost for this provision.</w:t>
      </w:r>
    </w:p>
    <w:p w14:paraId="0804B799" w14:textId="77777777" w:rsidR="00F26881" w:rsidRPr="00B97EF2" w:rsidRDefault="00F26881" w:rsidP="00B97EF2">
      <w:pPr>
        <w:pStyle w:val="FootnoteText"/>
        <w:ind w:firstLine="720"/>
        <w:rPr>
          <w:sz w:val="24"/>
          <w:vertAlign w:val="superscript"/>
        </w:rPr>
      </w:pPr>
      <w:r w:rsidRPr="00B97EF2">
        <w:rPr>
          <w:sz w:val="24"/>
          <w:vertAlign w:val="superscript"/>
        </w:rPr>
        <w:t xml:space="preserve"> </w:t>
      </w:r>
    </w:p>
  </w:footnote>
  <w:footnote w:id="4">
    <w:p w14:paraId="7D6D99FD" w14:textId="70B9682F" w:rsidR="00F26881" w:rsidRPr="00255B26" w:rsidRDefault="00F26881" w:rsidP="0057659A">
      <w:pPr>
        <w:widowControl/>
        <w:autoSpaceDE/>
        <w:autoSpaceDN/>
        <w:adjustRightInd/>
        <w:rPr>
          <w:color w:val="000000"/>
          <w:sz w:val="20"/>
          <w:szCs w:val="20"/>
        </w:rPr>
      </w:pPr>
      <w:r w:rsidRPr="0057659A">
        <w:rPr>
          <w:rStyle w:val="FootnoteReference"/>
          <w:sz w:val="22"/>
          <w:szCs w:val="22"/>
          <w:vertAlign w:val="superscript"/>
        </w:rPr>
        <w:footnoteRef/>
      </w:r>
      <w:r w:rsidRPr="0057659A">
        <w:rPr>
          <w:rStyle w:val="FootnoteReference"/>
          <w:sz w:val="22"/>
          <w:szCs w:val="22"/>
          <w:vertAlign w:val="superscript"/>
        </w:rPr>
        <w:t xml:space="preserve"> </w:t>
      </w:r>
      <w:r w:rsidRPr="00255B26">
        <w:rPr>
          <w:color w:val="000000"/>
          <w:sz w:val="20"/>
          <w:szCs w:val="20"/>
        </w:rPr>
        <w:t>Source: 2017 County Business Patterns Survey.  U.S. Census Bureau, 2019</w:t>
      </w:r>
      <w:r>
        <w:rPr>
          <w:color w:val="000000"/>
          <w:sz w:val="20"/>
          <w:szCs w:val="20"/>
        </w:rPr>
        <w:t>. (</w:t>
      </w:r>
      <w:hyperlink r:id="rId1" w:history="1">
        <w:r w:rsidRPr="00DC2B53">
          <w:rPr>
            <w:rStyle w:val="Hyperlink"/>
            <w:sz w:val="20"/>
            <w:szCs w:val="20"/>
          </w:rPr>
          <w:t>https://www.census.gov/data/datasets/2017/econ/cbp/2017-cbp.html</w:t>
        </w:r>
      </w:hyperlink>
      <w:r>
        <w:rPr>
          <w:color w:val="000000"/>
          <w:sz w:val="20"/>
          <w:szCs w:val="20"/>
        </w:rPr>
        <w:t>)</w:t>
      </w:r>
      <w:r w:rsidRPr="00255B26">
        <w:rPr>
          <w:color w:val="000000"/>
          <w:sz w:val="20"/>
          <w:szCs w:val="20"/>
        </w:rPr>
        <w:t>.</w:t>
      </w:r>
    </w:p>
    <w:p w14:paraId="4EF32FF2" w14:textId="5D2EB694" w:rsidR="00F26881" w:rsidRDefault="00F26881">
      <w:pPr>
        <w:pStyle w:val="FootnoteText"/>
      </w:pPr>
    </w:p>
  </w:footnote>
  <w:footnote w:id="5">
    <w:p w14:paraId="380411DE" w14:textId="77777777" w:rsidR="00F26881" w:rsidRDefault="00F26881" w:rsidP="00251CC1">
      <w:pPr>
        <w:pStyle w:val="FootnoteText"/>
      </w:pPr>
      <w:r w:rsidRPr="00ED4F28">
        <w:rPr>
          <w:rStyle w:val="FootnoteReference"/>
          <w:sz w:val="22"/>
          <w:szCs w:val="22"/>
          <w:vertAlign w:val="superscript"/>
        </w:rPr>
        <w:footnoteRef/>
      </w:r>
      <w:r>
        <w:rPr>
          <w:i/>
        </w:rPr>
        <w:t>Regulatory Impact and Regulatory Flexibility Analysis of 29 CFR 1910.147 (The Control of Hazardous Energy Sources—Lockout/Tagout)</w:t>
      </w:r>
      <w:r>
        <w:t xml:space="preserve">, </w:t>
      </w:r>
      <w:smartTag w:uri="urn:schemas-microsoft-com:office:smarttags" w:element="place">
        <w:smartTag w:uri="urn:schemas-microsoft-com:office:smarttags" w:element="country-region">
          <w:r>
            <w:t>U.S.</w:t>
          </w:r>
        </w:smartTag>
      </w:smartTag>
      <w:r>
        <w:t xml:space="preserve"> Department of Labor, OSHA, Office of Regulatory Analysis, August, 1989. The source of these data was a contract report titled, </w:t>
      </w:r>
      <w:r>
        <w:rPr>
          <w:i/>
        </w:rPr>
        <w:t>Industry Profile Study of a Standard for Control of Hazardous Energy Sources Including Lockout/Tagout Procedures</w:t>
      </w:r>
      <w:r>
        <w:t>, the Eastern Research Group, May 1985.</w:t>
      </w:r>
    </w:p>
    <w:p w14:paraId="0F2E4EB6" w14:textId="77777777" w:rsidR="00F26881" w:rsidRDefault="00F26881" w:rsidP="00B42AC9">
      <w:pPr>
        <w:pStyle w:val="FootnoteText"/>
        <w:ind w:firstLine="720"/>
      </w:pPr>
    </w:p>
  </w:footnote>
  <w:footnote w:id="6">
    <w:p w14:paraId="7E8E6684" w14:textId="77777777" w:rsidR="00F26881" w:rsidRDefault="00F26881" w:rsidP="00251CC1">
      <w:pPr>
        <w:pStyle w:val="FootnoteText"/>
      </w:pPr>
      <w:r w:rsidRPr="00F21F52">
        <w:rPr>
          <w:rStyle w:val="FootnoteReference"/>
          <w:sz w:val="22"/>
          <w:szCs w:val="22"/>
          <w:vertAlign w:val="superscript"/>
        </w:rPr>
        <w:footnoteRef/>
      </w:r>
      <w:r w:rsidRPr="00F21F52">
        <w:rPr>
          <w:rStyle w:val="FootnoteReference"/>
          <w:sz w:val="22"/>
          <w:szCs w:val="22"/>
          <w:vertAlign w:val="superscript"/>
        </w:rPr>
        <w:t xml:space="preserve"> </w:t>
      </w:r>
      <w:r>
        <w:t>Because the number of authorized workers and establishments are fixed numbers based on data, as displayed in Tables 1 and 2 of this analysis, the decimal used to back-calculate the ratio of establishments to workers cannot be rounded in this equation and similar equations below.</w:t>
      </w:r>
    </w:p>
    <w:p w14:paraId="37FFE451" w14:textId="77777777" w:rsidR="00F26881" w:rsidRDefault="00F26881" w:rsidP="00F21F52">
      <w:pPr>
        <w:pStyle w:val="FootnoteText"/>
        <w:ind w:firstLine="720"/>
      </w:pPr>
    </w:p>
  </w:footnote>
  <w:footnote w:id="7">
    <w:p w14:paraId="6EE6D5C2" w14:textId="77777777" w:rsidR="00F26881" w:rsidRDefault="00F26881" w:rsidP="00251CC1">
      <w:pPr>
        <w:pStyle w:val="FootnoteText"/>
      </w:pPr>
      <w:r w:rsidRPr="00F21F52">
        <w:rPr>
          <w:rStyle w:val="FootnoteReference"/>
          <w:sz w:val="22"/>
          <w:szCs w:val="22"/>
          <w:vertAlign w:val="superscript"/>
        </w:rPr>
        <w:footnoteRef/>
      </w:r>
      <w:r>
        <w:t xml:space="preserve"> To calculate burden hours and cost, OSHA assumes that every authorized worker will notify the affected workers.  The Standard requires only that one of the authorized workers (or an employer representative) notify the affected workers.  Thus, OSHA likely overestimates the burden hours and cost associated with this requirement.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93CDD" w14:textId="77777777" w:rsidR="00F26881" w:rsidRPr="004838DA" w:rsidRDefault="00F26881" w:rsidP="005703D2">
    <w:pPr>
      <w:widowControl/>
      <w:rPr>
        <w:sz w:val="22"/>
        <w:szCs w:val="22"/>
        <w:lang w:eastAsia="ja-JP"/>
      </w:rPr>
    </w:pPr>
    <w:r w:rsidRPr="004838DA">
      <w:rPr>
        <w:sz w:val="22"/>
        <w:szCs w:val="22"/>
        <w:lang w:eastAsia="ja-JP"/>
      </w:rPr>
      <w:t>Hazardous Energy</w:t>
    </w:r>
    <w:r>
      <w:rPr>
        <w:sz w:val="22"/>
        <w:szCs w:val="22"/>
        <w:lang w:eastAsia="ja-JP"/>
      </w:rPr>
      <w:t xml:space="preserve"> Control Standard (Lockout/Tagout) (29 CFR 1910.147)</w:t>
    </w:r>
  </w:p>
  <w:p w14:paraId="3AA0E970" w14:textId="77777777" w:rsidR="00F26881" w:rsidRPr="004838DA" w:rsidRDefault="00F26881" w:rsidP="005703D2">
    <w:pPr>
      <w:widowControl/>
      <w:rPr>
        <w:sz w:val="22"/>
        <w:szCs w:val="22"/>
        <w:lang w:eastAsia="ja-JP"/>
      </w:rPr>
    </w:pPr>
    <w:r w:rsidRPr="004838DA">
      <w:rPr>
        <w:sz w:val="22"/>
        <w:szCs w:val="22"/>
        <w:lang w:eastAsia="ja-JP"/>
      </w:rPr>
      <w:t>OMB Control N</w:t>
    </w:r>
    <w:r>
      <w:rPr>
        <w:sz w:val="22"/>
        <w:szCs w:val="22"/>
        <w:lang w:eastAsia="ja-JP"/>
      </w:rPr>
      <w:t>umber</w:t>
    </w:r>
    <w:r w:rsidRPr="004838DA">
      <w:rPr>
        <w:sz w:val="22"/>
        <w:szCs w:val="22"/>
        <w:lang w:eastAsia="ja-JP"/>
      </w:rPr>
      <w:t xml:space="preserve"> 1218-0150</w:t>
    </w:r>
  </w:p>
  <w:p w14:paraId="4A2850F8" w14:textId="77777777" w:rsidR="00F26881" w:rsidRDefault="00F26881" w:rsidP="00FA16F3">
    <w:pPr>
      <w:tabs>
        <w:tab w:val="center" w:pos="4680"/>
        <w:tab w:val="right" w:pos="9360"/>
      </w:tabs>
    </w:pPr>
    <w:r>
      <w:rPr>
        <w:sz w:val="22"/>
        <w:szCs w:val="22"/>
        <w:lang w:eastAsia="ja-JP"/>
      </w:rPr>
      <w:t>OMB Expiration Date: April 30, 2021</w:t>
    </w:r>
  </w:p>
  <w:p w14:paraId="07B7076C" w14:textId="77777777" w:rsidR="00F26881" w:rsidRPr="0042740F" w:rsidRDefault="00F26881" w:rsidP="00012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2CD3D" w14:textId="77777777" w:rsidR="00F26881" w:rsidRDefault="00F26881" w:rsidP="0093283F">
    <w:pPr>
      <w:widowControl/>
      <w:tabs>
        <w:tab w:val="center" w:pos="4680"/>
      </w:tabs>
      <w:rPr>
        <w:b/>
        <w:bCs/>
      </w:rPr>
    </w:pPr>
  </w:p>
  <w:p w14:paraId="240868C4" w14:textId="77777777" w:rsidR="00F26881" w:rsidRDefault="00F26881" w:rsidP="0093283F">
    <w:pPr>
      <w:widowControl/>
      <w:tabs>
        <w:tab w:val="center" w:pos="4680"/>
      </w:tabs>
      <w:rPr>
        <w:b/>
        <w:bCs/>
      </w:rPr>
    </w:pPr>
  </w:p>
  <w:p w14:paraId="71A7E53E" w14:textId="77777777" w:rsidR="00F26881" w:rsidRPr="00FA16F3" w:rsidRDefault="00F26881" w:rsidP="00B94877">
    <w:pPr>
      <w:widowControl/>
      <w:rPr>
        <w:sz w:val="22"/>
        <w:szCs w:val="22"/>
        <w:lang w:eastAsia="ja-JP"/>
      </w:rPr>
    </w:pPr>
    <w:r w:rsidRPr="00FA16F3">
      <w:rPr>
        <w:sz w:val="22"/>
        <w:szCs w:val="22"/>
        <w:lang w:eastAsia="ja-JP"/>
      </w:rPr>
      <w:t>Hazardous Energy</w:t>
    </w:r>
    <w:r>
      <w:rPr>
        <w:sz w:val="22"/>
        <w:szCs w:val="22"/>
        <w:lang w:eastAsia="ja-JP"/>
      </w:rPr>
      <w:t xml:space="preserve"> Control Standard (Lockout/Tagout) (29 CFR 1910.147)</w:t>
    </w:r>
  </w:p>
  <w:p w14:paraId="511264A6" w14:textId="77777777" w:rsidR="00F26881" w:rsidRPr="00FA16F3" w:rsidRDefault="00F26881" w:rsidP="00B94877">
    <w:pPr>
      <w:widowControl/>
      <w:rPr>
        <w:sz w:val="22"/>
        <w:szCs w:val="22"/>
        <w:lang w:eastAsia="ja-JP"/>
      </w:rPr>
    </w:pPr>
    <w:r w:rsidRPr="005703D2">
      <w:rPr>
        <w:sz w:val="22"/>
        <w:szCs w:val="22"/>
        <w:lang w:eastAsia="ja-JP"/>
      </w:rPr>
      <w:t>OMB Control N</w:t>
    </w:r>
    <w:r>
      <w:rPr>
        <w:sz w:val="22"/>
        <w:szCs w:val="22"/>
        <w:lang w:eastAsia="ja-JP"/>
      </w:rPr>
      <w:t>umber</w:t>
    </w:r>
    <w:r w:rsidRPr="00FA16F3">
      <w:rPr>
        <w:sz w:val="22"/>
        <w:szCs w:val="22"/>
        <w:lang w:eastAsia="ja-JP"/>
      </w:rPr>
      <w:t xml:space="preserve"> 1218-0150</w:t>
    </w:r>
  </w:p>
  <w:p w14:paraId="49AC0826" w14:textId="77777777" w:rsidR="00F26881" w:rsidRDefault="00F26881" w:rsidP="00FA16F3">
    <w:pPr>
      <w:tabs>
        <w:tab w:val="center" w:pos="4680"/>
        <w:tab w:val="right" w:pos="9360"/>
      </w:tabs>
    </w:pPr>
    <w:r>
      <w:rPr>
        <w:sz w:val="22"/>
        <w:szCs w:val="22"/>
        <w:lang w:eastAsia="ja-JP"/>
      </w:rPr>
      <w:t>OMB Expiration Date: April 30, 2021</w:t>
    </w:r>
    <w:r>
      <w:rPr>
        <w:rFonts w:ascii="Calibri" w:hAnsi="Calibri" w:cs="Calibri"/>
        <w:color w:val="000000"/>
        <w:sz w:val="22"/>
        <w:szCs w:val="22"/>
        <w:lang w:eastAsia="ja-JP"/>
      </w:rPr>
      <w:tab/>
    </w:r>
    <w:r>
      <w:rPr>
        <w:rFonts w:ascii="Times New Roman Bold" w:hAnsi="Times New Roman Bold"/>
        <w:b/>
        <w:bCs/>
      </w:rPr>
      <w:tab/>
    </w:r>
    <w:r>
      <w:rPr>
        <w:rFonts w:ascii="Times New Roman Bold" w:hAnsi="Times New Roman Bold"/>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5CE5F9E"/>
    <w:lvl w:ilvl="0">
      <w:numFmt w:val="bullet"/>
      <w:lvlText w:val="*"/>
      <w:lvlJc w:val="left"/>
    </w:lvl>
  </w:abstractNum>
  <w:abstractNum w:abstractNumId="1" w15:restartNumberingAfterBreak="0">
    <w:nsid w:val="11E41839"/>
    <w:multiLevelType w:val="hybridMultilevel"/>
    <w:tmpl w:val="F1AE3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846C4"/>
    <w:multiLevelType w:val="hybridMultilevel"/>
    <w:tmpl w:val="46463D06"/>
    <w:lvl w:ilvl="0" w:tplc="2CD8DE14">
      <w:start w:val="5"/>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711AB8"/>
    <w:multiLevelType w:val="hybridMultilevel"/>
    <w:tmpl w:val="B742F43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94680C"/>
    <w:multiLevelType w:val="hybridMultilevel"/>
    <w:tmpl w:val="DDFE12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A39239B"/>
    <w:multiLevelType w:val="hybridMultilevel"/>
    <w:tmpl w:val="705E3D7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BC2A99"/>
    <w:multiLevelType w:val="hybridMultilevel"/>
    <w:tmpl w:val="F3BAE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C39FF"/>
    <w:multiLevelType w:val="hybridMultilevel"/>
    <w:tmpl w:val="63BA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11779"/>
    <w:multiLevelType w:val="hybridMultilevel"/>
    <w:tmpl w:val="4992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F4611"/>
    <w:multiLevelType w:val="hybridMultilevel"/>
    <w:tmpl w:val="67A467CC"/>
    <w:lvl w:ilvl="0" w:tplc="0409000F">
      <w:start w:val="1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7E75FE4"/>
    <w:multiLevelType w:val="hybridMultilevel"/>
    <w:tmpl w:val="A95CD290"/>
    <w:lvl w:ilvl="0" w:tplc="29CAA92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9245BA6"/>
    <w:multiLevelType w:val="hybridMultilevel"/>
    <w:tmpl w:val="5218D780"/>
    <w:lvl w:ilvl="0" w:tplc="607E2B84">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C1535D4"/>
    <w:multiLevelType w:val="hybridMultilevel"/>
    <w:tmpl w:val="8C2E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55769"/>
    <w:multiLevelType w:val="hybridMultilevel"/>
    <w:tmpl w:val="C706D5C2"/>
    <w:lvl w:ilvl="0" w:tplc="B8DC660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D25387"/>
    <w:multiLevelType w:val="hybridMultilevel"/>
    <w:tmpl w:val="FC70E702"/>
    <w:lvl w:ilvl="0" w:tplc="1EF27F3E">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A7B0621"/>
    <w:multiLevelType w:val="hybridMultilevel"/>
    <w:tmpl w:val="2ACE73B6"/>
    <w:lvl w:ilvl="0" w:tplc="66205278">
      <w:start w:val="4"/>
      <w:numFmt w:val="upperLetter"/>
      <w:lvlText w:val="(%1)"/>
      <w:lvlJc w:val="left"/>
      <w:pPr>
        <w:tabs>
          <w:tab w:val="num" w:pos="1215"/>
        </w:tabs>
        <w:ind w:left="1215" w:hanging="4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EA43193"/>
    <w:multiLevelType w:val="hybridMultilevel"/>
    <w:tmpl w:val="05B686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5ED212A"/>
    <w:multiLevelType w:val="hybridMultilevel"/>
    <w:tmpl w:val="06E6F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2256634"/>
    <w:multiLevelType w:val="hybridMultilevel"/>
    <w:tmpl w:val="68CCE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8A3243"/>
    <w:multiLevelType w:val="hybridMultilevel"/>
    <w:tmpl w:val="BF9E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5589F"/>
    <w:multiLevelType w:val="hybridMultilevel"/>
    <w:tmpl w:val="6A0A64F2"/>
    <w:lvl w:ilvl="0" w:tplc="AD3677AC">
      <w:start w:val="12"/>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9016645"/>
    <w:multiLevelType w:val="hybridMultilevel"/>
    <w:tmpl w:val="F1AE3686"/>
    <w:lvl w:ilvl="0" w:tplc="08B6AAAE">
      <w:start w:val="1"/>
      <w:numFmt w:val="bullet"/>
      <w:lvlText w:val=""/>
      <w:lvlJc w:val="left"/>
      <w:pPr>
        <w:tabs>
          <w:tab w:val="num" w:pos="720"/>
        </w:tabs>
        <w:ind w:left="720" w:hanging="360"/>
      </w:pPr>
      <w:rPr>
        <w:rFonts w:ascii="Symbol" w:hAnsi="Symbol" w:hint="default"/>
      </w:rPr>
    </w:lvl>
    <w:lvl w:ilvl="1" w:tplc="589CAB54">
      <w:start w:val="1"/>
      <w:numFmt w:val="bullet"/>
      <w:lvlText w:val="o"/>
      <w:lvlJc w:val="left"/>
      <w:pPr>
        <w:tabs>
          <w:tab w:val="num" w:pos="1440"/>
        </w:tabs>
        <w:ind w:left="1440" w:hanging="360"/>
      </w:pPr>
      <w:rPr>
        <w:rFonts w:ascii="Courier New" w:hAnsi="Courier New" w:cs="Courier New" w:hint="default"/>
      </w:rPr>
    </w:lvl>
    <w:lvl w:ilvl="2" w:tplc="2CA88FFC">
      <w:start w:val="1"/>
      <w:numFmt w:val="bullet"/>
      <w:lvlText w:val=""/>
      <w:lvlJc w:val="left"/>
      <w:pPr>
        <w:tabs>
          <w:tab w:val="num" w:pos="2160"/>
        </w:tabs>
        <w:ind w:left="2160" w:hanging="360"/>
      </w:pPr>
      <w:rPr>
        <w:rFonts w:ascii="Wingdings" w:hAnsi="Wingdings" w:hint="default"/>
      </w:rPr>
    </w:lvl>
    <w:lvl w:ilvl="3" w:tplc="4AD8A438">
      <w:start w:val="1"/>
      <w:numFmt w:val="bullet"/>
      <w:lvlText w:val=""/>
      <w:lvlJc w:val="left"/>
      <w:pPr>
        <w:tabs>
          <w:tab w:val="num" w:pos="2880"/>
        </w:tabs>
        <w:ind w:left="2880" w:hanging="360"/>
      </w:pPr>
      <w:rPr>
        <w:rFonts w:ascii="Symbol" w:hAnsi="Symbol" w:hint="default"/>
      </w:rPr>
    </w:lvl>
    <w:lvl w:ilvl="4" w:tplc="ABE63064">
      <w:start w:val="1"/>
      <w:numFmt w:val="bullet"/>
      <w:lvlText w:val="o"/>
      <w:lvlJc w:val="left"/>
      <w:pPr>
        <w:tabs>
          <w:tab w:val="num" w:pos="3600"/>
        </w:tabs>
        <w:ind w:left="3600" w:hanging="360"/>
      </w:pPr>
      <w:rPr>
        <w:rFonts w:ascii="Courier New" w:hAnsi="Courier New" w:cs="Courier New" w:hint="default"/>
      </w:rPr>
    </w:lvl>
    <w:lvl w:ilvl="5" w:tplc="C5D4D99E">
      <w:start w:val="1"/>
      <w:numFmt w:val="bullet"/>
      <w:lvlText w:val=""/>
      <w:lvlJc w:val="left"/>
      <w:pPr>
        <w:tabs>
          <w:tab w:val="num" w:pos="4320"/>
        </w:tabs>
        <w:ind w:left="4320" w:hanging="360"/>
      </w:pPr>
      <w:rPr>
        <w:rFonts w:ascii="Wingdings" w:hAnsi="Wingdings" w:hint="default"/>
      </w:rPr>
    </w:lvl>
    <w:lvl w:ilvl="6" w:tplc="19228ED4">
      <w:start w:val="1"/>
      <w:numFmt w:val="bullet"/>
      <w:lvlText w:val=""/>
      <w:lvlJc w:val="left"/>
      <w:pPr>
        <w:tabs>
          <w:tab w:val="num" w:pos="5040"/>
        </w:tabs>
        <w:ind w:left="5040" w:hanging="360"/>
      </w:pPr>
      <w:rPr>
        <w:rFonts w:ascii="Symbol" w:hAnsi="Symbol" w:hint="default"/>
      </w:rPr>
    </w:lvl>
    <w:lvl w:ilvl="7" w:tplc="FE8C0AA6">
      <w:start w:val="1"/>
      <w:numFmt w:val="bullet"/>
      <w:lvlText w:val="o"/>
      <w:lvlJc w:val="left"/>
      <w:pPr>
        <w:tabs>
          <w:tab w:val="num" w:pos="5760"/>
        </w:tabs>
        <w:ind w:left="5760" w:hanging="360"/>
      </w:pPr>
      <w:rPr>
        <w:rFonts w:ascii="Courier New" w:hAnsi="Courier New" w:cs="Courier New" w:hint="default"/>
      </w:rPr>
    </w:lvl>
    <w:lvl w:ilvl="8" w:tplc="D70680D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625C67"/>
    <w:multiLevelType w:val="hybridMultilevel"/>
    <w:tmpl w:val="603AF918"/>
    <w:lvl w:ilvl="0" w:tplc="4CDABE00">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7"/>
  </w:num>
  <w:num w:numId="4">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5">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 w:numId="6">
    <w:abstractNumId w:val="21"/>
  </w:num>
  <w:num w:numId="7">
    <w:abstractNumId w:val="19"/>
  </w:num>
  <w:num w:numId="8">
    <w:abstractNumId w:val="2"/>
  </w:num>
  <w:num w:numId="9">
    <w:abstractNumId w:val="3"/>
  </w:num>
  <w:num w:numId="10">
    <w:abstractNumId w:val="17"/>
  </w:num>
  <w:num w:numId="1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12">
    <w:abstractNumId w:val="0"/>
    <w:lvlOverride w:ilvl="0">
      <w:lvl w:ilvl="0">
        <w:numFmt w:val="bullet"/>
        <w:lvlText w:val="·"/>
        <w:legacy w:legacy="1" w:legacySpace="0" w:legacyIndent="360"/>
        <w:lvlJc w:val="left"/>
        <w:pPr>
          <w:ind w:left="720" w:hanging="360"/>
        </w:pPr>
        <w:rPr>
          <w:rFonts w:ascii="Shruti" w:hAnsi="Shruti" w:cs="Shruti" w:hint="default"/>
          <w:b/>
        </w:rPr>
      </w:lvl>
    </w:lvlOverride>
  </w:num>
  <w:num w:numId="13">
    <w:abstractNumId w:val="6"/>
  </w:num>
  <w:num w:numId="14">
    <w:abstractNumId w:val="25"/>
  </w:num>
  <w:num w:numId="15">
    <w:abstractNumId w:val="11"/>
  </w:num>
  <w:num w:numId="16">
    <w:abstractNumId w:val="23"/>
  </w:num>
  <w:num w:numId="17">
    <w:abstractNumId w:val="1"/>
  </w:num>
  <w:num w:numId="18">
    <w:abstractNumId w:val="24"/>
  </w:num>
  <w:num w:numId="19">
    <w:abstractNumId w:val="13"/>
  </w:num>
  <w:num w:numId="20">
    <w:abstractNumId w:val="4"/>
  </w:num>
  <w:num w:numId="21">
    <w:abstractNumId w:val="8"/>
  </w:num>
  <w:num w:numId="22">
    <w:abstractNumId w:val="14"/>
  </w:num>
  <w:num w:numId="23">
    <w:abstractNumId w:val="18"/>
  </w:num>
  <w:num w:numId="24">
    <w:abstractNumId w:val="22"/>
  </w:num>
  <w:num w:numId="25">
    <w:abstractNumId w:val="0"/>
    <w:lvlOverride w:ilvl="0">
      <w:lvl w:ilvl="0">
        <w:numFmt w:val="bullet"/>
        <w:lvlText w:val="·"/>
        <w:legacy w:legacy="1" w:legacySpace="0" w:legacyIndent="360"/>
        <w:lvlJc w:val="left"/>
        <w:pPr>
          <w:ind w:left="720" w:hanging="360"/>
        </w:pPr>
        <w:rPr>
          <w:rFonts w:ascii="Shruti" w:hAnsi="Shruti" w:cs="Wingdings" w:hint="default"/>
        </w:rPr>
      </w:lvl>
    </w:lvlOverride>
  </w:num>
  <w:num w:numId="26">
    <w:abstractNumId w:val="0"/>
    <w:lvlOverride w:ilvl="0">
      <w:lvl w:ilvl="0">
        <w:numFmt w:val="bullet"/>
        <w:lvlText w:val="·"/>
        <w:legacy w:legacy="1" w:legacySpace="0" w:legacyIndent="360"/>
        <w:lvlJc w:val="left"/>
        <w:pPr>
          <w:ind w:left="720" w:hanging="360"/>
        </w:pPr>
        <w:rPr>
          <w:rFonts w:ascii="Shruti" w:hAnsi="Shruti" w:cs="Wingdings" w:hint="default"/>
          <w:b/>
        </w:rPr>
      </w:lvl>
    </w:lvlOverride>
  </w:num>
  <w:num w:numId="27">
    <w:abstractNumId w:val="16"/>
  </w:num>
  <w:num w:numId="28">
    <w:abstractNumId w:val="9"/>
  </w:num>
  <w:num w:numId="29">
    <w:abstractNumId w:val="20"/>
  </w:num>
  <w:num w:numId="30">
    <w:abstractNumId w:val="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JM" w:vendorID="64" w:dllVersion="131078" w:nlCheck="1" w:checkStyle="1"/>
  <w:activeWritingStyle w:appName="MSWord" w:lang="en-US" w:vendorID="64" w:dllVersion="0" w:nlCheck="1" w:checkStyle="0"/>
  <w:activeWritingStyle w:appName="MSWord" w:lang="en-JM"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sjQ3NzAwNja1MDZT0lEKTi0uzszPAykwrAUAhxtdkCwAAAA="/>
  </w:docVars>
  <w:rsids>
    <w:rsidRoot w:val="00C46BF4"/>
    <w:rsid w:val="00001C6A"/>
    <w:rsid w:val="00003E4D"/>
    <w:rsid w:val="00003F8A"/>
    <w:rsid w:val="00004B9E"/>
    <w:rsid w:val="00007356"/>
    <w:rsid w:val="00010410"/>
    <w:rsid w:val="00011F45"/>
    <w:rsid w:val="00012978"/>
    <w:rsid w:val="00012F1E"/>
    <w:rsid w:val="000233F8"/>
    <w:rsid w:val="00023E64"/>
    <w:rsid w:val="00024466"/>
    <w:rsid w:val="00030888"/>
    <w:rsid w:val="00031EB6"/>
    <w:rsid w:val="00032650"/>
    <w:rsid w:val="00032BF8"/>
    <w:rsid w:val="0004542C"/>
    <w:rsid w:val="000503B5"/>
    <w:rsid w:val="00057821"/>
    <w:rsid w:val="00065BB7"/>
    <w:rsid w:val="0006608B"/>
    <w:rsid w:val="00067091"/>
    <w:rsid w:val="00070CC6"/>
    <w:rsid w:val="000735C8"/>
    <w:rsid w:val="00076617"/>
    <w:rsid w:val="00076F59"/>
    <w:rsid w:val="00084A86"/>
    <w:rsid w:val="00086818"/>
    <w:rsid w:val="00090EFD"/>
    <w:rsid w:val="00093873"/>
    <w:rsid w:val="00094761"/>
    <w:rsid w:val="00096D08"/>
    <w:rsid w:val="0009723C"/>
    <w:rsid w:val="0009731E"/>
    <w:rsid w:val="000A08DD"/>
    <w:rsid w:val="000A0FCE"/>
    <w:rsid w:val="000A3E11"/>
    <w:rsid w:val="000B19C4"/>
    <w:rsid w:val="000B4416"/>
    <w:rsid w:val="000B48F9"/>
    <w:rsid w:val="000B59F0"/>
    <w:rsid w:val="000B6F93"/>
    <w:rsid w:val="000C0B24"/>
    <w:rsid w:val="000C0C4D"/>
    <w:rsid w:val="000C1EEF"/>
    <w:rsid w:val="000C28BB"/>
    <w:rsid w:val="000C5701"/>
    <w:rsid w:val="000C5B38"/>
    <w:rsid w:val="000D08E3"/>
    <w:rsid w:val="000D151E"/>
    <w:rsid w:val="000D2550"/>
    <w:rsid w:val="000D2BA9"/>
    <w:rsid w:val="000D3222"/>
    <w:rsid w:val="000D40F3"/>
    <w:rsid w:val="000D5122"/>
    <w:rsid w:val="000D6932"/>
    <w:rsid w:val="000E3CF4"/>
    <w:rsid w:val="000E5BC7"/>
    <w:rsid w:val="000F37AC"/>
    <w:rsid w:val="000F3B62"/>
    <w:rsid w:val="001026E4"/>
    <w:rsid w:val="00111183"/>
    <w:rsid w:val="0011128F"/>
    <w:rsid w:val="00113164"/>
    <w:rsid w:val="00113318"/>
    <w:rsid w:val="00114DD0"/>
    <w:rsid w:val="00115D7E"/>
    <w:rsid w:val="00125134"/>
    <w:rsid w:val="00125B2F"/>
    <w:rsid w:val="00125D3B"/>
    <w:rsid w:val="00130D7D"/>
    <w:rsid w:val="00133735"/>
    <w:rsid w:val="0013550A"/>
    <w:rsid w:val="001435E9"/>
    <w:rsid w:val="00145041"/>
    <w:rsid w:val="00145EA2"/>
    <w:rsid w:val="0014730B"/>
    <w:rsid w:val="0014768A"/>
    <w:rsid w:val="00147AF5"/>
    <w:rsid w:val="00150779"/>
    <w:rsid w:val="001508EE"/>
    <w:rsid w:val="0015114F"/>
    <w:rsid w:val="0015216C"/>
    <w:rsid w:val="00153B79"/>
    <w:rsid w:val="00155031"/>
    <w:rsid w:val="00160C20"/>
    <w:rsid w:val="0016455D"/>
    <w:rsid w:val="001660E4"/>
    <w:rsid w:val="00170201"/>
    <w:rsid w:val="00173B11"/>
    <w:rsid w:val="00174C28"/>
    <w:rsid w:val="001756AA"/>
    <w:rsid w:val="001773B2"/>
    <w:rsid w:val="001774F9"/>
    <w:rsid w:val="00180B7B"/>
    <w:rsid w:val="00182CE5"/>
    <w:rsid w:val="00184CAA"/>
    <w:rsid w:val="001855DF"/>
    <w:rsid w:val="0019104A"/>
    <w:rsid w:val="00191C6D"/>
    <w:rsid w:val="00193AFC"/>
    <w:rsid w:val="001961CC"/>
    <w:rsid w:val="001A1E0E"/>
    <w:rsid w:val="001B1B08"/>
    <w:rsid w:val="001B29EF"/>
    <w:rsid w:val="001B3DA3"/>
    <w:rsid w:val="001B5F4B"/>
    <w:rsid w:val="001C0D06"/>
    <w:rsid w:val="001C53C1"/>
    <w:rsid w:val="001D10E3"/>
    <w:rsid w:val="001E0787"/>
    <w:rsid w:val="001E12DB"/>
    <w:rsid w:val="001E1651"/>
    <w:rsid w:val="001E1B41"/>
    <w:rsid w:val="001E295E"/>
    <w:rsid w:val="001E4742"/>
    <w:rsid w:val="001E4DE7"/>
    <w:rsid w:val="001E54A9"/>
    <w:rsid w:val="001E6157"/>
    <w:rsid w:val="001F10B7"/>
    <w:rsid w:val="001F1ACF"/>
    <w:rsid w:val="001F20C5"/>
    <w:rsid w:val="001F20D1"/>
    <w:rsid w:val="001F2ED6"/>
    <w:rsid w:val="001F7C11"/>
    <w:rsid w:val="0020194A"/>
    <w:rsid w:val="0020324A"/>
    <w:rsid w:val="0020415A"/>
    <w:rsid w:val="00204169"/>
    <w:rsid w:val="00212587"/>
    <w:rsid w:val="00214048"/>
    <w:rsid w:val="00214468"/>
    <w:rsid w:val="002210CF"/>
    <w:rsid w:val="00221987"/>
    <w:rsid w:val="00223B5B"/>
    <w:rsid w:val="00224176"/>
    <w:rsid w:val="00230F8A"/>
    <w:rsid w:val="002362ED"/>
    <w:rsid w:val="00236714"/>
    <w:rsid w:val="00240A74"/>
    <w:rsid w:val="00242764"/>
    <w:rsid w:val="00242DA7"/>
    <w:rsid w:val="00243817"/>
    <w:rsid w:val="002466E0"/>
    <w:rsid w:val="00246AF0"/>
    <w:rsid w:val="0025022E"/>
    <w:rsid w:val="00251B4F"/>
    <w:rsid w:val="00251CC1"/>
    <w:rsid w:val="00255B26"/>
    <w:rsid w:val="00265C25"/>
    <w:rsid w:val="00270043"/>
    <w:rsid w:val="002736A9"/>
    <w:rsid w:val="00280F15"/>
    <w:rsid w:val="00281D02"/>
    <w:rsid w:val="002822C4"/>
    <w:rsid w:val="00282DE7"/>
    <w:rsid w:val="00285A7E"/>
    <w:rsid w:val="002870A6"/>
    <w:rsid w:val="00287427"/>
    <w:rsid w:val="00297710"/>
    <w:rsid w:val="002A09E4"/>
    <w:rsid w:val="002A1357"/>
    <w:rsid w:val="002A2451"/>
    <w:rsid w:val="002A7B37"/>
    <w:rsid w:val="002B0C8A"/>
    <w:rsid w:val="002B4661"/>
    <w:rsid w:val="002B602A"/>
    <w:rsid w:val="002C5644"/>
    <w:rsid w:val="002D4143"/>
    <w:rsid w:val="002E2EB0"/>
    <w:rsid w:val="002E3BCB"/>
    <w:rsid w:val="002E6938"/>
    <w:rsid w:val="002F1517"/>
    <w:rsid w:val="002F15FE"/>
    <w:rsid w:val="002F18D9"/>
    <w:rsid w:val="002F30CC"/>
    <w:rsid w:val="00300772"/>
    <w:rsid w:val="00307262"/>
    <w:rsid w:val="00311FB4"/>
    <w:rsid w:val="003124F3"/>
    <w:rsid w:val="00313D20"/>
    <w:rsid w:val="00315F16"/>
    <w:rsid w:val="00321C38"/>
    <w:rsid w:val="003236AF"/>
    <w:rsid w:val="003269DC"/>
    <w:rsid w:val="003323B4"/>
    <w:rsid w:val="00332FE9"/>
    <w:rsid w:val="0033306F"/>
    <w:rsid w:val="00335D4B"/>
    <w:rsid w:val="00342B5D"/>
    <w:rsid w:val="00342DFB"/>
    <w:rsid w:val="00343B8A"/>
    <w:rsid w:val="00344C7B"/>
    <w:rsid w:val="00352C9C"/>
    <w:rsid w:val="00360B1C"/>
    <w:rsid w:val="00362531"/>
    <w:rsid w:val="00363CAE"/>
    <w:rsid w:val="00364524"/>
    <w:rsid w:val="00364C62"/>
    <w:rsid w:val="0036668F"/>
    <w:rsid w:val="00370A61"/>
    <w:rsid w:val="00373C45"/>
    <w:rsid w:val="0037580B"/>
    <w:rsid w:val="00384018"/>
    <w:rsid w:val="00390F01"/>
    <w:rsid w:val="003949AF"/>
    <w:rsid w:val="003A2293"/>
    <w:rsid w:val="003A339A"/>
    <w:rsid w:val="003A5F7D"/>
    <w:rsid w:val="003A7F26"/>
    <w:rsid w:val="003B0FAB"/>
    <w:rsid w:val="003B159E"/>
    <w:rsid w:val="003B1C8E"/>
    <w:rsid w:val="003B1DDB"/>
    <w:rsid w:val="003B39B8"/>
    <w:rsid w:val="003B664C"/>
    <w:rsid w:val="003B746D"/>
    <w:rsid w:val="003B7F76"/>
    <w:rsid w:val="003C1038"/>
    <w:rsid w:val="003C278E"/>
    <w:rsid w:val="003C2F7D"/>
    <w:rsid w:val="003C4A58"/>
    <w:rsid w:val="003D1BFC"/>
    <w:rsid w:val="003D3827"/>
    <w:rsid w:val="003D3B79"/>
    <w:rsid w:val="003E1D23"/>
    <w:rsid w:val="003E245D"/>
    <w:rsid w:val="003E2AE3"/>
    <w:rsid w:val="003E6269"/>
    <w:rsid w:val="003F29B1"/>
    <w:rsid w:val="003F33C6"/>
    <w:rsid w:val="003F39C3"/>
    <w:rsid w:val="00400CE1"/>
    <w:rsid w:val="00403E12"/>
    <w:rsid w:val="00403F6B"/>
    <w:rsid w:val="0040571B"/>
    <w:rsid w:val="00411238"/>
    <w:rsid w:val="00413781"/>
    <w:rsid w:val="00414206"/>
    <w:rsid w:val="0041697A"/>
    <w:rsid w:val="00417AB8"/>
    <w:rsid w:val="00421F81"/>
    <w:rsid w:val="0042603E"/>
    <w:rsid w:val="00426F2F"/>
    <w:rsid w:val="0042740F"/>
    <w:rsid w:val="00430DB1"/>
    <w:rsid w:val="004341BB"/>
    <w:rsid w:val="00435EC3"/>
    <w:rsid w:val="004403A3"/>
    <w:rsid w:val="004403FB"/>
    <w:rsid w:val="004412CF"/>
    <w:rsid w:val="00445312"/>
    <w:rsid w:val="0044743A"/>
    <w:rsid w:val="0045061A"/>
    <w:rsid w:val="00450A57"/>
    <w:rsid w:val="004526BF"/>
    <w:rsid w:val="004527A0"/>
    <w:rsid w:val="00453874"/>
    <w:rsid w:val="00453DA8"/>
    <w:rsid w:val="00460D2B"/>
    <w:rsid w:val="004612FD"/>
    <w:rsid w:val="004615FB"/>
    <w:rsid w:val="00466FA0"/>
    <w:rsid w:val="00467098"/>
    <w:rsid w:val="00470461"/>
    <w:rsid w:val="00473F66"/>
    <w:rsid w:val="00474578"/>
    <w:rsid w:val="00475AC4"/>
    <w:rsid w:val="00475C75"/>
    <w:rsid w:val="00476F1C"/>
    <w:rsid w:val="00477050"/>
    <w:rsid w:val="004808BD"/>
    <w:rsid w:val="004826EF"/>
    <w:rsid w:val="00483666"/>
    <w:rsid w:val="004859F8"/>
    <w:rsid w:val="00485D80"/>
    <w:rsid w:val="004876F8"/>
    <w:rsid w:val="00490777"/>
    <w:rsid w:val="00491F8E"/>
    <w:rsid w:val="00494FF6"/>
    <w:rsid w:val="00497AC5"/>
    <w:rsid w:val="00497AE3"/>
    <w:rsid w:val="00497E7A"/>
    <w:rsid w:val="004A3778"/>
    <w:rsid w:val="004A7F2B"/>
    <w:rsid w:val="004A7F76"/>
    <w:rsid w:val="004B6E6C"/>
    <w:rsid w:val="004B7987"/>
    <w:rsid w:val="004C019C"/>
    <w:rsid w:val="004C0845"/>
    <w:rsid w:val="004C5973"/>
    <w:rsid w:val="004C66E6"/>
    <w:rsid w:val="004C679C"/>
    <w:rsid w:val="004C710B"/>
    <w:rsid w:val="004E5FCE"/>
    <w:rsid w:val="004F047E"/>
    <w:rsid w:val="004F1729"/>
    <w:rsid w:val="004F1DB4"/>
    <w:rsid w:val="004F2E52"/>
    <w:rsid w:val="00502382"/>
    <w:rsid w:val="00503A14"/>
    <w:rsid w:val="0050572C"/>
    <w:rsid w:val="00506419"/>
    <w:rsid w:val="005118C1"/>
    <w:rsid w:val="00511D4E"/>
    <w:rsid w:val="00512696"/>
    <w:rsid w:val="0051366D"/>
    <w:rsid w:val="005157FE"/>
    <w:rsid w:val="00515A0E"/>
    <w:rsid w:val="005220C4"/>
    <w:rsid w:val="00523A58"/>
    <w:rsid w:val="00526631"/>
    <w:rsid w:val="0053110C"/>
    <w:rsid w:val="00532AB3"/>
    <w:rsid w:val="00535F9E"/>
    <w:rsid w:val="005416E9"/>
    <w:rsid w:val="005553EC"/>
    <w:rsid w:val="0055702B"/>
    <w:rsid w:val="00560BF0"/>
    <w:rsid w:val="00560E7F"/>
    <w:rsid w:val="00561BBA"/>
    <w:rsid w:val="005703D2"/>
    <w:rsid w:val="0057224C"/>
    <w:rsid w:val="00573156"/>
    <w:rsid w:val="005744A9"/>
    <w:rsid w:val="0057659A"/>
    <w:rsid w:val="00582C6E"/>
    <w:rsid w:val="005830E0"/>
    <w:rsid w:val="00585531"/>
    <w:rsid w:val="00585EE9"/>
    <w:rsid w:val="00590B09"/>
    <w:rsid w:val="00590E42"/>
    <w:rsid w:val="00591B2C"/>
    <w:rsid w:val="00591C69"/>
    <w:rsid w:val="005945F7"/>
    <w:rsid w:val="005962F9"/>
    <w:rsid w:val="00596B1A"/>
    <w:rsid w:val="005A4C38"/>
    <w:rsid w:val="005B3647"/>
    <w:rsid w:val="005B4E68"/>
    <w:rsid w:val="005B700B"/>
    <w:rsid w:val="005C03F3"/>
    <w:rsid w:val="005C3063"/>
    <w:rsid w:val="005C5C6F"/>
    <w:rsid w:val="005C7738"/>
    <w:rsid w:val="005C790A"/>
    <w:rsid w:val="005D0AA8"/>
    <w:rsid w:val="005D1173"/>
    <w:rsid w:val="005D2BAD"/>
    <w:rsid w:val="005D51A2"/>
    <w:rsid w:val="005D5566"/>
    <w:rsid w:val="005E7CD3"/>
    <w:rsid w:val="005F1CE3"/>
    <w:rsid w:val="005F201E"/>
    <w:rsid w:val="005F4026"/>
    <w:rsid w:val="005F5D50"/>
    <w:rsid w:val="00602070"/>
    <w:rsid w:val="00605F38"/>
    <w:rsid w:val="006113D3"/>
    <w:rsid w:val="00614452"/>
    <w:rsid w:val="00616396"/>
    <w:rsid w:val="00616FE0"/>
    <w:rsid w:val="006177DE"/>
    <w:rsid w:val="006222DB"/>
    <w:rsid w:val="0062415D"/>
    <w:rsid w:val="00625CC2"/>
    <w:rsid w:val="00630299"/>
    <w:rsid w:val="00632731"/>
    <w:rsid w:val="00633046"/>
    <w:rsid w:val="00633BF6"/>
    <w:rsid w:val="00633D98"/>
    <w:rsid w:val="00634DAC"/>
    <w:rsid w:val="006378BA"/>
    <w:rsid w:val="00640351"/>
    <w:rsid w:val="0064105B"/>
    <w:rsid w:val="0065067C"/>
    <w:rsid w:val="00652CFF"/>
    <w:rsid w:val="006537AD"/>
    <w:rsid w:val="00654414"/>
    <w:rsid w:val="006560BE"/>
    <w:rsid w:val="006564FB"/>
    <w:rsid w:val="0065714B"/>
    <w:rsid w:val="00657D9B"/>
    <w:rsid w:val="0066002D"/>
    <w:rsid w:val="006617B4"/>
    <w:rsid w:val="00663372"/>
    <w:rsid w:val="00666858"/>
    <w:rsid w:val="00671099"/>
    <w:rsid w:val="00672571"/>
    <w:rsid w:val="0067552F"/>
    <w:rsid w:val="006776E6"/>
    <w:rsid w:val="00677E49"/>
    <w:rsid w:val="006807C1"/>
    <w:rsid w:val="00682231"/>
    <w:rsid w:val="00684472"/>
    <w:rsid w:val="00687A51"/>
    <w:rsid w:val="00691EB9"/>
    <w:rsid w:val="00695535"/>
    <w:rsid w:val="00695A44"/>
    <w:rsid w:val="0069642C"/>
    <w:rsid w:val="006A0E65"/>
    <w:rsid w:val="006A4684"/>
    <w:rsid w:val="006A4AA0"/>
    <w:rsid w:val="006A6B35"/>
    <w:rsid w:val="006A7949"/>
    <w:rsid w:val="006C03C9"/>
    <w:rsid w:val="006C123C"/>
    <w:rsid w:val="006C1723"/>
    <w:rsid w:val="006C58E9"/>
    <w:rsid w:val="006C5901"/>
    <w:rsid w:val="006D0C1D"/>
    <w:rsid w:val="006D5C6B"/>
    <w:rsid w:val="006D6E12"/>
    <w:rsid w:val="006D6E47"/>
    <w:rsid w:val="006D75CE"/>
    <w:rsid w:val="006E1808"/>
    <w:rsid w:val="006E259C"/>
    <w:rsid w:val="006E39FD"/>
    <w:rsid w:val="006F0AAD"/>
    <w:rsid w:val="006F35E6"/>
    <w:rsid w:val="006F3DDE"/>
    <w:rsid w:val="006F661A"/>
    <w:rsid w:val="007011BE"/>
    <w:rsid w:val="00702D73"/>
    <w:rsid w:val="007060A2"/>
    <w:rsid w:val="00706F27"/>
    <w:rsid w:val="00712D46"/>
    <w:rsid w:val="007226BC"/>
    <w:rsid w:val="00724215"/>
    <w:rsid w:val="00733082"/>
    <w:rsid w:val="007332A6"/>
    <w:rsid w:val="007336E5"/>
    <w:rsid w:val="0073736D"/>
    <w:rsid w:val="00740EBF"/>
    <w:rsid w:val="00742666"/>
    <w:rsid w:val="00743097"/>
    <w:rsid w:val="0074770D"/>
    <w:rsid w:val="00753B71"/>
    <w:rsid w:val="00753F15"/>
    <w:rsid w:val="007565C7"/>
    <w:rsid w:val="00763FCC"/>
    <w:rsid w:val="00764103"/>
    <w:rsid w:val="00764704"/>
    <w:rsid w:val="00765457"/>
    <w:rsid w:val="007667BB"/>
    <w:rsid w:val="00774CE0"/>
    <w:rsid w:val="00774EB5"/>
    <w:rsid w:val="007804CB"/>
    <w:rsid w:val="00784A74"/>
    <w:rsid w:val="007853FF"/>
    <w:rsid w:val="00786496"/>
    <w:rsid w:val="00786DBC"/>
    <w:rsid w:val="00787D93"/>
    <w:rsid w:val="00793C20"/>
    <w:rsid w:val="0079438C"/>
    <w:rsid w:val="0079503C"/>
    <w:rsid w:val="00796C02"/>
    <w:rsid w:val="007A1C1A"/>
    <w:rsid w:val="007A2E00"/>
    <w:rsid w:val="007B0F8D"/>
    <w:rsid w:val="007B6B9A"/>
    <w:rsid w:val="007B737F"/>
    <w:rsid w:val="007B7661"/>
    <w:rsid w:val="007C284F"/>
    <w:rsid w:val="007C654C"/>
    <w:rsid w:val="007C76DE"/>
    <w:rsid w:val="007C7942"/>
    <w:rsid w:val="007D2CAB"/>
    <w:rsid w:val="007D371D"/>
    <w:rsid w:val="007D3728"/>
    <w:rsid w:val="007E0C2E"/>
    <w:rsid w:val="007E1173"/>
    <w:rsid w:val="007E2A6E"/>
    <w:rsid w:val="007E37E6"/>
    <w:rsid w:val="007E5355"/>
    <w:rsid w:val="007E5EB9"/>
    <w:rsid w:val="007E65DF"/>
    <w:rsid w:val="007E69B4"/>
    <w:rsid w:val="007E7A39"/>
    <w:rsid w:val="007E7EE3"/>
    <w:rsid w:val="007F3F37"/>
    <w:rsid w:val="007F50EF"/>
    <w:rsid w:val="007F5C5B"/>
    <w:rsid w:val="007F5E02"/>
    <w:rsid w:val="007F6892"/>
    <w:rsid w:val="008016F3"/>
    <w:rsid w:val="00807C33"/>
    <w:rsid w:val="00810C5E"/>
    <w:rsid w:val="00811FD5"/>
    <w:rsid w:val="00812577"/>
    <w:rsid w:val="00821AD1"/>
    <w:rsid w:val="00834CB5"/>
    <w:rsid w:val="00834F51"/>
    <w:rsid w:val="00842A7C"/>
    <w:rsid w:val="00842CD0"/>
    <w:rsid w:val="008444A0"/>
    <w:rsid w:val="0085139D"/>
    <w:rsid w:val="00851534"/>
    <w:rsid w:val="00854330"/>
    <w:rsid w:val="008562B0"/>
    <w:rsid w:val="00857642"/>
    <w:rsid w:val="00861C04"/>
    <w:rsid w:val="0086200A"/>
    <w:rsid w:val="00862100"/>
    <w:rsid w:val="00865235"/>
    <w:rsid w:val="00866789"/>
    <w:rsid w:val="008672ED"/>
    <w:rsid w:val="0087663E"/>
    <w:rsid w:val="00877F22"/>
    <w:rsid w:val="008808B1"/>
    <w:rsid w:val="00882780"/>
    <w:rsid w:val="00882971"/>
    <w:rsid w:val="008865B0"/>
    <w:rsid w:val="00891D01"/>
    <w:rsid w:val="00891E34"/>
    <w:rsid w:val="00891EEB"/>
    <w:rsid w:val="0089436D"/>
    <w:rsid w:val="0089778C"/>
    <w:rsid w:val="008A0D26"/>
    <w:rsid w:val="008A468D"/>
    <w:rsid w:val="008A6CA2"/>
    <w:rsid w:val="008B2950"/>
    <w:rsid w:val="008B2D2E"/>
    <w:rsid w:val="008B5BFB"/>
    <w:rsid w:val="008B70CC"/>
    <w:rsid w:val="008B7180"/>
    <w:rsid w:val="008C56E5"/>
    <w:rsid w:val="008D0AD3"/>
    <w:rsid w:val="008D3989"/>
    <w:rsid w:val="008D3DF7"/>
    <w:rsid w:val="008E3529"/>
    <w:rsid w:val="008E3FB0"/>
    <w:rsid w:val="008E42BC"/>
    <w:rsid w:val="008E4651"/>
    <w:rsid w:val="008E6CC5"/>
    <w:rsid w:val="008F1D6E"/>
    <w:rsid w:val="008F5A19"/>
    <w:rsid w:val="008F6E0C"/>
    <w:rsid w:val="0090573D"/>
    <w:rsid w:val="009070E5"/>
    <w:rsid w:val="00911099"/>
    <w:rsid w:val="009110F1"/>
    <w:rsid w:val="00913FA1"/>
    <w:rsid w:val="00914FEB"/>
    <w:rsid w:val="00917337"/>
    <w:rsid w:val="00921CE1"/>
    <w:rsid w:val="00922336"/>
    <w:rsid w:val="009229C2"/>
    <w:rsid w:val="00923399"/>
    <w:rsid w:val="00925769"/>
    <w:rsid w:val="00930FB5"/>
    <w:rsid w:val="0093283F"/>
    <w:rsid w:val="00932B79"/>
    <w:rsid w:val="009403AF"/>
    <w:rsid w:val="0094402E"/>
    <w:rsid w:val="00947F54"/>
    <w:rsid w:val="00957DB7"/>
    <w:rsid w:val="00963167"/>
    <w:rsid w:val="00966735"/>
    <w:rsid w:val="00967BE7"/>
    <w:rsid w:val="009731A9"/>
    <w:rsid w:val="00974753"/>
    <w:rsid w:val="00976EA4"/>
    <w:rsid w:val="00980EF8"/>
    <w:rsid w:val="00983296"/>
    <w:rsid w:val="00990252"/>
    <w:rsid w:val="00990351"/>
    <w:rsid w:val="00993349"/>
    <w:rsid w:val="00996A03"/>
    <w:rsid w:val="009974C1"/>
    <w:rsid w:val="0099750C"/>
    <w:rsid w:val="00997F99"/>
    <w:rsid w:val="009A10D8"/>
    <w:rsid w:val="009A425F"/>
    <w:rsid w:val="009A545D"/>
    <w:rsid w:val="009A5AA7"/>
    <w:rsid w:val="009A722F"/>
    <w:rsid w:val="009B0FF9"/>
    <w:rsid w:val="009B3407"/>
    <w:rsid w:val="009C0619"/>
    <w:rsid w:val="009C0DA5"/>
    <w:rsid w:val="009C677F"/>
    <w:rsid w:val="009D28B6"/>
    <w:rsid w:val="009D66EB"/>
    <w:rsid w:val="009D73EA"/>
    <w:rsid w:val="009E161D"/>
    <w:rsid w:val="009E230C"/>
    <w:rsid w:val="009E2A4A"/>
    <w:rsid w:val="009E3A93"/>
    <w:rsid w:val="009E3E4B"/>
    <w:rsid w:val="009E41C6"/>
    <w:rsid w:val="009E4CEE"/>
    <w:rsid w:val="009E5031"/>
    <w:rsid w:val="009E7757"/>
    <w:rsid w:val="009F02BA"/>
    <w:rsid w:val="009F1DC0"/>
    <w:rsid w:val="00A0023A"/>
    <w:rsid w:val="00A01451"/>
    <w:rsid w:val="00A0163B"/>
    <w:rsid w:val="00A02206"/>
    <w:rsid w:val="00A024B4"/>
    <w:rsid w:val="00A07977"/>
    <w:rsid w:val="00A127DF"/>
    <w:rsid w:val="00A12B69"/>
    <w:rsid w:val="00A15D30"/>
    <w:rsid w:val="00A21BD6"/>
    <w:rsid w:val="00A2684A"/>
    <w:rsid w:val="00A26A89"/>
    <w:rsid w:val="00A302E7"/>
    <w:rsid w:val="00A3054D"/>
    <w:rsid w:val="00A30565"/>
    <w:rsid w:val="00A30712"/>
    <w:rsid w:val="00A30D8F"/>
    <w:rsid w:val="00A31D82"/>
    <w:rsid w:val="00A325C0"/>
    <w:rsid w:val="00A37A26"/>
    <w:rsid w:val="00A418E2"/>
    <w:rsid w:val="00A43BA1"/>
    <w:rsid w:val="00A53539"/>
    <w:rsid w:val="00A54023"/>
    <w:rsid w:val="00A55B48"/>
    <w:rsid w:val="00A60FD7"/>
    <w:rsid w:val="00A62D6A"/>
    <w:rsid w:val="00A64E08"/>
    <w:rsid w:val="00A66DA9"/>
    <w:rsid w:val="00A67501"/>
    <w:rsid w:val="00A701F4"/>
    <w:rsid w:val="00A74E9C"/>
    <w:rsid w:val="00A755D4"/>
    <w:rsid w:val="00A756C3"/>
    <w:rsid w:val="00A77F26"/>
    <w:rsid w:val="00A80879"/>
    <w:rsid w:val="00A82B3E"/>
    <w:rsid w:val="00A844FA"/>
    <w:rsid w:val="00A86A03"/>
    <w:rsid w:val="00A95402"/>
    <w:rsid w:val="00AA1B58"/>
    <w:rsid w:val="00AA285D"/>
    <w:rsid w:val="00AA30FB"/>
    <w:rsid w:val="00AA6E93"/>
    <w:rsid w:val="00AB6EC8"/>
    <w:rsid w:val="00AC07F9"/>
    <w:rsid w:val="00AD35FA"/>
    <w:rsid w:val="00AD4F32"/>
    <w:rsid w:val="00AD5935"/>
    <w:rsid w:val="00AD6A27"/>
    <w:rsid w:val="00AE71CE"/>
    <w:rsid w:val="00AF1998"/>
    <w:rsid w:val="00AF5395"/>
    <w:rsid w:val="00AF76A5"/>
    <w:rsid w:val="00B02D99"/>
    <w:rsid w:val="00B03FCB"/>
    <w:rsid w:val="00B05D06"/>
    <w:rsid w:val="00B20BD8"/>
    <w:rsid w:val="00B2576C"/>
    <w:rsid w:val="00B25C3F"/>
    <w:rsid w:val="00B264B5"/>
    <w:rsid w:val="00B27E42"/>
    <w:rsid w:val="00B3167E"/>
    <w:rsid w:val="00B35C10"/>
    <w:rsid w:val="00B36751"/>
    <w:rsid w:val="00B37117"/>
    <w:rsid w:val="00B42AC9"/>
    <w:rsid w:val="00B43CD5"/>
    <w:rsid w:val="00B4681A"/>
    <w:rsid w:val="00B4772C"/>
    <w:rsid w:val="00B47A2C"/>
    <w:rsid w:val="00B55DEF"/>
    <w:rsid w:val="00B61391"/>
    <w:rsid w:val="00B63D49"/>
    <w:rsid w:val="00B66F10"/>
    <w:rsid w:val="00B700F3"/>
    <w:rsid w:val="00B83287"/>
    <w:rsid w:val="00B835DB"/>
    <w:rsid w:val="00B85E75"/>
    <w:rsid w:val="00B8680B"/>
    <w:rsid w:val="00B91A28"/>
    <w:rsid w:val="00B94877"/>
    <w:rsid w:val="00B961B3"/>
    <w:rsid w:val="00B96BBE"/>
    <w:rsid w:val="00B97B4E"/>
    <w:rsid w:val="00B97EAB"/>
    <w:rsid w:val="00B97EF2"/>
    <w:rsid w:val="00BA1C25"/>
    <w:rsid w:val="00BA6402"/>
    <w:rsid w:val="00BB05D6"/>
    <w:rsid w:val="00BB0FC0"/>
    <w:rsid w:val="00BB4349"/>
    <w:rsid w:val="00BB454A"/>
    <w:rsid w:val="00BB4CB9"/>
    <w:rsid w:val="00BB6A86"/>
    <w:rsid w:val="00BC0D4A"/>
    <w:rsid w:val="00BC2299"/>
    <w:rsid w:val="00BC68BF"/>
    <w:rsid w:val="00BC7CC3"/>
    <w:rsid w:val="00BC7E16"/>
    <w:rsid w:val="00BD4DA5"/>
    <w:rsid w:val="00BD6C5A"/>
    <w:rsid w:val="00BD7B3D"/>
    <w:rsid w:val="00BE0F65"/>
    <w:rsid w:val="00BE326B"/>
    <w:rsid w:val="00BE47A0"/>
    <w:rsid w:val="00BE6099"/>
    <w:rsid w:val="00BE63F5"/>
    <w:rsid w:val="00BE6628"/>
    <w:rsid w:val="00BE77E8"/>
    <w:rsid w:val="00BF0610"/>
    <w:rsid w:val="00BF34E9"/>
    <w:rsid w:val="00BF417D"/>
    <w:rsid w:val="00BF7865"/>
    <w:rsid w:val="00BF7FA0"/>
    <w:rsid w:val="00C003FB"/>
    <w:rsid w:val="00C0169F"/>
    <w:rsid w:val="00C01D03"/>
    <w:rsid w:val="00C10A7B"/>
    <w:rsid w:val="00C10E1F"/>
    <w:rsid w:val="00C115D6"/>
    <w:rsid w:val="00C15CFC"/>
    <w:rsid w:val="00C208F6"/>
    <w:rsid w:val="00C23C91"/>
    <w:rsid w:val="00C27C21"/>
    <w:rsid w:val="00C32495"/>
    <w:rsid w:val="00C37D6C"/>
    <w:rsid w:val="00C45DAE"/>
    <w:rsid w:val="00C46BF4"/>
    <w:rsid w:val="00C50DA7"/>
    <w:rsid w:val="00C50F48"/>
    <w:rsid w:val="00C50FD9"/>
    <w:rsid w:val="00C523C3"/>
    <w:rsid w:val="00C53DBF"/>
    <w:rsid w:val="00C566CC"/>
    <w:rsid w:val="00C6448D"/>
    <w:rsid w:val="00C66060"/>
    <w:rsid w:val="00C70D2F"/>
    <w:rsid w:val="00C733C2"/>
    <w:rsid w:val="00C80A23"/>
    <w:rsid w:val="00C822FF"/>
    <w:rsid w:val="00C86C00"/>
    <w:rsid w:val="00C86F4B"/>
    <w:rsid w:val="00C870A1"/>
    <w:rsid w:val="00C90D16"/>
    <w:rsid w:val="00CA13E8"/>
    <w:rsid w:val="00CA15DE"/>
    <w:rsid w:val="00CA1D94"/>
    <w:rsid w:val="00CA2251"/>
    <w:rsid w:val="00CA3E8D"/>
    <w:rsid w:val="00CA4589"/>
    <w:rsid w:val="00CB23EA"/>
    <w:rsid w:val="00CB7458"/>
    <w:rsid w:val="00CC6C2F"/>
    <w:rsid w:val="00CD1C6E"/>
    <w:rsid w:val="00CD228E"/>
    <w:rsid w:val="00CD2574"/>
    <w:rsid w:val="00CD28B1"/>
    <w:rsid w:val="00CD48CA"/>
    <w:rsid w:val="00CE1273"/>
    <w:rsid w:val="00CE28ED"/>
    <w:rsid w:val="00CE3F2B"/>
    <w:rsid w:val="00CE4760"/>
    <w:rsid w:val="00CE4DDC"/>
    <w:rsid w:val="00CF1A22"/>
    <w:rsid w:val="00CF23A1"/>
    <w:rsid w:val="00CF330D"/>
    <w:rsid w:val="00CF7E6A"/>
    <w:rsid w:val="00D01E6B"/>
    <w:rsid w:val="00D03B68"/>
    <w:rsid w:val="00D0580C"/>
    <w:rsid w:val="00D062E0"/>
    <w:rsid w:val="00D128BB"/>
    <w:rsid w:val="00D16FA7"/>
    <w:rsid w:val="00D21AD4"/>
    <w:rsid w:val="00D2240E"/>
    <w:rsid w:val="00D23218"/>
    <w:rsid w:val="00D2388F"/>
    <w:rsid w:val="00D239FB"/>
    <w:rsid w:val="00D25C55"/>
    <w:rsid w:val="00D26281"/>
    <w:rsid w:val="00D42F04"/>
    <w:rsid w:val="00D462EA"/>
    <w:rsid w:val="00D46CB9"/>
    <w:rsid w:val="00D47C6E"/>
    <w:rsid w:val="00D51666"/>
    <w:rsid w:val="00D5188C"/>
    <w:rsid w:val="00D53037"/>
    <w:rsid w:val="00D55B0E"/>
    <w:rsid w:val="00D576A6"/>
    <w:rsid w:val="00D6080D"/>
    <w:rsid w:val="00D6095D"/>
    <w:rsid w:val="00D620EB"/>
    <w:rsid w:val="00D621B4"/>
    <w:rsid w:val="00D6247A"/>
    <w:rsid w:val="00D72660"/>
    <w:rsid w:val="00D74CCD"/>
    <w:rsid w:val="00D760FA"/>
    <w:rsid w:val="00D82C52"/>
    <w:rsid w:val="00D86F6A"/>
    <w:rsid w:val="00DA3431"/>
    <w:rsid w:val="00DA74EF"/>
    <w:rsid w:val="00DB0479"/>
    <w:rsid w:val="00DB07E8"/>
    <w:rsid w:val="00DB3535"/>
    <w:rsid w:val="00DB530D"/>
    <w:rsid w:val="00DC2B35"/>
    <w:rsid w:val="00DC4D89"/>
    <w:rsid w:val="00DC640E"/>
    <w:rsid w:val="00DC7D85"/>
    <w:rsid w:val="00DD014F"/>
    <w:rsid w:val="00DD2E44"/>
    <w:rsid w:val="00DD4B13"/>
    <w:rsid w:val="00DD4F65"/>
    <w:rsid w:val="00DE02AF"/>
    <w:rsid w:val="00DE57D0"/>
    <w:rsid w:val="00DF69EB"/>
    <w:rsid w:val="00E010E3"/>
    <w:rsid w:val="00E04C1F"/>
    <w:rsid w:val="00E215F3"/>
    <w:rsid w:val="00E26C8E"/>
    <w:rsid w:val="00E27F62"/>
    <w:rsid w:val="00E33DEC"/>
    <w:rsid w:val="00E40E4C"/>
    <w:rsid w:val="00E453A2"/>
    <w:rsid w:val="00E45C08"/>
    <w:rsid w:val="00E46C44"/>
    <w:rsid w:val="00E56453"/>
    <w:rsid w:val="00E62957"/>
    <w:rsid w:val="00E63F8B"/>
    <w:rsid w:val="00E67A18"/>
    <w:rsid w:val="00E7026D"/>
    <w:rsid w:val="00E71243"/>
    <w:rsid w:val="00E731FB"/>
    <w:rsid w:val="00E77929"/>
    <w:rsid w:val="00E815A3"/>
    <w:rsid w:val="00E855D6"/>
    <w:rsid w:val="00E94205"/>
    <w:rsid w:val="00E9767A"/>
    <w:rsid w:val="00EA097B"/>
    <w:rsid w:val="00EA3216"/>
    <w:rsid w:val="00EA3EBF"/>
    <w:rsid w:val="00EA3F63"/>
    <w:rsid w:val="00EB120B"/>
    <w:rsid w:val="00EB75EC"/>
    <w:rsid w:val="00EB769E"/>
    <w:rsid w:val="00EC42DE"/>
    <w:rsid w:val="00EC64C7"/>
    <w:rsid w:val="00ED1F33"/>
    <w:rsid w:val="00ED47B8"/>
    <w:rsid w:val="00ED49DD"/>
    <w:rsid w:val="00ED4F28"/>
    <w:rsid w:val="00EE57AB"/>
    <w:rsid w:val="00EF4322"/>
    <w:rsid w:val="00EF465F"/>
    <w:rsid w:val="00EF5DFB"/>
    <w:rsid w:val="00EF6DEA"/>
    <w:rsid w:val="00F0409C"/>
    <w:rsid w:val="00F07EBF"/>
    <w:rsid w:val="00F1488F"/>
    <w:rsid w:val="00F20952"/>
    <w:rsid w:val="00F21F52"/>
    <w:rsid w:val="00F25E7E"/>
    <w:rsid w:val="00F25F16"/>
    <w:rsid w:val="00F26881"/>
    <w:rsid w:val="00F326D8"/>
    <w:rsid w:val="00F3430A"/>
    <w:rsid w:val="00F36F64"/>
    <w:rsid w:val="00F41F62"/>
    <w:rsid w:val="00F420D3"/>
    <w:rsid w:val="00F44DE9"/>
    <w:rsid w:val="00F45A72"/>
    <w:rsid w:val="00F45E18"/>
    <w:rsid w:val="00F5035C"/>
    <w:rsid w:val="00F5061F"/>
    <w:rsid w:val="00F54F45"/>
    <w:rsid w:val="00F552E9"/>
    <w:rsid w:val="00F55CE1"/>
    <w:rsid w:val="00F62691"/>
    <w:rsid w:val="00F64C98"/>
    <w:rsid w:val="00F702AA"/>
    <w:rsid w:val="00F7111B"/>
    <w:rsid w:val="00F73D54"/>
    <w:rsid w:val="00F73D82"/>
    <w:rsid w:val="00F75B65"/>
    <w:rsid w:val="00F75D95"/>
    <w:rsid w:val="00F823B0"/>
    <w:rsid w:val="00F863B0"/>
    <w:rsid w:val="00F86C28"/>
    <w:rsid w:val="00F87C6E"/>
    <w:rsid w:val="00F908CA"/>
    <w:rsid w:val="00F91D6B"/>
    <w:rsid w:val="00F94D28"/>
    <w:rsid w:val="00F95387"/>
    <w:rsid w:val="00FA16F3"/>
    <w:rsid w:val="00FB25C9"/>
    <w:rsid w:val="00FB4236"/>
    <w:rsid w:val="00FB77D5"/>
    <w:rsid w:val="00FC2AEB"/>
    <w:rsid w:val="00FC62B5"/>
    <w:rsid w:val="00FC7035"/>
    <w:rsid w:val="00FD03C6"/>
    <w:rsid w:val="00FD12E7"/>
    <w:rsid w:val="00FD1DA6"/>
    <w:rsid w:val="00FD2007"/>
    <w:rsid w:val="00FD4577"/>
    <w:rsid w:val="00FE15F5"/>
    <w:rsid w:val="00FE7828"/>
    <w:rsid w:val="00FF0DFB"/>
    <w:rsid w:val="00FF51FE"/>
    <w:rsid w:val="00FF5F6D"/>
    <w:rsid w:val="00FF615C"/>
    <w:rsid w:val="00FF6BC4"/>
    <w:rsid w:val="2340C180"/>
    <w:rsid w:val="29B41BB9"/>
    <w:rsid w:val="35F88823"/>
    <w:rsid w:val="5A490816"/>
    <w:rsid w:val="5BEBA482"/>
    <w:rsid w:val="6E826CF2"/>
    <w:rsid w:val="6F411D9F"/>
    <w:rsid w:val="76DE9C6A"/>
    <w:rsid w:val="793B0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981EFC1"/>
  <w15:chartTrackingRefBased/>
  <w15:docId w15:val="{3A3649EA-63A9-4B6C-9A35-5120B94B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9F0"/>
    <w:pPr>
      <w:widowControl w:val="0"/>
      <w:autoSpaceDE w:val="0"/>
      <w:autoSpaceDN w:val="0"/>
      <w:adjustRightInd w:val="0"/>
    </w:pPr>
    <w:rPr>
      <w:sz w:val="24"/>
      <w:szCs w:val="24"/>
      <w:lang w:eastAsia="en-US"/>
    </w:rPr>
  </w:style>
  <w:style w:type="paragraph" w:styleId="Heading1">
    <w:name w:val="heading 1"/>
    <w:basedOn w:val="Normal"/>
    <w:next w:val="Normal"/>
    <w:qFormat/>
    <w:rsid w:val="00C46BF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u w:val="single"/>
    </w:rPr>
  </w:style>
  <w:style w:type="paragraph" w:styleId="Heading2">
    <w:name w:val="heading 2"/>
    <w:basedOn w:val="Normal"/>
    <w:next w:val="Normal"/>
    <w:qFormat/>
    <w:rsid w:val="00023E64"/>
    <w:pPr>
      <w:keepNext/>
      <w:widowControl/>
      <w:tabs>
        <w:tab w:val="left" w:pos="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90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6BF4"/>
    <w:pPr>
      <w:tabs>
        <w:tab w:val="center" w:pos="4320"/>
        <w:tab w:val="right" w:pos="8640"/>
      </w:tabs>
    </w:pPr>
  </w:style>
  <w:style w:type="character" w:styleId="PageNumber">
    <w:name w:val="page number"/>
    <w:basedOn w:val="DefaultParagraphFont"/>
    <w:rsid w:val="00C46BF4"/>
  </w:style>
  <w:style w:type="paragraph" w:customStyle="1" w:styleId="a">
    <w:name w:val="Ò"/>
    <w:basedOn w:val="Normal"/>
    <w:rsid w:val="00C46BF4"/>
    <w:pPr>
      <w:ind w:left="288" w:right="288"/>
    </w:pPr>
  </w:style>
  <w:style w:type="paragraph" w:styleId="BodyTextIndent">
    <w:name w:val="Body Text Indent"/>
    <w:basedOn w:val="Normal"/>
    <w:rsid w:val="00C46B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2">
    <w:name w:val="Body Text Indent 2"/>
    <w:basedOn w:val="Normal"/>
    <w:rsid w:val="00C46BF4"/>
    <w:pPr>
      <w:widowControl/>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paragraph" w:styleId="BlockText">
    <w:name w:val="Block Text"/>
    <w:basedOn w:val="Normal"/>
    <w:rsid w:val="00C46B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8640"/>
      </w:tabs>
      <w:ind w:left="720" w:right="720"/>
    </w:pPr>
  </w:style>
  <w:style w:type="character" w:customStyle="1" w:styleId="documentbody1">
    <w:name w:val="documentbody1"/>
    <w:rsid w:val="00C46BF4"/>
    <w:rPr>
      <w:rFonts w:ascii="Verdana" w:hAnsi="Verdana" w:hint="default"/>
      <w:sz w:val="19"/>
      <w:szCs w:val="19"/>
    </w:rPr>
  </w:style>
  <w:style w:type="character" w:customStyle="1" w:styleId="blueten1">
    <w:name w:val="blueten1"/>
    <w:rsid w:val="00C46BF4"/>
    <w:rPr>
      <w:rFonts w:ascii="Verdana" w:hAnsi="Verdana" w:hint="default"/>
      <w:color w:val="003399"/>
      <w:sz w:val="19"/>
      <w:szCs w:val="19"/>
    </w:rPr>
  </w:style>
  <w:style w:type="paragraph" w:styleId="BalloonText">
    <w:name w:val="Balloon Text"/>
    <w:basedOn w:val="Normal"/>
    <w:semiHidden/>
    <w:rsid w:val="00C46BF4"/>
    <w:rPr>
      <w:rFonts w:ascii="Tahoma" w:hAnsi="Tahoma" w:cs="Tahoma"/>
      <w:sz w:val="16"/>
      <w:szCs w:val="16"/>
    </w:rPr>
  </w:style>
  <w:style w:type="character" w:styleId="FootnoteReference">
    <w:name w:val="footnote reference"/>
    <w:semiHidden/>
    <w:rsid w:val="00023E64"/>
  </w:style>
  <w:style w:type="paragraph" w:styleId="FootnoteText">
    <w:name w:val="footnote text"/>
    <w:basedOn w:val="Normal"/>
    <w:semiHidden/>
    <w:rsid w:val="00023E64"/>
    <w:rPr>
      <w:sz w:val="20"/>
      <w:szCs w:val="20"/>
    </w:rPr>
  </w:style>
  <w:style w:type="paragraph" w:customStyle="1" w:styleId="BodyTextIndent14pt">
    <w:name w:val="Body Text Indent + 14 pt"/>
    <w:aliases w:val="Bold,First line:  0&quot;"/>
    <w:basedOn w:val="Normal"/>
    <w:rsid w:val="00023E64"/>
    <w:rPr>
      <w:b/>
      <w:sz w:val="28"/>
      <w:szCs w:val="28"/>
    </w:rPr>
  </w:style>
  <w:style w:type="paragraph" w:customStyle="1" w:styleId="Level1">
    <w:name w:val="Level 1"/>
    <w:basedOn w:val="Normal"/>
    <w:rsid w:val="00023E64"/>
    <w:pPr>
      <w:ind w:left="360" w:hanging="360"/>
    </w:pPr>
  </w:style>
  <w:style w:type="paragraph" w:styleId="Header">
    <w:name w:val="header"/>
    <w:basedOn w:val="Normal"/>
    <w:link w:val="HeaderChar"/>
    <w:rsid w:val="00023E64"/>
    <w:pPr>
      <w:tabs>
        <w:tab w:val="center" w:pos="4320"/>
        <w:tab w:val="right" w:pos="8640"/>
      </w:tabs>
    </w:pPr>
  </w:style>
  <w:style w:type="paragraph" w:styleId="BodyText">
    <w:name w:val="Body Text"/>
    <w:basedOn w:val="Normal"/>
    <w:rsid w:val="001E4DE7"/>
    <w:pPr>
      <w:spacing w:after="120"/>
    </w:pPr>
  </w:style>
  <w:style w:type="table" w:styleId="TableGrid">
    <w:name w:val="Table Grid"/>
    <w:basedOn w:val="TableNormal"/>
    <w:rsid w:val="009F1DC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F1DC0"/>
    <w:rPr>
      <w:color w:val="0000FF"/>
      <w:u w:val="single"/>
    </w:rPr>
  </w:style>
  <w:style w:type="paragraph" w:styleId="EndnoteText">
    <w:name w:val="endnote text"/>
    <w:basedOn w:val="Normal"/>
    <w:semiHidden/>
    <w:rsid w:val="00E94205"/>
    <w:rPr>
      <w:sz w:val="20"/>
      <w:szCs w:val="20"/>
    </w:rPr>
  </w:style>
  <w:style w:type="character" w:styleId="EndnoteReference">
    <w:name w:val="endnote reference"/>
    <w:semiHidden/>
    <w:rsid w:val="00E94205"/>
    <w:rPr>
      <w:vertAlign w:val="superscript"/>
    </w:rPr>
  </w:style>
  <w:style w:type="character" w:styleId="FollowedHyperlink">
    <w:name w:val="FollowedHyperlink"/>
    <w:rsid w:val="005416E9"/>
    <w:rPr>
      <w:color w:val="606420"/>
      <w:u w:val="single"/>
    </w:rPr>
  </w:style>
  <w:style w:type="character" w:styleId="Strong">
    <w:name w:val="Strong"/>
    <w:qFormat/>
    <w:rsid w:val="00F420D3"/>
    <w:rPr>
      <w:b/>
      <w:bCs/>
    </w:rPr>
  </w:style>
  <w:style w:type="paragraph" w:styleId="NormalWeb">
    <w:name w:val="Normal (Web)"/>
    <w:basedOn w:val="Normal"/>
    <w:uiPriority w:val="99"/>
    <w:rsid w:val="00F420D3"/>
    <w:pPr>
      <w:widowControl/>
      <w:autoSpaceDE/>
      <w:autoSpaceDN/>
      <w:adjustRightInd/>
      <w:spacing w:before="100" w:beforeAutospacing="1" w:after="100" w:afterAutospacing="1"/>
    </w:pPr>
  </w:style>
  <w:style w:type="character" w:styleId="CommentReference">
    <w:name w:val="annotation reference"/>
    <w:uiPriority w:val="99"/>
    <w:rsid w:val="004F1DB4"/>
    <w:rPr>
      <w:sz w:val="16"/>
      <w:szCs w:val="16"/>
    </w:rPr>
  </w:style>
  <w:style w:type="paragraph" w:styleId="CommentText">
    <w:name w:val="annotation text"/>
    <w:basedOn w:val="Normal"/>
    <w:link w:val="CommentTextChar"/>
    <w:uiPriority w:val="99"/>
    <w:semiHidden/>
    <w:rsid w:val="004F1DB4"/>
    <w:rPr>
      <w:sz w:val="20"/>
      <w:szCs w:val="20"/>
    </w:rPr>
  </w:style>
  <w:style w:type="paragraph" w:styleId="CommentSubject">
    <w:name w:val="annotation subject"/>
    <w:basedOn w:val="CommentText"/>
    <w:next w:val="CommentText"/>
    <w:semiHidden/>
    <w:rsid w:val="004F1DB4"/>
    <w:rPr>
      <w:b/>
      <w:bCs/>
    </w:rPr>
  </w:style>
  <w:style w:type="paragraph" w:styleId="ListParagraph">
    <w:name w:val="List Paragraph"/>
    <w:basedOn w:val="Normal"/>
    <w:qFormat/>
    <w:rsid w:val="00065BB7"/>
    <w:pPr>
      <w:widowControl/>
      <w:autoSpaceDE/>
      <w:autoSpaceDN/>
      <w:adjustRightInd/>
      <w:ind w:left="720"/>
      <w:contextualSpacing/>
    </w:pPr>
    <w:rPr>
      <w:rFonts w:ascii="Book Antiqua" w:hAnsi="Book Antiqua"/>
      <w:sz w:val="28"/>
      <w:szCs w:val="22"/>
    </w:rPr>
  </w:style>
  <w:style w:type="paragraph" w:customStyle="1" w:styleId="block1">
    <w:name w:val="block1"/>
    <w:basedOn w:val="Normal"/>
    <w:rsid w:val="00A77F26"/>
    <w:pPr>
      <w:widowControl/>
      <w:autoSpaceDE/>
      <w:autoSpaceDN/>
      <w:adjustRightInd/>
      <w:spacing w:before="100" w:beforeAutospacing="1" w:after="100" w:afterAutospacing="1"/>
    </w:pPr>
    <w:rPr>
      <w:sz w:val="19"/>
      <w:szCs w:val="19"/>
    </w:rPr>
  </w:style>
  <w:style w:type="paragraph" w:styleId="Revision">
    <w:name w:val="Revision"/>
    <w:hidden/>
    <w:uiPriority w:val="99"/>
    <w:semiHidden/>
    <w:rsid w:val="000B59F0"/>
    <w:rPr>
      <w:sz w:val="24"/>
      <w:szCs w:val="24"/>
      <w:lang w:eastAsia="en-US"/>
    </w:rPr>
  </w:style>
  <w:style w:type="character" w:customStyle="1" w:styleId="HeaderChar">
    <w:name w:val="Header Char"/>
    <w:link w:val="Header"/>
    <w:rsid w:val="00561BBA"/>
    <w:rPr>
      <w:sz w:val="24"/>
      <w:szCs w:val="24"/>
    </w:rPr>
  </w:style>
  <w:style w:type="character" w:customStyle="1" w:styleId="CommentTextChar">
    <w:name w:val="Comment Text Char"/>
    <w:link w:val="CommentText"/>
    <w:uiPriority w:val="99"/>
    <w:semiHidden/>
    <w:rsid w:val="0066002D"/>
  </w:style>
  <w:style w:type="paragraph" w:customStyle="1" w:styleId="Default">
    <w:name w:val="Default"/>
    <w:rsid w:val="0041697A"/>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94671">
      <w:bodyDiv w:val="1"/>
      <w:marLeft w:val="0"/>
      <w:marRight w:val="0"/>
      <w:marTop w:val="0"/>
      <w:marBottom w:val="0"/>
      <w:divBdr>
        <w:top w:val="none" w:sz="0" w:space="0" w:color="auto"/>
        <w:left w:val="none" w:sz="0" w:space="0" w:color="auto"/>
        <w:bottom w:val="none" w:sz="0" w:space="0" w:color="auto"/>
        <w:right w:val="none" w:sz="0" w:space="0" w:color="auto"/>
      </w:divBdr>
    </w:div>
    <w:div w:id="316224659">
      <w:bodyDiv w:val="1"/>
      <w:marLeft w:val="0"/>
      <w:marRight w:val="0"/>
      <w:marTop w:val="0"/>
      <w:marBottom w:val="0"/>
      <w:divBdr>
        <w:top w:val="none" w:sz="0" w:space="0" w:color="auto"/>
        <w:left w:val="none" w:sz="0" w:space="0" w:color="auto"/>
        <w:bottom w:val="none" w:sz="0" w:space="0" w:color="auto"/>
        <w:right w:val="none" w:sz="0" w:space="0" w:color="auto"/>
      </w:divBdr>
    </w:div>
    <w:div w:id="321665634">
      <w:bodyDiv w:val="1"/>
      <w:marLeft w:val="0"/>
      <w:marRight w:val="0"/>
      <w:marTop w:val="0"/>
      <w:marBottom w:val="0"/>
      <w:divBdr>
        <w:top w:val="none" w:sz="0" w:space="0" w:color="auto"/>
        <w:left w:val="none" w:sz="0" w:space="0" w:color="auto"/>
        <w:bottom w:val="none" w:sz="0" w:space="0" w:color="auto"/>
        <w:right w:val="none" w:sz="0" w:space="0" w:color="auto"/>
      </w:divBdr>
    </w:div>
    <w:div w:id="343556699">
      <w:bodyDiv w:val="1"/>
      <w:marLeft w:val="0"/>
      <w:marRight w:val="0"/>
      <w:marTop w:val="0"/>
      <w:marBottom w:val="0"/>
      <w:divBdr>
        <w:top w:val="none" w:sz="0" w:space="0" w:color="auto"/>
        <w:left w:val="none" w:sz="0" w:space="0" w:color="auto"/>
        <w:bottom w:val="none" w:sz="0" w:space="0" w:color="auto"/>
        <w:right w:val="none" w:sz="0" w:space="0" w:color="auto"/>
      </w:divBdr>
    </w:div>
    <w:div w:id="461196655">
      <w:bodyDiv w:val="1"/>
      <w:marLeft w:val="0"/>
      <w:marRight w:val="0"/>
      <w:marTop w:val="0"/>
      <w:marBottom w:val="0"/>
      <w:divBdr>
        <w:top w:val="none" w:sz="0" w:space="0" w:color="auto"/>
        <w:left w:val="none" w:sz="0" w:space="0" w:color="auto"/>
        <w:bottom w:val="none" w:sz="0" w:space="0" w:color="auto"/>
        <w:right w:val="none" w:sz="0" w:space="0" w:color="auto"/>
      </w:divBdr>
    </w:div>
    <w:div w:id="582449451">
      <w:bodyDiv w:val="1"/>
      <w:marLeft w:val="0"/>
      <w:marRight w:val="0"/>
      <w:marTop w:val="0"/>
      <w:marBottom w:val="0"/>
      <w:divBdr>
        <w:top w:val="none" w:sz="0" w:space="0" w:color="auto"/>
        <w:left w:val="none" w:sz="0" w:space="0" w:color="auto"/>
        <w:bottom w:val="none" w:sz="0" w:space="0" w:color="auto"/>
        <w:right w:val="none" w:sz="0" w:space="0" w:color="auto"/>
      </w:divBdr>
    </w:div>
    <w:div w:id="765464803">
      <w:bodyDiv w:val="1"/>
      <w:marLeft w:val="0"/>
      <w:marRight w:val="0"/>
      <w:marTop w:val="0"/>
      <w:marBottom w:val="0"/>
      <w:divBdr>
        <w:top w:val="none" w:sz="0" w:space="0" w:color="auto"/>
        <w:left w:val="none" w:sz="0" w:space="0" w:color="auto"/>
        <w:bottom w:val="none" w:sz="0" w:space="0" w:color="auto"/>
        <w:right w:val="none" w:sz="0" w:space="0" w:color="auto"/>
      </w:divBdr>
    </w:div>
    <w:div w:id="868567383">
      <w:bodyDiv w:val="1"/>
      <w:marLeft w:val="0"/>
      <w:marRight w:val="0"/>
      <w:marTop w:val="0"/>
      <w:marBottom w:val="0"/>
      <w:divBdr>
        <w:top w:val="none" w:sz="0" w:space="0" w:color="auto"/>
        <w:left w:val="none" w:sz="0" w:space="0" w:color="auto"/>
        <w:bottom w:val="none" w:sz="0" w:space="0" w:color="auto"/>
        <w:right w:val="none" w:sz="0" w:space="0" w:color="auto"/>
      </w:divBdr>
    </w:div>
    <w:div w:id="974749483">
      <w:bodyDiv w:val="1"/>
      <w:marLeft w:val="0"/>
      <w:marRight w:val="0"/>
      <w:marTop w:val="0"/>
      <w:marBottom w:val="0"/>
      <w:divBdr>
        <w:top w:val="none" w:sz="0" w:space="0" w:color="auto"/>
        <w:left w:val="none" w:sz="0" w:space="0" w:color="auto"/>
        <w:bottom w:val="none" w:sz="0" w:space="0" w:color="auto"/>
        <w:right w:val="none" w:sz="0" w:space="0" w:color="auto"/>
      </w:divBdr>
    </w:div>
    <w:div w:id="987055039">
      <w:bodyDiv w:val="1"/>
      <w:marLeft w:val="0"/>
      <w:marRight w:val="0"/>
      <w:marTop w:val="0"/>
      <w:marBottom w:val="0"/>
      <w:divBdr>
        <w:top w:val="none" w:sz="0" w:space="0" w:color="auto"/>
        <w:left w:val="none" w:sz="0" w:space="0" w:color="auto"/>
        <w:bottom w:val="none" w:sz="0" w:space="0" w:color="auto"/>
        <w:right w:val="none" w:sz="0" w:space="0" w:color="auto"/>
      </w:divBdr>
    </w:div>
    <w:div w:id="1040663573">
      <w:bodyDiv w:val="1"/>
      <w:marLeft w:val="0"/>
      <w:marRight w:val="0"/>
      <w:marTop w:val="0"/>
      <w:marBottom w:val="0"/>
      <w:divBdr>
        <w:top w:val="none" w:sz="0" w:space="0" w:color="auto"/>
        <w:left w:val="none" w:sz="0" w:space="0" w:color="auto"/>
        <w:bottom w:val="none" w:sz="0" w:space="0" w:color="auto"/>
        <w:right w:val="none" w:sz="0" w:space="0" w:color="auto"/>
      </w:divBdr>
    </w:div>
    <w:div w:id="1240748344">
      <w:bodyDiv w:val="1"/>
      <w:marLeft w:val="0"/>
      <w:marRight w:val="0"/>
      <w:marTop w:val="0"/>
      <w:marBottom w:val="0"/>
      <w:divBdr>
        <w:top w:val="none" w:sz="0" w:space="0" w:color="auto"/>
        <w:left w:val="none" w:sz="0" w:space="0" w:color="auto"/>
        <w:bottom w:val="none" w:sz="0" w:space="0" w:color="auto"/>
        <w:right w:val="none" w:sz="0" w:space="0" w:color="auto"/>
      </w:divBdr>
    </w:div>
    <w:div w:id="1274050774">
      <w:bodyDiv w:val="1"/>
      <w:marLeft w:val="0"/>
      <w:marRight w:val="0"/>
      <w:marTop w:val="0"/>
      <w:marBottom w:val="0"/>
      <w:divBdr>
        <w:top w:val="none" w:sz="0" w:space="0" w:color="auto"/>
        <w:left w:val="none" w:sz="0" w:space="0" w:color="auto"/>
        <w:bottom w:val="none" w:sz="0" w:space="0" w:color="auto"/>
        <w:right w:val="none" w:sz="0" w:space="0" w:color="auto"/>
      </w:divBdr>
    </w:div>
    <w:div w:id="1300722134">
      <w:bodyDiv w:val="1"/>
      <w:marLeft w:val="0"/>
      <w:marRight w:val="0"/>
      <w:marTop w:val="0"/>
      <w:marBottom w:val="0"/>
      <w:divBdr>
        <w:top w:val="none" w:sz="0" w:space="0" w:color="auto"/>
        <w:left w:val="none" w:sz="0" w:space="0" w:color="auto"/>
        <w:bottom w:val="none" w:sz="0" w:space="0" w:color="auto"/>
        <w:right w:val="none" w:sz="0" w:space="0" w:color="auto"/>
      </w:divBdr>
    </w:div>
    <w:div w:id="1341391601">
      <w:bodyDiv w:val="1"/>
      <w:marLeft w:val="0"/>
      <w:marRight w:val="0"/>
      <w:marTop w:val="0"/>
      <w:marBottom w:val="0"/>
      <w:divBdr>
        <w:top w:val="none" w:sz="0" w:space="0" w:color="auto"/>
        <w:left w:val="none" w:sz="0" w:space="0" w:color="auto"/>
        <w:bottom w:val="none" w:sz="0" w:space="0" w:color="auto"/>
        <w:right w:val="none" w:sz="0" w:space="0" w:color="auto"/>
      </w:divBdr>
    </w:div>
    <w:div w:id="1460494538">
      <w:bodyDiv w:val="1"/>
      <w:marLeft w:val="225"/>
      <w:marRight w:val="0"/>
      <w:marTop w:val="375"/>
      <w:marBottom w:val="0"/>
      <w:divBdr>
        <w:top w:val="none" w:sz="0" w:space="0" w:color="auto"/>
        <w:left w:val="none" w:sz="0" w:space="0" w:color="auto"/>
        <w:bottom w:val="none" w:sz="0" w:space="0" w:color="auto"/>
        <w:right w:val="none" w:sz="0" w:space="0" w:color="auto"/>
      </w:divBdr>
    </w:div>
    <w:div w:id="1465348554">
      <w:bodyDiv w:val="1"/>
      <w:marLeft w:val="0"/>
      <w:marRight w:val="0"/>
      <w:marTop w:val="0"/>
      <w:marBottom w:val="0"/>
      <w:divBdr>
        <w:top w:val="none" w:sz="0" w:space="0" w:color="auto"/>
        <w:left w:val="none" w:sz="0" w:space="0" w:color="auto"/>
        <w:bottom w:val="none" w:sz="0" w:space="0" w:color="auto"/>
        <w:right w:val="none" w:sz="0" w:space="0" w:color="auto"/>
      </w:divBdr>
    </w:div>
    <w:div w:id="1575777198">
      <w:bodyDiv w:val="1"/>
      <w:marLeft w:val="0"/>
      <w:marRight w:val="0"/>
      <w:marTop w:val="0"/>
      <w:marBottom w:val="0"/>
      <w:divBdr>
        <w:top w:val="none" w:sz="0" w:space="0" w:color="auto"/>
        <w:left w:val="none" w:sz="0" w:space="0" w:color="auto"/>
        <w:bottom w:val="none" w:sz="0" w:space="0" w:color="auto"/>
        <w:right w:val="none" w:sz="0" w:space="0" w:color="auto"/>
      </w:divBdr>
      <w:divsChild>
        <w:div w:id="153762815">
          <w:marLeft w:val="0"/>
          <w:marRight w:val="0"/>
          <w:marTop w:val="0"/>
          <w:marBottom w:val="0"/>
          <w:divBdr>
            <w:top w:val="none" w:sz="0" w:space="0" w:color="auto"/>
            <w:left w:val="none" w:sz="0" w:space="0" w:color="auto"/>
            <w:bottom w:val="none" w:sz="0" w:space="0" w:color="auto"/>
            <w:right w:val="none" w:sz="0" w:space="0" w:color="auto"/>
          </w:divBdr>
        </w:div>
        <w:div w:id="995760876">
          <w:marLeft w:val="0"/>
          <w:marRight w:val="0"/>
          <w:marTop w:val="0"/>
          <w:marBottom w:val="0"/>
          <w:divBdr>
            <w:top w:val="none" w:sz="0" w:space="0" w:color="auto"/>
            <w:left w:val="none" w:sz="0" w:space="0" w:color="auto"/>
            <w:bottom w:val="none" w:sz="0" w:space="0" w:color="auto"/>
            <w:right w:val="none" w:sz="0" w:space="0" w:color="auto"/>
          </w:divBdr>
        </w:div>
      </w:divsChild>
    </w:div>
    <w:div w:id="1590892912">
      <w:bodyDiv w:val="1"/>
      <w:marLeft w:val="0"/>
      <w:marRight w:val="0"/>
      <w:marTop w:val="0"/>
      <w:marBottom w:val="0"/>
      <w:divBdr>
        <w:top w:val="none" w:sz="0" w:space="0" w:color="auto"/>
        <w:left w:val="none" w:sz="0" w:space="0" w:color="auto"/>
        <w:bottom w:val="none" w:sz="0" w:space="0" w:color="auto"/>
        <w:right w:val="none" w:sz="0" w:space="0" w:color="auto"/>
      </w:divBdr>
    </w:div>
    <w:div w:id="1686591152">
      <w:bodyDiv w:val="1"/>
      <w:marLeft w:val="0"/>
      <w:marRight w:val="0"/>
      <w:marTop w:val="0"/>
      <w:marBottom w:val="0"/>
      <w:divBdr>
        <w:top w:val="none" w:sz="0" w:space="0" w:color="auto"/>
        <w:left w:val="none" w:sz="0" w:space="0" w:color="auto"/>
        <w:bottom w:val="none" w:sz="0" w:space="0" w:color="auto"/>
        <w:right w:val="none" w:sz="0" w:space="0" w:color="auto"/>
      </w:divBdr>
    </w:div>
    <w:div w:id="1723407353">
      <w:bodyDiv w:val="1"/>
      <w:marLeft w:val="0"/>
      <w:marRight w:val="0"/>
      <w:marTop w:val="0"/>
      <w:marBottom w:val="0"/>
      <w:divBdr>
        <w:top w:val="none" w:sz="0" w:space="0" w:color="auto"/>
        <w:left w:val="none" w:sz="0" w:space="0" w:color="auto"/>
        <w:bottom w:val="none" w:sz="0" w:space="0" w:color="auto"/>
        <w:right w:val="none" w:sz="0" w:space="0" w:color="auto"/>
      </w:divBdr>
    </w:div>
    <w:div w:id="1762602844">
      <w:bodyDiv w:val="1"/>
      <w:marLeft w:val="0"/>
      <w:marRight w:val="0"/>
      <w:marTop w:val="0"/>
      <w:marBottom w:val="0"/>
      <w:divBdr>
        <w:top w:val="none" w:sz="0" w:space="0" w:color="auto"/>
        <w:left w:val="none" w:sz="0" w:space="0" w:color="auto"/>
        <w:bottom w:val="none" w:sz="0" w:space="0" w:color="auto"/>
        <w:right w:val="none" w:sz="0" w:space="0" w:color="auto"/>
      </w:divBdr>
    </w:div>
    <w:div w:id="1791245053">
      <w:bodyDiv w:val="1"/>
      <w:marLeft w:val="0"/>
      <w:marRight w:val="0"/>
      <w:marTop w:val="0"/>
      <w:marBottom w:val="0"/>
      <w:divBdr>
        <w:top w:val="none" w:sz="0" w:space="0" w:color="auto"/>
        <w:left w:val="none" w:sz="0" w:space="0" w:color="auto"/>
        <w:bottom w:val="none" w:sz="0" w:space="0" w:color="auto"/>
        <w:right w:val="none" w:sz="0" w:space="0" w:color="auto"/>
      </w:divBdr>
    </w:div>
    <w:div w:id="1817455007">
      <w:bodyDiv w:val="1"/>
      <w:marLeft w:val="0"/>
      <w:marRight w:val="0"/>
      <w:marTop w:val="0"/>
      <w:marBottom w:val="0"/>
      <w:divBdr>
        <w:top w:val="none" w:sz="0" w:space="0" w:color="auto"/>
        <w:left w:val="none" w:sz="0" w:space="0" w:color="auto"/>
        <w:bottom w:val="none" w:sz="0" w:space="0" w:color="auto"/>
        <w:right w:val="none" w:sz="0" w:space="0" w:color="auto"/>
      </w:divBdr>
    </w:div>
    <w:div w:id="1825118928">
      <w:bodyDiv w:val="1"/>
      <w:marLeft w:val="0"/>
      <w:marRight w:val="0"/>
      <w:marTop w:val="0"/>
      <w:marBottom w:val="0"/>
      <w:divBdr>
        <w:top w:val="none" w:sz="0" w:space="0" w:color="auto"/>
        <w:left w:val="none" w:sz="0" w:space="0" w:color="auto"/>
        <w:bottom w:val="none" w:sz="0" w:space="0" w:color="auto"/>
        <w:right w:val="none" w:sz="0" w:space="0" w:color="auto"/>
      </w:divBdr>
    </w:div>
    <w:div w:id="1871987289">
      <w:bodyDiv w:val="1"/>
      <w:marLeft w:val="0"/>
      <w:marRight w:val="0"/>
      <w:marTop w:val="0"/>
      <w:marBottom w:val="0"/>
      <w:divBdr>
        <w:top w:val="none" w:sz="0" w:space="0" w:color="auto"/>
        <w:left w:val="none" w:sz="0" w:space="0" w:color="auto"/>
        <w:bottom w:val="none" w:sz="0" w:space="0" w:color="auto"/>
        <w:right w:val="none" w:sz="0" w:space="0" w:color="auto"/>
      </w:divBdr>
    </w:div>
    <w:div w:id="1895237615">
      <w:bodyDiv w:val="1"/>
      <w:marLeft w:val="0"/>
      <w:marRight w:val="0"/>
      <w:marTop w:val="0"/>
      <w:marBottom w:val="0"/>
      <w:divBdr>
        <w:top w:val="none" w:sz="0" w:space="0" w:color="auto"/>
        <w:left w:val="none" w:sz="0" w:space="0" w:color="auto"/>
        <w:bottom w:val="none" w:sz="0" w:space="0" w:color="auto"/>
        <w:right w:val="none" w:sz="0" w:space="0" w:color="auto"/>
      </w:divBdr>
    </w:div>
    <w:div w:id="1895776347">
      <w:bodyDiv w:val="1"/>
      <w:marLeft w:val="69"/>
      <w:marRight w:val="69"/>
      <w:marTop w:val="0"/>
      <w:marBottom w:val="0"/>
      <w:divBdr>
        <w:top w:val="none" w:sz="0" w:space="0" w:color="auto"/>
        <w:left w:val="none" w:sz="0" w:space="0" w:color="auto"/>
        <w:bottom w:val="none" w:sz="0" w:space="0" w:color="auto"/>
        <w:right w:val="none" w:sz="0" w:space="0" w:color="auto"/>
      </w:divBdr>
      <w:divsChild>
        <w:div w:id="1320227594">
          <w:marLeft w:val="0"/>
          <w:marRight w:val="0"/>
          <w:marTop w:val="0"/>
          <w:marBottom w:val="0"/>
          <w:divBdr>
            <w:top w:val="none" w:sz="0" w:space="0" w:color="auto"/>
            <w:left w:val="none" w:sz="0" w:space="0" w:color="auto"/>
            <w:bottom w:val="none" w:sz="0" w:space="0" w:color="auto"/>
            <w:right w:val="none" w:sz="0" w:space="0" w:color="auto"/>
          </w:divBdr>
          <w:divsChild>
            <w:div w:id="1212691391">
              <w:marLeft w:val="0"/>
              <w:marRight w:val="0"/>
              <w:marTop w:val="0"/>
              <w:marBottom w:val="0"/>
              <w:divBdr>
                <w:top w:val="none" w:sz="0" w:space="0" w:color="auto"/>
                <w:left w:val="none" w:sz="0" w:space="0" w:color="auto"/>
                <w:bottom w:val="none" w:sz="0" w:space="0" w:color="auto"/>
                <w:right w:val="none" w:sz="0" w:space="0" w:color="auto"/>
              </w:divBdr>
              <w:divsChild>
                <w:div w:id="2071078413">
                  <w:marLeft w:val="0"/>
                  <w:marRight w:val="0"/>
                  <w:marTop w:val="0"/>
                  <w:marBottom w:val="0"/>
                  <w:divBdr>
                    <w:top w:val="none" w:sz="0" w:space="0" w:color="auto"/>
                    <w:left w:val="none" w:sz="0" w:space="0" w:color="auto"/>
                    <w:bottom w:val="none" w:sz="0" w:space="0" w:color="auto"/>
                    <w:right w:val="none" w:sz="0" w:space="0" w:color="auto"/>
                  </w:divBdr>
                  <w:divsChild>
                    <w:div w:id="6005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635994">
      <w:bodyDiv w:val="1"/>
      <w:marLeft w:val="0"/>
      <w:marRight w:val="0"/>
      <w:marTop w:val="0"/>
      <w:marBottom w:val="0"/>
      <w:divBdr>
        <w:top w:val="none" w:sz="0" w:space="0" w:color="auto"/>
        <w:left w:val="none" w:sz="0" w:space="0" w:color="auto"/>
        <w:bottom w:val="none" w:sz="0" w:space="0" w:color="auto"/>
        <w:right w:val="none" w:sz="0" w:space="0" w:color="auto"/>
      </w:divBdr>
    </w:div>
    <w:div w:id="2085763338">
      <w:bodyDiv w:val="1"/>
      <w:marLeft w:val="0"/>
      <w:marRight w:val="0"/>
      <w:marTop w:val="0"/>
      <w:marBottom w:val="0"/>
      <w:divBdr>
        <w:top w:val="none" w:sz="0" w:space="0" w:color="auto"/>
        <w:left w:val="none" w:sz="0" w:space="0" w:color="auto"/>
        <w:bottom w:val="none" w:sz="0" w:space="0" w:color="auto"/>
        <w:right w:val="none" w:sz="0" w:space="0" w:color="auto"/>
      </w:divBdr>
    </w:div>
    <w:div w:id="2098281529">
      <w:bodyDiv w:val="1"/>
      <w:marLeft w:val="0"/>
      <w:marRight w:val="0"/>
      <w:marTop w:val="0"/>
      <w:marBottom w:val="0"/>
      <w:divBdr>
        <w:top w:val="none" w:sz="0" w:space="0" w:color="auto"/>
        <w:left w:val="none" w:sz="0" w:space="0" w:color="auto"/>
        <w:bottom w:val="none" w:sz="0" w:space="0" w:color="auto"/>
        <w:right w:val="none" w:sz="0" w:space="0" w:color="auto"/>
      </w:divBdr>
    </w:div>
    <w:div w:id="2124616095">
      <w:bodyDiv w:val="1"/>
      <w:marLeft w:val="0"/>
      <w:marRight w:val="0"/>
      <w:marTop w:val="0"/>
      <w:marBottom w:val="0"/>
      <w:divBdr>
        <w:top w:val="none" w:sz="0" w:space="0" w:color="auto"/>
        <w:left w:val="none" w:sz="0" w:space="0" w:color="auto"/>
        <w:bottom w:val="none" w:sz="0" w:space="0" w:color="auto"/>
        <w:right w:val="none" w:sz="0" w:space="0" w:color="auto"/>
      </w:divBdr>
    </w:div>
    <w:div w:id="21294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table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eginfo.gov/public/do/PRAOMBHistory?ombControlNumber=1218-0176"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ls.gov/oes/current/oes436014.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eAgendaViewRule?pubId=202010&amp;RIN=1218-AD00" TargetMode="External"/><Relationship Id="rId24" Type="http://schemas.openxmlformats.org/officeDocument/2006/relationships/hyperlink" Target="https://www.census.gov/eos/www/naics/" TargetMode="External"/><Relationship Id="rId5" Type="http://schemas.openxmlformats.org/officeDocument/2006/relationships/numbering" Target="numbering.xml"/><Relationship Id="rId15" Type="http://schemas.openxmlformats.org/officeDocument/2006/relationships/hyperlink" Target="https://www.bls.gov/oes/current/oes511011.htm" TargetMode="External"/><Relationship Id="rId23" Type="http://schemas.openxmlformats.org/officeDocument/2006/relationships/hyperlink" Target="https://www.census.gov/data/datasets/2017/econ/cbp/2017-cbp.html" TargetMode="External"/><Relationship Id="R749279731abb4eb7" Type="http://schemas.microsoft.com/office/2016/09/relationships/commentsIds" Target="commentsIds.xml"/><Relationship Id="Rcffaec1540a34af2"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archives/ecec_06182020.htm" TargetMode="External"/><Relationship Id="rId22" Type="http://schemas.openxmlformats.org/officeDocument/2006/relationships/hyperlink" Target="https://www.census.gov/data/datasets/2017/econ/cbp/2017-cbp.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data/datasets/2017/econ/cbp/2017-cb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8" ma:contentTypeDescription="Create a new document." ma:contentTypeScope="" ma:versionID="b549577835cbb0f45a1ed1f44440fe3c">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0e7ff445f55a93a4a3cec3040971947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99979-1CE4-487D-8BB3-162656BC6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F0408-C00B-4B57-A444-08D120E21A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9F0411-4B53-46E9-AE71-1B6C50F00B7B}">
  <ds:schemaRefs>
    <ds:schemaRef ds:uri="http://schemas.microsoft.com/sharepoint/v3/contenttype/forms"/>
  </ds:schemaRefs>
</ds:datastoreItem>
</file>

<file path=customXml/itemProps4.xml><?xml version="1.0" encoding="utf-8"?>
<ds:datastoreItem xmlns:ds="http://schemas.openxmlformats.org/officeDocument/2006/customXml" ds:itemID="{EBD87A5F-F89B-4FA7-A82D-C3609D1E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10332</Words>
  <Characters>58898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69092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TKenney</dc:creator>
  <cp:keywords/>
  <cp:lastModifiedBy>Showalter, Rachel - OSHA</cp:lastModifiedBy>
  <cp:revision>5</cp:revision>
  <cp:lastPrinted>2020-10-28T15:52:00Z</cp:lastPrinted>
  <dcterms:created xsi:type="dcterms:W3CDTF">2021-04-15T00:00:00Z</dcterms:created>
  <dcterms:modified xsi:type="dcterms:W3CDTF">2021-04-15T11:01:00Z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