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4FC" w:rsidRDefault="00A354FC" w14:paraId="3FDB40CD" w14:textId="77777777">
      <w:pPr>
        <w:widowControl/>
        <w:tabs>
          <w:tab w:val="center" w:pos="4680"/>
        </w:tabs>
        <w:rPr>
          <w:rFonts w:cs="Arial"/>
          <w:b/>
        </w:rPr>
      </w:pPr>
      <w:r>
        <w:rPr>
          <w:rFonts w:cs="Arial"/>
        </w:rPr>
        <w:tab/>
      </w:r>
      <w:r>
        <w:rPr>
          <w:rFonts w:cs="Arial"/>
          <w:b/>
        </w:rPr>
        <w:t>Supporting Statement</w:t>
      </w:r>
    </w:p>
    <w:p w:rsidR="00F30D64" w:rsidP="00561639" w:rsidRDefault="00F30D64" w14:paraId="5951C114" w14:textId="77777777">
      <w:pPr>
        <w:widowControl/>
        <w:tabs>
          <w:tab w:val="center" w:pos="4680"/>
        </w:tabs>
        <w:jc w:val="center"/>
        <w:rPr>
          <w:rFonts w:cs="Arial"/>
          <w:b/>
        </w:rPr>
      </w:pPr>
      <w:r>
        <w:rPr>
          <w:rFonts w:cs="Arial"/>
          <w:b/>
        </w:rPr>
        <w:t>Internal Revenue Service</w:t>
      </w:r>
    </w:p>
    <w:p w:rsidR="00A354FC" w:rsidRDefault="00A354FC" w14:paraId="3068F67B" w14:textId="06DCD00B">
      <w:pPr>
        <w:widowControl/>
        <w:jc w:val="center"/>
        <w:rPr>
          <w:rFonts w:cs="Arial"/>
        </w:rPr>
      </w:pPr>
      <w:r>
        <w:rPr>
          <w:rFonts w:cs="Arial"/>
        </w:rPr>
        <w:t>Form 8976, Notice of Intent to Operate Under Section 501(c)(4)</w:t>
      </w:r>
    </w:p>
    <w:p w:rsidR="00A354FC" w:rsidRDefault="00B87B94" w14:paraId="45C49AD5" w14:textId="75090CFB">
      <w:pPr>
        <w:widowControl/>
        <w:jc w:val="center"/>
        <w:rPr>
          <w:rFonts w:cs="Arial"/>
        </w:rPr>
      </w:pPr>
      <w:r>
        <w:t>OMB</w:t>
      </w:r>
      <w:r w:rsidR="001F44AC">
        <w:t xml:space="preserve"> Control Number</w:t>
      </w:r>
      <w:r>
        <w:t xml:space="preserve"> </w:t>
      </w:r>
      <w:r w:rsidR="00A354FC">
        <w:t>1545-</w:t>
      </w:r>
      <w:r w:rsidR="00583111">
        <w:t>2268</w:t>
      </w:r>
    </w:p>
    <w:p w:rsidR="00A354FC" w:rsidRDefault="00A354FC" w14:paraId="2274C887" w14:textId="77777777">
      <w:pPr>
        <w:widowControl/>
        <w:jc w:val="center"/>
        <w:rPr>
          <w:rFonts w:cs="Arial"/>
        </w:rPr>
      </w:pPr>
    </w:p>
    <w:p w:rsidR="00A354FC" w:rsidRDefault="00A354FC" w14:paraId="753DB323" w14:textId="77777777">
      <w:pPr>
        <w:widowControl/>
        <w:tabs>
          <w:tab w:val="left" w:pos="-1440"/>
        </w:tabs>
        <w:ind w:left="720" w:hanging="720"/>
        <w:rPr>
          <w:rFonts w:cs="Arial"/>
          <w:b/>
          <w:u w:val="single"/>
        </w:rPr>
      </w:pPr>
      <w:r>
        <w:rPr>
          <w:rFonts w:cs="Arial"/>
          <w:b/>
        </w:rPr>
        <w:t>1.</w:t>
      </w:r>
      <w:r>
        <w:rPr>
          <w:rFonts w:cs="Arial"/>
          <w:b/>
        </w:rPr>
        <w:tab/>
      </w:r>
      <w:r>
        <w:rPr>
          <w:rFonts w:cs="Arial"/>
          <w:b/>
          <w:u w:val="single"/>
        </w:rPr>
        <w:t>CIRCUMSTANCES NECESSITATING COLLECTION OF INFORMATION</w:t>
      </w:r>
    </w:p>
    <w:p w:rsidR="00A354FC" w:rsidRDefault="00A354FC" w14:paraId="5B0E4C96" w14:textId="77777777">
      <w:pPr>
        <w:widowControl/>
        <w:tabs>
          <w:tab w:val="left" w:pos="-1440"/>
        </w:tabs>
        <w:rPr>
          <w:rFonts w:cs="Arial"/>
        </w:rPr>
      </w:pPr>
    </w:p>
    <w:p w:rsidR="00A354FC" w:rsidRDefault="00A354FC" w14:paraId="4E9CEE88" w14:textId="77777777">
      <w:pPr>
        <w:widowControl/>
        <w:ind w:left="720"/>
        <w:rPr>
          <w:rFonts w:cs="Arial"/>
        </w:rPr>
      </w:pPr>
      <w:r>
        <w:rPr>
          <w:rFonts w:cs="Arial"/>
        </w:rPr>
        <w:t xml:space="preserve">The Protecting Americans from Tax Hikes Act of 2015 (the PATH Act) added new section 506 to the Internal Revenue Code (Code).  Section 506 requires an organization described in section 501(c)(4), no later than 60 days after the organization is established, to notify the Secretary that it is operating as a section 501(c)(4) organization (the notification).  Section 506(b) provides that the notification must include: </w:t>
      </w:r>
      <w:r>
        <w:rPr>
          <w:szCs w:val="22"/>
        </w:rPr>
        <w:t xml:space="preserve">(1) the name, address, and taxpayer identification number of the organization; (2) the date on which, and the State under the laws of which, the organization was organized; and (3) a statement of the purpose of the organization.  </w:t>
      </w:r>
    </w:p>
    <w:p w:rsidR="00A354FC" w:rsidRDefault="00A354FC" w14:paraId="7577C1A7" w14:textId="77777777">
      <w:pPr>
        <w:widowControl/>
        <w:ind w:left="720"/>
        <w:rPr>
          <w:rFonts w:cs="Arial"/>
        </w:rPr>
      </w:pPr>
    </w:p>
    <w:p w:rsidR="00A354FC" w:rsidRDefault="00A354FC" w14:paraId="0E4D133D" w14:textId="77777777">
      <w:pPr>
        <w:widowControl/>
        <w:ind w:left="720"/>
        <w:rPr>
          <w:rFonts w:cs="Arial"/>
        </w:rPr>
      </w:pPr>
      <w:r>
        <w:rPr>
          <w:rFonts w:cs="Arial"/>
        </w:rPr>
        <w:t xml:space="preserve">This submission covers the Form 8976, </w:t>
      </w:r>
      <w:r>
        <w:rPr>
          <w:rFonts w:cs="Arial"/>
          <w:i/>
        </w:rPr>
        <w:t>Notice of Intent to Operate Under Section 501(c)(4)</w:t>
      </w:r>
      <w:r>
        <w:rPr>
          <w:rFonts w:cs="Arial"/>
        </w:rPr>
        <w:t xml:space="preserve">, which will be used by organizations to submit the section 506 notification.    </w:t>
      </w:r>
    </w:p>
    <w:p w:rsidR="00A354FC" w:rsidRDefault="00A354FC" w14:paraId="3DE7D078" w14:textId="77777777">
      <w:pPr>
        <w:widowControl/>
        <w:ind w:left="720"/>
        <w:rPr>
          <w:rFonts w:cs="Arial"/>
        </w:rPr>
      </w:pPr>
    </w:p>
    <w:p w:rsidR="00A354FC" w:rsidRDefault="00A354FC" w14:paraId="0135661C" w14:textId="77777777">
      <w:pPr>
        <w:widowControl/>
        <w:ind w:left="720"/>
        <w:rPr>
          <w:rFonts w:cs="Arial"/>
        </w:rPr>
      </w:pPr>
    </w:p>
    <w:p w:rsidR="00A354FC" w:rsidRDefault="00A354FC" w14:paraId="789B03D4" w14:textId="77777777">
      <w:pPr>
        <w:widowControl/>
        <w:ind w:left="720"/>
        <w:rPr>
          <w:rFonts w:cs="Arial"/>
        </w:rPr>
        <w:sectPr w:rsidR="00A354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pgNumType w:fmt="numberInDash"/>
          <w:cols w:space="720"/>
          <w:noEndnote/>
          <w:titlePg/>
        </w:sectPr>
      </w:pPr>
    </w:p>
    <w:p w:rsidR="00A354FC" w:rsidRDefault="00A354FC" w14:paraId="6DEEDD0A" w14:textId="77777777">
      <w:pPr>
        <w:widowControl/>
        <w:tabs>
          <w:tab w:val="left" w:pos="-1440"/>
        </w:tabs>
        <w:ind w:left="720" w:hanging="720"/>
        <w:rPr>
          <w:rFonts w:cs="Arial"/>
          <w:b/>
          <w:u w:val="single"/>
        </w:rPr>
      </w:pPr>
      <w:r>
        <w:rPr>
          <w:rFonts w:cs="Arial"/>
          <w:b/>
        </w:rPr>
        <w:t>2.</w:t>
      </w:r>
      <w:r>
        <w:rPr>
          <w:rFonts w:cs="Arial"/>
          <w:b/>
        </w:rPr>
        <w:tab/>
      </w:r>
      <w:r>
        <w:rPr>
          <w:rFonts w:cs="Arial"/>
          <w:b/>
          <w:u w:val="single"/>
        </w:rPr>
        <w:t>USE OF DATA</w:t>
      </w:r>
    </w:p>
    <w:p w:rsidR="00A354FC" w:rsidRDefault="00A354FC" w14:paraId="7FA2CC21" w14:textId="77777777">
      <w:pPr>
        <w:widowControl/>
        <w:rPr>
          <w:rFonts w:cs="Arial"/>
          <w:u w:val="single"/>
        </w:rPr>
      </w:pPr>
    </w:p>
    <w:p w:rsidR="00A354FC" w:rsidRDefault="00A354FC" w14:paraId="237E05CD" w14:textId="77777777">
      <w:pPr>
        <w:widowControl/>
        <w:ind w:left="720"/>
        <w:rPr>
          <w:rFonts w:cs="Arial"/>
        </w:rPr>
      </w:pPr>
      <w:r>
        <w:rPr>
          <w:rFonts w:cs="Arial"/>
        </w:rPr>
        <w:t xml:space="preserve">This information </w:t>
      </w:r>
      <w:r w:rsidR="0054474C">
        <w:rPr>
          <w:rFonts w:cs="Arial"/>
        </w:rPr>
        <w:t>is</w:t>
      </w:r>
      <w:r>
        <w:rPr>
          <w:rFonts w:cs="Arial"/>
        </w:rPr>
        <w:t xml:space="preserve"> used by IRS to process the notification for completeness in satisfaction of the statutory requirement, and to determine applicability of the penalties for failure to timely submit the notification imposed by section 6652(c)(4) of the Code.   </w:t>
      </w:r>
    </w:p>
    <w:p w:rsidR="00A354FC" w:rsidRDefault="00A354FC" w14:paraId="34B14E08" w14:textId="77777777">
      <w:pPr>
        <w:widowControl/>
        <w:rPr>
          <w:rFonts w:cs="Arial"/>
        </w:rPr>
      </w:pPr>
    </w:p>
    <w:p w:rsidR="00A354FC" w:rsidRDefault="00A354FC" w14:paraId="110B6A77" w14:textId="77777777">
      <w:pPr>
        <w:keepNext/>
        <w:keepLines/>
        <w:widowControl/>
        <w:tabs>
          <w:tab w:val="left" w:pos="-1440"/>
        </w:tabs>
        <w:ind w:left="720" w:hanging="720"/>
        <w:rPr>
          <w:rFonts w:cs="Arial"/>
          <w:b/>
          <w:u w:val="single"/>
        </w:rPr>
      </w:pPr>
      <w:r>
        <w:rPr>
          <w:rFonts w:cs="Arial"/>
          <w:b/>
        </w:rPr>
        <w:t>3.</w:t>
      </w:r>
      <w:r>
        <w:rPr>
          <w:rFonts w:cs="Arial"/>
          <w:b/>
        </w:rPr>
        <w:tab/>
      </w:r>
      <w:r>
        <w:rPr>
          <w:rFonts w:cs="Arial"/>
          <w:b/>
          <w:u w:val="single"/>
        </w:rPr>
        <w:t>USE OF IMPROVED INFORMATION TECHNOLOGY TO REDUCE BURDEN</w:t>
      </w:r>
    </w:p>
    <w:p w:rsidR="00A354FC" w:rsidRDefault="00A354FC" w14:paraId="7E001DBC" w14:textId="77777777">
      <w:pPr>
        <w:keepNext/>
        <w:keepLines/>
        <w:widowControl/>
        <w:rPr>
          <w:rFonts w:cs="Arial"/>
          <w:u w:val="single"/>
        </w:rPr>
      </w:pPr>
    </w:p>
    <w:p w:rsidR="00A354FC" w:rsidRDefault="00A354FC" w14:paraId="6581B293" w14:textId="77777777">
      <w:pPr>
        <w:keepLines/>
        <w:widowControl/>
        <w:ind w:left="720"/>
        <w:rPr>
          <w:rFonts w:cs="Arial"/>
        </w:rPr>
      </w:pPr>
      <w:r>
        <w:rPr>
          <w:rFonts w:cs="Arial"/>
        </w:rPr>
        <w:t xml:space="preserve">The Form 8976 </w:t>
      </w:r>
      <w:r w:rsidR="0054474C">
        <w:rPr>
          <w:rFonts w:cs="Arial"/>
        </w:rPr>
        <w:t>is available for filing electronically at IRS.Gov</w:t>
      </w:r>
      <w:r>
        <w:rPr>
          <w:rFonts w:cs="Arial"/>
        </w:rPr>
        <w:t>.</w:t>
      </w:r>
    </w:p>
    <w:p w:rsidR="00A354FC" w:rsidRDefault="00A354FC" w14:paraId="3BACA637" w14:textId="77777777">
      <w:pPr>
        <w:keepLines/>
        <w:widowControl/>
        <w:rPr>
          <w:rFonts w:cs="Arial"/>
        </w:rPr>
      </w:pPr>
    </w:p>
    <w:p w:rsidR="00A354FC" w:rsidRDefault="00A354FC" w14:paraId="69716CA3" w14:textId="77777777">
      <w:pPr>
        <w:widowControl/>
        <w:tabs>
          <w:tab w:val="left" w:pos="-1440"/>
        </w:tabs>
        <w:ind w:left="720" w:hanging="720"/>
        <w:rPr>
          <w:rFonts w:cs="Arial"/>
          <w:b/>
          <w:u w:val="single"/>
        </w:rPr>
      </w:pPr>
      <w:r>
        <w:rPr>
          <w:rFonts w:cs="Arial"/>
          <w:b/>
        </w:rPr>
        <w:t>4.</w:t>
      </w:r>
      <w:r>
        <w:rPr>
          <w:rFonts w:cs="Arial"/>
          <w:b/>
        </w:rPr>
        <w:tab/>
      </w:r>
      <w:r>
        <w:rPr>
          <w:rFonts w:cs="Arial"/>
          <w:b/>
          <w:u w:val="single"/>
        </w:rPr>
        <w:t>EFFORTS TO IDENTIFY DUPLICATION</w:t>
      </w:r>
    </w:p>
    <w:p w:rsidR="00A354FC" w:rsidRDefault="00A354FC" w14:paraId="3F618F31" w14:textId="77777777">
      <w:pPr>
        <w:widowControl/>
        <w:rPr>
          <w:rFonts w:cs="Arial"/>
          <w:u w:val="single"/>
        </w:rPr>
      </w:pPr>
    </w:p>
    <w:p w:rsidR="00A354FC" w:rsidRDefault="005A63B1" w14:paraId="1CBF2CCF" w14:textId="77777777">
      <w:pPr>
        <w:widowControl/>
        <w:ind w:left="720"/>
        <w:rPr>
          <w:rFonts w:cs="Arial"/>
        </w:rPr>
      </w:pPr>
      <w:bookmarkStart w:name="_Hlk497985603" w:id="0"/>
      <w:r w:rsidRPr="005A63B1">
        <w:rPr>
          <w:rFonts w:cs="Arial"/>
          <w:iCs/>
        </w:rPr>
        <w:t>The information obtained through this collection is unique and is not already available for use or adaptation from another source.</w:t>
      </w:r>
      <w:bookmarkEnd w:id="0"/>
      <w:r w:rsidR="00A354FC">
        <w:rPr>
          <w:rFonts w:cs="Arial"/>
        </w:rPr>
        <w:t xml:space="preserve"> In general, the statute requires organizations to submit basic information to the IRS within 60 days after they are formed.  Previously, such organizations would not have been required to submit the same or similar information to the IRS until they file their first annual return or notice, which is not due until 4 ½ months (or 10 ½ months, with extensions) after the end of the organization’s first taxable year.  Thus, the need for this information cannot be satisfied by any existing collection.  </w:t>
      </w:r>
    </w:p>
    <w:p w:rsidR="00A354FC" w:rsidRDefault="00A354FC" w14:paraId="6D26CB27" w14:textId="77777777">
      <w:pPr>
        <w:widowControl/>
        <w:tabs>
          <w:tab w:val="left" w:pos="-1440"/>
        </w:tabs>
        <w:ind w:left="720" w:hanging="720"/>
        <w:rPr>
          <w:rFonts w:cs="Arial"/>
          <w:b/>
        </w:rPr>
      </w:pPr>
    </w:p>
    <w:p w:rsidR="00A354FC" w:rsidRDefault="00A354FC" w14:paraId="044C7BBA" w14:textId="77777777">
      <w:pPr>
        <w:widowControl/>
        <w:tabs>
          <w:tab w:val="left" w:pos="-1440"/>
        </w:tabs>
        <w:ind w:left="720" w:hanging="720"/>
        <w:rPr>
          <w:rFonts w:cs="Arial"/>
          <w:b/>
          <w:u w:val="single"/>
        </w:rPr>
      </w:pPr>
      <w:r>
        <w:rPr>
          <w:rFonts w:cs="Arial"/>
          <w:b/>
        </w:rPr>
        <w:lastRenderedPageBreak/>
        <w:t>5.</w:t>
      </w:r>
      <w:r>
        <w:rPr>
          <w:rFonts w:cs="Arial"/>
          <w:b/>
        </w:rPr>
        <w:tab/>
      </w:r>
      <w:r>
        <w:rPr>
          <w:rFonts w:cs="Arial"/>
          <w:b/>
          <w:u w:val="single"/>
        </w:rPr>
        <w:t>METHODS TO MINIMIZE BURDEN ON SMALL BUSINESSES OR OTHER SMALL ENTITIES</w:t>
      </w:r>
    </w:p>
    <w:p w:rsidR="00A354FC" w:rsidRDefault="00A354FC" w14:paraId="0533390F" w14:textId="77777777">
      <w:pPr>
        <w:widowControl/>
        <w:rPr>
          <w:rFonts w:cs="Arial"/>
          <w:u w:val="single"/>
        </w:rPr>
      </w:pPr>
    </w:p>
    <w:p w:rsidR="00A354FC" w:rsidRDefault="00A354FC" w14:paraId="1920A78E" w14:textId="77777777">
      <w:pPr>
        <w:widowControl/>
        <w:ind w:left="720"/>
        <w:rPr>
          <w:rFonts w:cs="Arial"/>
        </w:rPr>
      </w:pPr>
      <w:r>
        <w:rPr>
          <w:rFonts w:cs="Arial"/>
        </w:rPr>
        <w:t xml:space="preserve">The collection of information provided for in the form imposes a minimal burden on organizations because it requires only a few pieces of basic information regarding the organization.  Form 8976 is completed electronically, reducing paperwork.  Furthermore, an organization need only submit the notification once over the course of its existence, within 60 days of legal formation.  </w:t>
      </w:r>
    </w:p>
    <w:p w:rsidR="00A354FC" w:rsidRDefault="00A354FC" w14:paraId="14C8A16B" w14:textId="77777777">
      <w:pPr>
        <w:widowControl/>
        <w:rPr>
          <w:rFonts w:cs="Arial"/>
        </w:rPr>
      </w:pPr>
    </w:p>
    <w:p w:rsidR="00A354FC" w:rsidRDefault="00A354FC" w14:paraId="6FE54D80" w14:textId="77777777">
      <w:pPr>
        <w:widowControl/>
        <w:tabs>
          <w:tab w:val="left" w:pos="-1440"/>
        </w:tabs>
        <w:ind w:left="720" w:hanging="720"/>
        <w:rPr>
          <w:rFonts w:cs="Arial"/>
          <w:b/>
          <w:u w:val="single"/>
        </w:rPr>
      </w:pPr>
      <w:r>
        <w:rPr>
          <w:rFonts w:cs="Arial"/>
          <w:b/>
        </w:rPr>
        <w:t>6.</w:t>
      </w:r>
      <w:r>
        <w:rPr>
          <w:rFonts w:cs="Arial"/>
          <w:b/>
        </w:rPr>
        <w:tab/>
      </w:r>
      <w:r>
        <w:rPr>
          <w:rFonts w:cs="Arial"/>
          <w:b/>
          <w:u w:val="single"/>
        </w:rPr>
        <w:t>CONSEQUENCES OF LESS FREQUENT COLLECTION ON FEDERAL PROGRAMS OR POLICY ACTIVITIES</w:t>
      </w:r>
    </w:p>
    <w:p w:rsidR="00A354FC" w:rsidRDefault="00A354FC" w14:paraId="4ADB1A37" w14:textId="77777777">
      <w:pPr>
        <w:widowControl/>
        <w:rPr>
          <w:rFonts w:cs="Arial"/>
          <w:u w:val="single"/>
        </w:rPr>
      </w:pPr>
    </w:p>
    <w:p w:rsidR="00A354FC" w:rsidRDefault="00A354FC" w14:paraId="52898D6A" w14:textId="77777777">
      <w:pPr>
        <w:widowControl/>
        <w:ind w:left="720"/>
        <w:rPr>
          <w:rFonts w:cs="Arial"/>
        </w:rPr>
      </w:pPr>
      <w:r>
        <w:rPr>
          <w:rFonts w:cs="Arial"/>
        </w:rPr>
        <w:t xml:space="preserve">The collection of information provided in Form 8976 occurs only once, when an organization submits the notification within 60 days of its date of formation.  </w:t>
      </w:r>
      <w:r w:rsidRPr="00B62614" w:rsidR="00B62614">
        <w:rPr>
          <w:rFonts w:cs="Arial"/>
        </w:rPr>
        <w:t>A less frequent collection would not allow IRS to make the determination of the tax treatment and therefore not allow the IRS to meet its mission.</w:t>
      </w:r>
    </w:p>
    <w:p w:rsidR="00A354FC" w:rsidRDefault="00A354FC" w14:paraId="020308C2" w14:textId="77777777">
      <w:pPr>
        <w:widowControl/>
        <w:rPr>
          <w:rFonts w:cs="Arial"/>
        </w:rPr>
      </w:pPr>
    </w:p>
    <w:p w:rsidR="00A354FC" w:rsidRDefault="00A354FC" w14:paraId="4973A782" w14:textId="77777777">
      <w:pPr>
        <w:widowControl/>
        <w:tabs>
          <w:tab w:val="left" w:pos="-1440"/>
        </w:tabs>
        <w:ind w:left="720" w:hanging="720"/>
        <w:rPr>
          <w:rFonts w:cs="Arial"/>
          <w:b/>
          <w:u w:val="single"/>
        </w:rPr>
      </w:pPr>
      <w:r>
        <w:rPr>
          <w:rFonts w:cs="Arial"/>
          <w:b/>
        </w:rPr>
        <w:t>7.</w:t>
      </w:r>
      <w:r>
        <w:rPr>
          <w:rFonts w:cs="Arial"/>
          <w:b/>
        </w:rPr>
        <w:tab/>
      </w:r>
      <w:r>
        <w:rPr>
          <w:rFonts w:cs="Arial"/>
          <w:b/>
          <w:u w:val="single"/>
        </w:rPr>
        <w:t>SPECIAL CIRCUMSTANCES REQUIRING DATA COLLECTION TO BE INCONSISTENT WITH GUIDELINES IN 5 CFR 1320.5(d)(2)</w:t>
      </w:r>
    </w:p>
    <w:p w:rsidR="00A354FC" w:rsidRDefault="00A354FC" w14:paraId="74EE066F" w14:textId="77777777">
      <w:pPr>
        <w:widowControl/>
        <w:rPr>
          <w:rFonts w:cs="Arial"/>
          <w:u w:val="single"/>
        </w:rPr>
      </w:pPr>
    </w:p>
    <w:p w:rsidR="00A354FC" w:rsidRDefault="00A354FC" w14:paraId="6A79C9DB" w14:textId="77777777">
      <w:pPr>
        <w:widowControl/>
        <w:ind w:left="720"/>
        <w:rPr>
          <w:rFonts w:cs="Arial"/>
        </w:rPr>
      </w:pPr>
      <w:r>
        <w:rPr>
          <w:rFonts w:cs="Arial"/>
        </w:rPr>
        <w:t>There are no special circumstances requiring data collection to be inconsistent with Guidelines in 5 CFR 1320.5(d)(2).</w:t>
      </w:r>
    </w:p>
    <w:p w:rsidR="00A354FC" w:rsidRDefault="00A354FC" w14:paraId="5D41C860" w14:textId="77777777">
      <w:pPr>
        <w:widowControl/>
        <w:rPr>
          <w:rFonts w:cs="Arial"/>
        </w:rPr>
      </w:pPr>
    </w:p>
    <w:p w:rsidR="00A354FC" w:rsidRDefault="00A354FC" w14:paraId="3FB0E158" w14:textId="77777777">
      <w:pPr>
        <w:widowControl/>
        <w:tabs>
          <w:tab w:val="left" w:pos="-1440"/>
        </w:tabs>
        <w:ind w:left="720" w:hanging="720"/>
        <w:rPr>
          <w:rFonts w:cs="Arial"/>
          <w:b/>
          <w:u w:val="single"/>
        </w:rPr>
      </w:pPr>
      <w:r>
        <w:rPr>
          <w:rFonts w:cs="Arial"/>
          <w:b/>
        </w:rPr>
        <w:t>8.</w:t>
      </w:r>
      <w:r>
        <w:rPr>
          <w:rFonts w:cs="Arial"/>
          <w:b/>
        </w:rPr>
        <w:tab/>
      </w:r>
      <w:r>
        <w:rPr>
          <w:rFonts w:cs="Arial"/>
          <w:b/>
          <w:u w:val="single"/>
        </w:rPr>
        <w:t>CONSULTATION WITH INDIVIDUALS OUTSIDE OF THE AGENCY ON AVAILABILITY OF DATA, FREQUENCY OF COLLECTION, CLARITY OF INSTRUCTIONS AND FORMS, AND DATA ELEMENTS</w:t>
      </w:r>
    </w:p>
    <w:p w:rsidR="00A354FC" w:rsidRDefault="00A354FC" w14:paraId="45BB9E7A" w14:textId="77777777">
      <w:pPr>
        <w:widowControl/>
        <w:rPr>
          <w:rFonts w:cs="Arial"/>
          <w:u w:val="single"/>
        </w:rPr>
        <w:sectPr w:rsidR="00A354FC">
          <w:headerReference w:type="default" r:id="rId12"/>
          <w:type w:val="continuous"/>
          <w:pgSz w:w="12240" w:h="15840"/>
          <w:pgMar w:top="1440" w:right="1440" w:bottom="1440" w:left="1440" w:header="1440" w:footer="1440" w:gutter="0"/>
          <w:cols w:space="720"/>
          <w:noEndnote/>
        </w:sectPr>
      </w:pPr>
    </w:p>
    <w:p w:rsidR="009F18C3" w:rsidRDefault="009F18C3" w14:paraId="49BB920D" w14:textId="77777777">
      <w:pPr>
        <w:widowControl/>
        <w:ind w:left="720"/>
        <w:rPr>
          <w:rFonts w:cs="Arial"/>
        </w:rPr>
      </w:pPr>
    </w:p>
    <w:p w:rsidR="00A354FC" w:rsidRDefault="00627E5E" w14:paraId="3BDECD7F" w14:textId="77777777">
      <w:pPr>
        <w:widowControl/>
        <w:ind w:left="720"/>
        <w:rPr>
          <w:rFonts w:cs="Arial"/>
        </w:rPr>
      </w:pPr>
      <w:r>
        <w:rPr>
          <w:rFonts w:cs="Arial"/>
        </w:rPr>
        <w:t xml:space="preserve">We received no comments during the comment period in response to the Federal Register notice dated </w:t>
      </w:r>
      <w:r w:rsidR="00763DE4">
        <w:rPr>
          <w:rFonts w:cs="Arial"/>
        </w:rPr>
        <w:t>October 22, 2020</w:t>
      </w:r>
      <w:r>
        <w:rPr>
          <w:rFonts w:cs="Arial"/>
        </w:rPr>
        <w:t xml:space="preserve"> (8</w:t>
      </w:r>
      <w:r w:rsidR="00763DE4">
        <w:rPr>
          <w:rFonts w:cs="Arial"/>
        </w:rPr>
        <w:t>5</w:t>
      </w:r>
      <w:r>
        <w:rPr>
          <w:rFonts w:cs="Arial"/>
        </w:rPr>
        <w:t xml:space="preserve"> FR </w:t>
      </w:r>
      <w:r w:rsidR="00763DE4">
        <w:rPr>
          <w:rFonts w:cs="Arial"/>
        </w:rPr>
        <w:t>67422</w:t>
      </w:r>
      <w:r>
        <w:rPr>
          <w:rFonts w:cs="Arial"/>
        </w:rPr>
        <w:t>)</w:t>
      </w:r>
      <w:r w:rsidR="00A354FC">
        <w:rPr>
          <w:rFonts w:cs="Arial"/>
        </w:rPr>
        <w:t xml:space="preserve">.  </w:t>
      </w:r>
    </w:p>
    <w:p w:rsidR="00A354FC" w:rsidRDefault="00A354FC" w14:paraId="6D7E53A1" w14:textId="77777777">
      <w:pPr>
        <w:widowControl/>
        <w:ind w:left="720"/>
        <w:rPr>
          <w:rFonts w:cs="Arial"/>
        </w:rPr>
      </w:pPr>
    </w:p>
    <w:p w:rsidR="00A354FC" w:rsidRDefault="00A354FC" w14:paraId="225B472B" w14:textId="77777777">
      <w:pPr>
        <w:widowControl/>
        <w:tabs>
          <w:tab w:val="left" w:pos="-1440"/>
        </w:tabs>
        <w:ind w:left="720" w:hanging="720"/>
        <w:rPr>
          <w:rFonts w:cs="Arial"/>
          <w:b/>
          <w:u w:val="single"/>
        </w:rPr>
      </w:pPr>
      <w:r>
        <w:rPr>
          <w:rFonts w:cs="Arial"/>
          <w:b/>
        </w:rPr>
        <w:t>9.</w:t>
      </w:r>
      <w:r>
        <w:rPr>
          <w:rFonts w:cs="Arial"/>
          <w:b/>
        </w:rPr>
        <w:tab/>
      </w:r>
      <w:r>
        <w:rPr>
          <w:rFonts w:cs="Arial"/>
          <w:b/>
          <w:u w:val="single"/>
        </w:rPr>
        <w:t>EXPLANATION OF DECISION TO PROVIDE ANY PAYMENT OR GIFT TO RESPONDENTS</w:t>
      </w:r>
    </w:p>
    <w:p w:rsidR="00A354FC" w:rsidRDefault="00A354FC" w14:paraId="22C603E1" w14:textId="77777777">
      <w:pPr>
        <w:widowControl/>
        <w:rPr>
          <w:rFonts w:cs="Arial"/>
          <w:u w:val="single"/>
        </w:rPr>
      </w:pPr>
    </w:p>
    <w:p w:rsidR="00A354FC" w:rsidRDefault="00A354FC" w14:paraId="218F9E9D" w14:textId="77777777">
      <w:pPr>
        <w:widowControl/>
        <w:ind w:left="720"/>
        <w:rPr>
          <w:rFonts w:cs="Arial"/>
        </w:rPr>
      </w:pPr>
      <w:r>
        <w:rPr>
          <w:rFonts w:cs="Arial"/>
        </w:rPr>
        <w:t>No payment or gift has been provided to any respondents.</w:t>
      </w:r>
    </w:p>
    <w:p w:rsidR="00A354FC" w:rsidRDefault="00A354FC" w14:paraId="1DC4B8A4" w14:textId="77777777">
      <w:pPr>
        <w:widowControl/>
        <w:rPr>
          <w:rFonts w:cs="Arial"/>
        </w:rPr>
      </w:pPr>
    </w:p>
    <w:p w:rsidR="00A354FC" w:rsidRDefault="00A354FC" w14:paraId="1EEC299F" w14:textId="77777777">
      <w:pPr>
        <w:keepNext/>
        <w:keepLines/>
        <w:widowControl/>
        <w:tabs>
          <w:tab w:val="left" w:pos="-1440"/>
        </w:tabs>
        <w:ind w:left="720" w:hanging="720"/>
        <w:rPr>
          <w:rFonts w:cs="Arial"/>
          <w:b/>
          <w:u w:val="single"/>
        </w:rPr>
      </w:pPr>
      <w:r>
        <w:rPr>
          <w:rFonts w:cs="Arial"/>
          <w:b/>
        </w:rPr>
        <w:t>10.</w:t>
      </w:r>
      <w:r>
        <w:rPr>
          <w:rFonts w:cs="Arial"/>
          <w:b/>
        </w:rPr>
        <w:tab/>
      </w:r>
      <w:r>
        <w:rPr>
          <w:rFonts w:cs="Arial"/>
          <w:b/>
          <w:u w:val="single"/>
        </w:rPr>
        <w:t>ASSURANCE OF CONFIDENTIALITY OF RESPONSES</w:t>
      </w:r>
    </w:p>
    <w:p w:rsidR="00A354FC" w:rsidRDefault="00A354FC" w14:paraId="65057B85" w14:textId="77777777">
      <w:pPr>
        <w:keepNext/>
        <w:keepLines/>
        <w:widowControl/>
        <w:rPr>
          <w:rFonts w:cs="Arial"/>
          <w:u w:val="single"/>
        </w:rPr>
      </w:pPr>
    </w:p>
    <w:p w:rsidR="00A354FC" w:rsidRDefault="00A354FC" w14:paraId="1E609774" w14:textId="77777777">
      <w:pPr>
        <w:keepNext/>
        <w:keepLines/>
        <w:widowControl/>
        <w:ind w:left="720"/>
        <w:rPr>
          <w:rFonts w:cs="Arial"/>
        </w:rPr>
      </w:pPr>
      <w:r>
        <w:rPr>
          <w:rFonts w:cs="Arial"/>
        </w:rPr>
        <w:t>Generally, tax returns and tax return information are confidential as required by 26 U.S.C. 6103.</w:t>
      </w:r>
    </w:p>
    <w:p w:rsidR="00A354FC" w:rsidRDefault="00A354FC" w14:paraId="7A9EF376" w14:textId="77777777">
      <w:pPr>
        <w:keepLines/>
        <w:widowControl/>
        <w:rPr>
          <w:rFonts w:cs="Arial"/>
        </w:rPr>
      </w:pPr>
    </w:p>
    <w:p w:rsidR="00A354FC" w:rsidRDefault="00A354FC" w14:paraId="3EEEEA28" w14:textId="77777777">
      <w:pPr>
        <w:widowControl/>
        <w:tabs>
          <w:tab w:val="left" w:pos="-1440"/>
        </w:tabs>
        <w:ind w:left="720" w:hanging="720"/>
        <w:rPr>
          <w:rFonts w:cs="Arial"/>
          <w:b/>
          <w:u w:val="single"/>
        </w:rPr>
      </w:pPr>
      <w:r>
        <w:rPr>
          <w:rFonts w:cs="Arial"/>
          <w:b/>
        </w:rPr>
        <w:t>11.</w:t>
      </w:r>
      <w:r>
        <w:rPr>
          <w:rFonts w:cs="Arial"/>
          <w:b/>
        </w:rPr>
        <w:tab/>
      </w:r>
      <w:r>
        <w:rPr>
          <w:rFonts w:cs="Arial"/>
          <w:b/>
          <w:u w:val="single"/>
        </w:rPr>
        <w:t>JUSTIFICATION OF SENSITIVE QUESTIONS</w:t>
      </w:r>
    </w:p>
    <w:p w:rsidR="00A354FC" w:rsidRDefault="00A354FC" w14:paraId="6E99D6C5" w14:textId="77777777">
      <w:pPr>
        <w:widowControl/>
        <w:rPr>
          <w:rFonts w:cs="Arial"/>
          <w:u w:val="single"/>
        </w:rPr>
      </w:pPr>
    </w:p>
    <w:p w:rsidRPr="00234BCC" w:rsidR="00B91616" w:rsidP="00B91616" w:rsidRDefault="00B91616" w14:paraId="1ED14665" w14:textId="77777777">
      <w:pPr>
        <w:ind w:left="720"/>
        <w:rPr>
          <w:rStyle w:val="Hyperlink"/>
          <w:rFonts w:cs="Arial"/>
        </w:rPr>
      </w:pPr>
      <w:r w:rsidRPr="00234BCC">
        <w:rPr>
          <w:rFonts w:cs="Arial"/>
        </w:rPr>
        <w:t xml:space="preserve">A privacy impact assessment (PIA) has been conducted for information collected </w:t>
      </w:r>
      <w:r w:rsidRPr="00234BCC">
        <w:rPr>
          <w:rFonts w:cs="Arial"/>
        </w:rPr>
        <w:lastRenderedPageBreak/>
        <w:t xml:space="preserve">under this request as part of the “Business Master file (BMF)” and a Privacy Act System of Records notice (SORN) has been issued for these systems under </w:t>
      </w:r>
      <w:r w:rsidRPr="00234BCC">
        <w:rPr>
          <w:rFonts w:cs="Arial"/>
          <w:color w:val="000000"/>
        </w:rPr>
        <w:t>IRS 22.062 – Electronic Filing Records; IRS 24.0</w:t>
      </w:r>
      <w:r w:rsidRPr="00234BCC">
        <w:rPr>
          <w:rFonts w:cs="Arial"/>
          <w:color w:val="1F497D"/>
        </w:rPr>
        <w:t>30</w:t>
      </w:r>
      <w:r w:rsidRPr="00234BCC">
        <w:rPr>
          <w:rFonts w:cs="Arial"/>
          <w:color w:val="000000"/>
        </w:rPr>
        <w:t xml:space="preserve"> – Customer Account Data Engine (CADE) Individual Master File; IRS 24.046 - CADE Business Master File (BMF);IRS 34.0</w:t>
      </w:r>
      <w:r w:rsidRPr="00234BCC">
        <w:rPr>
          <w:rFonts w:cs="Arial"/>
          <w:color w:val="1F497D"/>
        </w:rPr>
        <w:t>3</w:t>
      </w:r>
      <w:r w:rsidRPr="00234BCC">
        <w:rPr>
          <w:rFonts w:cs="Arial"/>
          <w:color w:val="000000"/>
        </w:rPr>
        <w:t xml:space="preserve">7 - IRS Audit Trail and Security Records System. </w:t>
      </w:r>
      <w:r w:rsidRPr="00234BCC">
        <w:rPr>
          <w:rFonts w:cs="Arial"/>
        </w:rPr>
        <w:t xml:space="preserve">The Internal Revenue Service PIA’s can be found at </w:t>
      </w:r>
      <w:hyperlink w:history="1" r:id="rId13">
        <w:r w:rsidRPr="00234BCC">
          <w:rPr>
            <w:rStyle w:val="Hyperlink"/>
            <w:rFonts w:cs="Arial"/>
          </w:rPr>
          <w:t>http://www.irs.go</w:t>
        </w:r>
        <w:r w:rsidRPr="00234BCC">
          <w:rPr>
            <w:rStyle w:val="Hyperlink"/>
            <w:rFonts w:cs="Arial"/>
          </w:rPr>
          <w:t>v</w:t>
        </w:r>
        <w:r w:rsidRPr="00234BCC">
          <w:rPr>
            <w:rStyle w:val="Hyperlink"/>
            <w:rFonts w:cs="Arial"/>
          </w:rPr>
          <w:t>/uac/Privacy-Impact-Assessments-PIA</w:t>
        </w:r>
      </w:hyperlink>
      <w:r w:rsidRPr="00234BCC">
        <w:rPr>
          <w:rFonts w:cs="Arial"/>
        </w:rPr>
        <w:t>.</w:t>
      </w:r>
    </w:p>
    <w:p w:rsidRPr="00234BCC" w:rsidR="00B91616" w:rsidP="00B91616" w:rsidRDefault="00B91616" w14:paraId="5D8649DC" w14:textId="77777777">
      <w:pPr>
        <w:ind w:left="720"/>
        <w:rPr>
          <w:rStyle w:val="Hyperlink"/>
          <w:rFonts w:cs="Arial"/>
        </w:rPr>
      </w:pPr>
    </w:p>
    <w:p w:rsidRPr="00234BCC" w:rsidR="00B91616" w:rsidP="00B91616" w:rsidRDefault="00B91616" w14:paraId="03CC6D78" w14:textId="77777777">
      <w:pPr>
        <w:ind w:left="720"/>
        <w:rPr>
          <w:rStyle w:val="Hyperlink"/>
          <w:rFonts w:cs="Arial"/>
        </w:rPr>
      </w:pPr>
      <w:r w:rsidRPr="00234BCC">
        <w:rPr>
          <w:rFonts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354FC" w:rsidRDefault="00A354FC" w14:paraId="54904153" w14:textId="77777777">
      <w:pPr>
        <w:widowControl/>
        <w:rPr>
          <w:rFonts w:cs="Arial"/>
        </w:rPr>
      </w:pPr>
    </w:p>
    <w:p w:rsidR="00A354FC" w:rsidRDefault="00A354FC" w14:paraId="3D26F7DA" w14:textId="77777777">
      <w:pPr>
        <w:keepNext/>
        <w:keepLines/>
        <w:widowControl/>
        <w:tabs>
          <w:tab w:val="left" w:pos="-1440"/>
        </w:tabs>
        <w:ind w:left="720" w:hanging="720"/>
        <w:rPr>
          <w:rFonts w:cs="Arial"/>
          <w:b/>
          <w:u w:val="single"/>
        </w:rPr>
      </w:pPr>
      <w:r>
        <w:rPr>
          <w:rFonts w:cs="Arial"/>
          <w:b/>
        </w:rPr>
        <w:t>12.</w:t>
      </w:r>
      <w:r>
        <w:rPr>
          <w:rFonts w:cs="Arial"/>
          <w:b/>
        </w:rPr>
        <w:tab/>
      </w:r>
      <w:r>
        <w:rPr>
          <w:rFonts w:cs="Arial"/>
          <w:b/>
          <w:u w:val="single"/>
        </w:rPr>
        <w:t>ESTIMATED BURDEN OF INFORMATION COLLECTION</w:t>
      </w:r>
    </w:p>
    <w:p w:rsidR="00A354FC" w:rsidRDefault="00A354FC" w14:paraId="1AFF32D9" w14:textId="77777777">
      <w:pPr>
        <w:keepNext/>
        <w:keepLines/>
        <w:widowControl/>
        <w:rPr>
          <w:rFonts w:cs="Arial"/>
          <w:u w:val="single"/>
        </w:rPr>
      </w:pPr>
    </w:p>
    <w:p w:rsidR="00A354FC" w:rsidRDefault="00A354FC" w14:paraId="4B4E81B4" w14:textId="77777777">
      <w:pPr>
        <w:widowControl/>
        <w:ind w:left="720"/>
        <w:rPr>
          <w:rFonts w:cs="Arial"/>
        </w:rPr>
      </w:pPr>
      <w:r>
        <w:rPr>
          <w:rFonts w:cs="Arial"/>
        </w:rPr>
        <w:t>With respect to the collection of information associated with the one-time submission of the notification, as reported on Form 8976, we estimate approximately 2,500 annual respondents with an expected annual burden per respondent of 45 minutes, equaling 1,875 total hours.</w:t>
      </w:r>
    </w:p>
    <w:p w:rsidR="00B62614" w:rsidRDefault="00B62614" w14:paraId="1DD2AC30" w14:textId="77777777">
      <w:pPr>
        <w:widowControl/>
        <w:ind w:left="720"/>
        <w:rPr>
          <w:rFonts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62614" w:rsidTr="00084DD7" w14:paraId="3A27E873" w14:textId="77777777">
        <w:tc>
          <w:tcPr>
            <w:tcW w:w="1258" w:type="dxa"/>
            <w:shd w:val="clear" w:color="auto" w:fill="auto"/>
            <w:vAlign w:val="bottom"/>
          </w:tcPr>
          <w:p w:rsidRPr="00C94E69" w:rsidR="00B62614" w:rsidP="00084DD7" w:rsidRDefault="00B62614" w14:paraId="36246017" w14:textId="77777777">
            <w:pPr>
              <w:keepNext/>
              <w:keepLines/>
              <w:numPr>
                <w:ilvl w:val="12"/>
                <w:numId w:val="0"/>
              </w:numPr>
              <w:jc w:val="center"/>
              <w:rPr>
                <w:rFonts w:ascii="Arial Narrow" w:hAnsi="Arial Narrow"/>
                <w:b/>
                <w:sz w:val="18"/>
                <w:szCs w:val="18"/>
              </w:rPr>
            </w:pPr>
            <w:bookmarkStart w:name="_Hlk495931810" w:id="1"/>
            <w:r w:rsidRPr="00C94E69">
              <w:rPr>
                <w:rFonts w:ascii="Arial Narrow" w:hAnsi="Arial Narrow"/>
                <w:b/>
                <w:sz w:val="18"/>
                <w:szCs w:val="18"/>
              </w:rPr>
              <w:t>Authority</w:t>
            </w:r>
          </w:p>
        </w:tc>
        <w:tc>
          <w:tcPr>
            <w:tcW w:w="1916" w:type="dxa"/>
            <w:vAlign w:val="bottom"/>
          </w:tcPr>
          <w:p w:rsidRPr="00C94E69" w:rsidR="00B62614" w:rsidP="00084DD7" w:rsidRDefault="00B62614" w14:paraId="2C87241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62614" w:rsidP="00084DD7" w:rsidRDefault="00B62614" w14:paraId="5780D9C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62614" w:rsidP="00084DD7" w:rsidRDefault="00B62614" w14:paraId="05307D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62614" w:rsidP="00084DD7" w:rsidRDefault="00B62614" w14:paraId="305C52A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62614" w:rsidP="00084DD7" w:rsidRDefault="00B62614" w14:paraId="60DCA5A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62614" w:rsidP="00084DD7" w:rsidRDefault="00B62614" w14:paraId="0BCC5D6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62614" w:rsidTr="00084DD7" w14:paraId="0D1DEC9E" w14:textId="77777777">
        <w:tc>
          <w:tcPr>
            <w:tcW w:w="1258" w:type="dxa"/>
            <w:shd w:val="clear" w:color="auto" w:fill="auto"/>
            <w:vAlign w:val="bottom"/>
          </w:tcPr>
          <w:p w:rsidRPr="00C94E69" w:rsidR="00B62614" w:rsidP="00084DD7" w:rsidRDefault="00B62614" w14:paraId="280D47D0" w14:textId="77777777">
            <w:pPr>
              <w:keepNext/>
              <w:keepLines/>
              <w:numPr>
                <w:ilvl w:val="12"/>
                <w:numId w:val="0"/>
              </w:numPr>
              <w:jc w:val="center"/>
              <w:rPr>
                <w:rFonts w:ascii="Arial Narrow" w:hAnsi="Arial Narrow"/>
                <w:sz w:val="18"/>
                <w:szCs w:val="18"/>
              </w:rPr>
            </w:pPr>
            <w:r>
              <w:rPr>
                <w:rFonts w:ascii="Arial Narrow" w:hAnsi="Arial Narrow"/>
                <w:sz w:val="18"/>
                <w:szCs w:val="18"/>
              </w:rPr>
              <w:t>IRC § 506</w:t>
            </w:r>
          </w:p>
        </w:tc>
        <w:tc>
          <w:tcPr>
            <w:tcW w:w="1916" w:type="dxa"/>
            <w:vAlign w:val="bottom"/>
          </w:tcPr>
          <w:p w:rsidRPr="00C94E69" w:rsidR="00B62614" w:rsidP="00084DD7" w:rsidRDefault="00B62614" w14:paraId="2088CDB5" w14:textId="77777777">
            <w:pPr>
              <w:keepNext/>
              <w:keepLines/>
              <w:numPr>
                <w:ilvl w:val="12"/>
                <w:numId w:val="0"/>
              </w:numPr>
              <w:jc w:val="center"/>
              <w:rPr>
                <w:rFonts w:ascii="Arial Narrow" w:hAnsi="Arial Narrow"/>
                <w:sz w:val="18"/>
                <w:szCs w:val="18"/>
              </w:rPr>
            </w:pPr>
            <w:r>
              <w:rPr>
                <w:rFonts w:ascii="Arial Narrow" w:hAnsi="Arial Narrow"/>
                <w:sz w:val="18"/>
                <w:szCs w:val="18"/>
              </w:rPr>
              <w:t>Form 8976 (electronic only)</w:t>
            </w:r>
          </w:p>
        </w:tc>
        <w:tc>
          <w:tcPr>
            <w:tcW w:w="1170" w:type="dxa"/>
            <w:vAlign w:val="bottom"/>
          </w:tcPr>
          <w:p w:rsidRPr="00C94E69" w:rsidR="00B62614" w:rsidP="00084DD7" w:rsidRDefault="00B62614" w14:paraId="3B4855BF"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B62614" w:rsidP="00084DD7" w:rsidRDefault="00B62614" w14:paraId="610E54AE"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62614" w:rsidP="00084DD7" w:rsidRDefault="00B62614" w14:paraId="7DD37E4F"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B62614" w:rsidP="00084DD7" w:rsidRDefault="00B62614" w14:paraId="35A19A81" w14:textId="77777777">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shd w:val="clear" w:color="auto" w:fill="auto"/>
            <w:vAlign w:val="bottom"/>
          </w:tcPr>
          <w:p w:rsidRPr="00C94E69" w:rsidR="00B62614" w:rsidP="00084DD7" w:rsidRDefault="00B62614" w14:paraId="13B11FCE" w14:textId="77777777">
            <w:pPr>
              <w:keepNext/>
              <w:keepLines/>
              <w:numPr>
                <w:ilvl w:val="12"/>
                <w:numId w:val="0"/>
              </w:numPr>
              <w:jc w:val="center"/>
              <w:rPr>
                <w:rFonts w:ascii="Arial Narrow" w:hAnsi="Arial Narrow"/>
                <w:sz w:val="18"/>
                <w:szCs w:val="18"/>
              </w:rPr>
            </w:pPr>
            <w:r>
              <w:rPr>
                <w:rFonts w:ascii="Arial Narrow" w:hAnsi="Arial Narrow"/>
                <w:sz w:val="18"/>
                <w:szCs w:val="18"/>
              </w:rPr>
              <w:t>1875</w:t>
            </w:r>
          </w:p>
        </w:tc>
      </w:tr>
      <w:tr w:rsidRPr="00C94E69" w:rsidR="00B62614" w:rsidTr="00084DD7" w14:paraId="520D3744" w14:textId="77777777">
        <w:tc>
          <w:tcPr>
            <w:tcW w:w="1258" w:type="dxa"/>
            <w:shd w:val="clear" w:color="auto" w:fill="auto"/>
            <w:vAlign w:val="bottom"/>
          </w:tcPr>
          <w:p w:rsidRPr="00C94E69" w:rsidR="00B62614" w:rsidP="00084DD7" w:rsidRDefault="00B62614" w14:paraId="500B2783"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62614" w:rsidP="00084DD7" w:rsidRDefault="00B62614" w14:paraId="56F7BCAE" w14:textId="77777777">
            <w:pPr>
              <w:keepNext/>
              <w:keepLines/>
              <w:numPr>
                <w:ilvl w:val="12"/>
                <w:numId w:val="0"/>
              </w:numPr>
              <w:jc w:val="center"/>
              <w:rPr>
                <w:rFonts w:ascii="Arial Narrow" w:hAnsi="Arial Narrow"/>
                <w:sz w:val="18"/>
                <w:szCs w:val="18"/>
              </w:rPr>
            </w:pPr>
          </w:p>
        </w:tc>
        <w:tc>
          <w:tcPr>
            <w:tcW w:w="1170" w:type="dxa"/>
            <w:vAlign w:val="bottom"/>
          </w:tcPr>
          <w:p w:rsidRPr="00C94E69" w:rsidR="00B62614" w:rsidP="00084DD7" w:rsidRDefault="00B62614" w14:paraId="790E5538" w14:textId="77777777">
            <w:pPr>
              <w:keepNext/>
              <w:keepLines/>
              <w:numPr>
                <w:ilvl w:val="12"/>
                <w:numId w:val="0"/>
              </w:numPr>
              <w:jc w:val="center"/>
              <w:rPr>
                <w:rFonts w:ascii="Arial Narrow" w:hAnsi="Arial Narrow"/>
                <w:sz w:val="18"/>
                <w:szCs w:val="18"/>
              </w:rPr>
            </w:pPr>
          </w:p>
        </w:tc>
        <w:tc>
          <w:tcPr>
            <w:tcW w:w="1170" w:type="dxa"/>
            <w:vAlign w:val="bottom"/>
          </w:tcPr>
          <w:p w:rsidRPr="00C94E69" w:rsidR="00B62614" w:rsidP="00084DD7" w:rsidRDefault="00B62614" w14:paraId="35E848C5"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62614" w:rsidP="00084DD7" w:rsidRDefault="00B62614" w14:paraId="2B3C781F"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B62614" w:rsidP="00084DD7" w:rsidRDefault="00B62614" w14:paraId="49D90CD6"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62614" w:rsidP="00084DD7" w:rsidRDefault="00B62614" w14:paraId="26CE43D6" w14:textId="77777777">
            <w:pPr>
              <w:keepNext/>
              <w:keepLines/>
              <w:numPr>
                <w:ilvl w:val="12"/>
                <w:numId w:val="0"/>
              </w:numPr>
              <w:jc w:val="center"/>
              <w:rPr>
                <w:rFonts w:ascii="Arial Narrow" w:hAnsi="Arial Narrow"/>
                <w:sz w:val="18"/>
                <w:szCs w:val="18"/>
              </w:rPr>
            </w:pPr>
            <w:r>
              <w:rPr>
                <w:rFonts w:ascii="Arial Narrow" w:hAnsi="Arial Narrow"/>
                <w:sz w:val="18"/>
                <w:szCs w:val="18"/>
              </w:rPr>
              <w:t>1875</w:t>
            </w:r>
          </w:p>
        </w:tc>
      </w:tr>
    </w:tbl>
    <w:p w:rsidR="00A354FC" w:rsidP="001F44AC" w:rsidRDefault="00A354FC" w14:paraId="17085F60" w14:textId="77777777">
      <w:pPr>
        <w:widowControl/>
        <w:rPr>
          <w:rFonts w:cs="Arial"/>
        </w:rPr>
      </w:pPr>
      <w:bookmarkStart w:name="_GoBack" w:id="2"/>
      <w:bookmarkEnd w:id="1"/>
      <w:bookmarkEnd w:id="2"/>
    </w:p>
    <w:p w:rsidR="00A354FC" w:rsidRDefault="00A354FC" w14:paraId="373FA1E5" w14:textId="77777777">
      <w:pPr>
        <w:widowControl/>
        <w:rPr>
          <w:rFonts w:cs="Arial"/>
        </w:rPr>
      </w:pPr>
    </w:p>
    <w:p w:rsidR="00A354FC" w:rsidRDefault="00A354FC" w14:paraId="1F3294A0" w14:textId="77777777">
      <w:pPr>
        <w:widowControl/>
        <w:tabs>
          <w:tab w:val="left" w:pos="-1440"/>
        </w:tabs>
        <w:ind w:left="720" w:hanging="720"/>
        <w:rPr>
          <w:rFonts w:cs="Arial"/>
          <w:b/>
          <w:u w:val="single"/>
        </w:rPr>
      </w:pPr>
      <w:r>
        <w:rPr>
          <w:rFonts w:cs="Arial"/>
          <w:b/>
        </w:rPr>
        <w:t>13.</w:t>
      </w:r>
      <w:r>
        <w:rPr>
          <w:rFonts w:cs="Arial"/>
          <w:b/>
        </w:rPr>
        <w:tab/>
      </w:r>
      <w:r>
        <w:rPr>
          <w:rFonts w:cs="Arial"/>
          <w:b/>
          <w:u w:val="single"/>
        </w:rPr>
        <w:t>ESTIMATED TOTAL ANNUAL COST BURDEN TO RESPONDENTS</w:t>
      </w:r>
    </w:p>
    <w:p w:rsidR="00A354FC" w:rsidRDefault="00A354FC" w14:paraId="727C8E12" w14:textId="77777777">
      <w:pPr>
        <w:widowControl/>
        <w:rPr>
          <w:rFonts w:cs="Arial"/>
          <w:u w:val="single"/>
        </w:rPr>
      </w:pPr>
    </w:p>
    <w:p w:rsidR="00A354FC" w:rsidRDefault="00A354FC" w14:paraId="2F63417A" w14:textId="77777777">
      <w:pPr>
        <w:widowControl/>
        <w:ind w:left="720"/>
        <w:rPr>
          <w:rFonts w:cs="Arial"/>
        </w:rPr>
      </w:pPr>
      <w:r>
        <w:rPr>
          <w:rFonts w:cs="Arial"/>
        </w:rPr>
        <w:t>The Notification must be submitted with a user fee, as provided by statute</w:t>
      </w:r>
      <w:r w:rsidR="001F69A1">
        <w:rPr>
          <w:rFonts w:cs="Arial"/>
        </w:rPr>
        <w:t xml:space="preserve"> (</w:t>
      </w:r>
      <w:r>
        <w:rPr>
          <w:rFonts w:cs="Arial"/>
        </w:rPr>
        <w:t>section 506(e)</w:t>
      </w:r>
      <w:r w:rsidR="001F69A1">
        <w:rPr>
          <w:rFonts w:cs="Arial"/>
        </w:rPr>
        <w:t>)</w:t>
      </w:r>
      <w:r>
        <w:rPr>
          <w:rFonts w:cs="Arial"/>
        </w:rPr>
        <w:t xml:space="preserve">. </w:t>
      </w:r>
      <w:r w:rsidR="001F69A1">
        <w:rPr>
          <w:rFonts w:cs="Arial"/>
        </w:rPr>
        <w:t>The user fee is currently $50.</w:t>
      </w:r>
      <w:r>
        <w:rPr>
          <w:rFonts w:cs="Arial"/>
        </w:rPr>
        <w:t xml:space="preserve">    </w:t>
      </w:r>
    </w:p>
    <w:p w:rsidR="00A354FC" w:rsidRDefault="00A354FC" w14:paraId="0DD39F65" w14:textId="77777777">
      <w:pPr>
        <w:widowControl/>
        <w:rPr>
          <w:rFonts w:cs="Arial"/>
        </w:rPr>
      </w:pPr>
      <w:r>
        <w:rPr>
          <w:rFonts w:cs="Arial"/>
        </w:rPr>
        <w:t xml:space="preserve">  </w:t>
      </w:r>
    </w:p>
    <w:p w:rsidR="00A354FC" w:rsidRDefault="00A354FC" w14:paraId="0A969067" w14:textId="77777777">
      <w:pPr>
        <w:widowControl/>
        <w:tabs>
          <w:tab w:val="left" w:pos="-1440"/>
        </w:tabs>
        <w:ind w:left="720" w:hanging="720"/>
        <w:rPr>
          <w:rFonts w:cs="Arial"/>
          <w:b/>
          <w:u w:val="single"/>
        </w:rPr>
      </w:pPr>
      <w:r>
        <w:rPr>
          <w:rFonts w:cs="Arial"/>
          <w:b/>
        </w:rPr>
        <w:t>14.</w:t>
      </w:r>
      <w:r>
        <w:rPr>
          <w:rFonts w:cs="Arial"/>
          <w:b/>
        </w:rPr>
        <w:tab/>
      </w:r>
      <w:r>
        <w:rPr>
          <w:rFonts w:cs="Arial"/>
          <w:b/>
          <w:u w:val="single"/>
        </w:rPr>
        <w:t>ESTIMATED ANNUALIZED COST TO THE FEDERAL GOVERNMENT</w:t>
      </w:r>
    </w:p>
    <w:p w:rsidR="00A354FC" w:rsidRDefault="00A354FC" w14:paraId="4D2E876C" w14:textId="77777777">
      <w:pPr>
        <w:widowControl/>
        <w:rPr>
          <w:rFonts w:cs="Arial"/>
          <w:u w:val="single"/>
        </w:rPr>
      </w:pPr>
    </w:p>
    <w:p w:rsidR="00A354FC" w:rsidRDefault="009F18C3" w14:paraId="0D0E296E" w14:textId="77777777">
      <w:pPr>
        <w:ind w:left="720"/>
        <w:rPr>
          <w:rFonts w:cs="Arial"/>
        </w:rPr>
      </w:pPr>
      <w:r>
        <w:rPr>
          <w:rFonts w:cs="Arial"/>
        </w:rPr>
        <w:t>To ensure more accuracy and consistency across its information collections, IRS is currently in the process of revising the methodology it uses to estimate burden and costs. Once this methodology is complete, IRS will update this information collection</w:t>
      </w:r>
      <w:r w:rsidR="00A354FC">
        <w:rPr>
          <w:rFonts w:cs="Arial"/>
        </w:rPr>
        <w:t>.</w:t>
      </w:r>
    </w:p>
    <w:p w:rsidR="00A354FC" w:rsidRDefault="00A354FC" w14:paraId="735829B7" w14:textId="77777777">
      <w:pPr>
        <w:widowControl/>
        <w:rPr>
          <w:rFonts w:cs="Arial"/>
        </w:rPr>
      </w:pPr>
    </w:p>
    <w:p w:rsidR="00A354FC" w:rsidRDefault="00A354FC" w14:paraId="184539A2" w14:textId="77777777">
      <w:pPr>
        <w:widowControl/>
        <w:tabs>
          <w:tab w:val="left" w:pos="-1440"/>
        </w:tabs>
        <w:ind w:left="720" w:hanging="720"/>
        <w:rPr>
          <w:rFonts w:cs="Arial"/>
          <w:b/>
          <w:u w:val="single"/>
        </w:rPr>
      </w:pPr>
      <w:r>
        <w:rPr>
          <w:rFonts w:cs="Arial"/>
          <w:b/>
        </w:rPr>
        <w:t>15.</w:t>
      </w:r>
      <w:r>
        <w:rPr>
          <w:rFonts w:cs="Arial"/>
          <w:b/>
        </w:rPr>
        <w:tab/>
      </w:r>
      <w:r>
        <w:rPr>
          <w:rFonts w:cs="Arial"/>
          <w:b/>
          <w:u w:val="single"/>
        </w:rPr>
        <w:t>REASONS FOR CHANGE IN BURDEN</w:t>
      </w:r>
    </w:p>
    <w:p w:rsidR="00A354FC" w:rsidRDefault="00A354FC" w14:paraId="32C0C1E9" w14:textId="77777777">
      <w:pPr>
        <w:widowControl/>
        <w:tabs>
          <w:tab w:val="left" w:pos="-1440"/>
        </w:tabs>
        <w:ind w:left="720" w:hanging="720"/>
        <w:rPr>
          <w:rFonts w:cs="Arial"/>
          <w:b/>
        </w:rPr>
      </w:pPr>
      <w:r>
        <w:rPr>
          <w:rFonts w:cs="Arial"/>
          <w:b/>
        </w:rPr>
        <w:tab/>
      </w:r>
    </w:p>
    <w:p w:rsidR="00C55DED" w:rsidP="00C55DED" w:rsidRDefault="00A354FC" w14:paraId="27DBDB1E" w14:textId="77777777">
      <w:pPr>
        <w:widowControl/>
        <w:tabs>
          <w:tab w:val="left" w:pos="-1440"/>
        </w:tabs>
        <w:ind w:left="720" w:hanging="720"/>
        <w:rPr>
          <w:rFonts w:cs="Arial"/>
        </w:rPr>
      </w:pPr>
      <w:r>
        <w:rPr>
          <w:rFonts w:cs="Arial"/>
        </w:rPr>
        <w:tab/>
      </w:r>
      <w:r w:rsidR="006C57E3">
        <w:rPr>
          <w:rFonts w:cs="Arial"/>
        </w:rPr>
        <w:t>There is no change in the paperwork burden previously approved by OMB</w:t>
      </w:r>
      <w:r w:rsidR="00C55DED">
        <w:rPr>
          <w:rFonts w:cs="Arial"/>
        </w:rPr>
        <w:t xml:space="preserve">.  </w:t>
      </w:r>
    </w:p>
    <w:p w:rsidR="001F69A1" w:rsidP="00C55DED" w:rsidRDefault="001F69A1" w14:paraId="3871CEB6" w14:textId="77777777">
      <w:pPr>
        <w:widowControl/>
        <w:tabs>
          <w:tab w:val="left" w:pos="-1440"/>
        </w:tabs>
        <w:ind w:left="720" w:hanging="720"/>
        <w:rPr>
          <w:rFonts w:cs="Arial"/>
        </w:rPr>
      </w:pPr>
    </w:p>
    <w:p w:rsidR="00A354FC" w:rsidRDefault="00A354FC" w14:paraId="0113FA88" w14:textId="77777777">
      <w:pPr>
        <w:widowControl/>
        <w:tabs>
          <w:tab w:val="left" w:pos="-1440"/>
        </w:tabs>
        <w:ind w:left="720" w:hanging="720"/>
        <w:rPr>
          <w:rFonts w:cs="Arial"/>
          <w:b/>
          <w:u w:val="single"/>
        </w:rPr>
      </w:pPr>
      <w:r>
        <w:rPr>
          <w:rFonts w:cs="Arial"/>
          <w:b/>
        </w:rPr>
        <w:lastRenderedPageBreak/>
        <w:t>16.</w:t>
      </w:r>
      <w:r>
        <w:rPr>
          <w:rFonts w:cs="Arial"/>
          <w:b/>
        </w:rPr>
        <w:tab/>
      </w:r>
      <w:r>
        <w:rPr>
          <w:rFonts w:cs="Arial"/>
          <w:b/>
          <w:u w:val="single"/>
        </w:rPr>
        <w:t xml:space="preserve">PLANS FOR TABULATION, STATISTICAL ANALYSIS AND PUBLICATION </w:t>
      </w:r>
    </w:p>
    <w:p w:rsidR="00A354FC" w:rsidRDefault="00A354FC" w14:paraId="767EE1C9" w14:textId="77777777">
      <w:pPr>
        <w:widowControl/>
        <w:rPr>
          <w:rFonts w:cs="Arial"/>
          <w:u w:val="single"/>
        </w:rPr>
      </w:pPr>
    </w:p>
    <w:p w:rsidR="00A354FC" w:rsidRDefault="00A354FC" w14:paraId="7CA8C691" w14:textId="77777777">
      <w:pPr>
        <w:widowControl/>
        <w:ind w:left="720"/>
        <w:rPr>
          <w:rFonts w:cs="Arial"/>
        </w:rPr>
      </w:pPr>
      <w:r>
        <w:rPr>
          <w:rFonts w:cs="Arial"/>
        </w:rPr>
        <w:t>There are no plans for tabulation, statistical analysis and publication.</w:t>
      </w:r>
    </w:p>
    <w:p w:rsidR="00A354FC" w:rsidRDefault="00A354FC" w14:paraId="71D6994A" w14:textId="77777777">
      <w:pPr>
        <w:widowControl/>
        <w:rPr>
          <w:rFonts w:cs="Arial"/>
        </w:rPr>
      </w:pPr>
    </w:p>
    <w:p w:rsidR="00A354FC" w:rsidRDefault="00A354FC" w14:paraId="50C3AC62" w14:textId="77777777">
      <w:pPr>
        <w:widowControl/>
        <w:tabs>
          <w:tab w:val="left" w:pos="-1440"/>
        </w:tabs>
        <w:ind w:left="720" w:hanging="720"/>
        <w:rPr>
          <w:rFonts w:cs="Arial"/>
          <w:b/>
          <w:u w:val="single"/>
        </w:rPr>
      </w:pPr>
      <w:r>
        <w:rPr>
          <w:rFonts w:cs="Arial"/>
          <w:b/>
        </w:rPr>
        <w:t>17.</w:t>
      </w:r>
      <w:r>
        <w:rPr>
          <w:rFonts w:cs="Arial"/>
          <w:b/>
        </w:rPr>
        <w:tab/>
      </w:r>
      <w:r>
        <w:rPr>
          <w:rFonts w:cs="Arial"/>
          <w:b/>
          <w:u w:val="single"/>
        </w:rPr>
        <w:t>REASONS WHY DISPLAYING THE OMB EXPIRATION DATE IS INAPPROPRIATE</w:t>
      </w:r>
    </w:p>
    <w:p w:rsidR="00A354FC" w:rsidRDefault="00A354FC" w14:paraId="7DB91938" w14:textId="77777777">
      <w:pPr>
        <w:widowControl/>
        <w:rPr>
          <w:rFonts w:cs="Arial"/>
          <w:b/>
          <w:u w:val="single"/>
        </w:rPr>
      </w:pPr>
    </w:p>
    <w:p w:rsidR="00A354FC" w:rsidRDefault="00A354FC" w14:paraId="41096F95" w14:textId="77777777">
      <w:pPr>
        <w:widowControl/>
        <w:ind w:left="720"/>
        <w:rPr>
          <w:rFonts w:cs="Arial"/>
        </w:rPr>
      </w:pPr>
      <w:r>
        <w:rPr>
          <w:rFonts w:cs="Arial"/>
        </w:rPr>
        <w:t>We believe that displaying the OMB expiration date is inappropriate because it could cause confusion by leading taxpayers to believe that the regulation</w:t>
      </w:r>
      <w:r w:rsidR="00B62614">
        <w:rPr>
          <w:rFonts w:cs="Arial"/>
        </w:rPr>
        <w:t xml:space="preserve"> and/or form</w:t>
      </w:r>
      <w:r>
        <w:rPr>
          <w:rFonts w:cs="Arial"/>
        </w:rPr>
        <w:t xml:space="preserve"> sunsets as of the expiration date.  Taxpayers are not likely to be aware that the Service intends to request renewal of OMB approval and obtain a new expiration date before the old one expires.</w:t>
      </w:r>
    </w:p>
    <w:p w:rsidR="00A354FC" w:rsidRDefault="00A354FC" w14:paraId="220A72E2" w14:textId="77777777">
      <w:pPr>
        <w:widowControl/>
        <w:rPr>
          <w:rFonts w:cs="Arial"/>
        </w:rPr>
      </w:pPr>
    </w:p>
    <w:p w:rsidR="00A354FC" w:rsidRDefault="00A354FC" w14:paraId="05E61415" w14:textId="77777777">
      <w:pPr>
        <w:widowControl/>
        <w:tabs>
          <w:tab w:val="left" w:pos="-1440"/>
        </w:tabs>
        <w:ind w:left="720" w:hanging="720"/>
        <w:rPr>
          <w:rFonts w:cs="Arial"/>
          <w:b/>
          <w:u w:val="single"/>
        </w:rPr>
      </w:pPr>
      <w:r>
        <w:rPr>
          <w:rFonts w:cs="Arial"/>
          <w:b/>
        </w:rPr>
        <w:t>18.</w:t>
      </w:r>
      <w:r>
        <w:rPr>
          <w:rFonts w:cs="Arial"/>
          <w:b/>
        </w:rPr>
        <w:tab/>
      </w:r>
      <w:r>
        <w:rPr>
          <w:rFonts w:cs="Arial"/>
          <w:b/>
          <w:u w:val="single"/>
        </w:rPr>
        <w:t>EXCEPTIONS TO THE CERTIFICATION STATEMENT</w:t>
      </w:r>
    </w:p>
    <w:p w:rsidR="00A354FC" w:rsidRDefault="00A354FC" w14:paraId="669D2425" w14:textId="77777777">
      <w:pPr>
        <w:widowControl/>
        <w:rPr>
          <w:rFonts w:cs="Arial"/>
          <w:u w:val="single"/>
        </w:rPr>
      </w:pPr>
    </w:p>
    <w:p w:rsidR="00A354FC" w:rsidRDefault="00A354FC" w14:paraId="35809A53" w14:textId="77777777">
      <w:pPr>
        <w:widowControl/>
        <w:ind w:left="720"/>
        <w:rPr>
          <w:rFonts w:cs="Arial"/>
        </w:rPr>
      </w:pPr>
      <w:r>
        <w:rPr>
          <w:rFonts w:cs="Arial"/>
        </w:rPr>
        <w:t>There are no exceptions to the certification statement.</w:t>
      </w:r>
    </w:p>
    <w:p w:rsidR="00A354FC" w:rsidRDefault="00A354FC" w14:paraId="21AD37CC" w14:textId="77777777">
      <w:pPr>
        <w:widowControl/>
        <w:rPr>
          <w:rFonts w:cs="Arial"/>
        </w:rPr>
      </w:pPr>
    </w:p>
    <w:p w:rsidR="00A354FC" w:rsidRDefault="00A354FC" w14:paraId="0D425831" w14:textId="77777777">
      <w:pPr>
        <w:widowControl/>
        <w:ind w:left="720"/>
        <w:rPr>
          <w:rFonts w:cs="Arial"/>
        </w:rPr>
      </w:pPr>
      <w:r>
        <w:rPr>
          <w:rFonts w:cs="Arial"/>
          <w:b/>
          <w:u w:val="single"/>
        </w:rPr>
        <w:t>Note</w:t>
      </w:r>
      <w:r>
        <w:rPr>
          <w:rFonts w:cs="Arial"/>
          <w:b/>
        </w:rPr>
        <w:t>:</w:t>
      </w:r>
      <w:r>
        <w:rPr>
          <w:rFonts w:cs="Arial"/>
        </w:rPr>
        <w:tab/>
        <w:t>The following paragraph applies to all of the collections of information in this submission:</w:t>
      </w:r>
    </w:p>
    <w:p w:rsidR="00A354FC" w:rsidRDefault="00A354FC" w14:paraId="453E036D" w14:textId="77777777">
      <w:pPr>
        <w:widowControl/>
        <w:rPr>
          <w:rFonts w:cs="Arial"/>
        </w:rPr>
      </w:pPr>
    </w:p>
    <w:p w:rsidR="00A354FC" w:rsidRDefault="00A354FC" w14:paraId="77164C34" w14:textId="77777777">
      <w:pPr>
        <w:widowControl/>
        <w:rPr>
          <w:rFonts w:cs="Arial"/>
        </w:rPr>
        <w:sectPr w:rsidR="00A354FC">
          <w:type w:val="continuous"/>
          <w:pgSz w:w="12240" w:h="15840"/>
          <w:pgMar w:top="1440" w:right="1440" w:bottom="1440" w:left="1440" w:header="1440" w:footer="1440" w:gutter="0"/>
          <w:cols w:space="720"/>
          <w:noEndnote/>
        </w:sectPr>
      </w:pPr>
    </w:p>
    <w:p w:rsidR="00A354FC" w:rsidRDefault="00A354FC" w14:paraId="2D765E67" w14:textId="77777777">
      <w:pPr>
        <w:widowControl/>
        <w:ind w:left="720"/>
        <w:rPr>
          <w:rFonts w:cs="Arial"/>
        </w:rPr>
      </w:pPr>
      <w:r>
        <w:rPr>
          <w:rFonts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B91616" w:rsidRDefault="00B91616" w14:paraId="31106478" w14:textId="77777777">
      <w:pPr>
        <w:widowControl/>
        <w:ind w:left="720"/>
        <w:rPr>
          <w:rFonts w:cs="Arial"/>
        </w:rPr>
      </w:pPr>
    </w:p>
    <w:sectPr w:rsidR="00B916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8A64" w14:textId="77777777" w:rsidR="00241E65" w:rsidRDefault="00241E65">
      <w:r>
        <w:separator/>
      </w:r>
    </w:p>
  </w:endnote>
  <w:endnote w:type="continuationSeparator" w:id="0">
    <w:p w14:paraId="1348520F" w14:textId="77777777" w:rsidR="00241E65" w:rsidRDefault="0024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571D" w14:textId="77777777" w:rsidR="00A354FC" w:rsidRDefault="00A35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59A2" w14:textId="77777777" w:rsidR="00A354FC" w:rsidRDefault="00A35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D679" w14:textId="77777777" w:rsidR="00A354FC" w:rsidRDefault="00A35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B0AAC" w14:textId="77777777" w:rsidR="00241E65" w:rsidRDefault="00241E65">
      <w:r>
        <w:separator/>
      </w:r>
    </w:p>
  </w:footnote>
  <w:footnote w:type="continuationSeparator" w:id="0">
    <w:p w14:paraId="09B5F33C" w14:textId="77777777" w:rsidR="00241E65" w:rsidRDefault="0024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2BB0" w14:textId="77777777" w:rsidR="00A354FC" w:rsidRDefault="00A354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4C837" w14:textId="77777777" w:rsidR="00A354FC" w:rsidRDefault="00A35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425C" w14:textId="77777777" w:rsidR="00A354FC" w:rsidRDefault="00A354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05C7928D" w14:textId="77777777" w:rsidR="00A354FC" w:rsidRDefault="00A35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7DB4" w14:textId="77777777" w:rsidR="00A354FC" w:rsidRDefault="00A354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AC71" w14:textId="77777777" w:rsidR="00A354FC" w:rsidRDefault="00A354FC">
    <w:pPr>
      <w:framePr w:w="9361" w:wrap="notBeside" w:vAnchor="text" w:hAnchor="text" w:x="1" w:y="1"/>
      <w:jc w:val="center"/>
      <w:rPr>
        <w:rFonts w:cs="Arial"/>
      </w:rPr>
    </w:pPr>
    <w:r>
      <w:rPr>
        <w:rFonts w:cs="Arial"/>
      </w:rPr>
      <w:t>-</w:t>
    </w:r>
    <w:r>
      <w:rPr>
        <w:rFonts w:cs="Arial"/>
      </w:rPr>
      <w:fldChar w:fldCharType="begin"/>
    </w:r>
    <w:r>
      <w:rPr>
        <w:rFonts w:cs="Arial"/>
      </w:rPr>
      <w:instrText xml:space="preserve">PAGE </w:instrText>
    </w:r>
    <w:r>
      <w:rPr>
        <w:rFonts w:cs="Arial"/>
      </w:rPr>
      <w:fldChar w:fldCharType="separate"/>
    </w:r>
    <w:r w:rsidR="00C64224">
      <w:rPr>
        <w:rFonts w:cs="Arial"/>
        <w:noProof/>
      </w:rPr>
      <w:t>2</w:t>
    </w:r>
    <w:r>
      <w:rPr>
        <w:rFonts w:cs="Arial"/>
      </w:rPr>
      <w:fldChar w:fldCharType="end"/>
    </w:r>
    <w:r>
      <w:rPr>
        <w:rFonts w:cs="Arial"/>
      </w:rPr>
      <w:t>-</w:t>
    </w:r>
  </w:p>
  <w:p w14:paraId="56FE2AAA" w14:textId="77777777" w:rsidR="00A354FC" w:rsidRDefault="00A354FC"/>
  <w:p w14:paraId="6FB79DC3" w14:textId="77777777" w:rsidR="00A354FC" w:rsidRDefault="00A354F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16"/>
    <w:rsid w:val="00084DD7"/>
    <w:rsid w:val="00095A61"/>
    <w:rsid w:val="001F44AC"/>
    <w:rsid w:val="001F69A1"/>
    <w:rsid w:val="00241E65"/>
    <w:rsid w:val="00255936"/>
    <w:rsid w:val="00353E36"/>
    <w:rsid w:val="00364E08"/>
    <w:rsid w:val="00420B75"/>
    <w:rsid w:val="004641E7"/>
    <w:rsid w:val="004A58E5"/>
    <w:rsid w:val="0054474C"/>
    <w:rsid w:val="00561639"/>
    <w:rsid w:val="00583111"/>
    <w:rsid w:val="005A63B1"/>
    <w:rsid w:val="00627E5E"/>
    <w:rsid w:val="00696DF7"/>
    <w:rsid w:val="006A54D8"/>
    <w:rsid w:val="006C57E3"/>
    <w:rsid w:val="00763DE4"/>
    <w:rsid w:val="007C2785"/>
    <w:rsid w:val="00826D5B"/>
    <w:rsid w:val="008B4BD6"/>
    <w:rsid w:val="00905F5F"/>
    <w:rsid w:val="009C0D9C"/>
    <w:rsid w:val="009E3FCE"/>
    <w:rsid w:val="009F18C3"/>
    <w:rsid w:val="00A354FC"/>
    <w:rsid w:val="00B62614"/>
    <w:rsid w:val="00B87B94"/>
    <w:rsid w:val="00B91616"/>
    <w:rsid w:val="00C55DED"/>
    <w:rsid w:val="00C64224"/>
    <w:rsid w:val="00DB3D62"/>
    <w:rsid w:val="00E13D4A"/>
    <w:rsid w:val="00E51662"/>
    <w:rsid w:val="00EF154A"/>
    <w:rsid w:val="00EF3FC0"/>
    <w:rsid w:val="00F0037D"/>
    <w:rsid w:val="00F05863"/>
    <w:rsid w:val="00F30D64"/>
    <w:rsid w:val="00F5625E"/>
    <w:rsid w:val="00FD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CAF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tgc">
    <w:name w:val="_tgc"/>
    <w:rsid w:val="00B9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62314">
      <w:bodyDiv w:val="1"/>
      <w:marLeft w:val="0"/>
      <w:marRight w:val="0"/>
      <w:marTop w:val="0"/>
      <w:marBottom w:val="0"/>
      <w:divBdr>
        <w:top w:val="none" w:sz="0" w:space="0" w:color="auto"/>
        <w:left w:val="none" w:sz="0" w:space="0" w:color="auto"/>
        <w:bottom w:val="none" w:sz="0" w:space="0" w:color="auto"/>
        <w:right w:val="none" w:sz="0" w:space="0" w:color="auto"/>
      </w:divBdr>
    </w:div>
    <w:div w:id="908883745">
      <w:bodyDiv w:val="1"/>
      <w:marLeft w:val="0"/>
      <w:marRight w:val="0"/>
      <w:marTop w:val="0"/>
      <w:marBottom w:val="0"/>
      <w:divBdr>
        <w:top w:val="none" w:sz="0" w:space="0" w:color="auto"/>
        <w:left w:val="none" w:sz="0" w:space="0" w:color="auto"/>
        <w:bottom w:val="none" w:sz="0" w:space="0" w:color="auto"/>
        <w:right w:val="none" w:sz="0" w:space="0" w:color="auto"/>
      </w:divBdr>
    </w:div>
    <w:div w:id="18993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rs.gov/uac/Privacy-Impact-Assessments-PIA"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7043</CharactersWithSpaces>
  <SharedDoc>false</SharedDoc>
  <HyperlinkBase/>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2016-05-02T13:48:00Z</cp:lastPrinted>
  <dcterms:created xsi:type="dcterms:W3CDTF">2021-02-25T01:24:00Z</dcterms:created>
  <dcterms:modified xsi:type="dcterms:W3CDTF">2021-02-25T01:24:00Z</dcterms:modified>
</cp:coreProperties>
</file>