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278D9" w:rsidR="00321C69" w:rsidP="008865EF" w:rsidRDefault="00721EB2" w14:paraId="75B38EB4" w14:textId="77777777">
      <w:pPr>
        <w:tabs>
          <w:tab w:val="center" w:pos="4680"/>
        </w:tabs>
        <w:jc w:val="center"/>
        <w:rPr>
          <w:rFonts w:ascii="Arial" w:hAnsi="Arial" w:cs="Arial"/>
          <w:b/>
          <w:bCs/>
        </w:rPr>
      </w:pPr>
      <w:r w:rsidRPr="00E278D9">
        <w:rPr>
          <w:rFonts w:ascii="Arial" w:hAnsi="Arial" w:cs="Arial"/>
          <w:b/>
          <w:bCs/>
        </w:rPr>
        <w:t>SUPPORTING STATEMENT</w:t>
      </w:r>
    </w:p>
    <w:p w:rsidRPr="00E278D9" w:rsidR="00E826F2" w:rsidP="00321C69" w:rsidRDefault="00E826F2" w14:paraId="04767B71" w14:textId="77777777">
      <w:pPr>
        <w:jc w:val="center"/>
        <w:rPr>
          <w:rFonts w:ascii="Arial" w:hAnsi="Arial" w:cs="Arial"/>
          <w:b/>
          <w:bCs/>
        </w:rPr>
      </w:pPr>
      <w:r w:rsidRPr="00E278D9">
        <w:rPr>
          <w:rFonts w:ascii="Arial" w:hAnsi="Arial" w:cs="Arial"/>
          <w:b/>
          <w:bCs/>
        </w:rPr>
        <w:t>Internal Revenue Service</w:t>
      </w:r>
    </w:p>
    <w:p w:rsidR="000B68ED" w:rsidP="00321C69" w:rsidRDefault="000B68ED" w14:paraId="7D8B0035" w14:textId="77777777">
      <w:pPr>
        <w:jc w:val="center"/>
        <w:rPr>
          <w:rFonts w:ascii="Arial" w:hAnsi="Arial" w:cs="Arial"/>
          <w:bCs/>
        </w:rPr>
      </w:pPr>
      <w:bookmarkStart w:name="_Hlk51869611" w:id="0"/>
      <w:r w:rsidRPr="000B68ED">
        <w:rPr>
          <w:rFonts w:ascii="Arial" w:hAnsi="Arial" w:cs="Arial"/>
          <w:bCs/>
        </w:rPr>
        <w:t xml:space="preserve">Longevity Annuity Contracts </w:t>
      </w:r>
    </w:p>
    <w:bookmarkEnd w:id="0"/>
    <w:p w:rsidRPr="00E278D9" w:rsidR="00721EB2" w:rsidP="00321C69" w:rsidRDefault="00321C69" w14:paraId="195EFE60" w14:textId="7AEBBEE3">
      <w:pPr>
        <w:jc w:val="center"/>
        <w:rPr>
          <w:rFonts w:ascii="Arial" w:hAnsi="Arial" w:cs="Arial"/>
          <w:b/>
          <w:bCs/>
        </w:rPr>
      </w:pPr>
      <w:r w:rsidRPr="00E278D9">
        <w:rPr>
          <w:rFonts w:ascii="Arial" w:hAnsi="Arial" w:cs="Arial"/>
          <w:bCs/>
        </w:rPr>
        <w:t xml:space="preserve">OMB </w:t>
      </w:r>
      <w:r w:rsidR="00F063A5">
        <w:rPr>
          <w:rFonts w:ascii="Arial" w:hAnsi="Arial" w:cs="Arial"/>
          <w:bCs/>
        </w:rPr>
        <w:t>Control Number</w:t>
      </w:r>
      <w:r w:rsidRPr="00E278D9">
        <w:rPr>
          <w:rFonts w:ascii="Arial" w:hAnsi="Arial" w:cs="Arial"/>
          <w:b/>
          <w:bCs/>
        </w:rPr>
        <w:t xml:space="preserve"> 1545-</w:t>
      </w:r>
      <w:r w:rsidR="007C0B1C">
        <w:rPr>
          <w:rFonts w:ascii="Arial" w:hAnsi="Arial" w:cs="Arial"/>
          <w:b/>
          <w:bCs/>
        </w:rPr>
        <w:t>2234</w:t>
      </w:r>
    </w:p>
    <w:p w:rsidRPr="00E278D9" w:rsidR="00721EB2" w:rsidRDefault="00721EB2" w14:paraId="6C5156CE" w14:textId="77777777">
      <w:pPr>
        <w:rPr>
          <w:rFonts w:ascii="Arial" w:hAnsi="Arial" w:cs="Arial"/>
          <w:b/>
          <w:bCs/>
        </w:rPr>
      </w:pPr>
    </w:p>
    <w:p w:rsidRPr="00E278D9" w:rsidR="00721EB2" w:rsidRDefault="00721EB2" w14:paraId="077C03F1" w14:textId="77777777">
      <w:pPr>
        <w:pStyle w:val="Level1"/>
        <w:tabs>
          <w:tab w:val="left" w:pos="-1440"/>
          <w:tab w:val="num" w:pos="720"/>
        </w:tabs>
        <w:rPr>
          <w:rFonts w:ascii="Arial" w:hAnsi="Arial" w:cs="Arial"/>
          <w:b/>
        </w:rPr>
      </w:pPr>
      <w:r w:rsidRPr="00E278D9">
        <w:rPr>
          <w:rFonts w:ascii="Arial" w:hAnsi="Arial" w:cs="Arial"/>
          <w:b/>
          <w:u w:val="single"/>
        </w:rPr>
        <w:t>CIRCUMSTANCES NECESSITATING COLLECTION OF INFORMATION</w:t>
      </w:r>
    </w:p>
    <w:p w:rsidRPr="00E278D9" w:rsidR="00721EB2" w:rsidRDefault="00721EB2" w14:paraId="3BAFE5A1" w14:textId="77777777">
      <w:pPr>
        <w:rPr>
          <w:rFonts w:ascii="Arial" w:hAnsi="Arial" w:cs="Arial"/>
          <w:b/>
        </w:rPr>
      </w:pPr>
    </w:p>
    <w:p w:rsidR="007C431D" w:rsidP="007C0B1C" w:rsidRDefault="007C0B1C" w14:paraId="35791D9B" w14:textId="1599FB65">
      <w:pPr>
        <w:ind w:left="720"/>
        <w:rPr>
          <w:rFonts w:ascii="Arial" w:hAnsi="Arial" w:cs="Arial"/>
        </w:rPr>
      </w:pPr>
      <w:r w:rsidRPr="007C0B1C">
        <w:rPr>
          <w:rFonts w:ascii="Arial" w:hAnsi="Arial" w:cs="Arial"/>
        </w:rPr>
        <w:t xml:space="preserve">This </w:t>
      </w:r>
      <w:r>
        <w:rPr>
          <w:rFonts w:ascii="Arial" w:hAnsi="Arial" w:cs="Arial"/>
        </w:rPr>
        <w:t xml:space="preserve">collection </w:t>
      </w:r>
      <w:r w:rsidRPr="007C0B1C">
        <w:rPr>
          <w:rFonts w:ascii="Arial" w:hAnsi="Arial" w:cs="Arial"/>
        </w:rPr>
        <w:t>co</w:t>
      </w:r>
      <w:r>
        <w:rPr>
          <w:rFonts w:ascii="Arial" w:hAnsi="Arial" w:cs="Arial"/>
        </w:rPr>
        <w:t>vers</w:t>
      </w:r>
      <w:r w:rsidRPr="007C0B1C">
        <w:rPr>
          <w:rFonts w:ascii="Arial" w:hAnsi="Arial" w:cs="Arial"/>
        </w:rPr>
        <w:t xml:space="preserve"> final</w:t>
      </w:r>
      <w:r>
        <w:rPr>
          <w:rFonts w:ascii="Arial" w:hAnsi="Arial" w:cs="Arial"/>
        </w:rPr>
        <w:t xml:space="preserve"> </w:t>
      </w:r>
      <w:r w:rsidRPr="007C0B1C">
        <w:rPr>
          <w:rFonts w:ascii="Arial" w:hAnsi="Arial" w:cs="Arial"/>
        </w:rPr>
        <w:t>regulations relating to the use of</w:t>
      </w:r>
      <w:r>
        <w:rPr>
          <w:rFonts w:ascii="Arial" w:hAnsi="Arial" w:cs="Arial"/>
        </w:rPr>
        <w:t xml:space="preserve"> </w:t>
      </w:r>
      <w:r w:rsidRPr="007C0B1C">
        <w:rPr>
          <w:rFonts w:ascii="Arial" w:hAnsi="Arial" w:cs="Arial"/>
        </w:rPr>
        <w:t>longevity annuity contracts in tax</w:t>
      </w:r>
      <w:r>
        <w:rPr>
          <w:rFonts w:ascii="Arial" w:hAnsi="Arial" w:cs="Arial"/>
        </w:rPr>
        <w:t xml:space="preserve"> </w:t>
      </w:r>
      <w:r w:rsidRPr="007C0B1C">
        <w:rPr>
          <w:rFonts w:ascii="Arial" w:hAnsi="Arial" w:cs="Arial"/>
        </w:rPr>
        <w:t>qualified</w:t>
      </w:r>
      <w:r>
        <w:rPr>
          <w:rFonts w:ascii="Arial" w:hAnsi="Arial" w:cs="Arial"/>
        </w:rPr>
        <w:t xml:space="preserve"> </w:t>
      </w:r>
      <w:r w:rsidRPr="007C0B1C">
        <w:rPr>
          <w:rFonts w:ascii="Arial" w:hAnsi="Arial" w:cs="Arial"/>
        </w:rPr>
        <w:t>defined contribution plans</w:t>
      </w:r>
      <w:r w:rsidR="00F063A5">
        <w:rPr>
          <w:rFonts w:ascii="Arial" w:hAnsi="Arial" w:cs="Arial"/>
        </w:rPr>
        <w:t>.</w:t>
      </w:r>
      <w:r>
        <w:rPr>
          <w:rFonts w:ascii="Arial" w:hAnsi="Arial" w:cs="Arial"/>
        </w:rPr>
        <w:t xml:space="preserve"> </w:t>
      </w:r>
      <w:r w:rsidR="00F063A5">
        <w:rPr>
          <w:rFonts w:ascii="Arial" w:hAnsi="Arial" w:cs="Arial"/>
        </w:rPr>
        <w:t xml:space="preserve">Internal Revenue Code (IRC) Section 401(a) </w:t>
      </w:r>
      <w:r w:rsidR="007C431D">
        <w:rPr>
          <w:rFonts w:ascii="Arial" w:hAnsi="Arial" w:cs="Arial"/>
        </w:rPr>
        <w:t xml:space="preserve">denote the requirements and qualifications to establish a qualified pension, profit-sharing, and stock bonus plan. IRC </w:t>
      </w:r>
      <w:r w:rsidRPr="007C0B1C">
        <w:rPr>
          <w:rFonts w:ascii="Arial" w:hAnsi="Arial" w:cs="Arial"/>
        </w:rPr>
        <w:t>section 4</w:t>
      </w:r>
      <w:r w:rsidR="007C431D">
        <w:rPr>
          <w:rFonts w:ascii="Arial" w:hAnsi="Arial" w:cs="Arial"/>
        </w:rPr>
        <w:t>03</w:t>
      </w:r>
      <w:r w:rsidRPr="007C0B1C">
        <w:rPr>
          <w:rFonts w:ascii="Arial" w:hAnsi="Arial" w:cs="Arial"/>
        </w:rPr>
        <w:t>(</w:t>
      </w:r>
      <w:r w:rsidR="007C431D">
        <w:rPr>
          <w:rFonts w:ascii="Arial" w:hAnsi="Arial" w:cs="Arial"/>
        </w:rPr>
        <w:t>b</w:t>
      </w:r>
      <w:r w:rsidRPr="007C0B1C">
        <w:rPr>
          <w:rFonts w:ascii="Arial" w:hAnsi="Arial" w:cs="Arial"/>
        </w:rPr>
        <w:t>) of the Internal</w:t>
      </w:r>
      <w:r>
        <w:rPr>
          <w:rFonts w:ascii="Arial" w:hAnsi="Arial" w:cs="Arial"/>
        </w:rPr>
        <w:t xml:space="preserve"> </w:t>
      </w:r>
      <w:r w:rsidRPr="007C0B1C">
        <w:rPr>
          <w:rFonts w:ascii="Arial" w:hAnsi="Arial" w:cs="Arial"/>
        </w:rPr>
        <w:t xml:space="preserve">Revenue Code </w:t>
      </w:r>
      <w:r w:rsidR="007C431D">
        <w:rPr>
          <w:rFonts w:ascii="Arial" w:hAnsi="Arial" w:cs="Arial"/>
        </w:rPr>
        <w:t xml:space="preserve">addresses the taxability of beneficiary under annuities purchased by section 501(c)(3) entities. IRC section 408 provides guidance on the impact to individual retirement accounts and section 457(b) covers deferred compensation plans of State and local governments and </w:t>
      </w:r>
      <w:r w:rsidR="001E6A29">
        <w:rPr>
          <w:rFonts w:ascii="Arial" w:hAnsi="Arial" w:cs="Arial"/>
        </w:rPr>
        <w:t>tax-exempt</w:t>
      </w:r>
      <w:r w:rsidR="007C431D">
        <w:rPr>
          <w:rFonts w:ascii="Arial" w:hAnsi="Arial" w:cs="Arial"/>
        </w:rPr>
        <w:t xml:space="preserve"> organizations.</w:t>
      </w:r>
    </w:p>
    <w:p w:rsidR="007C431D" w:rsidP="007C0B1C" w:rsidRDefault="007C431D" w14:paraId="30AE37BA" w14:textId="5244A097">
      <w:pPr>
        <w:ind w:left="720"/>
        <w:rPr>
          <w:rFonts w:ascii="Arial" w:hAnsi="Arial" w:cs="Arial"/>
        </w:rPr>
      </w:pPr>
    </w:p>
    <w:p w:rsidR="008D5CE7" w:rsidP="007C0B1C" w:rsidRDefault="0039754E" w14:paraId="1942861E" w14:textId="514E94A2">
      <w:pPr>
        <w:ind w:left="720"/>
        <w:rPr>
          <w:rFonts w:ascii="Arial" w:hAnsi="Arial" w:cs="Arial"/>
        </w:rPr>
      </w:pPr>
      <w:r w:rsidRPr="0039754E">
        <w:rPr>
          <w:rFonts w:ascii="Helvetica" w:hAnsi="Helvetica"/>
        </w:rPr>
        <w:t xml:space="preserve">Treasury Decision </w:t>
      </w:r>
      <w:r>
        <w:rPr>
          <w:rFonts w:ascii="Helvetica" w:hAnsi="Helvetica"/>
        </w:rPr>
        <w:t>(</w:t>
      </w:r>
      <w:r w:rsidR="007C0B1C">
        <w:rPr>
          <w:rFonts w:ascii="Arial" w:hAnsi="Arial" w:cs="Arial"/>
        </w:rPr>
        <w:t>TD</w:t>
      </w:r>
      <w:r>
        <w:rPr>
          <w:rFonts w:ascii="Arial" w:hAnsi="Arial" w:cs="Arial"/>
        </w:rPr>
        <w:t>)</w:t>
      </w:r>
      <w:r w:rsidR="007C0B1C">
        <w:rPr>
          <w:rFonts w:ascii="Arial" w:hAnsi="Arial" w:cs="Arial"/>
        </w:rPr>
        <w:t xml:space="preserve"> 9673 (79 FR 37633), published July 2, 2014,</w:t>
      </w:r>
      <w:r w:rsidRPr="007C0B1C" w:rsidR="007C0B1C">
        <w:rPr>
          <w:rFonts w:ascii="Arial" w:hAnsi="Arial" w:cs="Arial"/>
        </w:rPr>
        <w:t xml:space="preserve"> provide the public with guidance</w:t>
      </w:r>
      <w:r w:rsidR="007C0B1C">
        <w:rPr>
          <w:rFonts w:ascii="Arial" w:hAnsi="Arial" w:cs="Arial"/>
        </w:rPr>
        <w:t xml:space="preserve"> </w:t>
      </w:r>
      <w:r w:rsidRPr="007C0B1C" w:rsidR="007C0B1C">
        <w:rPr>
          <w:rFonts w:ascii="Arial" w:hAnsi="Arial" w:cs="Arial"/>
        </w:rPr>
        <w:t>necessary to comply with the required</w:t>
      </w:r>
      <w:r w:rsidR="007C0B1C">
        <w:rPr>
          <w:rFonts w:ascii="Arial" w:hAnsi="Arial" w:cs="Arial"/>
        </w:rPr>
        <w:t xml:space="preserve"> </w:t>
      </w:r>
      <w:r w:rsidRPr="007C0B1C" w:rsidR="007C0B1C">
        <w:rPr>
          <w:rFonts w:ascii="Arial" w:hAnsi="Arial" w:cs="Arial"/>
        </w:rPr>
        <w:t>minimum distribution rules under</w:t>
      </w:r>
      <w:r w:rsidR="007C0B1C">
        <w:rPr>
          <w:rFonts w:ascii="Arial" w:hAnsi="Arial" w:cs="Arial"/>
        </w:rPr>
        <w:t xml:space="preserve"> </w:t>
      </w:r>
      <w:r w:rsidRPr="007C0B1C" w:rsidR="007C0B1C">
        <w:rPr>
          <w:rFonts w:ascii="Arial" w:hAnsi="Arial" w:cs="Arial"/>
        </w:rPr>
        <w:t>section 401(a)(9) applicable to an IRA or</w:t>
      </w:r>
      <w:r w:rsidR="007C0B1C">
        <w:rPr>
          <w:rFonts w:ascii="Arial" w:hAnsi="Arial" w:cs="Arial"/>
        </w:rPr>
        <w:t xml:space="preserve"> </w:t>
      </w:r>
      <w:r w:rsidRPr="007C0B1C" w:rsidR="007C0B1C">
        <w:rPr>
          <w:rFonts w:ascii="Arial" w:hAnsi="Arial" w:cs="Arial"/>
        </w:rPr>
        <w:t>a plan that holds a longevity annuity</w:t>
      </w:r>
      <w:r w:rsidR="007C0B1C">
        <w:rPr>
          <w:rFonts w:ascii="Arial" w:hAnsi="Arial" w:cs="Arial"/>
        </w:rPr>
        <w:t xml:space="preserve"> </w:t>
      </w:r>
      <w:r w:rsidRPr="007C0B1C" w:rsidR="007C0B1C">
        <w:rPr>
          <w:rFonts w:ascii="Arial" w:hAnsi="Arial" w:cs="Arial"/>
        </w:rPr>
        <w:t>contract. The regulations affect</w:t>
      </w:r>
      <w:r w:rsidR="007C0B1C">
        <w:rPr>
          <w:rFonts w:ascii="Arial" w:hAnsi="Arial" w:cs="Arial"/>
        </w:rPr>
        <w:t xml:space="preserve"> </w:t>
      </w:r>
      <w:r w:rsidRPr="007C0B1C" w:rsidR="007C0B1C">
        <w:rPr>
          <w:rFonts w:ascii="Arial" w:hAnsi="Arial" w:cs="Arial"/>
        </w:rPr>
        <w:t>individuals for whom a longevity</w:t>
      </w:r>
      <w:r w:rsidR="007C0B1C">
        <w:rPr>
          <w:rFonts w:ascii="Arial" w:hAnsi="Arial" w:cs="Arial"/>
        </w:rPr>
        <w:t xml:space="preserve"> </w:t>
      </w:r>
      <w:r w:rsidRPr="007C0B1C" w:rsidR="007C0B1C">
        <w:rPr>
          <w:rFonts w:ascii="Arial" w:hAnsi="Arial" w:cs="Arial"/>
        </w:rPr>
        <w:t>annuity contract is purchased under</w:t>
      </w:r>
      <w:r w:rsidR="007C0B1C">
        <w:rPr>
          <w:rFonts w:ascii="Arial" w:hAnsi="Arial" w:cs="Arial"/>
        </w:rPr>
        <w:t xml:space="preserve"> </w:t>
      </w:r>
      <w:r w:rsidRPr="007C0B1C" w:rsidR="007C0B1C">
        <w:rPr>
          <w:rFonts w:ascii="Arial" w:hAnsi="Arial" w:cs="Arial"/>
        </w:rPr>
        <w:t>these plans and IRAs (and their</w:t>
      </w:r>
      <w:r w:rsidR="007C0B1C">
        <w:rPr>
          <w:rFonts w:ascii="Arial" w:hAnsi="Arial" w:cs="Arial"/>
        </w:rPr>
        <w:t xml:space="preserve"> </w:t>
      </w:r>
      <w:r w:rsidRPr="007C0B1C" w:rsidR="007C0B1C">
        <w:rPr>
          <w:rFonts w:ascii="Arial" w:hAnsi="Arial" w:cs="Arial"/>
        </w:rPr>
        <w:t>beneficiaries), sponsors and</w:t>
      </w:r>
      <w:r w:rsidR="007C0B1C">
        <w:rPr>
          <w:rFonts w:ascii="Arial" w:hAnsi="Arial" w:cs="Arial"/>
        </w:rPr>
        <w:t xml:space="preserve"> </w:t>
      </w:r>
      <w:r w:rsidRPr="007C0B1C" w:rsidR="007C0B1C">
        <w:rPr>
          <w:rFonts w:ascii="Arial" w:hAnsi="Arial" w:cs="Arial"/>
        </w:rPr>
        <w:t>administrators of these plans, trustees</w:t>
      </w:r>
      <w:r w:rsidR="007C0B1C">
        <w:rPr>
          <w:rFonts w:ascii="Arial" w:hAnsi="Arial" w:cs="Arial"/>
        </w:rPr>
        <w:t xml:space="preserve"> </w:t>
      </w:r>
      <w:r w:rsidRPr="007C0B1C" w:rsidR="007C0B1C">
        <w:rPr>
          <w:rFonts w:ascii="Arial" w:hAnsi="Arial" w:cs="Arial"/>
        </w:rPr>
        <w:t>and custodians of these plans and IRAs,</w:t>
      </w:r>
      <w:r w:rsidR="007C0B1C">
        <w:rPr>
          <w:rFonts w:ascii="Arial" w:hAnsi="Arial" w:cs="Arial"/>
        </w:rPr>
        <w:t xml:space="preserve"> </w:t>
      </w:r>
      <w:r w:rsidRPr="007C0B1C" w:rsidR="007C0B1C">
        <w:rPr>
          <w:rFonts w:ascii="Arial" w:hAnsi="Arial" w:cs="Arial"/>
        </w:rPr>
        <w:t>and insurance companies that issue</w:t>
      </w:r>
      <w:r w:rsidR="007C0B1C">
        <w:rPr>
          <w:rFonts w:ascii="Arial" w:hAnsi="Arial" w:cs="Arial"/>
        </w:rPr>
        <w:t xml:space="preserve"> </w:t>
      </w:r>
      <w:r w:rsidRPr="007C0B1C" w:rsidR="007C0B1C">
        <w:rPr>
          <w:rFonts w:ascii="Arial" w:hAnsi="Arial" w:cs="Arial"/>
        </w:rPr>
        <w:t>longevity annuity contracts under these</w:t>
      </w:r>
      <w:r w:rsidR="007C0B1C">
        <w:rPr>
          <w:rFonts w:ascii="Arial" w:hAnsi="Arial" w:cs="Arial"/>
        </w:rPr>
        <w:t xml:space="preserve"> </w:t>
      </w:r>
      <w:r w:rsidRPr="007C0B1C" w:rsidR="007C0B1C">
        <w:rPr>
          <w:rFonts w:ascii="Arial" w:hAnsi="Arial" w:cs="Arial"/>
        </w:rPr>
        <w:t>plans and IRAs.</w:t>
      </w:r>
    </w:p>
    <w:p w:rsidR="000B68ED" w:rsidP="007C0B1C" w:rsidRDefault="000B68ED" w14:paraId="38C4A5C2" w14:textId="6B17DCCA">
      <w:pPr>
        <w:ind w:left="720"/>
        <w:rPr>
          <w:rFonts w:ascii="Arial" w:hAnsi="Arial" w:cs="Arial"/>
        </w:rPr>
      </w:pPr>
    </w:p>
    <w:p w:rsidR="000B68ED" w:rsidP="007C0B1C" w:rsidRDefault="0039754E" w14:paraId="0D7E1F02" w14:textId="3F4ED800">
      <w:pPr>
        <w:ind w:left="720"/>
        <w:rPr>
          <w:rFonts w:ascii="Helvetica" w:hAnsi="Helvetica"/>
        </w:rPr>
      </w:pPr>
      <w:r w:rsidRPr="0039754E">
        <w:rPr>
          <w:rFonts w:ascii="Helvetica" w:hAnsi="Helvetica"/>
        </w:rPr>
        <w:t xml:space="preserve">Form 1098-Q </w:t>
      </w:r>
      <w:r>
        <w:rPr>
          <w:rFonts w:ascii="Helvetica" w:hAnsi="Helvetica"/>
        </w:rPr>
        <w:t xml:space="preserve">is used to comply with </w:t>
      </w:r>
      <w:r w:rsidRPr="0039754E">
        <w:rPr>
          <w:rFonts w:ascii="Helvetica" w:hAnsi="Helvetica"/>
        </w:rPr>
        <w:t xml:space="preserve">the reporting requirements under TD 9673. </w:t>
      </w:r>
      <w:r w:rsidR="000B68ED">
        <w:rPr>
          <w:rFonts w:ascii="Helvetica" w:hAnsi="Helvetica"/>
        </w:rPr>
        <w:t>Any person who issues a contract intended to be a QLAC that is purchased or held under any plan, annuity, or account described in section 401(a), 403(a), 403(b), 408 (other than a Roth IRA) or eligible governmental plan under section 457(b),must file Form 1098-Q.</w:t>
      </w:r>
    </w:p>
    <w:p w:rsidRPr="00E278D9" w:rsidR="007C0B1C" w:rsidP="007C0B1C" w:rsidRDefault="007C0B1C" w14:paraId="1558B365" w14:textId="77777777">
      <w:pPr>
        <w:rPr>
          <w:rFonts w:ascii="Arial" w:hAnsi="Arial" w:cs="Arial"/>
        </w:rPr>
      </w:pPr>
    </w:p>
    <w:p w:rsidRPr="00E278D9" w:rsidR="00721EB2" w:rsidRDefault="00721EB2" w14:paraId="5C72D949" w14:textId="77777777">
      <w:pPr>
        <w:pStyle w:val="Level1"/>
        <w:tabs>
          <w:tab w:val="left" w:pos="-1440"/>
          <w:tab w:val="num" w:pos="720"/>
        </w:tabs>
        <w:rPr>
          <w:rFonts w:ascii="Arial" w:hAnsi="Arial" w:cs="Arial"/>
          <w:b/>
        </w:rPr>
      </w:pPr>
      <w:r w:rsidRPr="00E278D9">
        <w:rPr>
          <w:rFonts w:ascii="Arial" w:hAnsi="Arial" w:cs="Arial"/>
          <w:b/>
          <w:u w:val="single"/>
        </w:rPr>
        <w:t>USE OF DATA</w:t>
      </w:r>
      <w:r w:rsidRPr="00E278D9">
        <w:rPr>
          <w:rFonts w:ascii="Arial" w:hAnsi="Arial" w:cs="Arial"/>
          <w:b/>
        </w:rPr>
        <w:t xml:space="preserve">              </w:t>
      </w:r>
    </w:p>
    <w:p w:rsidRPr="00E278D9" w:rsidR="00721EB2" w:rsidRDefault="00D417E0" w14:paraId="3D06A940" w14:textId="1E42AD17">
      <w:pPr>
        <w:rPr>
          <w:rFonts w:ascii="Arial" w:hAnsi="Arial" w:cs="Arial"/>
        </w:rPr>
      </w:pPr>
      <w:r w:rsidRPr="00E278D9">
        <w:rPr>
          <w:rFonts w:ascii="Arial" w:hAnsi="Arial" w:cs="Arial"/>
        </w:rPr>
        <w:t xml:space="preserve"> </w:t>
      </w:r>
    </w:p>
    <w:p w:rsidRPr="000B68ED" w:rsidR="000B68ED" w:rsidP="000B68ED" w:rsidRDefault="000B68ED" w14:paraId="1372A342" w14:textId="77777777">
      <w:pPr>
        <w:ind w:left="720"/>
        <w:rPr>
          <w:rFonts w:ascii="Arial" w:hAnsi="Arial" w:cs="Arial"/>
        </w:rPr>
      </w:pPr>
      <w:r w:rsidRPr="000B68ED">
        <w:rPr>
          <w:rFonts w:ascii="Arial" w:hAnsi="Arial" w:cs="Arial"/>
        </w:rPr>
        <w:t xml:space="preserve">The collection of information in these final regulations is in A–17(a)(6) of section 1.401(a)(9)–6 (disclosure that a contract is intended to be a qualifying longevity annuity contract (QLAC), defined in A–17 of that section) and section 1.6047–2 (an annual statement must be provided to QLAC owners and their surviving spouses containing information required to be furnished to the IRS). </w:t>
      </w:r>
    </w:p>
    <w:p w:rsidRPr="000B68ED" w:rsidR="000B68ED" w:rsidP="000B68ED" w:rsidRDefault="000B68ED" w14:paraId="2FEDCEAE" w14:textId="77777777">
      <w:pPr>
        <w:ind w:left="720"/>
        <w:rPr>
          <w:rFonts w:ascii="Arial" w:hAnsi="Arial" w:cs="Arial"/>
        </w:rPr>
      </w:pPr>
    </w:p>
    <w:p w:rsidRPr="00E278D9" w:rsidR="001F4C31" w:rsidP="000B68ED" w:rsidRDefault="000B68ED" w14:paraId="4397CD06" w14:textId="511EA96C">
      <w:pPr>
        <w:ind w:left="720"/>
        <w:rPr>
          <w:rFonts w:ascii="Arial" w:hAnsi="Arial" w:cs="Arial"/>
        </w:rPr>
      </w:pPr>
      <w:r w:rsidRPr="000B68ED">
        <w:rPr>
          <w:rFonts w:ascii="Arial" w:hAnsi="Arial" w:cs="Arial"/>
        </w:rPr>
        <w:t xml:space="preserve">The information in A–17(a)(6) of section 1.401(a)(9)–6 is required in order to notify employees and beneficiaries, plan sponsors, and the IRS that the regulations apply to a contract. The information in the annual statement in section 1.6047–2(c) is required in order to apply the dollar and percentage limitations in A–17(b) of section 1.401(a)(9)–6 and A–12(b) of section 1.408–8 </w:t>
      </w:r>
      <w:r w:rsidRPr="000B68ED">
        <w:rPr>
          <w:rFonts w:ascii="Arial" w:hAnsi="Arial" w:cs="Arial"/>
        </w:rPr>
        <w:lastRenderedPageBreak/>
        <w:t>and to comply with other requirements of the required minimum distribution rules.</w:t>
      </w:r>
      <w:r w:rsidRPr="00E278D9" w:rsidR="00721EB2">
        <w:rPr>
          <w:rFonts w:ascii="Arial" w:hAnsi="Arial" w:cs="Arial"/>
        </w:rPr>
        <w:t xml:space="preserve">  </w:t>
      </w:r>
    </w:p>
    <w:p w:rsidRPr="00E278D9" w:rsidR="001F4C31" w:rsidP="008B07F5" w:rsidRDefault="001F4C31" w14:paraId="31A131AD" w14:textId="77777777">
      <w:pPr>
        <w:ind w:left="720"/>
        <w:rPr>
          <w:rFonts w:ascii="Arial" w:hAnsi="Arial" w:cs="Arial"/>
        </w:rPr>
        <w:sectPr w:rsidRPr="00E278D9" w:rsidR="001F4C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cols w:space="720"/>
          <w:noEndnote/>
        </w:sectPr>
      </w:pPr>
    </w:p>
    <w:p w:rsidR="0026031B" w:rsidP="0026031B" w:rsidRDefault="0026031B" w14:paraId="0FFB932A" w14:textId="4EC15104">
      <w:pPr>
        <w:pStyle w:val="Level1"/>
        <w:numPr>
          <w:ilvl w:val="0"/>
          <w:numId w:val="0"/>
        </w:numPr>
        <w:tabs>
          <w:tab w:val="left" w:pos="-1440"/>
        </w:tabs>
        <w:rPr>
          <w:rFonts w:ascii="Arial" w:hAnsi="Arial" w:cs="Arial"/>
          <w:b/>
          <w:u w:val="single"/>
        </w:rPr>
      </w:pPr>
    </w:p>
    <w:p w:rsidRPr="00E278D9" w:rsidR="0039754E" w:rsidP="0026031B" w:rsidRDefault="0039754E" w14:paraId="694DD833" w14:textId="77777777">
      <w:pPr>
        <w:pStyle w:val="Level1"/>
        <w:numPr>
          <w:ilvl w:val="0"/>
          <w:numId w:val="0"/>
        </w:numPr>
        <w:tabs>
          <w:tab w:val="left" w:pos="-1440"/>
        </w:tabs>
        <w:rPr>
          <w:rFonts w:ascii="Arial" w:hAnsi="Arial" w:cs="Arial"/>
          <w:b/>
          <w:u w:val="single"/>
        </w:rPr>
      </w:pPr>
    </w:p>
    <w:p w:rsidRPr="00E278D9" w:rsidR="00721EB2" w:rsidP="0026031B" w:rsidRDefault="00721EB2" w14:paraId="41497984" w14:textId="77777777">
      <w:pPr>
        <w:pStyle w:val="Level1"/>
        <w:tabs>
          <w:tab w:val="left" w:pos="-1440"/>
        </w:tabs>
        <w:rPr>
          <w:rFonts w:ascii="Arial" w:hAnsi="Arial" w:cs="Arial"/>
          <w:b/>
        </w:rPr>
      </w:pPr>
      <w:r w:rsidRPr="00E278D9">
        <w:rPr>
          <w:rFonts w:ascii="Arial" w:hAnsi="Arial" w:cs="Arial"/>
          <w:b/>
          <w:u w:val="single"/>
        </w:rPr>
        <w:t>USE OF IMPROVED INFORMATION TECHNOLOGY TO REDUCE BURDEN</w:t>
      </w:r>
    </w:p>
    <w:p w:rsidRPr="00E278D9" w:rsidR="00721EB2" w:rsidRDefault="00721EB2" w14:paraId="3AC78CD4" w14:textId="77777777">
      <w:pPr>
        <w:rPr>
          <w:rFonts w:ascii="Arial" w:hAnsi="Arial" w:cs="Arial"/>
          <w:b/>
        </w:rPr>
      </w:pPr>
    </w:p>
    <w:p w:rsidR="00321C69" w:rsidP="00283256" w:rsidRDefault="00721EB2" w14:paraId="04BDCDCE" w14:textId="03B7DB23">
      <w:pPr>
        <w:ind w:left="720"/>
        <w:rPr>
          <w:rFonts w:ascii="Arial" w:hAnsi="Arial" w:cs="Arial"/>
        </w:rPr>
      </w:pPr>
      <w:r w:rsidRPr="00E278D9">
        <w:rPr>
          <w:rFonts w:ascii="Arial" w:hAnsi="Arial" w:cs="Arial"/>
        </w:rPr>
        <w:t>The collection of information does involve the use of automated, electronic, or other technological collection techniques.</w:t>
      </w:r>
      <w:r w:rsidRPr="00E278D9" w:rsidR="000009A0">
        <w:rPr>
          <w:rFonts w:ascii="Arial" w:hAnsi="Arial" w:cs="Arial"/>
        </w:rPr>
        <w:t xml:space="preserve"> </w:t>
      </w:r>
      <w:r w:rsidR="00283256">
        <w:rPr>
          <w:rFonts w:ascii="Arial" w:hAnsi="Arial" w:cs="Arial"/>
        </w:rPr>
        <w:t>The</w:t>
      </w:r>
      <w:r w:rsidRPr="00283256" w:rsidR="00283256">
        <w:rPr>
          <w:rFonts w:ascii="Arial" w:hAnsi="Arial" w:cs="Arial"/>
        </w:rPr>
        <w:t xml:space="preserve"> statement required to be furnished pursuant to </w:t>
      </w:r>
      <w:r w:rsidR="00283256">
        <w:rPr>
          <w:rFonts w:ascii="Arial" w:hAnsi="Arial" w:cs="Arial"/>
        </w:rPr>
        <w:t>section</w:t>
      </w:r>
      <w:r w:rsidRPr="00283256" w:rsidR="00283256">
        <w:rPr>
          <w:rFonts w:ascii="Arial" w:hAnsi="Arial" w:cs="Arial"/>
        </w:rPr>
        <w:t xml:space="preserve">1.6047-2 </w:t>
      </w:r>
      <w:r w:rsidR="00283256">
        <w:rPr>
          <w:rFonts w:ascii="Arial" w:hAnsi="Arial" w:cs="Arial"/>
        </w:rPr>
        <w:t xml:space="preserve">is done through </w:t>
      </w:r>
      <w:r w:rsidRPr="00283256" w:rsidR="00283256">
        <w:rPr>
          <w:rFonts w:ascii="Arial" w:hAnsi="Arial" w:cs="Arial"/>
        </w:rPr>
        <w:t>Form 1098-Q</w:t>
      </w:r>
      <w:r w:rsidR="00283256">
        <w:rPr>
          <w:rFonts w:ascii="Arial" w:hAnsi="Arial" w:cs="Arial"/>
        </w:rPr>
        <w:t xml:space="preserve">.  This form </w:t>
      </w:r>
      <w:r w:rsidRPr="00283256" w:rsidR="00283256">
        <w:rPr>
          <w:rFonts w:ascii="Arial" w:hAnsi="Arial" w:cs="Arial"/>
        </w:rPr>
        <w:t>is provided electronically must meet the consumer consent requirements in §1.401(a)-21(b)</w:t>
      </w:r>
      <w:r w:rsidR="00283256">
        <w:rPr>
          <w:rFonts w:ascii="Arial" w:hAnsi="Arial" w:cs="Arial"/>
        </w:rPr>
        <w:t>.</w:t>
      </w:r>
    </w:p>
    <w:p w:rsidRPr="00E278D9" w:rsidR="00283256" w:rsidP="00283256" w:rsidRDefault="00283256" w14:paraId="3F5E7A4C" w14:textId="77777777">
      <w:pPr>
        <w:ind w:left="720"/>
        <w:rPr>
          <w:rFonts w:ascii="Arial" w:hAnsi="Arial" w:cs="Arial"/>
        </w:rPr>
      </w:pPr>
    </w:p>
    <w:p w:rsidRPr="00E278D9" w:rsidR="00721EB2" w:rsidRDefault="00721EB2" w14:paraId="008D1A9A" w14:textId="77777777">
      <w:pPr>
        <w:pStyle w:val="Level1"/>
        <w:tabs>
          <w:tab w:val="left" w:pos="-1440"/>
          <w:tab w:val="num" w:pos="720"/>
        </w:tabs>
        <w:rPr>
          <w:rFonts w:ascii="Arial" w:hAnsi="Arial" w:cs="Arial"/>
          <w:b/>
        </w:rPr>
      </w:pPr>
      <w:r w:rsidRPr="00E278D9">
        <w:rPr>
          <w:rFonts w:ascii="Arial" w:hAnsi="Arial" w:cs="Arial"/>
          <w:b/>
          <w:u w:val="single"/>
        </w:rPr>
        <w:t>EFFORTS TO IDENTIFY DUPLICATION</w:t>
      </w:r>
    </w:p>
    <w:p w:rsidRPr="00E278D9" w:rsidR="00721EB2" w:rsidRDefault="00721EB2" w14:paraId="4042335A" w14:textId="77777777">
      <w:pPr>
        <w:rPr>
          <w:rFonts w:ascii="Arial" w:hAnsi="Arial" w:cs="Arial"/>
        </w:rPr>
      </w:pPr>
    </w:p>
    <w:p w:rsidRPr="00E278D9" w:rsidR="00721EB2" w:rsidRDefault="00E826F2" w14:paraId="46B8E062" w14:textId="77777777">
      <w:pPr>
        <w:ind w:left="720"/>
        <w:rPr>
          <w:rFonts w:ascii="Arial" w:hAnsi="Arial" w:cs="Arial"/>
        </w:rPr>
      </w:pPr>
      <w:r w:rsidRPr="00E278D9">
        <w:rPr>
          <w:rFonts w:ascii="Arial" w:hAnsi="Arial" w:cs="Arial"/>
        </w:rPr>
        <w:t>The information obtained through this collection is unique and is not already available for use or adaptation from another source</w:t>
      </w:r>
      <w:r w:rsidRPr="00E278D9" w:rsidR="00721EB2">
        <w:rPr>
          <w:rFonts w:ascii="Arial" w:hAnsi="Arial" w:cs="Arial"/>
        </w:rPr>
        <w:t xml:space="preserve">.  </w:t>
      </w:r>
    </w:p>
    <w:p w:rsidRPr="00E278D9" w:rsidR="00721EB2" w:rsidRDefault="00721EB2" w14:paraId="3D84E8FE" w14:textId="151ABA18">
      <w:pPr>
        <w:rPr>
          <w:rFonts w:ascii="Arial" w:hAnsi="Arial" w:cs="Arial"/>
        </w:rPr>
      </w:pPr>
    </w:p>
    <w:p w:rsidRPr="00E278D9" w:rsidR="00DA0570" w:rsidRDefault="00DA0570" w14:paraId="3D61F69F" w14:textId="77777777">
      <w:pPr>
        <w:rPr>
          <w:rFonts w:ascii="Arial" w:hAnsi="Arial" w:cs="Arial"/>
        </w:rPr>
      </w:pPr>
    </w:p>
    <w:p w:rsidRPr="00E278D9" w:rsidR="00721EB2" w:rsidRDefault="00721EB2" w14:paraId="2EEB2680" w14:textId="77777777">
      <w:pPr>
        <w:pStyle w:val="Level1"/>
        <w:tabs>
          <w:tab w:val="left" w:pos="-1440"/>
          <w:tab w:val="num" w:pos="720"/>
        </w:tabs>
        <w:rPr>
          <w:rFonts w:ascii="Arial" w:hAnsi="Arial" w:cs="Arial"/>
          <w:b/>
        </w:rPr>
      </w:pPr>
      <w:r w:rsidRPr="00E278D9">
        <w:rPr>
          <w:rFonts w:ascii="Arial" w:hAnsi="Arial" w:cs="Arial"/>
          <w:b/>
          <w:u w:val="single"/>
        </w:rPr>
        <w:t>METHODS TO MINIMIZE BURDEN ON SMALL BUSINESSES OR OTHER</w:t>
      </w:r>
      <w:r w:rsidRPr="00E278D9">
        <w:rPr>
          <w:rFonts w:ascii="Arial" w:hAnsi="Arial" w:cs="Arial"/>
          <w:b/>
        </w:rPr>
        <w:t xml:space="preserve"> </w:t>
      </w:r>
      <w:r w:rsidRPr="00E278D9">
        <w:rPr>
          <w:rFonts w:ascii="Arial" w:hAnsi="Arial" w:cs="Arial"/>
          <w:b/>
          <w:u w:val="single"/>
        </w:rPr>
        <w:t>SMALL ENTITIES</w:t>
      </w:r>
    </w:p>
    <w:p w:rsidRPr="00E278D9" w:rsidR="00721EB2" w:rsidRDefault="00721EB2" w14:paraId="0E30C842" w14:textId="77777777">
      <w:pPr>
        <w:rPr>
          <w:rFonts w:ascii="Arial" w:hAnsi="Arial" w:cs="Arial"/>
          <w:b/>
        </w:rPr>
      </w:pPr>
    </w:p>
    <w:p w:rsidR="004E6CCD" w:rsidP="004E6CCD" w:rsidRDefault="004E6CCD" w14:paraId="41EE9E50" w14:textId="77777777">
      <w:pPr>
        <w:ind w:left="720"/>
        <w:rPr>
          <w:rFonts w:ascii="Arial" w:hAnsi="Arial" w:cs="Arial"/>
        </w:rPr>
      </w:pPr>
      <w:r>
        <w:rPr>
          <w:rFonts w:ascii="Arial" w:hAnsi="Arial" w:cs="Arial"/>
        </w:rPr>
        <w:t>T</w:t>
      </w:r>
      <w:r w:rsidRPr="004E6CCD">
        <w:rPr>
          <w:rFonts w:ascii="Arial" w:hAnsi="Arial" w:cs="Arial"/>
        </w:rPr>
        <w:t>he</w:t>
      </w:r>
      <w:r>
        <w:rPr>
          <w:rFonts w:ascii="Arial" w:hAnsi="Arial" w:cs="Arial"/>
        </w:rPr>
        <w:t xml:space="preserve"> </w:t>
      </w:r>
      <w:r w:rsidRPr="004E6CCD">
        <w:rPr>
          <w:rFonts w:ascii="Arial" w:hAnsi="Arial" w:cs="Arial"/>
        </w:rPr>
        <w:t>collection of information in these</w:t>
      </w:r>
      <w:r>
        <w:rPr>
          <w:rFonts w:ascii="Arial" w:hAnsi="Arial" w:cs="Arial"/>
        </w:rPr>
        <w:t xml:space="preserve"> </w:t>
      </w:r>
      <w:r w:rsidRPr="004E6CCD">
        <w:rPr>
          <w:rFonts w:ascii="Arial" w:hAnsi="Arial" w:cs="Arial"/>
        </w:rPr>
        <w:t>regulations will not have a significant</w:t>
      </w:r>
      <w:r>
        <w:rPr>
          <w:rFonts w:ascii="Arial" w:hAnsi="Arial" w:cs="Arial"/>
        </w:rPr>
        <w:t xml:space="preserve"> </w:t>
      </w:r>
      <w:r w:rsidRPr="004E6CCD">
        <w:rPr>
          <w:rFonts w:ascii="Arial" w:hAnsi="Arial" w:cs="Arial"/>
        </w:rPr>
        <w:t>economic impact on a substantial</w:t>
      </w:r>
      <w:r>
        <w:rPr>
          <w:rFonts w:ascii="Arial" w:hAnsi="Arial" w:cs="Arial"/>
        </w:rPr>
        <w:t xml:space="preserve"> </w:t>
      </w:r>
      <w:r w:rsidRPr="004E6CCD">
        <w:rPr>
          <w:rFonts w:ascii="Arial" w:hAnsi="Arial" w:cs="Arial"/>
        </w:rPr>
        <w:t>number of small entities. This</w:t>
      </w:r>
      <w:r>
        <w:rPr>
          <w:rFonts w:ascii="Arial" w:hAnsi="Arial" w:cs="Arial"/>
        </w:rPr>
        <w:t xml:space="preserve"> </w:t>
      </w:r>
      <w:r w:rsidRPr="004E6CCD">
        <w:rPr>
          <w:rFonts w:ascii="Arial" w:hAnsi="Arial" w:cs="Arial"/>
        </w:rPr>
        <w:t>certification is based upon the fact that</w:t>
      </w:r>
      <w:r>
        <w:rPr>
          <w:rFonts w:ascii="Arial" w:hAnsi="Arial" w:cs="Arial"/>
        </w:rPr>
        <w:t xml:space="preserve"> </w:t>
      </w:r>
      <w:r w:rsidRPr="004E6CCD">
        <w:rPr>
          <w:rFonts w:ascii="Arial" w:hAnsi="Arial" w:cs="Arial"/>
        </w:rPr>
        <w:t>the collection of information in these</w:t>
      </w:r>
      <w:r>
        <w:rPr>
          <w:rFonts w:ascii="Arial" w:hAnsi="Arial" w:cs="Arial"/>
        </w:rPr>
        <w:t xml:space="preserve"> </w:t>
      </w:r>
      <w:r w:rsidRPr="004E6CCD">
        <w:rPr>
          <w:rFonts w:ascii="Arial" w:hAnsi="Arial" w:cs="Arial"/>
        </w:rPr>
        <w:t>final regulations is in A–17(a)(6) of</w:t>
      </w:r>
      <w:r>
        <w:rPr>
          <w:rFonts w:ascii="Arial" w:hAnsi="Arial" w:cs="Arial"/>
        </w:rPr>
        <w:t xml:space="preserve"> section</w:t>
      </w:r>
      <w:r w:rsidRPr="004E6CCD">
        <w:rPr>
          <w:rFonts w:ascii="Arial" w:hAnsi="Arial" w:cs="Arial"/>
        </w:rPr>
        <w:t xml:space="preserve"> 1.401(a)(9)–6 (disclosure that a</w:t>
      </w:r>
      <w:r>
        <w:rPr>
          <w:rFonts w:ascii="Arial" w:hAnsi="Arial" w:cs="Arial"/>
        </w:rPr>
        <w:t xml:space="preserve"> </w:t>
      </w:r>
      <w:r w:rsidRPr="004E6CCD">
        <w:rPr>
          <w:rFonts w:ascii="Arial" w:hAnsi="Arial" w:cs="Arial"/>
        </w:rPr>
        <w:t>contract is intended to be a QLAC) and</w:t>
      </w:r>
      <w:r>
        <w:rPr>
          <w:rFonts w:ascii="Arial" w:hAnsi="Arial" w:cs="Arial"/>
        </w:rPr>
        <w:t xml:space="preserve"> section</w:t>
      </w:r>
      <w:r w:rsidRPr="004E6CCD">
        <w:rPr>
          <w:rFonts w:ascii="Arial" w:hAnsi="Arial" w:cs="Arial"/>
        </w:rPr>
        <w:t xml:space="preserve"> 1.6047–2 (an annual report must be</w:t>
      </w:r>
      <w:r>
        <w:rPr>
          <w:rFonts w:ascii="Arial" w:hAnsi="Arial" w:cs="Arial"/>
        </w:rPr>
        <w:t xml:space="preserve"> </w:t>
      </w:r>
      <w:r w:rsidRPr="004E6CCD">
        <w:rPr>
          <w:rFonts w:ascii="Arial" w:hAnsi="Arial" w:cs="Arial"/>
        </w:rPr>
        <w:t>filed with the IRS and a statement must</w:t>
      </w:r>
      <w:r>
        <w:rPr>
          <w:rFonts w:ascii="Arial" w:hAnsi="Arial" w:cs="Arial"/>
        </w:rPr>
        <w:t xml:space="preserve"> </w:t>
      </w:r>
      <w:r w:rsidRPr="004E6CCD">
        <w:rPr>
          <w:rFonts w:ascii="Arial" w:hAnsi="Arial" w:cs="Arial"/>
        </w:rPr>
        <w:t>be provided to QLAC owners and their</w:t>
      </w:r>
      <w:r>
        <w:rPr>
          <w:rFonts w:ascii="Arial" w:hAnsi="Arial" w:cs="Arial"/>
        </w:rPr>
        <w:t xml:space="preserve"> </w:t>
      </w:r>
      <w:r w:rsidRPr="004E6CCD">
        <w:rPr>
          <w:rFonts w:ascii="Arial" w:hAnsi="Arial" w:cs="Arial"/>
        </w:rPr>
        <w:t xml:space="preserve">surviving spouses). </w:t>
      </w:r>
    </w:p>
    <w:p w:rsidR="004E6CCD" w:rsidP="004E6CCD" w:rsidRDefault="004E6CCD" w14:paraId="735562F5" w14:textId="77777777">
      <w:pPr>
        <w:ind w:left="720"/>
        <w:rPr>
          <w:rFonts w:ascii="Arial" w:hAnsi="Arial" w:cs="Arial"/>
        </w:rPr>
      </w:pPr>
    </w:p>
    <w:p w:rsidRPr="004E6CCD" w:rsidR="004E6CCD" w:rsidP="004E6CCD" w:rsidRDefault="004E6CCD" w14:paraId="47A24D9F" w14:textId="0F4C5C58">
      <w:pPr>
        <w:ind w:left="720"/>
        <w:rPr>
          <w:rFonts w:ascii="Arial" w:hAnsi="Arial" w:cs="Arial"/>
        </w:rPr>
      </w:pPr>
      <w:r w:rsidRPr="004E6CCD">
        <w:rPr>
          <w:rFonts w:ascii="Arial" w:hAnsi="Arial" w:cs="Arial"/>
        </w:rPr>
        <w:t>An insubstantial</w:t>
      </w:r>
      <w:r>
        <w:rPr>
          <w:rFonts w:ascii="Arial" w:hAnsi="Arial" w:cs="Arial"/>
        </w:rPr>
        <w:t xml:space="preserve"> </w:t>
      </w:r>
      <w:r w:rsidRPr="004E6CCD">
        <w:rPr>
          <w:rFonts w:ascii="Arial" w:hAnsi="Arial" w:cs="Arial"/>
        </w:rPr>
        <w:t>number of entities of any size will be</w:t>
      </w:r>
      <w:r>
        <w:rPr>
          <w:rFonts w:ascii="Arial" w:hAnsi="Arial" w:cs="Arial"/>
        </w:rPr>
        <w:t xml:space="preserve"> </w:t>
      </w:r>
      <w:r w:rsidRPr="004E6CCD">
        <w:rPr>
          <w:rFonts w:ascii="Arial" w:hAnsi="Arial" w:cs="Arial"/>
        </w:rPr>
        <w:t>impacted by the regulations, and the</w:t>
      </w:r>
      <w:r>
        <w:rPr>
          <w:rFonts w:ascii="Arial" w:hAnsi="Arial" w:cs="Arial"/>
        </w:rPr>
        <w:t xml:space="preserve"> </w:t>
      </w:r>
      <w:r w:rsidRPr="004E6CCD">
        <w:rPr>
          <w:rFonts w:ascii="Arial" w:hAnsi="Arial" w:cs="Arial"/>
        </w:rPr>
        <w:t>entities that will be impacted will be</w:t>
      </w:r>
      <w:r>
        <w:rPr>
          <w:rFonts w:ascii="Arial" w:hAnsi="Arial" w:cs="Arial"/>
        </w:rPr>
        <w:t xml:space="preserve"> </w:t>
      </w:r>
      <w:r w:rsidRPr="004E6CCD">
        <w:rPr>
          <w:rFonts w:ascii="Arial" w:hAnsi="Arial" w:cs="Arial"/>
        </w:rPr>
        <w:t>insurance companies, very few of which</w:t>
      </w:r>
      <w:r>
        <w:rPr>
          <w:rFonts w:ascii="Arial" w:hAnsi="Arial" w:cs="Arial"/>
        </w:rPr>
        <w:t xml:space="preserve"> </w:t>
      </w:r>
      <w:r w:rsidRPr="004E6CCD">
        <w:rPr>
          <w:rFonts w:ascii="Arial" w:hAnsi="Arial" w:cs="Arial"/>
        </w:rPr>
        <w:t>are small entities. In addition, IRS and</w:t>
      </w:r>
      <w:r>
        <w:rPr>
          <w:rFonts w:ascii="Arial" w:hAnsi="Arial" w:cs="Arial"/>
        </w:rPr>
        <w:t xml:space="preserve"> </w:t>
      </w:r>
      <w:r w:rsidRPr="004E6CCD">
        <w:rPr>
          <w:rFonts w:ascii="Arial" w:hAnsi="Arial" w:cs="Arial"/>
        </w:rPr>
        <w:t>Treasury expect that any burden on</w:t>
      </w:r>
      <w:r>
        <w:rPr>
          <w:rFonts w:ascii="Arial" w:hAnsi="Arial" w:cs="Arial"/>
        </w:rPr>
        <w:t xml:space="preserve"> </w:t>
      </w:r>
      <w:r w:rsidRPr="004E6CCD">
        <w:rPr>
          <w:rFonts w:ascii="Arial" w:hAnsi="Arial" w:cs="Arial"/>
        </w:rPr>
        <w:t>small entities will be minimal. Based on</w:t>
      </w:r>
      <w:r>
        <w:rPr>
          <w:rFonts w:ascii="Arial" w:hAnsi="Arial" w:cs="Arial"/>
        </w:rPr>
        <w:t xml:space="preserve"> </w:t>
      </w:r>
      <w:r w:rsidRPr="004E6CCD">
        <w:rPr>
          <w:rFonts w:ascii="Arial" w:hAnsi="Arial" w:cs="Arial"/>
        </w:rPr>
        <w:t>these facts, a regulatory flexibility</w:t>
      </w:r>
      <w:r>
        <w:rPr>
          <w:rFonts w:ascii="Arial" w:hAnsi="Arial" w:cs="Arial"/>
        </w:rPr>
        <w:t xml:space="preserve"> </w:t>
      </w:r>
      <w:r w:rsidRPr="004E6CCD">
        <w:rPr>
          <w:rFonts w:ascii="Arial" w:hAnsi="Arial" w:cs="Arial"/>
        </w:rPr>
        <w:t>analysis under the Regulatory</w:t>
      </w:r>
      <w:r>
        <w:rPr>
          <w:rFonts w:ascii="Arial" w:hAnsi="Arial" w:cs="Arial"/>
        </w:rPr>
        <w:t xml:space="preserve"> </w:t>
      </w:r>
      <w:r w:rsidRPr="004E6CCD">
        <w:rPr>
          <w:rFonts w:ascii="Arial" w:hAnsi="Arial" w:cs="Arial"/>
        </w:rPr>
        <w:t>Flexibility Act (5 U.S.C. chapter 6) is</w:t>
      </w:r>
    </w:p>
    <w:p w:rsidRPr="00E278D9" w:rsidR="00721EB2" w:rsidP="004E6CCD" w:rsidRDefault="004E6CCD" w14:paraId="007F3198" w14:textId="48D7D9FB">
      <w:pPr>
        <w:ind w:left="720"/>
        <w:rPr>
          <w:rFonts w:ascii="Arial" w:hAnsi="Arial" w:cs="Arial"/>
        </w:rPr>
      </w:pPr>
      <w:r w:rsidRPr="004E6CCD">
        <w:rPr>
          <w:rFonts w:ascii="Arial" w:hAnsi="Arial" w:cs="Arial"/>
        </w:rPr>
        <w:t>not required.</w:t>
      </w:r>
    </w:p>
    <w:p w:rsidRPr="00E278D9" w:rsidR="00721EB2" w:rsidRDefault="00721EB2" w14:paraId="2A9E4EBD" w14:textId="77777777">
      <w:pPr>
        <w:rPr>
          <w:rFonts w:ascii="Arial" w:hAnsi="Arial" w:cs="Arial"/>
        </w:rPr>
      </w:pPr>
    </w:p>
    <w:p w:rsidRPr="00E278D9" w:rsidR="00721EB2" w:rsidRDefault="00721EB2" w14:paraId="163F7D2F" w14:textId="77777777">
      <w:pPr>
        <w:pStyle w:val="Level1"/>
        <w:tabs>
          <w:tab w:val="left" w:pos="-1440"/>
          <w:tab w:val="num" w:pos="720"/>
        </w:tabs>
        <w:rPr>
          <w:rFonts w:ascii="Arial" w:hAnsi="Arial" w:cs="Arial"/>
          <w:b/>
        </w:rPr>
      </w:pPr>
      <w:r w:rsidRPr="00E278D9">
        <w:rPr>
          <w:rFonts w:ascii="Arial" w:hAnsi="Arial" w:cs="Arial"/>
          <w:b/>
          <w:u w:val="single"/>
        </w:rPr>
        <w:t>CONSEQUENCES OF LESS FREQUENT COLLECTION ON FEDERAL PROGRAMS OR POLICY ACTIVITIES</w:t>
      </w:r>
    </w:p>
    <w:p w:rsidRPr="00E278D9" w:rsidR="00721EB2" w:rsidRDefault="00721EB2" w14:paraId="1CB22EDC" w14:textId="77777777">
      <w:pPr>
        <w:rPr>
          <w:rFonts w:ascii="Arial" w:hAnsi="Arial" w:cs="Arial"/>
        </w:rPr>
      </w:pPr>
    </w:p>
    <w:p w:rsidRPr="00E278D9" w:rsidR="00721EB2" w:rsidRDefault="00646A2A" w14:paraId="7ABC6148" w14:textId="5A085D7E">
      <w:pPr>
        <w:ind w:left="720"/>
        <w:rPr>
          <w:rFonts w:ascii="Arial" w:hAnsi="Arial" w:cs="Arial"/>
        </w:rPr>
      </w:pPr>
      <w:r w:rsidRPr="00E278D9">
        <w:rPr>
          <w:rFonts w:ascii="Arial" w:hAnsi="Arial" w:cs="Arial"/>
        </w:rPr>
        <w:t>A less frequent collection of</w:t>
      </w:r>
      <w:r w:rsidRPr="00E278D9" w:rsidR="0065166D">
        <w:rPr>
          <w:rFonts w:ascii="Arial" w:hAnsi="Arial" w:cs="Arial"/>
        </w:rPr>
        <w:t xml:space="preserve"> the information will prevent </w:t>
      </w:r>
      <w:r w:rsidRPr="00E278D9">
        <w:rPr>
          <w:rFonts w:ascii="Arial" w:hAnsi="Arial" w:cs="Arial"/>
        </w:rPr>
        <w:t xml:space="preserve">the IRS from being able to determine the </w:t>
      </w:r>
      <w:r w:rsidRPr="00E278D9" w:rsidR="0065166D">
        <w:rPr>
          <w:rFonts w:ascii="Arial" w:hAnsi="Arial" w:cs="Arial"/>
        </w:rPr>
        <w:t>taxpayer</w:t>
      </w:r>
      <w:r w:rsidRPr="00E278D9">
        <w:rPr>
          <w:rFonts w:ascii="Arial" w:hAnsi="Arial" w:cs="Arial"/>
        </w:rPr>
        <w:t>’</w:t>
      </w:r>
      <w:r w:rsidRPr="00E278D9" w:rsidR="0065166D">
        <w:rPr>
          <w:rFonts w:ascii="Arial" w:hAnsi="Arial" w:cs="Arial"/>
        </w:rPr>
        <w:t>s compl</w:t>
      </w:r>
      <w:r w:rsidRPr="00E278D9">
        <w:rPr>
          <w:rFonts w:ascii="Arial" w:hAnsi="Arial" w:cs="Arial"/>
        </w:rPr>
        <w:t>iance</w:t>
      </w:r>
      <w:r w:rsidRPr="00E278D9" w:rsidR="0065166D">
        <w:rPr>
          <w:rFonts w:ascii="Arial" w:hAnsi="Arial" w:cs="Arial"/>
        </w:rPr>
        <w:t xml:space="preserve"> and/or reporting with the requirements outlined in section </w:t>
      </w:r>
      <w:r w:rsidRPr="004E6CCD" w:rsidR="004E6CCD">
        <w:rPr>
          <w:rFonts w:ascii="Arial" w:hAnsi="Arial" w:cs="Arial"/>
        </w:rPr>
        <w:t>401(a)(9)</w:t>
      </w:r>
      <w:r w:rsidR="004E6CCD">
        <w:rPr>
          <w:rFonts w:ascii="Arial" w:hAnsi="Arial" w:cs="Arial"/>
        </w:rPr>
        <w:t>,</w:t>
      </w:r>
      <w:r w:rsidRPr="004E6CCD" w:rsidR="004E6CCD">
        <w:rPr>
          <w:rFonts w:ascii="Arial" w:hAnsi="Arial" w:cs="Arial"/>
        </w:rPr>
        <w:t xml:space="preserve"> applicable to an IRA or a plan that holds a longevity annuity contract</w:t>
      </w:r>
      <w:r w:rsidR="004E6CCD">
        <w:rPr>
          <w:rFonts w:ascii="Arial" w:hAnsi="Arial" w:cs="Arial"/>
        </w:rPr>
        <w:t>,</w:t>
      </w:r>
      <w:r w:rsidRPr="004E6CCD" w:rsidR="004E6CCD">
        <w:rPr>
          <w:rFonts w:ascii="Arial" w:hAnsi="Arial" w:cs="Arial"/>
        </w:rPr>
        <w:t xml:space="preserve"> </w:t>
      </w:r>
      <w:r w:rsidRPr="00E278D9">
        <w:rPr>
          <w:rFonts w:ascii="Arial" w:hAnsi="Arial" w:cs="Arial"/>
        </w:rPr>
        <w:t>thereby engendering the inability of the IRS to meet its mission</w:t>
      </w:r>
      <w:r w:rsidRPr="00E278D9" w:rsidR="00721EB2">
        <w:rPr>
          <w:rFonts w:ascii="Arial" w:hAnsi="Arial" w:cs="Arial"/>
        </w:rPr>
        <w:t>.</w:t>
      </w:r>
    </w:p>
    <w:p w:rsidR="00721EB2" w:rsidRDefault="00721EB2" w14:paraId="27ED07EC" w14:textId="4F4E1DE5">
      <w:pPr>
        <w:rPr>
          <w:rFonts w:ascii="Arial" w:hAnsi="Arial" w:cs="Arial"/>
        </w:rPr>
      </w:pPr>
    </w:p>
    <w:p w:rsidR="001E6A29" w:rsidRDefault="001E6A29" w14:paraId="02DDA99F" w14:textId="0CC0DA8F">
      <w:pPr>
        <w:rPr>
          <w:rFonts w:ascii="Arial" w:hAnsi="Arial" w:cs="Arial"/>
        </w:rPr>
      </w:pPr>
    </w:p>
    <w:p w:rsidR="001E6A29" w:rsidRDefault="001E6A29" w14:paraId="5D8D505B" w14:textId="11508A92">
      <w:pPr>
        <w:rPr>
          <w:rFonts w:ascii="Arial" w:hAnsi="Arial" w:cs="Arial"/>
        </w:rPr>
      </w:pPr>
    </w:p>
    <w:p w:rsidRPr="00E278D9" w:rsidR="001E6A29" w:rsidRDefault="001E6A29" w14:paraId="59E0AD39" w14:textId="77777777">
      <w:pPr>
        <w:rPr>
          <w:rFonts w:ascii="Arial" w:hAnsi="Arial" w:cs="Arial"/>
        </w:rPr>
      </w:pPr>
    </w:p>
    <w:p w:rsidRPr="00E278D9" w:rsidR="00721EB2" w:rsidRDefault="00721EB2" w14:paraId="4B55B53C" w14:textId="77777777">
      <w:pPr>
        <w:pStyle w:val="Level1"/>
        <w:tabs>
          <w:tab w:val="left" w:pos="-1440"/>
          <w:tab w:val="num" w:pos="720"/>
        </w:tabs>
        <w:rPr>
          <w:rFonts w:ascii="Arial" w:hAnsi="Arial" w:cs="Arial"/>
          <w:b/>
        </w:rPr>
      </w:pPr>
      <w:r w:rsidRPr="00E278D9">
        <w:rPr>
          <w:rFonts w:ascii="Arial" w:hAnsi="Arial" w:cs="Arial"/>
          <w:b/>
          <w:u w:val="single"/>
        </w:rPr>
        <w:lastRenderedPageBreak/>
        <w:t>SPECIAL CIRCUMSTANCES REQUIRING DATA COLLECTION TO BE</w:t>
      </w:r>
      <w:r w:rsidRPr="00E278D9">
        <w:rPr>
          <w:rFonts w:ascii="Arial" w:hAnsi="Arial" w:cs="Arial"/>
          <w:b/>
        </w:rPr>
        <w:t xml:space="preserve">     </w:t>
      </w:r>
      <w:r w:rsidRPr="00E278D9">
        <w:rPr>
          <w:rFonts w:ascii="Arial" w:hAnsi="Arial" w:cs="Arial"/>
          <w:b/>
          <w:u w:val="single"/>
        </w:rPr>
        <w:t>INCONSISTENT WITH GUIDELINES IN 5 CFR 1320.5(d)(2)</w:t>
      </w:r>
    </w:p>
    <w:p w:rsidRPr="00E278D9" w:rsidR="00721EB2" w:rsidRDefault="00721EB2" w14:paraId="3216AA18" w14:textId="77777777">
      <w:pPr>
        <w:rPr>
          <w:rFonts w:ascii="Arial" w:hAnsi="Arial" w:cs="Arial"/>
        </w:rPr>
      </w:pPr>
    </w:p>
    <w:p w:rsidRPr="00E278D9" w:rsidR="00721EB2" w:rsidRDefault="0065166D" w14:paraId="2A8838C1" w14:textId="77777777">
      <w:pPr>
        <w:ind w:left="720"/>
        <w:rPr>
          <w:rFonts w:ascii="Arial" w:hAnsi="Arial" w:cs="Arial"/>
        </w:rPr>
      </w:pPr>
      <w:r w:rsidRPr="00E278D9">
        <w:rPr>
          <w:rFonts w:ascii="Arial" w:hAnsi="Arial" w:cs="Arial"/>
        </w:rPr>
        <w:t>There are no special circumstances requiring data collection to be inconsistent with Guidelines in 5 CFR 1320.5(d)(2)</w:t>
      </w:r>
      <w:r w:rsidRPr="00E278D9" w:rsidR="00721EB2">
        <w:rPr>
          <w:rFonts w:ascii="Arial" w:hAnsi="Arial" w:cs="Arial"/>
        </w:rPr>
        <w:t>.</w:t>
      </w:r>
    </w:p>
    <w:p w:rsidRPr="00E278D9" w:rsidR="00721EB2" w:rsidRDefault="00721EB2" w14:paraId="46F61C61" w14:textId="77777777">
      <w:pPr>
        <w:rPr>
          <w:rFonts w:ascii="Arial" w:hAnsi="Arial" w:cs="Arial"/>
        </w:rPr>
      </w:pPr>
    </w:p>
    <w:p w:rsidRPr="00E278D9" w:rsidR="00721EB2" w:rsidRDefault="00721EB2" w14:paraId="6AAB8E07" w14:textId="77777777">
      <w:pPr>
        <w:pStyle w:val="Level1"/>
        <w:tabs>
          <w:tab w:val="left" w:pos="-1440"/>
          <w:tab w:val="num" w:pos="720"/>
        </w:tabs>
        <w:rPr>
          <w:rFonts w:ascii="Arial" w:hAnsi="Arial" w:cs="Arial"/>
          <w:b/>
        </w:rPr>
      </w:pPr>
      <w:r w:rsidRPr="00E278D9">
        <w:rPr>
          <w:rFonts w:ascii="Arial" w:hAnsi="Arial" w:cs="Arial"/>
          <w:b/>
          <w:u w:val="single"/>
        </w:rPr>
        <w:t>CONSULTATION WITH INDIVIDUALS OUTSIDE OF THE AGENCY ON</w:t>
      </w:r>
      <w:r w:rsidRPr="00E278D9">
        <w:rPr>
          <w:rFonts w:ascii="Arial" w:hAnsi="Arial" w:cs="Arial"/>
          <w:b/>
        </w:rPr>
        <w:t xml:space="preserve">     </w:t>
      </w:r>
      <w:r w:rsidRPr="00E278D9">
        <w:rPr>
          <w:rFonts w:ascii="Arial" w:hAnsi="Arial" w:cs="Arial"/>
          <w:b/>
          <w:u w:val="single"/>
        </w:rPr>
        <w:t>AVAILABILITY OF DATA, FREQUENCY OF COLLECTION, CLARITY OF INSTRUCTIONS AND FORMS, AND DATA ELEMENTS</w:t>
      </w:r>
    </w:p>
    <w:p w:rsidRPr="00E278D9" w:rsidR="00721EB2" w:rsidRDefault="00721EB2" w14:paraId="527485BF" w14:textId="77777777">
      <w:pPr>
        <w:rPr>
          <w:rFonts w:ascii="Arial" w:hAnsi="Arial" w:cs="Arial"/>
        </w:rPr>
      </w:pPr>
    </w:p>
    <w:p w:rsidR="00721EB2" w:rsidP="00352ED3" w:rsidRDefault="003A692D" w14:paraId="5B3BDD1B" w14:textId="2B5564B7">
      <w:pPr>
        <w:ind w:left="720"/>
        <w:rPr>
          <w:rFonts w:ascii="Arial" w:hAnsi="Arial" w:cs="Arial"/>
          <w:b/>
        </w:rPr>
      </w:pPr>
      <w:r>
        <w:rPr>
          <w:rFonts w:ascii="Arial" w:hAnsi="Arial" w:cs="Arial"/>
        </w:rPr>
        <w:t>IRS</w:t>
      </w:r>
      <w:r w:rsidRPr="00E278D9" w:rsidR="00721EB2">
        <w:rPr>
          <w:rFonts w:ascii="Arial" w:hAnsi="Arial" w:cs="Arial"/>
        </w:rPr>
        <w:t xml:space="preserve"> received no comments during the comment period in response to the</w:t>
      </w:r>
      <w:r w:rsidRPr="00E278D9" w:rsidR="00721EB2">
        <w:rPr>
          <w:rFonts w:ascii="Arial" w:hAnsi="Arial" w:cs="Arial"/>
          <w:b/>
          <w:bCs/>
        </w:rPr>
        <w:t xml:space="preserve"> Federal Register</w:t>
      </w:r>
      <w:r w:rsidRPr="00E278D9" w:rsidR="00721EB2">
        <w:rPr>
          <w:rFonts w:ascii="Arial" w:hAnsi="Arial" w:cs="Arial"/>
        </w:rPr>
        <w:t xml:space="preserve"> </w:t>
      </w:r>
      <w:r w:rsidRPr="00E278D9" w:rsidR="0026031B">
        <w:rPr>
          <w:rFonts w:ascii="Arial" w:hAnsi="Arial" w:cs="Arial"/>
        </w:rPr>
        <w:t>N</w:t>
      </w:r>
      <w:r w:rsidRPr="00E278D9" w:rsidR="00721EB2">
        <w:rPr>
          <w:rFonts w:ascii="Arial" w:hAnsi="Arial" w:cs="Arial"/>
        </w:rPr>
        <w:t xml:space="preserve">otice </w:t>
      </w:r>
      <w:r w:rsidRPr="00E278D9" w:rsidR="0026031B">
        <w:rPr>
          <w:rFonts w:ascii="Arial" w:hAnsi="Arial" w:cs="Arial"/>
        </w:rPr>
        <w:t xml:space="preserve">dated </w:t>
      </w:r>
      <w:r w:rsidR="006D61D7">
        <w:rPr>
          <w:rFonts w:ascii="Arial" w:hAnsi="Arial" w:cs="Arial"/>
        </w:rPr>
        <w:t xml:space="preserve">September </w:t>
      </w:r>
      <w:r w:rsidR="001C1D57">
        <w:rPr>
          <w:rFonts w:ascii="Arial" w:hAnsi="Arial" w:cs="Arial"/>
        </w:rPr>
        <w:t>30</w:t>
      </w:r>
      <w:r w:rsidR="00F101E9">
        <w:rPr>
          <w:rFonts w:ascii="Arial" w:hAnsi="Arial" w:cs="Arial"/>
        </w:rPr>
        <w:t>, 2020</w:t>
      </w:r>
      <w:r w:rsidRPr="00E278D9" w:rsidR="00D5785F">
        <w:rPr>
          <w:rFonts w:ascii="Arial" w:hAnsi="Arial" w:cs="Arial"/>
        </w:rPr>
        <w:t xml:space="preserve"> (</w:t>
      </w:r>
      <w:r w:rsidR="00F101E9">
        <w:rPr>
          <w:rFonts w:ascii="Arial" w:hAnsi="Arial" w:cs="Arial"/>
        </w:rPr>
        <w:t>85</w:t>
      </w:r>
      <w:r w:rsidRPr="00E278D9" w:rsidR="00557814">
        <w:rPr>
          <w:rFonts w:ascii="Arial" w:hAnsi="Arial" w:cs="Arial"/>
        </w:rPr>
        <w:t xml:space="preserve"> FR </w:t>
      </w:r>
      <w:r w:rsidR="001C1D57">
        <w:rPr>
          <w:rFonts w:ascii="Arial" w:hAnsi="Arial" w:cs="Arial"/>
        </w:rPr>
        <w:t>61797</w:t>
      </w:r>
      <w:r w:rsidRPr="00E278D9" w:rsidR="00D5785F">
        <w:rPr>
          <w:rFonts w:ascii="Arial" w:hAnsi="Arial" w:cs="Arial"/>
        </w:rPr>
        <w:t>).</w:t>
      </w:r>
      <w:r w:rsidRPr="00E278D9" w:rsidR="00557814">
        <w:rPr>
          <w:rFonts w:ascii="Arial" w:hAnsi="Arial" w:cs="Arial"/>
          <w:b/>
        </w:rPr>
        <w:t xml:space="preserve"> </w:t>
      </w:r>
    </w:p>
    <w:p w:rsidRPr="00E278D9" w:rsidR="00721EB2" w:rsidRDefault="00721EB2" w14:paraId="229E4427" w14:textId="77777777">
      <w:pPr>
        <w:rPr>
          <w:rFonts w:ascii="Arial" w:hAnsi="Arial" w:cs="Arial"/>
        </w:rPr>
      </w:pPr>
    </w:p>
    <w:p w:rsidRPr="00E278D9" w:rsidR="00721EB2" w:rsidRDefault="00721EB2" w14:paraId="2CA962DD" w14:textId="77777777">
      <w:pPr>
        <w:rPr>
          <w:rFonts w:ascii="Arial" w:hAnsi="Arial" w:cs="Arial"/>
        </w:rPr>
        <w:sectPr w:rsidRPr="00E278D9" w:rsidR="00721EB2" w:rsidSect="00F847BC">
          <w:headerReference w:type="default" r:id="rId13"/>
          <w:type w:val="continuous"/>
          <w:pgSz w:w="12240" w:h="15840"/>
          <w:pgMar w:top="1440" w:right="1440" w:bottom="1260" w:left="1440" w:header="1440" w:footer="1440" w:gutter="0"/>
          <w:cols w:space="720"/>
          <w:noEndnote/>
        </w:sectPr>
      </w:pPr>
    </w:p>
    <w:p w:rsidRPr="00E278D9" w:rsidR="00721EB2" w:rsidRDefault="00721EB2" w14:paraId="794271D4" w14:textId="77777777">
      <w:pPr>
        <w:pStyle w:val="Level1"/>
        <w:tabs>
          <w:tab w:val="left" w:pos="-1440"/>
          <w:tab w:val="num" w:pos="720"/>
        </w:tabs>
        <w:rPr>
          <w:rFonts w:ascii="Arial" w:hAnsi="Arial" w:cs="Arial"/>
          <w:b/>
        </w:rPr>
      </w:pPr>
      <w:r w:rsidRPr="00E278D9">
        <w:rPr>
          <w:rFonts w:ascii="Arial" w:hAnsi="Arial" w:cs="Arial"/>
          <w:b/>
          <w:u w:val="single"/>
        </w:rPr>
        <w:t>EXPLANATION OF DECISION TO PROVIDE ANY PAYMENT OR GIFT TO</w:t>
      </w:r>
      <w:r w:rsidRPr="00E278D9">
        <w:rPr>
          <w:rFonts w:ascii="Arial" w:hAnsi="Arial" w:cs="Arial"/>
          <w:b/>
        </w:rPr>
        <w:t xml:space="preserve">   </w:t>
      </w:r>
      <w:r w:rsidRPr="00E278D9">
        <w:rPr>
          <w:rFonts w:ascii="Arial" w:hAnsi="Arial" w:cs="Arial"/>
          <w:b/>
          <w:u w:val="single"/>
        </w:rPr>
        <w:t>RESPONDENTS</w:t>
      </w:r>
    </w:p>
    <w:p w:rsidRPr="00E278D9" w:rsidR="00721EB2" w:rsidRDefault="00721EB2" w14:paraId="0515BF0A" w14:textId="77777777">
      <w:pPr>
        <w:rPr>
          <w:rFonts w:ascii="Arial" w:hAnsi="Arial" w:cs="Arial"/>
          <w:b/>
        </w:rPr>
      </w:pPr>
    </w:p>
    <w:p w:rsidRPr="00E278D9" w:rsidR="002D1FE5" w:rsidP="00266ABE" w:rsidRDefault="0065166D" w14:paraId="1EBEA7FD" w14:textId="6ED08655">
      <w:pPr>
        <w:ind w:left="720"/>
        <w:rPr>
          <w:rFonts w:ascii="Arial" w:hAnsi="Arial" w:cs="Arial"/>
        </w:rPr>
      </w:pPr>
      <w:r w:rsidRPr="00E278D9">
        <w:rPr>
          <w:rFonts w:ascii="Arial" w:hAnsi="Arial" w:cs="Arial"/>
        </w:rPr>
        <w:t>No payment or gift has been provided to any respondents</w:t>
      </w:r>
      <w:r w:rsidRPr="00E278D9" w:rsidR="00721EB2">
        <w:rPr>
          <w:rFonts w:ascii="Arial" w:hAnsi="Arial" w:cs="Arial"/>
        </w:rPr>
        <w:t>.</w:t>
      </w:r>
    </w:p>
    <w:p w:rsidRPr="00E278D9" w:rsidR="00321C69" w:rsidRDefault="00321C69" w14:paraId="198AEEB5" w14:textId="77777777">
      <w:pPr>
        <w:rPr>
          <w:rFonts w:ascii="Arial" w:hAnsi="Arial" w:cs="Arial"/>
        </w:rPr>
      </w:pPr>
    </w:p>
    <w:p w:rsidRPr="00E278D9" w:rsidR="00721EB2" w:rsidRDefault="00721EB2" w14:paraId="01F44CAE" w14:textId="77777777">
      <w:pPr>
        <w:pStyle w:val="Level1"/>
        <w:tabs>
          <w:tab w:val="left" w:pos="-1440"/>
          <w:tab w:val="num" w:pos="720"/>
        </w:tabs>
        <w:rPr>
          <w:rFonts w:ascii="Arial" w:hAnsi="Arial" w:cs="Arial"/>
          <w:b/>
        </w:rPr>
      </w:pPr>
      <w:r w:rsidRPr="00E278D9">
        <w:rPr>
          <w:rFonts w:ascii="Arial" w:hAnsi="Arial" w:cs="Arial"/>
          <w:b/>
          <w:u w:val="single"/>
        </w:rPr>
        <w:t>ASSURANCE OF CONFIDENTIALITY OF RESPONSES</w:t>
      </w:r>
    </w:p>
    <w:p w:rsidRPr="00E278D9" w:rsidR="00721EB2" w:rsidRDefault="00721EB2" w14:paraId="142E6829" w14:textId="77777777">
      <w:pPr>
        <w:rPr>
          <w:rFonts w:ascii="Arial" w:hAnsi="Arial" w:cs="Arial"/>
          <w:b/>
        </w:rPr>
      </w:pPr>
    </w:p>
    <w:p w:rsidRPr="00E278D9" w:rsidR="00721EB2" w:rsidRDefault="00721EB2" w14:paraId="535EA22C" w14:textId="77777777">
      <w:pPr>
        <w:ind w:left="720"/>
        <w:rPr>
          <w:rFonts w:ascii="Arial" w:hAnsi="Arial" w:cs="Arial"/>
        </w:rPr>
      </w:pPr>
      <w:r w:rsidRPr="00E278D9">
        <w:rPr>
          <w:rFonts w:ascii="Arial" w:hAnsi="Arial" w:cs="Arial"/>
        </w:rPr>
        <w:t>Generally, tax returns and tax return information are confidential as required by 26 USC 6103.</w:t>
      </w:r>
    </w:p>
    <w:p w:rsidRPr="00E278D9" w:rsidR="00721EB2" w:rsidRDefault="00721EB2" w14:paraId="70804215" w14:textId="77777777">
      <w:pPr>
        <w:rPr>
          <w:rFonts w:ascii="Arial" w:hAnsi="Arial" w:cs="Arial"/>
        </w:rPr>
      </w:pPr>
    </w:p>
    <w:p w:rsidRPr="00E278D9" w:rsidR="00721EB2" w:rsidRDefault="00721EB2" w14:paraId="03740024" w14:textId="77777777">
      <w:pPr>
        <w:pStyle w:val="Level1"/>
        <w:tabs>
          <w:tab w:val="left" w:pos="-1440"/>
          <w:tab w:val="num" w:pos="720"/>
        </w:tabs>
        <w:rPr>
          <w:rFonts w:ascii="Arial" w:hAnsi="Arial" w:cs="Arial"/>
          <w:b/>
          <w:u w:val="single"/>
        </w:rPr>
      </w:pPr>
      <w:r w:rsidRPr="00E278D9">
        <w:rPr>
          <w:rFonts w:ascii="Arial" w:hAnsi="Arial" w:cs="Arial"/>
          <w:b/>
          <w:u w:val="single"/>
        </w:rPr>
        <w:t>JUSTIFICATION OF SENSITIVE QUESTIONS</w:t>
      </w:r>
    </w:p>
    <w:p w:rsidRPr="00E278D9" w:rsidR="00721EB2" w:rsidRDefault="00721EB2" w14:paraId="143616C2" w14:textId="77777777">
      <w:pPr>
        <w:rPr>
          <w:rFonts w:ascii="Arial" w:hAnsi="Arial" w:cs="Arial"/>
          <w:b/>
          <w:u w:val="single"/>
        </w:rPr>
      </w:pPr>
    </w:p>
    <w:p w:rsidRPr="00E278D9" w:rsidR="008B0691" w:rsidP="008B0691" w:rsidRDefault="008B0691" w14:paraId="5F21A760" w14:textId="72E77EA3">
      <w:pPr>
        <w:ind w:left="720"/>
        <w:rPr>
          <w:rFonts w:ascii="Arial" w:hAnsi="Arial" w:cs="Arial"/>
          <w:u w:val="single"/>
        </w:rPr>
      </w:pPr>
      <w:r w:rsidRPr="00E278D9">
        <w:rPr>
          <w:rFonts w:ascii="Arial" w:hAnsi="Arial" w:cs="Arial"/>
        </w:rPr>
        <w:t xml:space="preserve">A privacy impact assessment (PIA) has been conducted for information collected under this request as part of the </w:t>
      </w:r>
      <w:r w:rsidRPr="006D61D7" w:rsidR="006D61D7">
        <w:rPr>
          <w:rFonts w:ascii="Arial" w:hAnsi="Arial" w:cs="Arial"/>
        </w:rPr>
        <w:t>“Business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w:t>
      </w:r>
      <w:r w:rsidRPr="00E278D9">
        <w:rPr>
          <w:rFonts w:ascii="Arial" w:hAnsi="Arial" w:cs="Arial"/>
        </w:rPr>
        <w:t xml:space="preserve">. The Internal Revenue Service PIA’s can be found at </w:t>
      </w:r>
      <w:hyperlink w:history="1" r:id="rId14">
        <w:r w:rsidRPr="00E278D9">
          <w:rPr>
            <w:rStyle w:val="Hyperlink"/>
            <w:rFonts w:ascii="Arial" w:hAnsi="Arial" w:cs="Arial"/>
          </w:rPr>
          <w:t>http://www.irs.</w:t>
        </w:r>
        <w:bookmarkStart w:name="_GoBack" w:id="1"/>
        <w:bookmarkEnd w:id="1"/>
        <w:r w:rsidRPr="00E278D9">
          <w:rPr>
            <w:rStyle w:val="Hyperlink"/>
            <w:rFonts w:ascii="Arial" w:hAnsi="Arial" w:cs="Arial"/>
          </w:rPr>
          <w:t>g</w:t>
        </w:r>
        <w:r w:rsidRPr="00E278D9">
          <w:rPr>
            <w:rStyle w:val="Hyperlink"/>
            <w:rFonts w:ascii="Arial" w:hAnsi="Arial" w:cs="Arial"/>
          </w:rPr>
          <w:t>ov/uac/Privacy-Impact-Assessments-PIA</w:t>
        </w:r>
      </w:hyperlink>
      <w:r w:rsidRPr="00E278D9">
        <w:rPr>
          <w:rFonts w:ascii="Arial" w:hAnsi="Arial" w:cs="Arial"/>
        </w:rPr>
        <w:t>.</w:t>
      </w:r>
    </w:p>
    <w:p w:rsidRPr="00E278D9" w:rsidR="008B0691" w:rsidP="008B0691" w:rsidRDefault="008B0691" w14:paraId="291EE4CB" w14:textId="77777777">
      <w:pPr>
        <w:ind w:left="720"/>
        <w:rPr>
          <w:rFonts w:ascii="Arial" w:hAnsi="Arial" w:cs="Arial"/>
          <w:u w:val="single"/>
        </w:rPr>
      </w:pPr>
    </w:p>
    <w:p w:rsidRPr="00E278D9" w:rsidR="008B0691" w:rsidP="008B0691" w:rsidRDefault="008B0691" w14:paraId="213C0E33" w14:textId="35F21D77">
      <w:pPr>
        <w:ind w:left="720"/>
        <w:rPr>
          <w:rFonts w:ascii="Arial" w:hAnsi="Arial" w:cs="Arial"/>
          <w:u w:val="single"/>
        </w:rPr>
      </w:pPr>
      <w:r w:rsidRPr="00E278D9">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006D61D7">
        <w:rPr>
          <w:rFonts w:ascii="Arial" w:hAnsi="Arial" w:cs="Arial"/>
        </w:rPr>
        <w:t xml:space="preserve"> </w:t>
      </w:r>
    </w:p>
    <w:p w:rsidRPr="00E278D9" w:rsidR="00721EB2" w:rsidRDefault="00721EB2" w14:paraId="65C6BCFD" w14:textId="77777777">
      <w:pPr>
        <w:rPr>
          <w:rFonts w:ascii="Arial" w:hAnsi="Arial" w:cs="Arial"/>
        </w:rPr>
      </w:pPr>
    </w:p>
    <w:p w:rsidRPr="00E278D9" w:rsidR="00721EB2" w:rsidRDefault="00721EB2" w14:paraId="144D2196" w14:textId="77777777">
      <w:pPr>
        <w:pStyle w:val="Level1"/>
        <w:tabs>
          <w:tab w:val="left" w:pos="-1440"/>
          <w:tab w:val="num" w:pos="720"/>
        </w:tabs>
        <w:rPr>
          <w:rFonts w:ascii="Arial" w:hAnsi="Arial" w:cs="Arial"/>
          <w:b/>
          <w:u w:val="single"/>
        </w:rPr>
      </w:pPr>
      <w:r w:rsidRPr="00E278D9">
        <w:rPr>
          <w:rFonts w:ascii="Arial" w:hAnsi="Arial" w:cs="Arial"/>
          <w:b/>
          <w:u w:val="single"/>
        </w:rPr>
        <w:t>ESTIMATED BURDEN OF INFORMATION COLLECTION</w:t>
      </w:r>
    </w:p>
    <w:p w:rsidRPr="00E278D9" w:rsidR="00721EB2" w:rsidRDefault="00721EB2" w14:paraId="6E0E2BA4" w14:textId="77777777">
      <w:pPr>
        <w:rPr>
          <w:rFonts w:ascii="Arial" w:hAnsi="Arial" w:cs="Arial"/>
          <w:u w:val="single"/>
        </w:rPr>
      </w:pPr>
    </w:p>
    <w:p w:rsidRPr="00E278D9" w:rsidR="00721EB2" w:rsidP="00321C69" w:rsidRDefault="00C36F76" w14:paraId="5194613F" w14:textId="3F61C7D1">
      <w:pPr>
        <w:ind w:left="720"/>
        <w:rPr>
          <w:rFonts w:ascii="Arial" w:hAnsi="Arial" w:cs="Arial"/>
        </w:rPr>
      </w:pPr>
      <w:r w:rsidRPr="00C36F76">
        <w:rPr>
          <w:rFonts w:ascii="Arial" w:hAnsi="Arial" w:cs="Arial"/>
        </w:rPr>
        <w:t xml:space="preserve">The collection of information is in A–17(a)(6) of section 1.401(a)(9)–6 (disclosure that a contract is intended to be a qualifying longevity annuity contract (QLAC), </w:t>
      </w:r>
      <w:r w:rsidRPr="00C36F76">
        <w:rPr>
          <w:rFonts w:ascii="Arial" w:hAnsi="Arial" w:cs="Arial"/>
        </w:rPr>
        <w:lastRenderedPageBreak/>
        <w:t>defined in A–17 of that section) and section 1.6047–2 (an annual statement must be provided to QLAC owners and their surviving spouses containing information required to be furnished to the IRS)</w:t>
      </w:r>
      <w:r w:rsidRPr="00E278D9" w:rsidR="00EF4C4B">
        <w:rPr>
          <w:rFonts w:ascii="Arial" w:hAnsi="Arial" w:cs="Arial"/>
        </w:rPr>
        <w:t>.</w:t>
      </w:r>
    </w:p>
    <w:p w:rsidR="00721EB2" w:rsidP="00321C69" w:rsidRDefault="00721EB2" w14:paraId="04471CBB" w14:textId="546B9B0A">
      <w:pPr>
        <w:ind w:left="720"/>
        <w:rPr>
          <w:rFonts w:ascii="Arial" w:hAnsi="Arial" w:cs="Arial"/>
        </w:rPr>
      </w:pPr>
    </w:p>
    <w:p w:rsidR="00C36F76" w:rsidP="00321C69" w:rsidRDefault="00C36F76" w14:paraId="3F27A015" w14:textId="514DE93B">
      <w:pPr>
        <w:ind w:left="720"/>
        <w:rPr>
          <w:rFonts w:ascii="Arial" w:hAnsi="Arial" w:cs="Arial"/>
        </w:rPr>
      </w:pPr>
      <w:r w:rsidRPr="00C36F76">
        <w:rPr>
          <w:rFonts w:ascii="Arial" w:hAnsi="Arial" w:cs="Arial"/>
        </w:rPr>
        <w:t>The regulations require respondents to disclose that an annuity contract is intended to be a qualifying longevity annuity contract and to furnish statements about these contracts. Form 1098-Q and its instructions implement the reporting requirements. It is estimated to take an average of 8 minutes per response.  Therefore, the total annual recordkeeping burden to provide 213,966 responses is 28,529 hours</w:t>
      </w:r>
    </w:p>
    <w:p w:rsidRPr="00E278D9" w:rsidR="00C36F76" w:rsidP="00321C69" w:rsidRDefault="00C36F76" w14:paraId="44639331" w14:textId="45712CB6">
      <w:pPr>
        <w:ind w:left="720"/>
        <w:rPr>
          <w:rFonts w:ascii="Arial" w:hAnsi="Arial" w:cs="Arial"/>
        </w:rPr>
        <w:sectPr w:rsidRPr="00E278D9" w:rsidR="00C36F76">
          <w:type w:val="continuous"/>
          <w:pgSz w:w="12240" w:h="15840"/>
          <w:pgMar w:top="1440" w:right="1440" w:bottom="1440" w:left="1440" w:header="1440" w:footer="1440" w:gutter="0"/>
          <w:cols w:space="720"/>
          <w:noEndnote/>
        </w:sectPr>
      </w:pPr>
    </w:p>
    <w:p w:rsidRPr="00E278D9" w:rsidR="0065166D" w:rsidP="0065166D" w:rsidRDefault="0065166D" w14:paraId="3B128875" w14:textId="77777777">
      <w:pPr>
        <w:pStyle w:val="SupportingStatementSTANDARD"/>
        <w:rPr>
          <w:rFonts w:ascii="Arial" w:hAnsi="Arial" w:cs="Arial"/>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22"/>
        <w:gridCol w:w="1737"/>
        <w:gridCol w:w="1603"/>
        <w:gridCol w:w="1497"/>
        <w:gridCol w:w="1364"/>
        <w:gridCol w:w="1107"/>
      </w:tblGrid>
      <w:tr w:rsidRPr="00E278D9" w:rsidR="0065166D" w:rsidTr="00606FDF" w14:paraId="30576779" w14:textId="77777777">
        <w:tc>
          <w:tcPr>
            <w:tcW w:w="1818" w:type="dxa"/>
            <w:shd w:val="clear" w:color="auto" w:fill="auto"/>
            <w:vAlign w:val="center"/>
          </w:tcPr>
          <w:p w:rsidRPr="00E278D9" w:rsidR="0065166D" w:rsidP="00606FDF" w:rsidRDefault="0065166D" w14:paraId="5109B92F" w14:textId="77777777">
            <w:pPr>
              <w:pStyle w:val="SupportingStatementSTANDARD"/>
              <w:ind w:left="0" w:firstLine="0"/>
              <w:jc w:val="center"/>
              <w:rPr>
                <w:rFonts w:ascii="Arial" w:hAnsi="Arial" w:cs="Arial"/>
                <w:b/>
                <w:bCs/>
              </w:rPr>
            </w:pPr>
            <w:r w:rsidRPr="00E278D9">
              <w:rPr>
                <w:rFonts w:ascii="Arial" w:hAnsi="Arial" w:cs="Arial"/>
                <w:b/>
                <w:bCs/>
              </w:rPr>
              <w:t>Section</w:t>
            </w:r>
          </w:p>
        </w:tc>
        <w:tc>
          <w:tcPr>
            <w:tcW w:w="1530" w:type="dxa"/>
            <w:shd w:val="clear" w:color="auto" w:fill="auto"/>
            <w:vAlign w:val="center"/>
          </w:tcPr>
          <w:p w:rsidRPr="00E278D9" w:rsidR="0065166D" w:rsidP="00606FDF" w:rsidRDefault="0065166D" w14:paraId="7D122141" w14:textId="77777777">
            <w:pPr>
              <w:pStyle w:val="SupportingStatementSTANDARD"/>
              <w:ind w:left="0" w:firstLine="0"/>
              <w:jc w:val="center"/>
              <w:rPr>
                <w:rFonts w:ascii="Arial" w:hAnsi="Arial" w:cs="Arial"/>
                <w:b/>
                <w:bCs/>
              </w:rPr>
            </w:pPr>
            <w:r w:rsidRPr="00E278D9">
              <w:rPr>
                <w:rFonts w:ascii="Arial" w:hAnsi="Arial" w:cs="Arial"/>
                <w:b/>
                <w:bCs/>
              </w:rPr>
              <w:t># Respondents</w:t>
            </w:r>
          </w:p>
        </w:tc>
        <w:tc>
          <w:tcPr>
            <w:tcW w:w="1440" w:type="dxa"/>
            <w:shd w:val="clear" w:color="auto" w:fill="auto"/>
            <w:vAlign w:val="center"/>
          </w:tcPr>
          <w:p w:rsidRPr="00E278D9" w:rsidR="0065166D" w:rsidP="00606FDF" w:rsidRDefault="0065166D" w14:paraId="3B92AB02" w14:textId="77777777">
            <w:pPr>
              <w:pStyle w:val="SupportingStatementSTANDARD"/>
              <w:ind w:left="0" w:firstLine="0"/>
              <w:jc w:val="center"/>
              <w:rPr>
                <w:rFonts w:ascii="Arial" w:hAnsi="Arial" w:cs="Arial"/>
                <w:b/>
                <w:bCs/>
              </w:rPr>
            </w:pPr>
            <w:r w:rsidRPr="00E278D9">
              <w:rPr>
                <w:rFonts w:ascii="Arial" w:hAnsi="Arial" w:cs="Arial"/>
                <w:b/>
                <w:bCs/>
              </w:rPr>
              <w:t># Responses Per Respondent</w:t>
            </w:r>
          </w:p>
        </w:tc>
        <w:tc>
          <w:tcPr>
            <w:tcW w:w="1440" w:type="dxa"/>
            <w:shd w:val="clear" w:color="auto" w:fill="auto"/>
            <w:vAlign w:val="center"/>
          </w:tcPr>
          <w:p w:rsidRPr="00E278D9" w:rsidR="0065166D" w:rsidP="00606FDF" w:rsidRDefault="0065166D" w14:paraId="04B730E4" w14:textId="77777777">
            <w:pPr>
              <w:pStyle w:val="SupportingStatementSTANDARD"/>
              <w:ind w:left="0" w:firstLine="0"/>
              <w:jc w:val="center"/>
              <w:rPr>
                <w:rFonts w:ascii="Arial" w:hAnsi="Arial" w:cs="Arial"/>
                <w:b/>
                <w:bCs/>
              </w:rPr>
            </w:pPr>
            <w:r w:rsidRPr="00E278D9">
              <w:rPr>
                <w:rFonts w:ascii="Arial" w:hAnsi="Arial" w:cs="Arial"/>
                <w:b/>
                <w:bCs/>
              </w:rPr>
              <w:t># Annual Responses</w:t>
            </w:r>
          </w:p>
        </w:tc>
        <w:tc>
          <w:tcPr>
            <w:tcW w:w="1350" w:type="dxa"/>
            <w:shd w:val="clear" w:color="auto" w:fill="auto"/>
            <w:vAlign w:val="center"/>
          </w:tcPr>
          <w:p w:rsidRPr="00E278D9" w:rsidR="0065166D" w:rsidP="00606FDF" w:rsidRDefault="0065166D" w14:paraId="02DB410C" w14:textId="77777777">
            <w:pPr>
              <w:pStyle w:val="SupportingStatementSTANDARD"/>
              <w:ind w:left="0" w:firstLine="0"/>
              <w:jc w:val="center"/>
              <w:rPr>
                <w:rFonts w:ascii="Arial" w:hAnsi="Arial" w:cs="Arial"/>
                <w:b/>
                <w:bCs/>
              </w:rPr>
            </w:pPr>
            <w:r w:rsidRPr="00E278D9">
              <w:rPr>
                <w:rFonts w:ascii="Arial" w:hAnsi="Arial" w:cs="Arial"/>
                <w:b/>
                <w:bCs/>
              </w:rPr>
              <w:t>Hours Per Response</w:t>
            </w:r>
          </w:p>
        </w:tc>
        <w:tc>
          <w:tcPr>
            <w:tcW w:w="1278" w:type="dxa"/>
            <w:shd w:val="clear" w:color="auto" w:fill="auto"/>
            <w:vAlign w:val="center"/>
          </w:tcPr>
          <w:p w:rsidRPr="00E278D9" w:rsidR="0065166D" w:rsidP="00606FDF" w:rsidRDefault="0065166D" w14:paraId="305B0EE6" w14:textId="77777777">
            <w:pPr>
              <w:pStyle w:val="SupportingStatementSTANDARD"/>
              <w:ind w:left="0" w:firstLine="0"/>
              <w:jc w:val="center"/>
              <w:rPr>
                <w:rFonts w:ascii="Arial" w:hAnsi="Arial" w:cs="Arial"/>
                <w:b/>
                <w:bCs/>
              </w:rPr>
            </w:pPr>
            <w:r w:rsidRPr="00E278D9">
              <w:rPr>
                <w:rFonts w:ascii="Arial" w:hAnsi="Arial" w:cs="Arial"/>
                <w:b/>
                <w:bCs/>
              </w:rPr>
              <w:t>Total Annual Burden</w:t>
            </w:r>
          </w:p>
        </w:tc>
      </w:tr>
      <w:tr w:rsidRPr="00E278D9" w:rsidR="0065166D" w:rsidTr="00606FDF" w14:paraId="0E75F01C" w14:textId="77777777">
        <w:tc>
          <w:tcPr>
            <w:tcW w:w="1818" w:type="dxa"/>
            <w:shd w:val="clear" w:color="auto" w:fill="auto"/>
            <w:vAlign w:val="center"/>
          </w:tcPr>
          <w:p w:rsidRPr="00E278D9" w:rsidR="0065166D" w:rsidP="0065166D" w:rsidRDefault="0065166D" w14:paraId="2429563D" w14:textId="19E7F34B">
            <w:pPr>
              <w:pStyle w:val="SupportingStatementSTANDARD"/>
              <w:ind w:left="0" w:firstLine="0"/>
              <w:rPr>
                <w:rFonts w:ascii="Arial" w:hAnsi="Arial" w:cs="Arial"/>
              </w:rPr>
            </w:pPr>
          </w:p>
        </w:tc>
        <w:tc>
          <w:tcPr>
            <w:tcW w:w="1530" w:type="dxa"/>
            <w:shd w:val="clear" w:color="auto" w:fill="auto"/>
            <w:vAlign w:val="center"/>
          </w:tcPr>
          <w:p w:rsidRPr="00E278D9" w:rsidR="0065166D" w:rsidP="00606FDF" w:rsidRDefault="0065166D" w14:paraId="60DE2E5C" w14:textId="214973B0">
            <w:pPr>
              <w:pStyle w:val="SupportingStatementSTANDARD"/>
              <w:ind w:left="0" w:firstLine="0"/>
              <w:jc w:val="center"/>
              <w:rPr>
                <w:rFonts w:ascii="Arial" w:hAnsi="Arial" w:cs="Arial"/>
              </w:rPr>
            </w:pPr>
          </w:p>
        </w:tc>
        <w:tc>
          <w:tcPr>
            <w:tcW w:w="1440" w:type="dxa"/>
            <w:shd w:val="clear" w:color="auto" w:fill="auto"/>
            <w:vAlign w:val="center"/>
          </w:tcPr>
          <w:p w:rsidRPr="00E278D9" w:rsidR="0065166D" w:rsidP="00606FDF" w:rsidRDefault="0065166D" w14:paraId="46A57536" w14:textId="1AE6BF66">
            <w:pPr>
              <w:pStyle w:val="SupportingStatementSTANDARD"/>
              <w:ind w:left="0" w:firstLine="0"/>
              <w:jc w:val="center"/>
              <w:rPr>
                <w:rFonts w:ascii="Arial" w:hAnsi="Arial" w:cs="Arial"/>
              </w:rPr>
            </w:pPr>
          </w:p>
        </w:tc>
        <w:tc>
          <w:tcPr>
            <w:tcW w:w="1440" w:type="dxa"/>
            <w:shd w:val="clear" w:color="auto" w:fill="auto"/>
            <w:vAlign w:val="center"/>
          </w:tcPr>
          <w:p w:rsidRPr="00E278D9" w:rsidR="0065166D" w:rsidP="00606FDF" w:rsidRDefault="0065166D" w14:paraId="548E60C6" w14:textId="2E7007C4">
            <w:pPr>
              <w:pStyle w:val="SupportingStatementSTANDARD"/>
              <w:ind w:left="0" w:firstLine="0"/>
              <w:jc w:val="center"/>
              <w:rPr>
                <w:rFonts w:ascii="Arial" w:hAnsi="Arial" w:cs="Arial"/>
              </w:rPr>
            </w:pPr>
          </w:p>
        </w:tc>
        <w:tc>
          <w:tcPr>
            <w:tcW w:w="1350" w:type="dxa"/>
            <w:shd w:val="clear" w:color="auto" w:fill="auto"/>
            <w:vAlign w:val="center"/>
          </w:tcPr>
          <w:p w:rsidRPr="00E278D9" w:rsidR="0065166D" w:rsidP="00606FDF" w:rsidRDefault="0065166D" w14:paraId="752362B2" w14:textId="5590C8B1">
            <w:pPr>
              <w:pStyle w:val="SupportingStatementSTANDARD"/>
              <w:ind w:left="0" w:firstLine="0"/>
              <w:jc w:val="center"/>
              <w:rPr>
                <w:rFonts w:ascii="Arial" w:hAnsi="Arial" w:cs="Arial"/>
              </w:rPr>
            </w:pPr>
          </w:p>
        </w:tc>
        <w:tc>
          <w:tcPr>
            <w:tcW w:w="1278" w:type="dxa"/>
            <w:shd w:val="clear" w:color="auto" w:fill="auto"/>
            <w:vAlign w:val="center"/>
          </w:tcPr>
          <w:p w:rsidRPr="00E278D9" w:rsidR="0065166D" w:rsidP="00606FDF" w:rsidRDefault="0065166D" w14:paraId="698E2D8A" w14:textId="4A19A9B8">
            <w:pPr>
              <w:pStyle w:val="SupportingStatementSTANDARD"/>
              <w:ind w:left="0" w:firstLine="0"/>
              <w:jc w:val="center"/>
              <w:rPr>
                <w:rFonts w:ascii="Arial" w:hAnsi="Arial" w:cs="Arial"/>
              </w:rPr>
            </w:pPr>
          </w:p>
        </w:tc>
      </w:tr>
      <w:tr w:rsidRPr="00E278D9" w:rsidR="0065166D" w:rsidTr="00606FDF" w14:paraId="087F8BB5" w14:textId="77777777">
        <w:tc>
          <w:tcPr>
            <w:tcW w:w="1818" w:type="dxa"/>
            <w:shd w:val="clear" w:color="auto" w:fill="auto"/>
            <w:vAlign w:val="center"/>
          </w:tcPr>
          <w:p w:rsidR="00C36F76" w:rsidP="00C36F76" w:rsidRDefault="00C36F76" w14:paraId="42B41A47"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26 CFR </w:t>
            </w:r>
            <w:r w:rsidRPr="00877C64">
              <w:rPr>
                <w:rFonts w:ascii="Arial Narrow" w:hAnsi="Arial Narrow"/>
                <w:sz w:val="18"/>
                <w:szCs w:val="18"/>
              </w:rPr>
              <w:t xml:space="preserve">1.401(a)(9)-6 </w:t>
            </w:r>
          </w:p>
          <w:p w:rsidRPr="00E278D9" w:rsidR="0065166D" w:rsidP="00C36F76" w:rsidRDefault="00C36F76" w14:paraId="5D892801" w14:textId="4D9D3800">
            <w:pPr>
              <w:keepNext/>
              <w:keepLines/>
              <w:numPr>
                <w:ilvl w:val="12"/>
                <w:numId w:val="0"/>
              </w:numPr>
              <w:jc w:val="center"/>
              <w:rPr>
                <w:rFonts w:ascii="Arial" w:hAnsi="Arial" w:cs="Arial"/>
              </w:rPr>
            </w:pPr>
            <w:r w:rsidRPr="00877C64">
              <w:rPr>
                <w:rFonts w:ascii="Arial Narrow" w:hAnsi="Arial Narrow"/>
                <w:sz w:val="18"/>
                <w:szCs w:val="18"/>
              </w:rPr>
              <w:t>and 1.6047-2</w:t>
            </w:r>
          </w:p>
        </w:tc>
        <w:tc>
          <w:tcPr>
            <w:tcW w:w="1530" w:type="dxa"/>
            <w:shd w:val="clear" w:color="auto" w:fill="auto"/>
            <w:vAlign w:val="center"/>
          </w:tcPr>
          <w:p w:rsidRPr="00E278D9" w:rsidR="0065166D" w:rsidP="00606FDF" w:rsidRDefault="00C36F76" w14:paraId="71D0934A" w14:textId="6D3830DF">
            <w:pPr>
              <w:pStyle w:val="SupportingStatementSTANDARD"/>
              <w:ind w:left="0" w:firstLine="0"/>
              <w:jc w:val="center"/>
              <w:rPr>
                <w:rFonts w:ascii="Arial" w:hAnsi="Arial" w:cs="Arial"/>
              </w:rPr>
            </w:pPr>
            <w:r>
              <w:rPr>
                <w:rFonts w:ascii="Arial" w:hAnsi="Arial" w:cs="Arial"/>
              </w:rPr>
              <w:t>150</w:t>
            </w:r>
          </w:p>
        </w:tc>
        <w:tc>
          <w:tcPr>
            <w:tcW w:w="1440" w:type="dxa"/>
            <w:shd w:val="clear" w:color="auto" w:fill="auto"/>
            <w:vAlign w:val="center"/>
          </w:tcPr>
          <w:p w:rsidRPr="00E278D9" w:rsidR="0065166D" w:rsidP="00606FDF" w:rsidRDefault="00C36F76" w14:paraId="69AF716C" w14:textId="1144CEB5">
            <w:pPr>
              <w:pStyle w:val="SupportingStatementSTANDARD"/>
              <w:ind w:left="0" w:firstLine="0"/>
              <w:jc w:val="center"/>
              <w:rPr>
                <w:rFonts w:ascii="Arial" w:hAnsi="Arial" w:cs="Arial"/>
              </w:rPr>
            </w:pPr>
            <w:r>
              <w:rPr>
                <w:rFonts w:ascii="Arial" w:hAnsi="Arial" w:cs="Arial"/>
              </w:rPr>
              <w:t>1426.44</w:t>
            </w:r>
          </w:p>
        </w:tc>
        <w:tc>
          <w:tcPr>
            <w:tcW w:w="1440" w:type="dxa"/>
            <w:shd w:val="clear" w:color="auto" w:fill="auto"/>
            <w:vAlign w:val="center"/>
          </w:tcPr>
          <w:p w:rsidRPr="00E278D9" w:rsidR="0065166D" w:rsidP="00606FDF" w:rsidRDefault="00C36F76" w14:paraId="0A9F19AC" w14:textId="4987D1A3">
            <w:pPr>
              <w:pStyle w:val="SupportingStatementSTANDARD"/>
              <w:ind w:left="0" w:firstLine="0"/>
              <w:jc w:val="center"/>
              <w:rPr>
                <w:rFonts w:ascii="Arial" w:hAnsi="Arial" w:cs="Arial"/>
              </w:rPr>
            </w:pPr>
            <w:r>
              <w:rPr>
                <w:rFonts w:ascii="Arial" w:hAnsi="Arial" w:cs="Arial"/>
              </w:rPr>
              <w:t>213,966</w:t>
            </w:r>
          </w:p>
        </w:tc>
        <w:tc>
          <w:tcPr>
            <w:tcW w:w="1350" w:type="dxa"/>
            <w:shd w:val="clear" w:color="auto" w:fill="auto"/>
            <w:vAlign w:val="center"/>
          </w:tcPr>
          <w:p w:rsidRPr="00E278D9" w:rsidR="0065166D" w:rsidP="00606FDF" w:rsidRDefault="00C36F76" w14:paraId="14A8A25F" w14:textId="4998DF03">
            <w:pPr>
              <w:pStyle w:val="SupportingStatementSTANDARD"/>
              <w:ind w:left="0" w:firstLine="0"/>
              <w:jc w:val="center"/>
              <w:rPr>
                <w:rFonts w:ascii="Arial" w:hAnsi="Arial" w:cs="Arial"/>
              </w:rPr>
            </w:pPr>
            <w:r>
              <w:rPr>
                <w:rFonts w:ascii="Arial" w:hAnsi="Arial" w:cs="Arial"/>
              </w:rPr>
              <w:t>.</w:t>
            </w:r>
            <w:r w:rsidR="003B2D84">
              <w:rPr>
                <w:rFonts w:ascii="Arial" w:hAnsi="Arial" w:cs="Arial"/>
              </w:rPr>
              <w:t>13</w:t>
            </w:r>
          </w:p>
        </w:tc>
        <w:tc>
          <w:tcPr>
            <w:tcW w:w="1278" w:type="dxa"/>
            <w:shd w:val="clear" w:color="auto" w:fill="auto"/>
            <w:vAlign w:val="center"/>
          </w:tcPr>
          <w:p w:rsidRPr="00E278D9" w:rsidR="0065166D" w:rsidP="00606FDF" w:rsidRDefault="003B2D84" w14:paraId="2469C38C" w14:textId="466B7C30">
            <w:pPr>
              <w:pStyle w:val="SupportingStatementSTANDARD"/>
              <w:ind w:left="0" w:firstLine="0"/>
              <w:jc w:val="center"/>
              <w:rPr>
                <w:rFonts w:ascii="Arial" w:hAnsi="Arial" w:cs="Arial"/>
              </w:rPr>
            </w:pPr>
            <w:r>
              <w:rPr>
                <w:rFonts w:ascii="Arial" w:hAnsi="Arial" w:cs="Arial"/>
              </w:rPr>
              <w:t>28,529</w:t>
            </w:r>
          </w:p>
        </w:tc>
      </w:tr>
      <w:tr w:rsidRPr="00E278D9" w:rsidR="008739D6" w:rsidTr="00606FDF" w14:paraId="67F49491" w14:textId="77777777">
        <w:trPr>
          <w:trHeight w:val="557"/>
        </w:trPr>
        <w:tc>
          <w:tcPr>
            <w:tcW w:w="1818" w:type="dxa"/>
            <w:shd w:val="clear" w:color="auto" w:fill="auto"/>
            <w:vAlign w:val="center"/>
          </w:tcPr>
          <w:p w:rsidRPr="00E278D9" w:rsidR="008739D6" w:rsidP="00606FDF" w:rsidRDefault="008739D6" w14:paraId="411D53B2" w14:textId="77777777">
            <w:pPr>
              <w:pStyle w:val="SupportingStatementSTANDARD"/>
              <w:ind w:left="0" w:firstLine="0"/>
              <w:rPr>
                <w:rFonts w:ascii="Arial" w:hAnsi="Arial" w:cs="Arial"/>
                <w:b/>
                <w:bCs/>
              </w:rPr>
            </w:pPr>
            <w:r w:rsidRPr="00E278D9">
              <w:rPr>
                <w:rFonts w:ascii="Arial" w:hAnsi="Arial" w:cs="Arial"/>
                <w:b/>
                <w:bCs/>
              </w:rPr>
              <w:t>TOTALS</w:t>
            </w:r>
          </w:p>
        </w:tc>
        <w:tc>
          <w:tcPr>
            <w:tcW w:w="1530" w:type="dxa"/>
            <w:shd w:val="clear" w:color="auto" w:fill="auto"/>
            <w:vAlign w:val="center"/>
          </w:tcPr>
          <w:p w:rsidRPr="00E278D9" w:rsidR="008739D6" w:rsidP="00606FDF" w:rsidRDefault="00C36F76" w14:paraId="1D20A6FD" w14:textId="4B7A3686">
            <w:pPr>
              <w:pStyle w:val="SupportingStatementSTANDARD"/>
              <w:ind w:left="0" w:firstLine="0"/>
              <w:jc w:val="center"/>
              <w:rPr>
                <w:rFonts w:ascii="Arial" w:hAnsi="Arial" w:cs="Arial"/>
                <w:b/>
                <w:bCs/>
              </w:rPr>
            </w:pPr>
            <w:r>
              <w:rPr>
                <w:rFonts w:ascii="Arial" w:hAnsi="Arial" w:cs="Arial"/>
                <w:b/>
                <w:bCs/>
              </w:rPr>
              <w:t>150</w:t>
            </w:r>
          </w:p>
        </w:tc>
        <w:tc>
          <w:tcPr>
            <w:tcW w:w="1440" w:type="dxa"/>
            <w:shd w:val="clear" w:color="auto" w:fill="auto"/>
            <w:vAlign w:val="center"/>
          </w:tcPr>
          <w:p w:rsidRPr="00E278D9" w:rsidR="008739D6" w:rsidP="00606FDF" w:rsidRDefault="008739D6" w14:paraId="08B2EACA" w14:textId="77777777">
            <w:pPr>
              <w:pStyle w:val="SupportingStatementSTANDARD"/>
              <w:ind w:left="0" w:firstLine="0"/>
              <w:jc w:val="center"/>
              <w:rPr>
                <w:rFonts w:ascii="Arial" w:hAnsi="Arial" w:cs="Arial"/>
                <w:b/>
                <w:bCs/>
              </w:rPr>
            </w:pPr>
          </w:p>
        </w:tc>
        <w:tc>
          <w:tcPr>
            <w:tcW w:w="1440" w:type="dxa"/>
            <w:shd w:val="clear" w:color="auto" w:fill="auto"/>
            <w:vAlign w:val="center"/>
          </w:tcPr>
          <w:p w:rsidRPr="00E278D9" w:rsidR="008739D6" w:rsidP="00606FDF" w:rsidRDefault="00C36F76" w14:paraId="52E607AC" w14:textId="7D0758A8">
            <w:pPr>
              <w:pStyle w:val="SupportingStatementSTANDARD"/>
              <w:ind w:left="0" w:firstLine="0"/>
              <w:jc w:val="center"/>
              <w:rPr>
                <w:rFonts w:ascii="Arial" w:hAnsi="Arial" w:cs="Arial"/>
                <w:b/>
                <w:bCs/>
              </w:rPr>
            </w:pPr>
            <w:r>
              <w:rPr>
                <w:rFonts w:ascii="Arial" w:hAnsi="Arial" w:cs="Arial"/>
                <w:b/>
                <w:bCs/>
              </w:rPr>
              <w:t>213,966</w:t>
            </w:r>
          </w:p>
        </w:tc>
        <w:tc>
          <w:tcPr>
            <w:tcW w:w="1350" w:type="dxa"/>
            <w:shd w:val="clear" w:color="auto" w:fill="auto"/>
            <w:vAlign w:val="center"/>
          </w:tcPr>
          <w:p w:rsidRPr="00E278D9" w:rsidR="008739D6" w:rsidP="00606FDF" w:rsidRDefault="008739D6" w14:paraId="5DC1257A" w14:textId="77777777">
            <w:pPr>
              <w:pStyle w:val="SupportingStatementSTANDARD"/>
              <w:ind w:left="0" w:firstLine="0"/>
              <w:jc w:val="center"/>
              <w:rPr>
                <w:rFonts w:ascii="Arial" w:hAnsi="Arial" w:cs="Arial"/>
              </w:rPr>
            </w:pPr>
          </w:p>
        </w:tc>
        <w:tc>
          <w:tcPr>
            <w:tcW w:w="1278" w:type="dxa"/>
            <w:shd w:val="clear" w:color="auto" w:fill="auto"/>
            <w:vAlign w:val="center"/>
          </w:tcPr>
          <w:p w:rsidRPr="00E278D9" w:rsidR="008739D6" w:rsidP="00606FDF" w:rsidRDefault="003B2D84" w14:paraId="55C7AAE9" w14:textId="09A7506B">
            <w:pPr>
              <w:pStyle w:val="SupportingStatementSTANDARD"/>
              <w:ind w:left="0" w:firstLine="0"/>
              <w:jc w:val="center"/>
              <w:rPr>
                <w:rFonts w:ascii="Arial" w:hAnsi="Arial" w:cs="Arial"/>
                <w:b/>
                <w:bCs/>
              </w:rPr>
            </w:pPr>
            <w:r>
              <w:rPr>
                <w:rFonts w:ascii="Arial" w:hAnsi="Arial" w:cs="Arial"/>
                <w:b/>
                <w:bCs/>
              </w:rPr>
              <w:t>28,529</w:t>
            </w:r>
          </w:p>
        </w:tc>
      </w:tr>
    </w:tbl>
    <w:p w:rsidRPr="00E278D9" w:rsidR="0065166D" w:rsidP="0065166D" w:rsidRDefault="0065166D" w14:paraId="2CF47C68" w14:textId="77777777">
      <w:pPr>
        <w:pStyle w:val="SupportingStatementSTANDARD"/>
        <w:rPr>
          <w:rFonts w:ascii="Arial" w:hAnsi="Arial" w:cs="Arial"/>
        </w:rPr>
      </w:pPr>
    </w:p>
    <w:p w:rsidRPr="00E278D9" w:rsidR="0065166D" w:rsidP="0065166D" w:rsidRDefault="0065166D" w14:paraId="3A5573AE" w14:textId="28E6B8D9">
      <w:pPr>
        <w:pStyle w:val="SupportingStatementSTANDARD"/>
        <w:tabs>
          <w:tab w:val="clear" w:pos="720"/>
        </w:tabs>
        <w:ind w:firstLine="0"/>
        <w:rPr>
          <w:rFonts w:ascii="Arial" w:hAnsi="Arial" w:cs="Arial"/>
        </w:rPr>
      </w:pPr>
      <w:r w:rsidRPr="00E278D9">
        <w:rPr>
          <w:rFonts w:ascii="Arial" w:hAnsi="Arial" w:cs="Arial"/>
        </w:rPr>
        <w:t>Please continue to assign OMB number 1545-</w:t>
      </w:r>
      <w:r w:rsidR="00C36F76">
        <w:rPr>
          <w:rFonts w:ascii="Arial" w:hAnsi="Arial" w:cs="Arial"/>
        </w:rPr>
        <w:t>2234</w:t>
      </w:r>
      <w:r w:rsidRPr="00E278D9">
        <w:rPr>
          <w:rFonts w:ascii="Arial" w:hAnsi="Arial" w:cs="Arial"/>
        </w:rPr>
        <w:t xml:space="preserve"> to these regulations</w:t>
      </w:r>
      <w:r w:rsidR="00C36F76">
        <w:rPr>
          <w:rFonts w:ascii="Arial" w:hAnsi="Arial" w:cs="Arial"/>
        </w:rPr>
        <w:t>:</w:t>
      </w:r>
    </w:p>
    <w:p w:rsidR="00C36F76" w:rsidP="00C36F76" w:rsidRDefault="00C36F76" w14:paraId="2323178D" w14:textId="77777777">
      <w:pPr>
        <w:pStyle w:val="SupportingStatementSTANDARD"/>
        <w:tabs>
          <w:tab w:val="clear" w:pos="720"/>
        </w:tabs>
        <w:ind w:firstLine="720"/>
        <w:rPr>
          <w:rFonts w:ascii="Arial" w:hAnsi="Arial" w:cs="Arial"/>
        </w:rPr>
      </w:pPr>
    </w:p>
    <w:p w:rsidRPr="00E278D9" w:rsidR="0065166D" w:rsidP="00C36F76" w:rsidRDefault="0065166D" w14:paraId="7B43A224" w14:textId="72F459BA">
      <w:pPr>
        <w:pStyle w:val="SupportingStatementSTANDARD"/>
        <w:tabs>
          <w:tab w:val="clear" w:pos="720"/>
        </w:tabs>
        <w:ind w:firstLine="0"/>
        <w:rPr>
          <w:rFonts w:ascii="Arial" w:hAnsi="Arial" w:cs="Arial"/>
        </w:rPr>
      </w:pPr>
      <w:r w:rsidRPr="00E278D9">
        <w:rPr>
          <w:rFonts w:ascii="Arial" w:hAnsi="Arial" w:cs="Arial"/>
        </w:rPr>
        <w:t>1.</w:t>
      </w:r>
      <w:r w:rsidR="00C36F76">
        <w:rPr>
          <w:rFonts w:ascii="Arial" w:hAnsi="Arial" w:cs="Arial"/>
        </w:rPr>
        <w:t>401(a)(9)-6</w:t>
      </w:r>
      <w:r w:rsidR="00C36F76">
        <w:rPr>
          <w:rFonts w:ascii="Arial" w:hAnsi="Arial" w:cs="Arial"/>
        </w:rPr>
        <w:tab/>
      </w:r>
      <w:r w:rsidR="00C36F76">
        <w:rPr>
          <w:rFonts w:ascii="Arial" w:hAnsi="Arial" w:cs="Arial"/>
        </w:rPr>
        <w:tab/>
      </w:r>
      <w:r w:rsidR="00C36F76">
        <w:rPr>
          <w:rFonts w:ascii="Arial" w:hAnsi="Arial" w:cs="Arial"/>
        </w:rPr>
        <w:tab/>
        <w:t>1.6047-2</w:t>
      </w:r>
      <w:r w:rsidRPr="00E278D9">
        <w:rPr>
          <w:rFonts w:ascii="Arial" w:hAnsi="Arial" w:cs="Arial"/>
        </w:rPr>
        <w:t xml:space="preserve"> </w:t>
      </w:r>
      <w:r w:rsidRPr="00E278D9">
        <w:rPr>
          <w:rFonts w:ascii="Arial" w:hAnsi="Arial" w:cs="Arial"/>
        </w:rPr>
        <w:tab/>
      </w:r>
    </w:p>
    <w:p w:rsidRPr="00E278D9" w:rsidR="0065166D" w:rsidP="00D5785F" w:rsidRDefault="0065166D" w14:paraId="6CB0274D" w14:textId="77777777">
      <w:pPr>
        <w:pStyle w:val="Level1"/>
        <w:numPr>
          <w:ilvl w:val="0"/>
          <w:numId w:val="0"/>
        </w:numPr>
        <w:tabs>
          <w:tab w:val="left" w:pos="-1440"/>
        </w:tabs>
        <w:rPr>
          <w:rFonts w:ascii="Arial" w:hAnsi="Arial" w:cs="Arial"/>
          <w:b/>
          <w:u w:val="single"/>
        </w:rPr>
      </w:pPr>
    </w:p>
    <w:p w:rsidRPr="00E278D9" w:rsidR="00721EB2" w:rsidP="00D5785F" w:rsidRDefault="00721EB2" w14:paraId="3CE0A84A" w14:textId="77777777">
      <w:pPr>
        <w:pStyle w:val="Level1"/>
        <w:tabs>
          <w:tab w:val="left" w:pos="-1440"/>
        </w:tabs>
        <w:rPr>
          <w:rFonts w:ascii="Arial" w:hAnsi="Arial" w:cs="Arial"/>
          <w:b/>
        </w:rPr>
      </w:pPr>
      <w:r w:rsidRPr="00E278D9">
        <w:rPr>
          <w:rFonts w:ascii="Arial" w:hAnsi="Arial" w:cs="Arial"/>
          <w:b/>
          <w:u w:val="single"/>
        </w:rPr>
        <w:t>ESTIMATED TOTAL ANNUAL COST BURDEN TO RESPONDENTS</w:t>
      </w:r>
    </w:p>
    <w:p w:rsidRPr="00E278D9" w:rsidR="00721EB2" w:rsidRDefault="00721EB2" w14:paraId="11A4E757" w14:textId="77777777">
      <w:pPr>
        <w:rPr>
          <w:rFonts w:ascii="Arial" w:hAnsi="Arial" w:cs="Arial"/>
        </w:rPr>
      </w:pPr>
    </w:p>
    <w:p w:rsidRPr="00E278D9" w:rsidR="0023406D" w:rsidP="0023406D" w:rsidRDefault="0023406D" w14:paraId="7E4BC0E1" w14:textId="77777777">
      <w:pPr>
        <w:ind w:left="720"/>
        <w:rPr>
          <w:rFonts w:ascii="Arial" w:hAnsi="Arial" w:cs="Arial"/>
        </w:rPr>
      </w:pPr>
      <w:r w:rsidRPr="00E278D9">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E278D9" w:rsidR="00721EB2" w:rsidRDefault="00721EB2" w14:paraId="3B33747F" w14:textId="77777777">
      <w:pPr>
        <w:rPr>
          <w:rFonts w:ascii="Arial" w:hAnsi="Arial" w:cs="Arial"/>
        </w:rPr>
      </w:pPr>
    </w:p>
    <w:p w:rsidRPr="00E278D9" w:rsidR="00721EB2" w:rsidRDefault="00721EB2" w14:paraId="4008F03F" w14:textId="77777777">
      <w:pPr>
        <w:pStyle w:val="Level1"/>
        <w:tabs>
          <w:tab w:val="left" w:pos="-1440"/>
          <w:tab w:val="num" w:pos="720"/>
        </w:tabs>
        <w:rPr>
          <w:rFonts w:ascii="Arial" w:hAnsi="Arial" w:cs="Arial"/>
          <w:b/>
        </w:rPr>
      </w:pPr>
      <w:r w:rsidRPr="00E278D9">
        <w:rPr>
          <w:rFonts w:ascii="Arial" w:hAnsi="Arial" w:cs="Arial"/>
          <w:b/>
          <w:u w:val="single"/>
        </w:rPr>
        <w:t>ESTIMATED ANNUALIZED COST TO THE FEDERAL GOVERNMENT</w:t>
      </w:r>
    </w:p>
    <w:p w:rsidRPr="00E278D9" w:rsidR="00721EB2" w:rsidRDefault="00721EB2" w14:paraId="31F57EFF" w14:textId="77777777">
      <w:pPr>
        <w:rPr>
          <w:rFonts w:ascii="Arial" w:hAnsi="Arial" w:cs="Arial"/>
          <w:b/>
        </w:rPr>
      </w:pPr>
    </w:p>
    <w:p w:rsidRPr="00F15274" w:rsidR="00F15274" w:rsidP="00F15274" w:rsidRDefault="00F15274" w14:paraId="48ECB333" w14:textId="77777777">
      <w:pPr>
        <w:ind w:left="540"/>
        <w:rPr>
          <w:rFonts w:ascii="Arial" w:hAnsi="Arial" w:cs="Arial" w:eastAsiaTheme="minorEastAsia"/>
        </w:rPr>
      </w:pPr>
      <w:r w:rsidRPr="00F15274">
        <w:rPr>
          <w:rFonts w:ascii="Arial" w:hAnsi="Arial" w:cs="Arial" w:eastAsiaTheme="minorEastAsia"/>
        </w:rPr>
        <w:t>The government printing cost estimate for this collection is summarized in the table below.</w:t>
      </w:r>
    </w:p>
    <w:p w:rsidR="00F15274" w:rsidP="00F15274" w:rsidRDefault="00F15274" w14:paraId="3BA38657" w14:textId="32596ADE">
      <w:pPr>
        <w:ind w:left="540"/>
        <w:rPr>
          <w:rFonts w:ascii="Arial" w:hAnsi="Arial" w:cs="Arial" w:eastAsiaTheme="minorEastAsia"/>
        </w:rPr>
      </w:pPr>
    </w:p>
    <w:p w:rsidR="00A56008" w:rsidP="00F15274" w:rsidRDefault="00A56008" w14:paraId="2B65879D" w14:textId="711065A7">
      <w:pPr>
        <w:ind w:left="540"/>
        <w:rPr>
          <w:rFonts w:ascii="Arial" w:hAnsi="Arial" w:cs="Arial" w:eastAsiaTheme="minorEastAsia"/>
        </w:rPr>
      </w:pPr>
    </w:p>
    <w:p w:rsidR="00A56008" w:rsidP="00F15274" w:rsidRDefault="00A56008" w14:paraId="1D18ACC9" w14:textId="56A94AE6">
      <w:pPr>
        <w:ind w:left="540"/>
        <w:rPr>
          <w:rFonts w:ascii="Arial" w:hAnsi="Arial" w:cs="Arial" w:eastAsiaTheme="minorEastAsia"/>
        </w:rPr>
      </w:pPr>
    </w:p>
    <w:p w:rsidR="00A56008" w:rsidP="00F15274" w:rsidRDefault="00A56008" w14:paraId="37AB3604" w14:textId="3E4416D6">
      <w:pPr>
        <w:ind w:left="540"/>
        <w:rPr>
          <w:rFonts w:ascii="Arial" w:hAnsi="Arial" w:cs="Arial" w:eastAsiaTheme="minorEastAsia"/>
        </w:rPr>
      </w:pPr>
    </w:p>
    <w:p w:rsidR="00A56008" w:rsidP="00F15274" w:rsidRDefault="00A56008" w14:paraId="552CF259" w14:textId="385A1BAC">
      <w:pPr>
        <w:ind w:left="540"/>
        <w:rPr>
          <w:rFonts w:ascii="Arial" w:hAnsi="Arial" w:cs="Arial" w:eastAsiaTheme="minorEastAsia"/>
        </w:rPr>
      </w:pPr>
    </w:p>
    <w:p w:rsidRPr="00F15274" w:rsidR="00A56008" w:rsidP="00F15274" w:rsidRDefault="00A56008" w14:paraId="73E45911" w14:textId="77777777">
      <w:pPr>
        <w:ind w:left="540"/>
        <w:rPr>
          <w:rFonts w:ascii="Arial" w:hAnsi="Arial" w:cs="Arial" w:eastAsiaTheme="minorEastAsia"/>
        </w:rPr>
      </w:pPr>
    </w:p>
    <w:tbl>
      <w:tblPr>
        <w:tblW w:w="8355"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1"/>
        <w:gridCol w:w="1957"/>
        <w:gridCol w:w="283"/>
        <w:gridCol w:w="1742"/>
        <w:gridCol w:w="347"/>
        <w:gridCol w:w="1935"/>
      </w:tblGrid>
      <w:tr w:rsidRPr="00F15274" w:rsidR="00F15274" w:rsidTr="007A24C2" w14:paraId="414DE81E" w14:textId="77777777">
        <w:tc>
          <w:tcPr>
            <w:tcW w:w="2187" w:type="dxa"/>
            <w:tcBorders>
              <w:top w:val="single" w:color="auto" w:sz="4" w:space="0"/>
              <w:left w:val="single" w:color="auto" w:sz="4" w:space="0"/>
              <w:bottom w:val="single" w:color="auto" w:sz="4" w:space="0"/>
              <w:right w:val="single" w:color="auto" w:sz="4" w:space="0"/>
            </w:tcBorders>
            <w:vAlign w:val="bottom"/>
            <w:hideMark/>
          </w:tcPr>
          <w:p w:rsidRPr="00F15274" w:rsidR="00F15274" w:rsidP="00F15274" w:rsidRDefault="00F15274" w14:paraId="0B659724" w14:textId="77777777">
            <w:pPr>
              <w:ind w:left="540"/>
              <w:rPr>
                <w:rFonts w:ascii="Arial" w:hAnsi="Arial" w:cs="Arial" w:eastAsiaTheme="minorEastAsia"/>
                <w:b/>
                <w:sz w:val="20"/>
                <w:szCs w:val="20"/>
                <w:u w:val="single"/>
              </w:rPr>
            </w:pPr>
            <w:r w:rsidRPr="00F15274">
              <w:rPr>
                <w:rFonts w:ascii="Arial" w:hAnsi="Arial" w:cs="Arial" w:eastAsiaTheme="minorEastAsia"/>
                <w:b/>
                <w:sz w:val="20"/>
                <w:szCs w:val="20"/>
                <w:u w:val="single"/>
              </w:rPr>
              <w:lastRenderedPageBreak/>
              <w:t>Product</w:t>
            </w:r>
          </w:p>
        </w:tc>
        <w:tc>
          <w:tcPr>
            <w:tcW w:w="1941" w:type="dxa"/>
            <w:tcBorders>
              <w:top w:val="single" w:color="auto" w:sz="4" w:space="0"/>
              <w:left w:val="single" w:color="auto" w:sz="4" w:space="0"/>
              <w:bottom w:val="single" w:color="auto" w:sz="4" w:space="0"/>
              <w:right w:val="single" w:color="auto" w:sz="4" w:space="0"/>
            </w:tcBorders>
            <w:vAlign w:val="bottom"/>
            <w:hideMark/>
          </w:tcPr>
          <w:p w:rsidRPr="00F15274" w:rsidR="00F15274" w:rsidP="00F15274" w:rsidRDefault="00F15274" w14:paraId="53640A42" w14:textId="77777777">
            <w:pPr>
              <w:ind w:left="540"/>
              <w:rPr>
                <w:rFonts w:ascii="Arial" w:hAnsi="Arial" w:cs="Arial" w:eastAsiaTheme="minorEastAsia"/>
                <w:b/>
                <w:sz w:val="20"/>
                <w:szCs w:val="20"/>
                <w:u w:val="single"/>
              </w:rPr>
            </w:pPr>
            <w:r w:rsidRPr="00F15274">
              <w:rPr>
                <w:rFonts w:ascii="Arial" w:hAnsi="Arial" w:cs="Arial" w:eastAsiaTheme="minorEastAsia"/>
                <w:b/>
                <w:sz w:val="20"/>
                <w:szCs w:val="20"/>
                <w:u w:val="single"/>
              </w:rPr>
              <w:t>Labor &amp; Downstream Impact Costs</w:t>
            </w:r>
          </w:p>
        </w:tc>
        <w:tc>
          <w:tcPr>
            <w:tcW w:w="293" w:type="dxa"/>
            <w:tcBorders>
              <w:top w:val="single" w:color="auto" w:sz="4" w:space="0"/>
              <w:left w:val="single" w:color="auto" w:sz="4" w:space="0"/>
              <w:bottom w:val="single" w:color="auto" w:sz="4" w:space="0"/>
              <w:right w:val="single" w:color="auto" w:sz="4" w:space="0"/>
            </w:tcBorders>
          </w:tcPr>
          <w:p w:rsidRPr="00F15274" w:rsidR="00F15274" w:rsidP="00F15274" w:rsidRDefault="00F15274" w14:paraId="3FEA5913" w14:textId="77777777">
            <w:pPr>
              <w:ind w:left="540"/>
              <w:rPr>
                <w:rFonts w:ascii="Arial" w:hAnsi="Arial" w:cs="Arial" w:eastAsiaTheme="minorEastAsia"/>
                <w:b/>
                <w:sz w:val="20"/>
                <w:szCs w:val="20"/>
                <w:u w:val="single"/>
              </w:rPr>
            </w:pPr>
          </w:p>
        </w:tc>
        <w:tc>
          <w:tcPr>
            <w:tcW w:w="1763" w:type="dxa"/>
            <w:tcBorders>
              <w:top w:val="single" w:color="auto" w:sz="4" w:space="0"/>
              <w:left w:val="single" w:color="auto" w:sz="4" w:space="0"/>
              <w:bottom w:val="single" w:color="auto" w:sz="4" w:space="0"/>
              <w:right w:val="single" w:color="auto" w:sz="4" w:space="0"/>
            </w:tcBorders>
            <w:vAlign w:val="bottom"/>
            <w:hideMark/>
          </w:tcPr>
          <w:p w:rsidRPr="00F15274" w:rsidR="00F15274" w:rsidP="00F15274" w:rsidRDefault="00F15274" w14:paraId="1C67F23D" w14:textId="77777777">
            <w:pPr>
              <w:ind w:left="540"/>
              <w:rPr>
                <w:rFonts w:ascii="Arial" w:hAnsi="Arial" w:cs="Arial" w:eastAsiaTheme="minorEastAsia"/>
                <w:b/>
                <w:sz w:val="20"/>
                <w:szCs w:val="20"/>
                <w:u w:val="single"/>
              </w:rPr>
            </w:pPr>
            <w:r w:rsidRPr="00F15274">
              <w:rPr>
                <w:rFonts w:ascii="Arial" w:hAnsi="Arial" w:cs="Arial" w:eastAsiaTheme="minorEastAsia"/>
                <w:b/>
                <w:sz w:val="20"/>
                <w:szCs w:val="20"/>
                <w:u w:val="single"/>
              </w:rPr>
              <w:t>Print &amp; Shipping Costs</w:t>
            </w:r>
          </w:p>
        </w:tc>
        <w:tc>
          <w:tcPr>
            <w:tcW w:w="367" w:type="dxa"/>
            <w:tcBorders>
              <w:top w:val="single" w:color="auto" w:sz="4" w:space="0"/>
              <w:left w:val="single" w:color="auto" w:sz="4" w:space="0"/>
              <w:bottom w:val="single" w:color="auto" w:sz="4" w:space="0"/>
              <w:right w:val="single" w:color="auto" w:sz="4" w:space="0"/>
            </w:tcBorders>
          </w:tcPr>
          <w:p w:rsidRPr="00F15274" w:rsidR="00F15274" w:rsidP="00F15274" w:rsidRDefault="00F15274" w14:paraId="5AC4DACF" w14:textId="77777777">
            <w:pPr>
              <w:ind w:left="540"/>
              <w:rPr>
                <w:rFonts w:ascii="Arial" w:hAnsi="Arial" w:cs="Arial" w:eastAsiaTheme="minorEastAsia"/>
                <w:b/>
                <w:sz w:val="20"/>
                <w:szCs w:val="20"/>
                <w:u w:val="single"/>
              </w:rPr>
            </w:pPr>
          </w:p>
        </w:tc>
        <w:tc>
          <w:tcPr>
            <w:tcW w:w="1804" w:type="dxa"/>
            <w:tcBorders>
              <w:top w:val="single" w:color="auto" w:sz="4" w:space="0"/>
              <w:left w:val="single" w:color="auto" w:sz="4" w:space="0"/>
              <w:bottom w:val="single" w:color="auto" w:sz="4" w:space="0"/>
              <w:right w:val="single" w:color="auto" w:sz="4" w:space="0"/>
            </w:tcBorders>
            <w:vAlign w:val="bottom"/>
            <w:hideMark/>
          </w:tcPr>
          <w:p w:rsidRPr="00F15274" w:rsidR="00F15274" w:rsidP="00F15274" w:rsidRDefault="00F15274" w14:paraId="4D0B306F" w14:textId="77777777">
            <w:pPr>
              <w:ind w:left="540"/>
              <w:rPr>
                <w:rFonts w:ascii="Arial" w:hAnsi="Arial" w:cs="Arial" w:eastAsiaTheme="minorEastAsia"/>
                <w:b/>
                <w:sz w:val="20"/>
                <w:szCs w:val="20"/>
                <w:u w:val="single"/>
              </w:rPr>
            </w:pPr>
            <w:r w:rsidRPr="00F15274">
              <w:rPr>
                <w:rFonts w:ascii="Arial" w:hAnsi="Arial" w:cs="Arial" w:eastAsiaTheme="minorEastAsia"/>
                <w:b/>
                <w:sz w:val="20"/>
                <w:szCs w:val="20"/>
                <w:u w:val="single"/>
              </w:rPr>
              <w:t>Government Cost Estimate per Product</w:t>
            </w:r>
          </w:p>
        </w:tc>
      </w:tr>
      <w:tr w:rsidRPr="00F15274" w:rsidR="00F15274" w:rsidTr="007A24C2" w14:paraId="4C5421A0" w14:textId="77777777">
        <w:tc>
          <w:tcPr>
            <w:tcW w:w="2187" w:type="dxa"/>
            <w:tcBorders>
              <w:top w:val="single" w:color="auto" w:sz="4" w:space="0"/>
              <w:left w:val="single" w:color="auto" w:sz="4" w:space="0"/>
              <w:bottom w:val="single" w:color="auto" w:sz="4" w:space="0"/>
              <w:right w:val="single" w:color="auto" w:sz="4" w:space="0"/>
            </w:tcBorders>
            <w:vAlign w:val="bottom"/>
            <w:hideMark/>
          </w:tcPr>
          <w:p w:rsidRPr="00F15274" w:rsidR="00F15274" w:rsidP="00F15274" w:rsidRDefault="00F15274" w14:paraId="64CE9FE9" w14:textId="13536250">
            <w:pPr>
              <w:ind w:left="540"/>
              <w:rPr>
                <w:rFonts w:ascii="Arial" w:hAnsi="Arial" w:cs="Arial" w:eastAsiaTheme="minorEastAsia"/>
                <w:sz w:val="20"/>
                <w:szCs w:val="20"/>
              </w:rPr>
            </w:pPr>
            <w:r>
              <w:rPr>
                <w:rFonts w:ascii="Arial" w:hAnsi="Arial" w:cs="Arial" w:eastAsiaTheme="minorEastAsia"/>
                <w:sz w:val="20"/>
                <w:szCs w:val="20"/>
              </w:rPr>
              <w:t>1098-Q</w:t>
            </w:r>
          </w:p>
        </w:tc>
        <w:tc>
          <w:tcPr>
            <w:tcW w:w="1941" w:type="dxa"/>
            <w:tcBorders>
              <w:top w:val="single" w:color="auto" w:sz="4" w:space="0"/>
              <w:left w:val="single" w:color="auto" w:sz="4" w:space="0"/>
              <w:bottom w:val="single" w:color="auto" w:sz="4" w:space="0"/>
              <w:right w:val="single" w:color="auto" w:sz="4" w:space="0"/>
            </w:tcBorders>
            <w:vAlign w:val="bottom"/>
            <w:hideMark/>
          </w:tcPr>
          <w:p w:rsidRPr="00F15274" w:rsidR="00F15274" w:rsidP="00F15274" w:rsidRDefault="00F15274" w14:paraId="65D9A5C1" w14:textId="3EFA82AD">
            <w:pPr>
              <w:ind w:left="540"/>
              <w:rPr>
                <w:rFonts w:ascii="Arial" w:hAnsi="Arial" w:cs="Arial" w:eastAsiaTheme="minorEastAsia"/>
                <w:sz w:val="20"/>
                <w:szCs w:val="20"/>
              </w:rPr>
            </w:pPr>
            <w:r w:rsidRPr="00F15274">
              <w:rPr>
                <w:rFonts w:ascii="Arial" w:hAnsi="Arial" w:cs="Arial" w:eastAsiaTheme="minorEastAsia"/>
                <w:sz w:val="20"/>
                <w:szCs w:val="20"/>
              </w:rPr>
              <w:t>$</w:t>
            </w:r>
            <w:r w:rsidR="00A56008">
              <w:rPr>
                <w:rFonts w:ascii="Arial" w:hAnsi="Arial" w:cs="Arial" w:eastAsiaTheme="minorEastAsia"/>
                <w:sz w:val="20"/>
                <w:szCs w:val="20"/>
              </w:rPr>
              <w:t>49,757</w:t>
            </w:r>
          </w:p>
        </w:tc>
        <w:tc>
          <w:tcPr>
            <w:tcW w:w="293" w:type="dxa"/>
            <w:tcBorders>
              <w:top w:val="single" w:color="auto" w:sz="4" w:space="0"/>
              <w:left w:val="single" w:color="auto" w:sz="4" w:space="0"/>
              <w:bottom w:val="single" w:color="auto" w:sz="4" w:space="0"/>
              <w:right w:val="single" w:color="auto" w:sz="4" w:space="0"/>
            </w:tcBorders>
          </w:tcPr>
          <w:p w:rsidRPr="00F15274" w:rsidR="00F15274" w:rsidP="00F15274" w:rsidRDefault="00F15274" w14:paraId="69B8BD78" w14:textId="77777777">
            <w:pPr>
              <w:ind w:left="540"/>
              <w:rPr>
                <w:rFonts w:ascii="Arial" w:hAnsi="Arial" w:cs="Arial" w:eastAsiaTheme="minorEastAsia"/>
                <w:sz w:val="20"/>
                <w:szCs w:val="20"/>
              </w:rPr>
            </w:pPr>
          </w:p>
        </w:tc>
        <w:tc>
          <w:tcPr>
            <w:tcW w:w="1763" w:type="dxa"/>
            <w:tcBorders>
              <w:top w:val="single" w:color="auto" w:sz="4" w:space="0"/>
              <w:left w:val="single" w:color="auto" w:sz="4" w:space="0"/>
              <w:bottom w:val="single" w:color="auto" w:sz="4" w:space="0"/>
              <w:right w:val="single" w:color="auto" w:sz="4" w:space="0"/>
            </w:tcBorders>
            <w:hideMark/>
          </w:tcPr>
          <w:p w:rsidRPr="00F15274" w:rsidR="00F15274" w:rsidP="00F15274" w:rsidRDefault="00F15274" w14:paraId="6F49950F" w14:textId="77777777">
            <w:pPr>
              <w:ind w:left="540"/>
              <w:rPr>
                <w:rFonts w:ascii="Arial" w:hAnsi="Arial" w:cs="Arial" w:eastAsiaTheme="minorEastAsia"/>
                <w:sz w:val="20"/>
                <w:szCs w:val="20"/>
              </w:rPr>
            </w:pPr>
          </w:p>
          <w:p w:rsidRPr="00F15274" w:rsidR="00F15274" w:rsidP="00F15274" w:rsidRDefault="00F15274" w14:paraId="74E852F0" w14:textId="77777777">
            <w:pPr>
              <w:ind w:left="540"/>
              <w:rPr>
                <w:rFonts w:ascii="Arial" w:hAnsi="Arial" w:cs="Arial" w:eastAsiaTheme="minorEastAsia"/>
                <w:sz w:val="20"/>
                <w:szCs w:val="20"/>
              </w:rPr>
            </w:pPr>
            <w:r w:rsidRPr="00F15274">
              <w:rPr>
                <w:rFonts w:ascii="Arial" w:hAnsi="Arial" w:cs="Arial" w:eastAsiaTheme="minorEastAsia"/>
                <w:sz w:val="20"/>
                <w:szCs w:val="20"/>
              </w:rPr>
              <w:t>$    0</w:t>
            </w:r>
          </w:p>
        </w:tc>
        <w:tc>
          <w:tcPr>
            <w:tcW w:w="367" w:type="dxa"/>
            <w:tcBorders>
              <w:top w:val="single" w:color="auto" w:sz="4" w:space="0"/>
              <w:left w:val="single" w:color="auto" w:sz="4" w:space="0"/>
              <w:bottom w:val="single" w:color="auto" w:sz="4" w:space="0"/>
              <w:right w:val="single" w:color="auto" w:sz="4" w:space="0"/>
            </w:tcBorders>
          </w:tcPr>
          <w:p w:rsidRPr="00F15274" w:rsidR="00F15274" w:rsidP="00F15274" w:rsidRDefault="00F15274" w14:paraId="0FC2B002" w14:textId="77777777">
            <w:pPr>
              <w:ind w:left="540"/>
              <w:rPr>
                <w:rFonts w:ascii="Arial" w:hAnsi="Arial" w:cs="Arial" w:eastAsiaTheme="minorEastAsia"/>
                <w:sz w:val="20"/>
                <w:szCs w:val="20"/>
              </w:rPr>
            </w:pPr>
          </w:p>
        </w:tc>
        <w:tc>
          <w:tcPr>
            <w:tcW w:w="1804" w:type="dxa"/>
            <w:tcBorders>
              <w:top w:val="single" w:color="auto" w:sz="4" w:space="0"/>
              <w:left w:val="single" w:color="auto" w:sz="4" w:space="0"/>
              <w:bottom w:val="single" w:color="auto" w:sz="4" w:space="0"/>
              <w:right w:val="single" w:color="auto" w:sz="4" w:space="0"/>
            </w:tcBorders>
            <w:vAlign w:val="bottom"/>
            <w:hideMark/>
          </w:tcPr>
          <w:p w:rsidRPr="00F15274" w:rsidR="00F15274" w:rsidP="00F15274" w:rsidRDefault="00F15274" w14:paraId="3AE70914" w14:textId="5597B018">
            <w:pPr>
              <w:ind w:left="540"/>
              <w:rPr>
                <w:rFonts w:ascii="Arial" w:hAnsi="Arial" w:cs="Arial" w:eastAsiaTheme="minorEastAsia"/>
                <w:sz w:val="20"/>
                <w:szCs w:val="20"/>
              </w:rPr>
            </w:pPr>
            <w:r w:rsidRPr="00F15274">
              <w:rPr>
                <w:rFonts w:ascii="Arial" w:hAnsi="Arial" w:cs="Arial" w:eastAsiaTheme="minorEastAsia"/>
                <w:sz w:val="20"/>
                <w:szCs w:val="20"/>
              </w:rPr>
              <w:t xml:space="preserve">             $</w:t>
            </w:r>
            <w:r w:rsidR="00A56008">
              <w:rPr>
                <w:rFonts w:ascii="Arial" w:hAnsi="Arial" w:cs="Arial" w:eastAsiaTheme="minorEastAsia"/>
                <w:sz w:val="20"/>
                <w:szCs w:val="20"/>
              </w:rPr>
              <w:t>49,757</w:t>
            </w:r>
          </w:p>
        </w:tc>
      </w:tr>
      <w:tr w:rsidRPr="00F15274" w:rsidR="00F15274" w:rsidTr="007A24C2" w14:paraId="1DC9ABE8" w14:textId="77777777">
        <w:tc>
          <w:tcPr>
            <w:tcW w:w="2187" w:type="dxa"/>
            <w:tcBorders>
              <w:top w:val="single" w:color="auto" w:sz="4" w:space="0"/>
              <w:left w:val="single" w:color="auto" w:sz="4" w:space="0"/>
              <w:bottom w:val="single" w:color="auto" w:sz="4" w:space="0"/>
              <w:right w:val="single" w:color="auto" w:sz="4" w:space="0"/>
            </w:tcBorders>
            <w:vAlign w:val="bottom"/>
          </w:tcPr>
          <w:p w:rsidRPr="00F15274" w:rsidR="00F15274" w:rsidP="00F15274" w:rsidRDefault="00F15274" w14:paraId="529ADD67" w14:textId="451838B9">
            <w:pPr>
              <w:ind w:left="540"/>
              <w:rPr>
                <w:rFonts w:ascii="Arial" w:hAnsi="Arial" w:cs="Arial" w:eastAsiaTheme="minorEastAsia"/>
                <w:sz w:val="20"/>
                <w:szCs w:val="20"/>
              </w:rPr>
            </w:pPr>
            <w:r w:rsidRPr="00F15274">
              <w:rPr>
                <w:rFonts w:ascii="Arial" w:hAnsi="Arial" w:cs="Arial" w:eastAsiaTheme="minorEastAsia"/>
                <w:sz w:val="20"/>
                <w:szCs w:val="20"/>
              </w:rPr>
              <w:t xml:space="preserve">Inst for </w:t>
            </w:r>
            <w:r>
              <w:rPr>
                <w:rFonts w:ascii="Arial" w:hAnsi="Arial" w:cs="Arial" w:eastAsiaTheme="minorEastAsia"/>
                <w:sz w:val="20"/>
                <w:szCs w:val="20"/>
              </w:rPr>
              <w:t>1098-Q</w:t>
            </w:r>
          </w:p>
        </w:tc>
        <w:tc>
          <w:tcPr>
            <w:tcW w:w="1941" w:type="dxa"/>
            <w:tcBorders>
              <w:top w:val="single" w:color="auto" w:sz="4" w:space="0"/>
              <w:left w:val="single" w:color="auto" w:sz="4" w:space="0"/>
              <w:bottom w:val="single" w:color="auto" w:sz="4" w:space="0"/>
              <w:right w:val="single" w:color="auto" w:sz="4" w:space="0"/>
            </w:tcBorders>
            <w:vAlign w:val="bottom"/>
          </w:tcPr>
          <w:p w:rsidRPr="00F15274" w:rsidR="00F15274" w:rsidP="00F15274" w:rsidRDefault="00F15274" w14:paraId="1A2C8FF0" w14:textId="228DEF39">
            <w:pPr>
              <w:ind w:left="540"/>
              <w:rPr>
                <w:rFonts w:ascii="Arial" w:hAnsi="Arial" w:cs="Arial" w:eastAsiaTheme="minorEastAsia"/>
                <w:sz w:val="20"/>
                <w:szCs w:val="20"/>
              </w:rPr>
            </w:pPr>
            <w:r w:rsidRPr="00F15274">
              <w:rPr>
                <w:rFonts w:ascii="Arial" w:hAnsi="Arial" w:cs="Arial" w:eastAsiaTheme="minorEastAsia"/>
                <w:sz w:val="20"/>
                <w:szCs w:val="20"/>
              </w:rPr>
              <w:t xml:space="preserve">         $</w:t>
            </w:r>
            <w:r w:rsidR="00A56008">
              <w:rPr>
                <w:rFonts w:ascii="Arial" w:hAnsi="Arial" w:cs="Arial" w:eastAsiaTheme="minorEastAsia"/>
                <w:sz w:val="20"/>
                <w:szCs w:val="20"/>
              </w:rPr>
              <w:t>12,303</w:t>
            </w:r>
          </w:p>
        </w:tc>
        <w:tc>
          <w:tcPr>
            <w:tcW w:w="293" w:type="dxa"/>
            <w:tcBorders>
              <w:top w:val="single" w:color="auto" w:sz="4" w:space="0"/>
              <w:left w:val="single" w:color="auto" w:sz="4" w:space="0"/>
              <w:bottom w:val="single" w:color="auto" w:sz="4" w:space="0"/>
              <w:right w:val="single" w:color="auto" w:sz="4" w:space="0"/>
            </w:tcBorders>
          </w:tcPr>
          <w:p w:rsidRPr="00F15274" w:rsidR="00F15274" w:rsidP="00F15274" w:rsidRDefault="00F15274" w14:paraId="3A9AA3A8" w14:textId="77777777">
            <w:pPr>
              <w:ind w:left="540"/>
              <w:rPr>
                <w:rFonts w:ascii="Arial" w:hAnsi="Arial" w:cs="Arial" w:eastAsiaTheme="minorEastAsia"/>
                <w:sz w:val="20"/>
                <w:szCs w:val="20"/>
              </w:rPr>
            </w:pPr>
          </w:p>
        </w:tc>
        <w:tc>
          <w:tcPr>
            <w:tcW w:w="1763" w:type="dxa"/>
            <w:tcBorders>
              <w:top w:val="single" w:color="auto" w:sz="4" w:space="0"/>
              <w:left w:val="single" w:color="auto" w:sz="4" w:space="0"/>
              <w:bottom w:val="single" w:color="auto" w:sz="4" w:space="0"/>
              <w:right w:val="single" w:color="auto" w:sz="4" w:space="0"/>
            </w:tcBorders>
          </w:tcPr>
          <w:p w:rsidRPr="00F15274" w:rsidR="00F15274" w:rsidP="00F15274" w:rsidRDefault="00F15274" w14:paraId="59854A15" w14:textId="77777777">
            <w:pPr>
              <w:ind w:left="540"/>
              <w:rPr>
                <w:rFonts w:ascii="Arial" w:hAnsi="Arial" w:cs="Arial" w:eastAsiaTheme="minorEastAsia"/>
                <w:sz w:val="20"/>
                <w:szCs w:val="20"/>
              </w:rPr>
            </w:pPr>
          </w:p>
          <w:p w:rsidRPr="00F15274" w:rsidR="00F15274" w:rsidP="00F15274" w:rsidRDefault="00F15274" w14:paraId="6977F09A" w14:textId="77777777">
            <w:pPr>
              <w:ind w:left="540"/>
              <w:rPr>
                <w:rFonts w:ascii="Arial" w:hAnsi="Arial" w:cs="Arial" w:eastAsiaTheme="minorEastAsia"/>
                <w:sz w:val="20"/>
                <w:szCs w:val="20"/>
              </w:rPr>
            </w:pPr>
            <w:r w:rsidRPr="00F15274">
              <w:rPr>
                <w:rFonts w:ascii="Arial" w:hAnsi="Arial" w:cs="Arial" w:eastAsiaTheme="minorEastAsia"/>
                <w:sz w:val="20"/>
                <w:szCs w:val="20"/>
              </w:rPr>
              <w:t>$    0</w:t>
            </w:r>
          </w:p>
        </w:tc>
        <w:tc>
          <w:tcPr>
            <w:tcW w:w="367" w:type="dxa"/>
            <w:tcBorders>
              <w:top w:val="single" w:color="auto" w:sz="4" w:space="0"/>
              <w:left w:val="single" w:color="auto" w:sz="4" w:space="0"/>
              <w:bottom w:val="single" w:color="auto" w:sz="4" w:space="0"/>
              <w:right w:val="single" w:color="auto" w:sz="4" w:space="0"/>
            </w:tcBorders>
          </w:tcPr>
          <w:p w:rsidRPr="00F15274" w:rsidR="00F15274" w:rsidP="00F15274" w:rsidRDefault="00F15274" w14:paraId="39563024" w14:textId="77777777">
            <w:pPr>
              <w:ind w:left="540"/>
              <w:rPr>
                <w:rFonts w:ascii="Arial" w:hAnsi="Arial" w:cs="Arial" w:eastAsiaTheme="minorEastAsia"/>
                <w:sz w:val="20"/>
                <w:szCs w:val="20"/>
              </w:rPr>
            </w:pPr>
          </w:p>
        </w:tc>
        <w:tc>
          <w:tcPr>
            <w:tcW w:w="1804" w:type="dxa"/>
            <w:tcBorders>
              <w:top w:val="single" w:color="auto" w:sz="4" w:space="0"/>
              <w:left w:val="single" w:color="auto" w:sz="4" w:space="0"/>
              <w:bottom w:val="single" w:color="auto" w:sz="4" w:space="0"/>
              <w:right w:val="single" w:color="auto" w:sz="4" w:space="0"/>
            </w:tcBorders>
            <w:vAlign w:val="bottom"/>
          </w:tcPr>
          <w:p w:rsidRPr="00F15274" w:rsidR="00F15274" w:rsidP="00F15274" w:rsidRDefault="00F15274" w14:paraId="3A81BA02" w14:textId="117A3D29">
            <w:pPr>
              <w:ind w:left="540"/>
              <w:rPr>
                <w:rFonts w:ascii="Arial" w:hAnsi="Arial" w:cs="Arial" w:eastAsiaTheme="minorEastAsia"/>
                <w:sz w:val="20"/>
                <w:szCs w:val="20"/>
              </w:rPr>
            </w:pPr>
            <w:r w:rsidRPr="00F15274">
              <w:rPr>
                <w:rFonts w:ascii="Arial" w:hAnsi="Arial" w:cs="Arial" w:eastAsiaTheme="minorEastAsia"/>
                <w:sz w:val="20"/>
                <w:szCs w:val="20"/>
              </w:rPr>
              <w:t>$</w:t>
            </w:r>
            <w:r w:rsidR="00A56008">
              <w:rPr>
                <w:rFonts w:ascii="Arial" w:hAnsi="Arial" w:cs="Arial" w:eastAsiaTheme="minorEastAsia"/>
                <w:sz w:val="20"/>
                <w:szCs w:val="20"/>
              </w:rPr>
              <w:t>12,303</w:t>
            </w:r>
            <w:r w:rsidRPr="00F15274">
              <w:rPr>
                <w:rFonts w:ascii="Arial" w:hAnsi="Arial" w:cs="Arial" w:eastAsiaTheme="minorEastAsia"/>
                <w:sz w:val="20"/>
                <w:szCs w:val="20"/>
              </w:rPr>
              <w:t xml:space="preserve"> </w:t>
            </w:r>
          </w:p>
        </w:tc>
      </w:tr>
      <w:tr w:rsidRPr="00F15274" w:rsidR="00F15274" w:rsidTr="007A24C2" w14:paraId="53E62F8C" w14:textId="77777777">
        <w:tc>
          <w:tcPr>
            <w:tcW w:w="2187" w:type="dxa"/>
            <w:tcBorders>
              <w:top w:val="single" w:color="auto" w:sz="4" w:space="0"/>
              <w:left w:val="single" w:color="auto" w:sz="4" w:space="0"/>
              <w:bottom w:val="single" w:color="auto" w:sz="4" w:space="0"/>
              <w:right w:val="single" w:color="auto" w:sz="4" w:space="0"/>
            </w:tcBorders>
            <w:hideMark/>
          </w:tcPr>
          <w:p w:rsidRPr="00F15274" w:rsidR="00F15274" w:rsidP="00F15274" w:rsidRDefault="00F15274" w14:paraId="5CD49A34" w14:textId="77777777">
            <w:pPr>
              <w:ind w:left="540"/>
              <w:rPr>
                <w:rFonts w:ascii="Arial" w:hAnsi="Arial" w:cs="Arial" w:eastAsiaTheme="minorEastAsia"/>
                <w:b/>
                <w:sz w:val="20"/>
                <w:szCs w:val="20"/>
              </w:rPr>
            </w:pPr>
          </w:p>
          <w:p w:rsidRPr="00F15274" w:rsidR="00F15274" w:rsidP="00F15274" w:rsidRDefault="00F15274" w14:paraId="632C9C33" w14:textId="77777777">
            <w:pPr>
              <w:ind w:left="540"/>
              <w:rPr>
                <w:rFonts w:ascii="Arial" w:hAnsi="Arial" w:cs="Arial" w:eastAsiaTheme="minorEastAsia"/>
                <w:b/>
                <w:sz w:val="20"/>
                <w:szCs w:val="20"/>
              </w:rPr>
            </w:pPr>
            <w:r w:rsidRPr="00F15274">
              <w:rPr>
                <w:rFonts w:ascii="Arial" w:hAnsi="Arial" w:cs="Arial" w:eastAsiaTheme="minorEastAsia"/>
                <w:b/>
                <w:sz w:val="20"/>
                <w:szCs w:val="20"/>
              </w:rPr>
              <w:t>Grand Total</w:t>
            </w:r>
          </w:p>
        </w:tc>
        <w:tc>
          <w:tcPr>
            <w:tcW w:w="1941" w:type="dxa"/>
            <w:tcBorders>
              <w:top w:val="single" w:color="auto" w:sz="4" w:space="0"/>
              <w:left w:val="single" w:color="auto" w:sz="4" w:space="0"/>
              <w:bottom w:val="single" w:color="auto" w:sz="4" w:space="0"/>
              <w:right w:val="single" w:color="auto" w:sz="4" w:space="0"/>
            </w:tcBorders>
            <w:hideMark/>
          </w:tcPr>
          <w:p w:rsidRPr="00F15274" w:rsidR="00F15274" w:rsidP="00F15274" w:rsidRDefault="00F15274" w14:paraId="41712C2A" w14:textId="77777777">
            <w:pPr>
              <w:ind w:left="540"/>
              <w:rPr>
                <w:rFonts w:ascii="Arial" w:hAnsi="Arial" w:cs="Arial" w:eastAsiaTheme="minorEastAsia"/>
                <w:b/>
                <w:sz w:val="20"/>
                <w:szCs w:val="20"/>
              </w:rPr>
            </w:pPr>
          </w:p>
          <w:p w:rsidRPr="00F15274" w:rsidR="00F15274" w:rsidP="00F15274" w:rsidRDefault="00F15274" w14:paraId="2DB826B8" w14:textId="70B18663">
            <w:pPr>
              <w:ind w:left="540"/>
              <w:rPr>
                <w:rFonts w:ascii="Arial" w:hAnsi="Arial" w:cs="Arial" w:eastAsiaTheme="minorEastAsia"/>
                <w:b/>
                <w:sz w:val="20"/>
                <w:szCs w:val="20"/>
              </w:rPr>
            </w:pPr>
            <w:r w:rsidRPr="00F15274">
              <w:rPr>
                <w:rFonts w:ascii="Arial" w:hAnsi="Arial" w:cs="Arial" w:eastAsiaTheme="minorEastAsia"/>
                <w:b/>
                <w:sz w:val="20"/>
                <w:szCs w:val="20"/>
              </w:rPr>
              <w:t>$</w:t>
            </w:r>
            <w:r w:rsidR="00A56008">
              <w:rPr>
                <w:rFonts w:ascii="Arial" w:hAnsi="Arial" w:cs="Arial" w:eastAsiaTheme="minorEastAsia"/>
                <w:b/>
                <w:sz w:val="20"/>
                <w:szCs w:val="20"/>
              </w:rPr>
              <w:t>62,060</w:t>
            </w:r>
          </w:p>
        </w:tc>
        <w:tc>
          <w:tcPr>
            <w:tcW w:w="293" w:type="dxa"/>
            <w:tcBorders>
              <w:top w:val="single" w:color="auto" w:sz="4" w:space="0"/>
              <w:left w:val="single" w:color="auto" w:sz="4" w:space="0"/>
              <w:bottom w:val="single" w:color="auto" w:sz="4" w:space="0"/>
              <w:right w:val="single" w:color="auto" w:sz="4" w:space="0"/>
            </w:tcBorders>
          </w:tcPr>
          <w:p w:rsidRPr="00F15274" w:rsidR="00F15274" w:rsidP="00F15274" w:rsidRDefault="00F15274" w14:paraId="0CB2240F" w14:textId="77777777">
            <w:pPr>
              <w:ind w:left="540"/>
              <w:rPr>
                <w:rFonts w:ascii="Arial" w:hAnsi="Arial" w:cs="Arial" w:eastAsiaTheme="minorEastAsia"/>
                <w:b/>
                <w:sz w:val="20"/>
                <w:szCs w:val="20"/>
              </w:rPr>
            </w:pPr>
          </w:p>
        </w:tc>
        <w:tc>
          <w:tcPr>
            <w:tcW w:w="1763" w:type="dxa"/>
            <w:tcBorders>
              <w:top w:val="single" w:color="auto" w:sz="4" w:space="0"/>
              <w:left w:val="single" w:color="auto" w:sz="4" w:space="0"/>
              <w:bottom w:val="single" w:color="auto" w:sz="4" w:space="0"/>
              <w:right w:val="single" w:color="auto" w:sz="4" w:space="0"/>
            </w:tcBorders>
          </w:tcPr>
          <w:p w:rsidRPr="00F15274" w:rsidR="00F15274" w:rsidP="00F15274" w:rsidRDefault="00F15274" w14:paraId="291E044E" w14:textId="77777777">
            <w:pPr>
              <w:ind w:left="540"/>
              <w:rPr>
                <w:rFonts w:ascii="Arial" w:hAnsi="Arial" w:cs="Arial" w:eastAsiaTheme="minorEastAsia"/>
                <w:b/>
                <w:sz w:val="20"/>
                <w:szCs w:val="20"/>
              </w:rPr>
            </w:pPr>
          </w:p>
          <w:p w:rsidRPr="00F15274" w:rsidR="00F15274" w:rsidP="00F15274" w:rsidRDefault="00F15274" w14:paraId="7F97E84B" w14:textId="77777777">
            <w:pPr>
              <w:ind w:left="540"/>
              <w:rPr>
                <w:rFonts w:ascii="Arial" w:hAnsi="Arial" w:cs="Arial" w:eastAsiaTheme="minorEastAsia"/>
                <w:b/>
                <w:sz w:val="20"/>
                <w:szCs w:val="20"/>
              </w:rPr>
            </w:pPr>
            <w:r w:rsidRPr="00F15274">
              <w:rPr>
                <w:rFonts w:ascii="Arial" w:hAnsi="Arial" w:cs="Arial" w:eastAsiaTheme="minorEastAsia"/>
                <w:b/>
                <w:sz w:val="20"/>
                <w:szCs w:val="20"/>
              </w:rPr>
              <w:t>$    0</w:t>
            </w:r>
          </w:p>
        </w:tc>
        <w:tc>
          <w:tcPr>
            <w:tcW w:w="367" w:type="dxa"/>
            <w:tcBorders>
              <w:top w:val="single" w:color="auto" w:sz="4" w:space="0"/>
              <w:left w:val="single" w:color="auto" w:sz="4" w:space="0"/>
              <w:bottom w:val="single" w:color="auto" w:sz="4" w:space="0"/>
              <w:right w:val="single" w:color="auto" w:sz="4" w:space="0"/>
            </w:tcBorders>
          </w:tcPr>
          <w:p w:rsidRPr="00F15274" w:rsidR="00F15274" w:rsidP="00F15274" w:rsidRDefault="00F15274" w14:paraId="01B77BC9" w14:textId="77777777">
            <w:pPr>
              <w:ind w:left="540"/>
              <w:rPr>
                <w:rFonts w:ascii="Arial" w:hAnsi="Arial" w:cs="Arial" w:eastAsiaTheme="minorEastAsia"/>
                <w:b/>
                <w:sz w:val="20"/>
                <w:szCs w:val="20"/>
              </w:rPr>
            </w:pPr>
          </w:p>
        </w:tc>
        <w:tc>
          <w:tcPr>
            <w:tcW w:w="1804" w:type="dxa"/>
            <w:tcBorders>
              <w:top w:val="single" w:color="auto" w:sz="4" w:space="0"/>
              <w:left w:val="single" w:color="auto" w:sz="4" w:space="0"/>
              <w:bottom w:val="single" w:color="auto" w:sz="4" w:space="0"/>
              <w:right w:val="single" w:color="auto" w:sz="4" w:space="0"/>
            </w:tcBorders>
            <w:hideMark/>
          </w:tcPr>
          <w:p w:rsidRPr="00F15274" w:rsidR="00F15274" w:rsidP="00F15274" w:rsidRDefault="00F15274" w14:paraId="77148F47" w14:textId="77777777">
            <w:pPr>
              <w:rPr>
                <w:rFonts w:ascii="Arial" w:hAnsi="Arial" w:cs="Arial" w:eastAsiaTheme="minorEastAsia"/>
                <w:b/>
                <w:sz w:val="20"/>
                <w:szCs w:val="20"/>
              </w:rPr>
            </w:pPr>
          </w:p>
          <w:p w:rsidRPr="00F15274" w:rsidR="00F15274" w:rsidP="00F15274" w:rsidRDefault="00F15274" w14:paraId="6AC99F03" w14:textId="0017F688">
            <w:pPr>
              <w:rPr>
                <w:rFonts w:ascii="Arial" w:hAnsi="Arial" w:cs="Arial" w:eastAsiaTheme="minorEastAsia"/>
                <w:b/>
                <w:sz w:val="20"/>
                <w:szCs w:val="20"/>
              </w:rPr>
            </w:pPr>
            <w:r w:rsidRPr="00F15274">
              <w:rPr>
                <w:rFonts w:ascii="Arial" w:hAnsi="Arial" w:cs="Arial" w:eastAsiaTheme="minorEastAsia"/>
                <w:b/>
                <w:sz w:val="20"/>
                <w:szCs w:val="20"/>
              </w:rPr>
              <w:t xml:space="preserve">     </w:t>
            </w:r>
            <w:r w:rsidR="00A56008">
              <w:rPr>
                <w:rFonts w:ascii="Arial" w:hAnsi="Arial" w:cs="Arial" w:eastAsiaTheme="minorEastAsia"/>
                <w:b/>
                <w:sz w:val="20"/>
                <w:szCs w:val="20"/>
              </w:rPr>
              <w:t xml:space="preserve">   </w:t>
            </w:r>
            <w:r w:rsidRPr="00F15274">
              <w:rPr>
                <w:rFonts w:ascii="Arial" w:hAnsi="Arial" w:cs="Arial" w:eastAsiaTheme="minorEastAsia"/>
                <w:b/>
                <w:sz w:val="20"/>
                <w:szCs w:val="20"/>
              </w:rPr>
              <w:t xml:space="preserve">$ </w:t>
            </w:r>
            <w:r w:rsidR="00A56008">
              <w:rPr>
                <w:rFonts w:ascii="Arial" w:hAnsi="Arial" w:cs="Arial" w:eastAsiaTheme="minorEastAsia"/>
                <w:b/>
                <w:sz w:val="20"/>
                <w:szCs w:val="20"/>
              </w:rPr>
              <w:t>62,060</w:t>
            </w:r>
          </w:p>
        </w:tc>
      </w:tr>
    </w:tbl>
    <w:p w:rsidRPr="00E278D9" w:rsidR="0023406D" w:rsidP="00A56008" w:rsidRDefault="0023406D" w14:paraId="0BA0CEAF" w14:textId="1A39DB3D">
      <w:pPr>
        <w:ind w:left="720"/>
        <w:rPr>
          <w:rFonts w:ascii="Arial" w:hAnsi="Arial" w:cs="Arial"/>
        </w:rPr>
      </w:pPr>
      <w:r w:rsidRPr="00E278D9">
        <w:rPr>
          <w:rFonts w:ascii="Arial" w:hAnsi="Arial" w:cs="Arial"/>
        </w:rPr>
        <w:t>.</w:t>
      </w:r>
    </w:p>
    <w:p w:rsidRPr="00E278D9" w:rsidR="00721EB2" w:rsidRDefault="00721EB2" w14:paraId="3325CCCB" w14:textId="77777777">
      <w:pPr>
        <w:pStyle w:val="Level1"/>
        <w:tabs>
          <w:tab w:val="left" w:pos="-1440"/>
          <w:tab w:val="num" w:pos="720"/>
        </w:tabs>
        <w:rPr>
          <w:rFonts w:ascii="Arial" w:hAnsi="Arial" w:cs="Arial"/>
          <w:b/>
        </w:rPr>
      </w:pPr>
      <w:r w:rsidRPr="00E278D9">
        <w:rPr>
          <w:rFonts w:ascii="Arial" w:hAnsi="Arial" w:cs="Arial"/>
          <w:b/>
          <w:u w:val="single"/>
        </w:rPr>
        <w:t>REASONS FOR CHANGE IN BURDEN</w:t>
      </w:r>
    </w:p>
    <w:p w:rsidRPr="00E278D9" w:rsidR="00721EB2" w:rsidRDefault="00721EB2" w14:paraId="4C2E4A95" w14:textId="77777777">
      <w:pPr>
        <w:rPr>
          <w:rFonts w:ascii="Arial" w:hAnsi="Arial" w:cs="Arial"/>
          <w:b/>
        </w:rPr>
      </w:pPr>
    </w:p>
    <w:p w:rsidRPr="00FE08E9" w:rsidR="00FE08E9" w:rsidP="00FE08E9" w:rsidRDefault="00FE08E9" w14:paraId="723F8E0F" w14:textId="45F6D9B3">
      <w:pPr>
        <w:ind w:left="720"/>
        <w:rPr>
          <w:rFonts w:ascii="Arial" w:hAnsi="Arial" w:cs="Arial"/>
        </w:rPr>
      </w:pPr>
      <w:r w:rsidRPr="00FE08E9">
        <w:rPr>
          <w:rFonts w:ascii="Arial" w:hAnsi="Arial" w:cs="Arial"/>
        </w:rPr>
        <w:t xml:space="preserve">There are no changes to the </w:t>
      </w:r>
      <w:r w:rsidR="003B2D84">
        <w:rPr>
          <w:rFonts w:ascii="Arial" w:hAnsi="Arial" w:cs="Arial"/>
        </w:rPr>
        <w:t>burden</w:t>
      </w:r>
      <w:r w:rsidR="00C622B5">
        <w:rPr>
          <w:rFonts w:ascii="Arial" w:hAnsi="Arial" w:cs="Arial"/>
        </w:rPr>
        <w:t xml:space="preserve"> </w:t>
      </w:r>
      <w:r w:rsidRPr="00FE08E9">
        <w:rPr>
          <w:rFonts w:ascii="Arial" w:hAnsi="Arial" w:cs="Arial"/>
        </w:rPr>
        <w:t>previously approved by OMB.</w:t>
      </w:r>
    </w:p>
    <w:p w:rsidR="003B2D84" w:rsidP="00FE08E9" w:rsidRDefault="003B2D84" w14:paraId="2D7592F1" w14:textId="77777777">
      <w:pPr>
        <w:ind w:left="720"/>
        <w:rPr>
          <w:rFonts w:ascii="Arial" w:hAnsi="Arial" w:cs="Arial"/>
        </w:rPr>
      </w:pPr>
    </w:p>
    <w:p w:rsidRPr="00E278D9" w:rsidR="00721EB2" w:rsidP="00FE08E9" w:rsidRDefault="00C622B5" w14:paraId="5291D8B1" w14:textId="6EA0E4C7">
      <w:pPr>
        <w:ind w:left="720"/>
        <w:rPr>
          <w:rFonts w:ascii="Arial" w:hAnsi="Arial" w:cs="Arial"/>
        </w:rPr>
      </w:pPr>
      <w:r>
        <w:rPr>
          <w:rFonts w:ascii="Arial" w:hAnsi="Arial" w:cs="Arial"/>
        </w:rPr>
        <w:t>T</w:t>
      </w:r>
      <w:r w:rsidRPr="00FE08E9" w:rsidR="00FE08E9">
        <w:rPr>
          <w:rFonts w:ascii="Arial" w:hAnsi="Arial" w:cs="Arial"/>
        </w:rPr>
        <w:t>his submission is for renewal purposes</w:t>
      </w:r>
      <w:r w:rsidRPr="00E278D9" w:rsidR="00721EB2">
        <w:rPr>
          <w:rFonts w:ascii="Arial" w:hAnsi="Arial" w:cs="Arial"/>
        </w:rPr>
        <w:t>.</w:t>
      </w:r>
    </w:p>
    <w:p w:rsidRPr="00E278D9" w:rsidR="00721EB2" w:rsidRDefault="00721EB2" w14:paraId="4032DC56" w14:textId="77777777">
      <w:pPr>
        <w:rPr>
          <w:rFonts w:ascii="Arial" w:hAnsi="Arial" w:cs="Arial"/>
        </w:rPr>
      </w:pPr>
    </w:p>
    <w:p w:rsidRPr="00E278D9" w:rsidR="00721EB2" w:rsidRDefault="00721EB2" w14:paraId="7A3BA781" w14:textId="77777777">
      <w:pPr>
        <w:pStyle w:val="Level1"/>
        <w:tabs>
          <w:tab w:val="left" w:pos="-1440"/>
          <w:tab w:val="num" w:pos="720"/>
        </w:tabs>
        <w:rPr>
          <w:rFonts w:ascii="Arial" w:hAnsi="Arial" w:cs="Arial"/>
          <w:b/>
        </w:rPr>
      </w:pPr>
      <w:r w:rsidRPr="00E278D9">
        <w:rPr>
          <w:rFonts w:ascii="Arial" w:hAnsi="Arial" w:cs="Arial"/>
          <w:b/>
          <w:u w:val="single"/>
        </w:rPr>
        <w:t>PLANS FOR TABULATION, STATISTICAL ANALYSIS AND PUBLICATION</w:t>
      </w:r>
    </w:p>
    <w:p w:rsidRPr="00E278D9" w:rsidR="00721EB2" w:rsidRDefault="00721EB2" w14:paraId="5D95FF04" w14:textId="77777777">
      <w:pPr>
        <w:rPr>
          <w:rFonts w:ascii="Arial" w:hAnsi="Arial" w:cs="Arial"/>
          <w:b/>
        </w:rPr>
      </w:pPr>
    </w:p>
    <w:p w:rsidRPr="00E278D9" w:rsidR="00721EB2" w:rsidRDefault="0065166D" w14:paraId="5E651FBB" w14:textId="77777777">
      <w:pPr>
        <w:ind w:left="720"/>
        <w:rPr>
          <w:rFonts w:ascii="Arial" w:hAnsi="Arial" w:cs="Arial"/>
        </w:rPr>
      </w:pPr>
      <w:r w:rsidRPr="00E278D9">
        <w:rPr>
          <w:rFonts w:ascii="Arial" w:hAnsi="Arial" w:cs="Arial"/>
        </w:rPr>
        <w:t>There are no plans for tabulation, statistical analysis and publication</w:t>
      </w:r>
      <w:r w:rsidRPr="00E278D9" w:rsidR="00721EB2">
        <w:rPr>
          <w:rFonts w:ascii="Arial" w:hAnsi="Arial" w:cs="Arial"/>
        </w:rPr>
        <w:t>.</w:t>
      </w:r>
    </w:p>
    <w:p w:rsidRPr="00E278D9" w:rsidR="00721EB2" w:rsidRDefault="00721EB2" w14:paraId="687F3C9F" w14:textId="77777777">
      <w:pPr>
        <w:rPr>
          <w:rFonts w:ascii="Arial" w:hAnsi="Arial" w:cs="Arial"/>
        </w:rPr>
      </w:pPr>
    </w:p>
    <w:p w:rsidRPr="00E278D9" w:rsidR="00721EB2" w:rsidRDefault="00721EB2" w14:paraId="74458AFB" w14:textId="77777777">
      <w:pPr>
        <w:pStyle w:val="Level1"/>
        <w:tabs>
          <w:tab w:val="left" w:pos="-1440"/>
          <w:tab w:val="num" w:pos="720"/>
        </w:tabs>
        <w:rPr>
          <w:rFonts w:ascii="Arial" w:hAnsi="Arial" w:cs="Arial"/>
          <w:b/>
        </w:rPr>
      </w:pPr>
      <w:r w:rsidRPr="00E278D9">
        <w:rPr>
          <w:rFonts w:ascii="Arial" w:hAnsi="Arial" w:cs="Arial"/>
          <w:b/>
          <w:u w:val="single"/>
        </w:rPr>
        <w:t>REASONS WHY DISPLAYING THE OMB EXPIRATION DATE IS</w:t>
      </w:r>
      <w:r w:rsidRPr="00E278D9">
        <w:rPr>
          <w:rFonts w:ascii="Arial" w:hAnsi="Arial" w:cs="Arial"/>
          <w:b/>
        </w:rPr>
        <w:t xml:space="preserve">      </w:t>
      </w:r>
      <w:r w:rsidRPr="00E278D9">
        <w:rPr>
          <w:rFonts w:ascii="Arial" w:hAnsi="Arial" w:cs="Arial"/>
          <w:b/>
          <w:u w:val="single"/>
        </w:rPr>
        <w:t>INAPPROPRIATE</w:t>
      </w:r>
    </w:p>
    <w:p w:rsidRPr="00E278D9" w:rsidR="00721EB2" w:rsidRDefault="00721EB2" w14:paraId="2AF1BC9D" w14:textId="77777777">
      <w:pPr>
        <w:rPr>
          <w:rFonts w:ascii="Arial" w:hAnsi="Arial" w:cs="Arial"/>
        </w:rPr>
      </w:pPr>
    </w:p>
    <w:p w:rsidRPr="00E278D9" w:rsidR="00721EB2" w:rsidRDefault="003A692D" w14:paraId="16DDAF93" w14:textId="030C9CDD">
      <w:pPr>
        <w:ind w:left="720"/>
        <w:rPr>
          <w:rFonts w:ascii="Arial" w:hAnsi="Arial" w:cs="Arial"/>
        </w:rPr>
      </w:pPr>
      <w:r>
        <w:rPr>
          <w:rFonts w:ascii="Arial" w:hAnsi="Arial" w:cs="Arial"/>
        </w:rPr>
        <w:t>IRS</w:t>
      </w:r>
      <w:r w:rsidRPr="00E278D9" w:rsidR="00721EB2">
        <w:rPr>
          <w:rFonts w:ascii="Arial" w:hAnsi="Arial" w:cs="Arial"/>
        </w:rPr>
        <w:t xml:space="preserve"> believe</w:t>
      </w:r>
      <w:r>
        <w:rPr>
          <w:rFonts w:ascii="Arial" w:hAnsi="Arial" w:cs="Arial"/>
        </w:rPr>
        <w:t>s</w:t>
      </w:r>
      <w:r w:rsidRPr="00E278D9" w:rsidR="00721EB2">
        <w:rPr>
          <w:rFonts w:ascii="Arial" w:hAnsi="Arial" w:cs="Arial"/>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E278D9" w:rsidR="00721EB2" w:rsidRDefault="00721EB2" w14:paraId="51A55A64" w14:textId="77777777">
      <w:pPr>
        <w:rPr>
          <w:rFonts w:ascii="Arial" w:hAnsi="Arial" w:cs="Arial"/>
        </w:rPr>
      </w:pPr>
    </w:p>
    <w:p w:rsidRPr="00E278D9" w:rsidR="00721EB2" w:rsidRDefault="00721EB2" w14:paraId="4F898CD0" w14:textId="77777777">
      <w:pPr>
        <w:pStyle w:val="Level1"/>
        <w:tabs>
          <w:tab w:val="left" w:pos="-1440"/>
          <w:tab w:val="num" w:pos="720"/>
        </w:tabs>
        <w:rPr>
          <w:rFonts w:ascii="Arial" w:hAnsi="Arial" w:cs="Arial"/>
          <w:b/>
        </w:rPr>
      </w:pPr>
      <w:r w:rsidRPr="00E278D9">
        <w:rPr>
          <w:rFonts w:ascii="Arial" w:hAnsi="Arial" w:cs="Arial"/>
          <w:b/>
          <w:u w:val="single"/>
        </w:rPr>
        <w:t>EXCEPTIONS TO THE CERTIFICATION STATEMENT</w:t>
      </w:r>
    </w:p>
    <w:p w:rsidRPr="00E278D9" w:rsidR="00721EB2" w:rsidRDefault="00721EB2" w14:paraId="6AEBE346" w14:textId="77777777">
      <w:pPr>
        <w:rPr>
          <w:rFonts w:ascii="Arial" w:hAnsi="Arial" w:cs="Arial"/>
        </w:rPr>
      </w:pPr>
    </w:p>
    <w:p w:rsidRPr="00E278D9" w:rsidR="00721EB2" w:rsidRDefault="0065166D" w14:paraId="767ADADB" w14:textId="77777777">
      <w:pPr>
        <w:ind w:left="720"/>
        <w:rPr>
          <w:rFonts w:ascii="Arial" w:hAnsi="Arial" w:cs="Arial"/>
        </w:rPr>
      </w:pPr>
      <w:r w:rsidRPr="00E278D9">
        <w:rPr>
          <w:rFonts w:ascii="Arial" w:hAnsi="Arial" w:cs="Arial"/>
        </w:rPr>
        <w:t>There are no exceptions to the certification statement</w:t>
      </w:r>
      <w:r w:rsidRPr="00E278D9" w:rsidR="00721EB2">
        <w:rPr>
          <w:rFonts w:ascii="Arial" w:hAnsi="Arial" w:cs="Arial"/>
        </w:rPr>
        <w:t>.</w:t>
      </w:r>
    </w:p>
    <w:p w:rsidRPr="00E278D9" w:rsidR="00721EB2" w:rsidRDefault="00721EB2" w14:paraId="622AE916" w14:textId="77777777">
      <w:pPr>
        <w:rPr>
          <w:rFonts w:ascii="Arial" w:hAnsi="Arial" w:cs="Arial"/>
        </w:rPr>
      </w:pPr>
    </w:p>
    <w:p w:rsidRPr="00E278D9" w:rsidR="00721EB2" w:rsidRDefault="00721EB2" w14:paraId="233CCFA1" w14:textId="77777777">
      <w:pPr>
        <w:rPr>
          <w:rFonts w:ascii="Arial" w:hAnsi="Arial" w:cs="Arial"/>
        </w:rPr>
      </w:pPr>
      <w:r w:rsidRPr="00E278D9">
        <w:rPr>
          <w:rFonts w:ascii="Arial" w:hAnsi="Arial" w:cs="Arial"/>
          <w:b/>
          <w:u w:val="single"/>
        </w:rPr>
        <w:t>Note</w:t>
      </w:r>
      <w:r w:rsidRPr="00E278D9">
        <w:rPr>
          <w:rFonts w:ascii="Arial" w:hAnsi="Arial" w:cs="Arial"/>
          <w:u w:val="single"/>
        </w:rPr>
        <w:t>:</w:t>
      </w:r>
      <w:r w:rsidRPr="00E278D9">
        <w:rPr>
          <w:rFonts w:ascii="Arial" w:hAnsi="Arial" w:cs="Arial"/>
        </w:rPr>
        <w:t xml:space="preserve">   The following paragraph applies to </w:t>
      </w:r>
      <w:proofErr w:type="gramStart"/>
      <w:r w:rsidRPr="00E278D9">
        <w:rPr>
          <w:rFonts w:ascii="Arial" w:hAnsi="Arial" w:cs="Arial"/>
        </w:rPr>
        <w:t>all of</w:t>
      </w:r>
      <w:proofErr w:type="gramEnd"/>
      <w:r w:rsidRPr="00E278D9">
        <w:rPr>
          <w:rFonts w:ascii="Arial" w:hAnsi="Arial" w:cs="Arial"/>
        </w:rPr>
        <w:t xml:space="preserve"> the collections of information in this submission:</w:t>
      </w:r>
    </w:p>
    <w:p w:rsidRPr="00E278D9" w:rsidR="00721EB2" w:rsidRDefault="00721EB2" w14:paraId="6EF616C5" w14:textId="77777777">
      <w:pPr>
        <w:rPr>
          <w:rFonts w:ascii="Arial" w:hAnsi="Arial" w:cs="Arial"/>
        </w:rPr>
      </w:pPr>
    </w:p>
    <w:p w:rsidRPr="00E278D9" w:rsidR="00721EB2" w:rsidP="0065166D" w:rsidRDefault="00721EB2" w14:paraId="71D4881D" w14:textId="77777777">
      <w:pPr>
        <w:ind w:firstLine="720"/>
        <w:rPr>
          <w:rFonts w:ascii="Arial" w:hAnsi="Arial" w:cs="Arial"/>
        </w:rPr>
      </w:pPr>
      <w:r w:rsidRPr="00E278D9">
        <w:rPr>
          <w:rFonts w:ascii="Arial" w:hAnsi="Arial" w:cs="Arial"/>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E278D9">
        <w:rPr>
          <w:rFonts w:ascii="Arial" w:hAnsi="Arial" w:cs="Arial"/>
        </w:rPr>
        <w:t>as long as</w:t>
      </w:r>
      <w:proofErr w:type="gramEnd"/>
      <w:r w:rsidRPr="00E278D9">
        <w:rPr>
          <w:rFonts w:ascii="Arial" w:hAnsi="Arial" w:cs="Arial"/>
        </w:rPr>
        <w:t xml:space="preserve"> their contents may become material in the administration of any internal revenue law.  Generally, tax returns and tax return information are confidential, as required by 26 U.S.C. 6103.</w:t>
      </w:r>
    </w:p>
    <w:sectPr w:rsidRPr="00E278D9" w:rsidR="00721EB2" w:rsidSect="00721EB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AD8BC" w14:textId="77777777" w:rsidR="008E2795" w:rsidRDefault="008E2795">
      <w:r>
        <w:separator/>
      </w:r>
    </w:p>
  </w:endnote>
  <w:endnote w:type="continuationSeparator" w:id="0">
    <w:p w14:paraId="622CFFE2" w14:textId="77777777" w:rsidR="008E2795" w:rsidRDefault="008E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4646" w14:textId="77777777" w:rsidR="00034D63" w:rsidRDefault="00034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6B8E9" w14:textId="77777777" w:rsidR="00034D63" w:rsidRDefault="00034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295C4" w14:textId="77777777" w:rsidR="00034D63" w:rsidRDefault="00034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E1827" w14:textId="77777777" w:rsidR="008E2795" w:rsidRDefault="008E2795">
      <w:r>
        <w:separator/>
      </w:r>
    </w:p>
  </w:footnote>
  <w:footnote w:type="continuationSeparator" w:id="0">
    <w:p w14:paraId="424177F0" w14:textId="77777777" w:rsidR="008E2795" w:rsidRDefault="008E2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8BFEA" w14:textId="77777777" w:rsidR="00034D63" w:rsidRDefault="00034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A3892" w14:textId="77777777" w:rsidR="00034D63" w:rsidRDefault="00034D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3B570" w14:textId="77777777" w:rsidR="00034D63" w:rsidRDefault="00034D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56A81" w14:textId="185DA495" w:rsidR="00646A2A" w:rsidRDefault="00646A2A">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8E0DBB">
      <w:rPr>
        <w:rFonts w:cs="Courier"/>
        <w:b/>
        <w:bCs/>
        <w:noProof/>
      </w:rPr>
      <w:t>2</w:t>
    </w:r>
    <w:r>
      <w:rPr>
        <w:rFonts w:cs="Courier"/>
        <w:b/>
        <w:bCs/>
      </w:rPr>
      <w:fldChar w:fldCharType="end"/>
    </w:r>
  </w:p>
  <w:p w14:paraId="62D3C8C1" w14:textId="77777777" w:rsidR="00646A2A" w:rsidRDefault="00646A2A"/>
  <w:p w14:paraId="71C9718C" w14:textId="77777777" w:rsidR="00646A2A" w:rsidRDefault="00646A2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B2"/>
    <w:rsid w:val="000009A0"/>
    <w:rsid w:val="000166A1"/>
    <w:rsid w:val="00034D63"/>
    <w:rsid w:val="00093FAA"/>
    <w:rsid w:val="000B68ED"/>
    <w:rsid w:val="001C1D57"/>
    <w:rsid w:val="001E6A29"/>
    <w:rsid w:val="001F4C31"/>
    <w:rsid w:val="002063B0"/>
    <w:rsid w:val="00213D26"/>
    <w:rsid w:val="0023406D"/>
    <w:rsid w:val="0026031B"/>
    <w:rsid w:val="00266ABE"/>
    <w:rsid w:val="00283256"/>
    <w:rsid w:val="002B70CA"/>
    <w:rsid w:val="002D1FE5"/>
    <w:rsid w:val="00311BA0"/>
    <w:rsid w:val="00321C69"/>
    <w:rsid w:val="00352ED3"/>
    <w:rsid w:val="003531A4"/>
    <w:rsid w:val="00375697"/>
    <w:rsid w:val="00395DBD"/>
    <w:rsid w:val="0039754E"/>
    <w:rsid w:val="003A692D"/>
    <w:rsid w:val="003B188E"/>
    <w:rsid w:val="003B2D84"/>
    <w:rsid w:val="003E7F8E"/>
    <w:rsid w:val="004150D2"/>
    <w:rsid w:val="00437DDC"/>
    <w:rsid w:val="00457543"/>
    <w:rsid w:val="004A7933"/>
    <w:rsid w:val="004E6CCD"/>
    <w:rsid w:val="004F18E9"/>
    <w:rsid w:val="004F6B01"/>
    <w:rsid w:val="00557814"/>
    <w:rsid w:val="0057048C"/>
    <w:rsid w:val="0058773A"/>
    <w:rsid w:val="005C1E39"/>
    <w:rsid w:val="005D2ED7"/>
    <w:rsid w:val="005D79B9"/>
    <w:rsid w:val="00606FDF"/>
    <w:rsid w:val="00646A2A"/>
    <w:rsid w:val="0065166D"/>
    <w:rsid w:val="00686ACC"/>
    <w:rsid w:val="006D3A76"/>
    <w:rsid w:val="006D61D7"/>
    <w:rsid w:val="00721EB2"/>
    <w:rsid w:val="007952A8"/>
    <w:rsid w:val="007C0B1C"/>
    <w:rsid w:val="007C431D"/>
    <w:rsid w:val="007D0E0A"/>
    <w:rsid w:val="007D4484"/>
    <w:rsid w:val="007E539D"/>
    <w:rsid w:val="008739D6"/>
    <w:rsid w:val="008865EF"/>
    <w:rsid w:val="00892B37"/>
    <w:rsid w:val="008979C3"/>
    <w:rsid w:val="008A442E"/>
    <w:rsid w:val="008B0691"/>
    <w:rsid w:val="008B07F5"/>
    <w:rsid w:val="008D5CE7"/>
    <w:rsid w:val="008E0DBB"/>
    <w:rsid w:val="008E2795"/>
    <w:rsid w:val="008E4370"/>
    <w:rsid w:val="00963358"/>
    <w:rsid w:val="009A0AA3"/>
    <w:rsid w:val="009A127C"/>
    <w:rsid w:val="009E3755"/>
    <w:rsid w:val="00A56008"/>
    <w:rsid w:val="00A57DBE"/>
    <w:rsid w:val="00A8115C"/>
    <w:rsid w:val="00A9081B"/>
    <w:rsid w:val="00AA316B"/>
    <w:rsid w:val="00AA3F00"/>
    <w:rsid w:val="00AD023C"/>
    <w:rsid w:val="00B33FB6"/>
    <w:rsid w:val="00B52522"/>
    <w:rsid w:val="00B645EA"/>
    <w:rsid w:val="00BA15C0"/>
    <w:rsid w:val="00C36F76"/>
    <w:rsid w:val="00C622B5"/>
    <w:rsid w:val="00CB63F4"/>
    <w:rsid w:val="00CD6722"/>
    <w:rsid w:val="00D417E0"/>
    <w:rsid w:val="00D5785F"/>
    <w:rsid w:val="00D96EFD"/>
    <w:rsid w:val="00DA0570"/>
    <w:rsid w:val="00E148AF"/>
    <w:rsid w:val="00E278D9"/>
    <w:rsid w:val="00E70582"/>
    <w:rsid w:val="00E826F2"/>
    <w:rsid w:val="00EF4C4B"/>
    <w:rsid w:val="00F063A5"/>
    <w:rsid w:val="00F101E9"/>
    <w:rsid w:val="00F10D7C"/>
    <w:rsid w:val="00F15274"/>
    <w:rsid w:val="00F436F6"/>
    <w:rsid w:val="00F7678B"/>
    <w:rsid w:val="00F81AC2"/>
    <w:rsid w:val="00F847BC"/>
    <w:rsid w:val="00FD0320"/>
    <w:rsid w:val="00FE0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FEA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SupportingStatementSTANDARD">
    <w:name w:val="Supporting Statement STANDARD"/>
    <w:basedOn w:val="Normal"/>
    <w:link w:val="SupportingStatementSTANDARDChar"/>
    <w:qFormat/>
    <w:rsid w:val="0065166D"/>
    <w:pPr>
      <w:tabs>
        <w:tab w:val="left" w:pos="720"/>
      </w:tabs>
      <w:ind w:left="720" w:hanging="720"/>
    </w:pPr>
    <w:rPr>
      <w:rFonts w:ascii="Times New Roman" w:hAnsi="Times New Roman"/>
    </w:rPr>
  </w:style>
  <w:style w:type="character" w:customStyle="1" w:styleId="SupportingStatementSTANDARDChar">
    <w:name w:val="Supporting Statement STANDARD Char"/>
    <w:link w:val="SupportingStatementSTANDARD"/>
    <w:rsid w:val="0065166D"/>
    <w:rPr>
      <w:sz w:val="24"/>
      <w:szCs w:val="24"/>
    </w:rPr>
  </w:style>
  <w:style w:type="character" w:styleId="CommentReference">
    <w:name w:val="annotation reference"/>
    <w:basedOn w:val="DefaultParagraphFont"/>
    <w:rsid w:val="00A8115C"/>
    <w:rPr>
      <w:sz w:val="16"/>
      <w:szCs w:val="16"/>
    </w:rPr>
  </w:style>
  <w:style w:type="paragraph" w:styleId="CommentText">
    <w:name w:val="annotation text"/>
    <w:basedOn w:val="Normal"/>
    <w:link w:val="CommentTextChar"/>
    <w:rsid w:val="00A8115C"/>
    <w:rPr>
      <w:sz w:val="20"/>
      <w:szCs w:val="20"/>
    </w:rPr>
  </w:style>
  <w:style w:type="character" w:customStyle="1" w:styleId="CommentTextChar">
    <w:name w:val="Comment Text Char"/>
    <w:basedOn w:val="DefaultParagraphFont"/>
    <w:link w:val="CommentText"/>
    <w:rsid w:val="00A8115C"/>
    <w:rPr>
      <w:rFonts w:ascii="Courier" w:hAnsi="Courier"/>
    </w:rPr>
  </w:style>
  <w:style w:type="paragraph" w:styleId="CommentSubject">
    <w:name w:val="annotation subject"/>
    <w:basedOn w:val="CommentText"/>
    <w:next w:val="CommentText"/>
    <w:link w:val="CommentSubjectChar"/>
    <w:rsid w:val="00A8115C"/>
    <w:rPr>
      <w:b/>
      <w:bCs/>
    </w:rPr>
  </w:style>
  <w:style w:type="character" w:customStyle="1" w:styleId="CommentSubjectChar">
    <w:name w:val="Comment Subject Char"/>
    <w:basedOn w:val="CommentTextChar"/>
    <w:link w:val="CommentSubject"/>
    <w:rsid w:val="00A8115C"/>
    <w:rPr>
      <w:rFonts w:ascii="Courier" w:hAnsi="Courier"/>
      <w:b/>
      <w:bCs/>
    </w:rPr>
  </w:style>
  <w:style w:type="paragraph" w:styleId="BalloonText">
    <w:name w:val="Balloon Text"/>
    <w:basedOn w:val="Normal"/>
    <w:link w:val="BalloonTextChar"/>
    <w:rsid w:val="00A8115C"/>
    <w:rPr>
      <w:rFonts w:ascii="Tahoma" w:hAnsi="Tahoma" w:cs="Tahoma"/>
      <w:sz w:val="16"/>
      <w:szCs w:val="16"/>
    </w:rPr>
  </w:style>
  <w:style w:type="character" w:customStyle="1" w:styleId="BalloonTextChar">
    <w:name w:val="Balloon Text Char"/>
    <w:basedOn w:val="DefaultParagraphFont"/>
    <w:link w:val="BalloonText"/>
    <w:rsid w:val="00A8115C"/>
    <w:rPr>
      <w:rFonts w:ascii="Tahoma" w:hAnsi="Tahoma" w:cs="Tahoma"/>
      <w:sz w:val="16"/>
      <w:szCs w:val="16"/>
    </w:rPr>
  </w:style>
  <w:style w:type="paragraph" w:styleId="Header">
    <w:name w:val="header"/>
    <w:basedOn w:val="Normal"/>
    <w:link w:val="HeaderChar"/>
    <w:unhideWhenUsed/>
    <w:rsid w:val="00034D63"/>
    <w:pPr>
      <w:tabs>
        <w:tab w:val="center" w:pos="4680"/>
        <w:tab w:val="right" w:pos="9360"/>
      </w:tabs>
    </w:pPr>
  </w:style>
  <w:style w:type="character" w:customStyle="1" w:styleId="HeaderChar">
    <w:name w:val="Header Char"/>
    <w:basedOn w:val="DefaultParagraphFont"/>
    <w:link w:val="Header"/>
    <w:rsid w:val="00034D63"/>
    <w:rPr>
      <w:rFonts w:ascii="Courier" w:hAnsi="Courier"/>
      <w:sz w:val="24"/>
      <w:szCs w:val="24"/>
    </w:rPr>
  </w:style>
  <w:style w:type="paragraph" w:styleId="Footer">
    <w:name w:val="footer"/>
    <w:basedOn w:val="Normal"/>
    <w:link w:val="FooterChar"/>
    <w:unhideWhenUsed/>
    <w:rsid w:val="00034D63"/>
    <w:pPr>
      <w:tabs>
        <w:tab w:val="center" w:pos="4680"/>
        <w:tab w:val="right" w:pos="9360"/>
      </w:tabs>
    </w:pPr>
  </w:style>
  <w:style w:type="character" w:customStyle="1" w:styleId="FooterChar">
    <w:name w:val="Footer Char"/>
    <w:basedOn w:val="DefaultParagraphFont"/>
    <w:link w:val="Footer"/>
    <w:rsid w:val="00034D63"/>
    <w:rPr>
      <w:rFonts w:ascii="Courier" w:hAnsi="Courier"/>
      <w:sz w:val="24"/>
      <w:szCs w:val="24"/>
    </w:rPr>
  </w:style>
  <w:style w:type="character" w:styleId="Hyperlink">
    <w:name w:val="Hyperlink"/>
    <w:basedOn w:val="DefaultParagraphFont"/>
    <w:unhideWhenUsed/>
    <w:rsid w:val="008B0691"/>
    <w:rPr>
      <w:color w:val="0000FF" w:themeColor="hyperlink"/>
      <w:u w:val="single"/>
    </w:rPr>
  </w:style>
  <w:style w:type="character" w:customStyle="1" w:styleId="UnresolvedMention1">
    <w:name w:val="Unresolved Mention1"/>
    <w:basedOn w:val="DefaultParagraphFont"/>
    <w:uiPriority w:val="99"/>
    <w:semiHidden/>
    <w:unhideWhenUsed/>
    <w:rsid w:val="008B0691"/>
    <w:rPr>
      <w:color w:val="808080"/>
      <w:shd w:val="clear" w:color="auto" w:fill="E6E6E6"/>
    </w:rPr>
  </w:style>
  <w:style w:type="character" w:styleId="FollowedHyperlink">
    <w:name w:val="FollowedHyperlink"/>
    <w:basedOn w:val="DefaultParagraphFont"/>
    <w:semiHidden/>
    <w:unhideWhenUsed/>
    <w:rsid w:val="001E6A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74556">
      <w:bodyDiv w:val="1"/>
      <w:marLeft w:val="0"/>
      <w:marRight w:val="0"/>
      <w:marTop w:val="0"/>
      <w:marBottom w:val="0"/>
      <w:divBdr>
        <w:top w:val="none" w:sz="0" w:space="0" w:color="auto"/>
        <w:left w:val="none" w:sz="0" w:space="0" w:color="auto"/>
        <w:bottom w:val="none" w:sz="0" w:space="0" w:color="auto"/>
        <w:right w:val="none" w:sz="0" w:space="0" w:color="auto"/>
      </w:divBdr>
      <w:divsChild>
        <w:div w:id="408357023">
          <w:marLeft w:val="0"/>
          <w:marRight w:val="0"/>
          <w:marTop w:val="0"/>
          <w:marBottom w:val="0"/>
          <w:divBdr>
            <w:top w:val="none" w:sz="0" w:space="0" w:color="auto"/>
            <w:left w:val="none" w:sz="0" w:space="0" w:color="auto"/>
            <w:bottom w:val="none" w:sz="0" w:space="0" w:color="auto"/>
            <w:right w:val="none" w:sz="0" w:space="0" w:color="auto"/>
          </w:divBdr>
          <w:divsChild>
            <w:div w:id="880172409">
              <w:marLeft w:val="0"/>
              <w:marRight w:val="0"/>
              <w:marTop w:val="0"/>
              <w:marBottom w:val="0"/>
              <w:divBdr>
                <w:top w:val="single" w:sz="6" w:space="11" w:color="FCFCFC"/>
                <w:left w:val="single" w:sz="6" w:space="11" w:color="ECECEC"/>
                <w:bottom w:val="single" w:sz="6" w:space="4" w:color="ECECEC"/>
                <w:right w:val="single" w:sz="6" w:space="11" w:color="ECECEC"/>
              </w:divBdr>
              <w:divsChild>
                <w:div w:id="63826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2021-02-25T01:52:00Z</dcterms:created>
  <dcterms:modified xsi:type="dcterms:W3CDTF">2021-02-25T01:52:00Z</dcterms:modified>
</cp:coreProperties>
</file>