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5B7CF8DB">
      <w:pPr>
        <w:pStyle w:val="Heading1"/>
        <w:tabs>
          <w:tab w:val="left" w:pos="0"/>
        </w:tabs>
        <w:rPr>
          <w:sz w:val="24"/>
          <w:szCs w:val="24"/>
        </w:rPr>
      </w:pPr>
      <w:r w:rsidRPr="00196A81">
        <w:rPr>
          <w:sz w:val="24"/>
          <w:szCs w:val="24"/>
        </w:rPr>
        <w:t>FOR PAPERWORK REDUCTION ACT SUBMISSION</w:t>
      </w:r>
    </w:p>
    <w:p w:rsidRPr="00AF222B" w:rsidR="00A223F4" w:rsidP="00A223F4" w:rsidRDefault="00A223F4" w14:paraId="6463D621" w14:textId="7F9AC3DD">
      <w:pPr>
        <w:jc w:val="center"/>
        <w:rPr>
          <w:rFonts w:ascii="Times New Roman" w:hAnsi="Times New Roman"/>
          <w:b/>
          <w:bCs/>
        </w:rPr>
      </w:pPr>
    </w:p>
    <w:p w:rsidRPr="00AF222B" w:rsidR="00AF222B" w:rsidP="002E6EEE" w:rsidRDefault="00AF222B" w14:paraId="627F2020" w14:textId="77777777">
      <w:pPr>
        <w:jc w:val="center"/>
        <w:rPr>
          <w:rFonts w:ascii="Times New Roman" w:hAnsi="Times New Roman"/>
          <w:b/>
          <w:bCs/>
        </w:rPr>
      </w:pPr>
      <w:r w:rsidRPr="00AF222B">
        <w:rPr>
          <w:rFonts w:ascii="Times New Roman" w:hAnsi="Times New Roman"/>
          <w:b/>
          <w:bCs/>
        </w:rPr>
        <w:t xml:space="preserve"> Higher Education Emergency Relief Fund (HEERF) </w:t>
      </w:r>
    </w:p>
    <w:p w:rsidRPr="00AF222B" w:rsidR="002E6EEE" w:rsidP="002E6EEE" w:rsidRDefault="00AF222B" w14:paraId="7F936127" w14:textId="5826C5CD">
      <w:pPr>
        <w:jc w:val="center"/>
        <w:rPr>
          <w:rFonts w:ascii="Times New Roman" w:hAnsi="Times New Roman"/>
          <w:b/>
          <w:bCs/>
        </w:rPr>
      </w:pPr>
      <w:r w:rsidRPr="00AF222B">
        <w:rPr>
          <w:rFonts w:ascii="Times New Roman" w:hAnsi="Times New Roman"/>
          <w:b/>
          <w:bCs/>
        </w:rPr>
        <w:t xml:space="preserve">Data Collection Form </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0014781D" w:rsidP="00BF1380" w:rsidRDefault="0014781D" w14:paraId="63267D95" w14:textId="75E4982F">
      <w:pPr>
        <w:rPr>
          <w:rFonts w:ascii="Times New Roman" w:hAnsi="Times New Roman"/>
          <w:szCs w:val="24"/>
        </w:rPr>
      </w:pPr>
      <w:r w:rsidRPr="00196A81">
        <w:rPr>
          <w:rFonts w:ascii="Times New Roman" w:hAnsi="Times New Roman"/>
          <w:szCs w:val="24"/>
        </w:rPr>
        <w:t>Section 18004(a) of the CARES Act, Pub.L. 116-136 (March 27, 2020), authorize</w:t>
      </w:r>
      <w:r w:rsidR="00B443FF">
        <w:rPr>
          <w:rFonts w:ascii="Times New Roman" w:hAnsi="Times New Roman"/>
          <w:szCs w:val="24"/>
        </w:rPr>
        <w:t>s</w:t>
      </w:r>
      <w:r w:rsidRPr="00196A81">
        <w:rPr>
          <w:rFonts w:ascii="Times New Roman" w:hAnsi="Times New Roman"/>
          <w:szCs w:val="24"/>
        </w:rPr>
        <w:t xml:space="preserve"> the Secretary of Education to allocate formula grant funds to </w:t>
      </w:r>
      <w:r w:rsidRPr="006113D9">
        <w:rPr>
          <w:rFonts w:ascii="Times New Roman" w:hAnsi="Times New Roman"/>
          <w:szCs w:val="24"/>
        </w:rPr>
        <w:t xml:space="preserve">participating institutions of higher education (IHEs). </w:t>
      </w:r>
      <w:r w:rsidRPr="006113D9" w:rsidR="006113D9">
        <w:rPr>
          <w:rFonts w:ascii="Times New Roman" w:hAnsi="Times New Roman"/>
          <w:szCs w:val="24"/>
        </w:rPr>
        <w:t>Section 18004(c) of the CARES Act allows IHEs to use up to one-half of the total funds received to cover any costs associated with the significant changes to the delivery of instruction due to the coronavirus (with specific exceptions).</w:t>
      </w:r>
    </w:p>
    <w:p w:rsidR="0004501A" w:rsidP="00BF1380" w:rsidRDefault="0004501A" w14:paraId="65B5A688" w14:textId="04C29F6E">
      <w:pPr>
        <w:rPr>
          <w:rFonts w:ascii="Times New Roman" w:hAnsi="Times New Roman"/>
          <w:szCs w:val="24"/>
        </w:rPr>
      </w:pPr>
    </w:p>
    <w:p w:rsidRPr="00AD5C74" w:rsidR="0004501A" w:rsidP="00BF1380" w:rsidRDefault="001616E7" w14:paraId="396AE147" w14:textId="7D49EAE6">
      <w:pPr>
        <w:rPr>
          <w:rFonts w:ascii="Times New Roman" w:hAnsi="Times New Roman"/>
          <w:color w:val="FF0000"/>
          <w:szCs w:val="24"/>
        </w:rPr>
      </w:pPr>
      <w:r w:rsidRPr="001616E7">
        <w:rPr>
          <w:rFonts w:ascii="Times New Roman" w:hAnsi="Times New Roman"/>
          <w:szCs w:val="24"/>
        </w:rPr>
        <w:t xml:space="preserve">This information collection request </w:t>
      </w:r>
      <w:r w:rsidR="00AD5C74">
        <w:rPr>
          <w:rFonts w:ascii="Times New Roman" w:hAnsi="Times New Roman"/>
          <w:szCs w:val="24"/>
        </w:rPr>
        <w:t>includes reporting requirements</w:t>
      </w:r>
      <w:r w:rsidRPr="001616E7">
        <w:rPr>
          <w:rFonts w:ascii="Times New Roman" w:hAnsi="Times New Roman"/>
          <w:szCs w:val="24"/>
        </w:rPr>
        <w:t xml:space="preserve"> to comply with the requirements of the CARES Act and </w:t>
      </w:r>
      <w:r w:rsidR="00AD5C74">
        <w:rPr>
          <w:rFonts w:ascii="Times New Roman" w:hAnsi="Times New Roman"/>
          <w:szCs w:val="24"/>
        </w:rPr>
        <w:t>obtain information on how the funds were used</w:t>
      </w:r>
      <w:r w:rsidRPr="001616E7">
        <w:rPr>
          <w:rFonts w:ascii="Times New Roman" w:hAnsi="Times New Roman"/>
          <w:szCs w:val="24"/>
        </w:rPr>
        <w:t>.</w:t>
      </w:r>
      <w:r w:rsidR="009B1F10">
        <w:rPr>
          <w:rFonts w:ascii="Times New Roman" w:hAnsi="Times New Roman"/>
          <w:szCs w:val="24"/>
        </w:rPr>
        <w:t xml:space="preserve"> </w:t>
      </w:r>
      <w:r w:rsidRPr="009B1F10" w:rsidR="009B1F10">
        <w:rPr>
          <w:rFonts w:ascii="Times New Roman" w:hAnsi="Times New Roman"/>
          <w:szCs w:val="24"/>
        </w:rPr>
        <w:t xml:space="preserve">In accordance with Recipient’s Funding Certification and Agreements executed by grantees for CARES Act funding, the Secretary may specify additional forms of reporting. </w:t>
      </w:r>
      <w:r w:rsidR="002149F3">
        <w:rPr>
          <w:rFonts w:ascii="Times New Roman" w:hAnsi="Times New Roman"/>
          <w:szCs w:val="24"/>
        </w:rPr>
        <w:t xml:space="preserve">  </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FB3316" w:rsidR="00BA0B3A" w:rsidP="00BA0B3A" w:rsidRDefault="00BA0B3A" w14:paraId="4F1B6B11" w14:textId="6FA6F3A0">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sidR="006B2188">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HEE</w:t>
      </w:r>
      <w:r w:rsidRPr="00FB3316">
        <w:rPr>
          <w:rFonts w:ascii="Times New Roman" w:hAnsi="Times New Roman"/>
        </w:rPr>
        <w:t xml:space="preserve">R </w:t>
      </w:r>
      <w:r>
        <w:rPr>
          <w:rFonts w:ascii="Times New Roman" w:hAnsi="Times New Roman"/>
        </w:rPr>
        <w:t>f</w:t>
      </w:r>
      <w:r w:rsidRPr="00FB3316">
        <w:rPr>
          <w:rFonts w:ascii="Times New Roman" w:hAnsi="Times New Roman"/>
        </w:rPr>
        <w:t>unds are used in accordance with section 1800</w:t>
      </w:r>
      <w:r w:rsidR="00783F90">
        <w:rPr>
          <w:rFonts w:ascii="Times New Roman" w:hAnsi="Times New Roman"/>
        </w:rPr>
        <w:t>4</w:t>
      </w:r>
      <w:r w:rsidRPr="00FB3316">
        <w:rPr>
          <w:rFonts w:ascii="Times New Roman" w:hAnsi="Times New Roman"/>
        </w:rPr>
        <w:t xml:space="preserve"> of the CARES Act</w:t>
      </w:r>
      <w:r>
        <w:rPr>
          <w:rFonts w:ascii="Times New Roman" w:hAnsi="Times New Roman"/>
        </w:rPr>
        <w:t>, and will be shared with the public to promote transparency regarding the allocation and uses of funds.</w:t>
      </w:r>
      <w:r w:rsidRPr="00FB3316">
        <w:rPr>
          <w:rFonts w:ascii="Times New Roman" w:hAnsi="Times New Roman"/>
        </w:rPr>
        <w:t xml:space="preserve">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4446507C">
      <w:pPr>
        <w:tabs>
          <w:tab w:val="left" w:pos="-720"/>
        </w:tabs>
        <w:suppressAutoHyphens/>
        <w:rPr>
          <w:rFonts w:ascii="Times New Roman" w:hAnsi="Times New Roman"/>
          <w:szCs w:val="24"/>
        </w:rPr>
      </w:pPr>
      <w:r>
        <w:rPr>
          <w:rFonts w:ascii="Times New Roman" w:hAnsi="Times New Roman"/>
          <w:szCs w:val="24"/>
        </w:rPr>
        <w:t>Data</w:t>
      </w:r>
      <w:r w:rsidR="003F7BB3">
        <w:rPr>
          <w:rFonts w:ascii="Times New Roman" w:hAnsi="Times New Roman"/>
          <w:szCs w:val="24"/>
        </w:rPr>
        <w:t xml:space="preserve"> collection will be conducted through a </w:t>
      </w:r>
      <w:r w:rsidR="00E960B2">
        <w:rPr>
          <w:rFonts w:ascii="Times New Roman" w:hAnsi="Times New Roman"/>
          <w:szCs w:val="24"/>
        </w:rPr>
        <w:t xml:space="preserve">Department-provided </w:t>
      </w:r>
      <w:r w:rsidR="003F7BB3">
        <w:rPr>
          <w:rFonts w:ascii="Times New Roman" w:hAnsi="Times New Roman"/>
          <w:szCs w:val="24"/>
        </w:rPr>
        <w:t>web portal.</w:t>
      </w:r>
      <w:r w:rsidR="003570FE">
        <w:rPr>
          <w:rFonts w:ascii="Times New Roman" w:hAnsi="Times New Roman"/>
          <w:szCs w:val="24"/>
        </w:rPr>
        <w:t xml:space="preserve"> </w:t>
      </w:r>
      <w:r w:rsidR="00E70294">
        <w:rPr>
          <w:rFonts w:ascii="Times New Roman" w:hAnsi="Times New Roman"/>
          <w:szCs w:val="24"/>
        </w:rPr>
        <w:t>Electronic</w:t>
      </w:r>
      <w:r w:rsidR="003570FE">
        <w:rPr>
          <w:rFonts w:ascii="Times New Roman" w:hAnsi="Times New Roman"/>
          <w:szCs w:val="24"/>
        </w:rPr>
        <w:t xml:space="preserve"> data collecti</w:t>
      </w:r>
      <w:r w:rsidR="006B2188">
        <w:rPr>
          <w:rFonts w:ascii="Times New Roman" w:hAnsi="Times New Roman"/>
          <w:szCs w:val="24"/>
        </w:rPr>
        <w:t>o</w:t>
      </w:r>
      <w:r w:rsidR="003570FE">
        <w:rPr>
          <w:rFonts w:ascii="Times New Roman" w:hAnsi="Times New Roman"/>
          <w:szCs w:val="24"/>
        </w:rPr>
        <w:t xml:space="preserve">n through a web portal was chosen because of its efficiency, cost, and ability to </w:t>
      </w:r>
      <w:r w:rsidR="00E267CC">
        <w:rPr>
          <w:rFonts w:ascii="Times New Roman" w:hAnsi="Times New Roman"/>
          <w:szCs w:val="24"/>
        </w:rPr>
        <w:t>pre-populate certain fields and conduct verification checks on others.</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DB0D7F" w:rsidP="00DB0D7F" w:rsidRDefault="00DB0D7F" w14:paraId="485E6EB3" w14:textId="77777777">
      <w:pPr>
        <w:rPr>
          <w:rFonts w:ascii="Times New Roman" w:hAnsi="Times New Roman"/>
          <w:iCs/>
          <w:szCs w:val="24"/>
        </w:rPr>
      </w:pPr>
    </w:p>
    <w:p w:rsidRPr="00DB0D7F" w:rsidR="00DB0D7F" w:rsidP="00DB0D7F" w:rsidRDefault="00DB0D7F" w14:paraId="3CC45524" w14:textId="1A20E879">
      <w:pPr>
        <w:rPr>
          <w:rFonts w:ascii="Times New Roman" w:hAnsi="Times New Roman"/>
          <w:iCs/>
          <w:szCs w:val="24"/>
        </w:rPr>
      </w:pPr>
      <w:r w:rsidRPr="00DB0D7F">
        <w:rPr>
          <w:rFonts w:ascii="Times New Roman" w:hAnsi="Times New Roman"/>
          <w:iCs/>
          <w:szCs w:val="24"/>
        </w:rPr>
        <w:t>This is a unique collection</w:t>
      </w:r>
      <w:r w:rsidR="000050D4">
        <w:rPr>
          <w:rFonts w:ascii="Times New Roman" w:hAnsi="Times New Roman"/>
          <w:iCs/>
          <w:szCs w:val="24"/>
        </w:rPr>
        <w:t xml:space="preserve"> that responds to reporting requirements in </w:t>
      </w:r>
      <w:r w:rsidR="003F1B15">
        <w:rPr>
          <w:rFonts w:ascii="Times New Roman" w:hAnsi="Times New Roman"/>
          <w:iCs/>
          <w:szCs w:val="24"/>
        </w:rPr>
        <w:t>the CARES Act</w:t>
      </w:r>
      <w:r w:rsidRPr="00DB0D7F">
        <w:rPr>
          <w:rFonts w:ascii="Times New Roman" w:hAnsi="Times New Roman"/>
          <w:iCs/>
          <w:szCs w:val="24"/>
        </w:rPr>
        <w:t>; there are no other data collections that seek this information.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74DA2FE5">
      <w:pPr>
        <w:tabs>
          <w:tab w:val="left" w:pos="-720"/>
        </w:tabs>
        <w:suppressAutoHyphens/>
        <w:rPr>
          <w:rFonts w:ascii="Times New Roman" w:hAnsi="Times New Roman"/>
          <w:color w:val="FF0000"/>
          <w:szCs w:val="24"/>
        </w:rPr>
      </w:pPr>
      <w:r w:rsidRPr="00196A81">
        <w:rPr>
          <w:rFonts w:ascii="Times New Roman" w:hAnsi="Times New Roman"/>
          <w:szCs w:val="24"/>
        </w:rPr>
        <w:t>If this collection is not allowed to proceed, the Department will not be able to fulfill the mandates of the CARES Act</w:t>
      </w:r>
      <w:r w:rsidR="00575C2E">
        <w:rPr>
          <w:rFonts w:ascii="Times New Roman" w:hAnsi="Times New Roman"/>
          <w:szCs w:val="24"/>
        </w:rPr>
        <w:t xml:space="preserve"> monitor the use of funded activities, and information will not be available for public reporting</w:t>
      </w:r>
      <w:r w:rsidRPr="00196A81">
        <w:rPr>
          <w:rFonts w:ascii="Times New Roman" w:hAnsi="Times New Roman"/>
          <w:szCs w:val="24"/>
        </w:rPr>
        <w:t>.</w:t>
      </w:r>
      <w:r w:rsidR="00AD5C74">
        <w:rPr>
          <w:rFonts w:ascii="Times New Roman" w:hAnsi="Times New Roman"/>
          <w:szCs w:val="24"/>
        </w:rPr>
        <w:t xml:space="preserve"> </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902450" w:rsidR="00043C32" w:rsidP="00902450" w:rsidRDefault="00043C32" w14:paraId="56DDEF18"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A"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C"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E"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0"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lastRenderedPageBreak/>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2"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4"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6"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C02844" w:rsidR="005C60F9" w:rsidP="005C60F9" w:rsidRDefault="005C60F9" w14:paraId="5A681A1A" w14:textId="1CF5119A">
      <w:pPr>
        <w:pStyle w:val="CommentText"/>
        <w:rPr>
          <w:rFonts w:ascii="Times New Roman" w:hAnsi="Times New Roman"/>
          <w:sz w:val="24"/>
          <w:szCs w:val="24"/>
        </w:rPr>
      </w:pPr>
      <w:r w:rsidRPr="00760765">
        <w:rPr>
          <w:rFonts w:ascii="Times New Roman" w:hAnsi="Times New Roman"/>
          <w:sz w:val="24"/>
          <w:szCs w:val="24"/>
        </w:rPr>
        <w:t xml:space="preserve">To comply with the Paperwork Reduction Act, the Department published a 60-day Federal Register notice for public comment. The Department received </w:t>
      </w:r>
      <w:r w:rsidR="00F547F4">
        <w:rPr>
          <w:rFonts w:ascii="Times New Roman" w:hAnsi="Times New Roman"/>
          <w:sz w:val="24"/>
          <w:szCs w:val="24"/>
        </w:rPr>
        <w:t>30</w:t>
      </w:r>
      <w:r>
        <w:rPr>
          <w:rFonts w:ascii="Times New Roman" w:hAnsi="Times New Roman"/>
          <w:sz w:val="24"/>
          <w:szCs w:val="24"/>
        </w:rPr>
        <w:t xml:space="preserve"> </w:t>
      </w:r>
      <w:r w:rsidRPr="00760765">
        <w:rPr>
          <w:rFonts w:ascii="Times New Roman" w:hAnsi="Times New Roman"/>
          <w:sz w:val="24"/>
          <w:szCs w:val="24"/>
        </w:rPr>
        <w:t xml:space="preserve">comments; </w:t>
      </w:r>
      <w:r w:rsidR="00EE6587">
        <w:rPr>
          <w:rFonts w:ascii="Times New Roman" w:hAnsi="Times New Roman"/>
          <w:sz w:val="24"/>
          <w:szCs w:val="24"/>
        </w:rPr>
        <w:t xml:space="preserve">6 </w:t>
      </w:r>
      <w:r w:rsidR="004D1E4E">
        <w:rPr>
          <w:rFonts w:ascii="Times New Roman" w:hAnsi="Times New Roman"/>
          <w:sz w:val="24"/>
          <w:szCs w:val="24"/>
        </w:rPr>
        <w:t xml:space="preserve">were </w:t>
      </w:r>
      <w:r>
        <w:rPr>
          <w:rFonts w:ascii="Times New Roman" w:hAnsi="Times New Roman"/>
          <w:sz w:val="24"/>
          <w:szCs w:val="24"/>
        </w:rPr>
        <w:t xml:space="preserve">not relevant to the data collection. The remaining </w:t>
      </w:r>
      <w:r w:rsidR="0069427C">
        <w:rPr>
          <w:rFonts w:ascii="Times New Roman" w:hAnsi="Times New Roman"/>
          <w:sz w:val="24"/>
          <w:szCs w:val="24"/>
        </w:rPr>
        <w:t>2</w:t>
      </w:r>
      <w:r w:rsidR="00EE6587">
        <w:rPr>
          <w:rFonts w:ascii="Times New Roman" w:hAnsi="Times New Roman"/>
          <w:sz w:val="24"/>
          <w:szCs w:val="24"/>
        </w:rPr>
        <w:t>4</w:t>
      </w:r>
      <w:r w:rsidR="0069427C">
        <w:rPr>
          <w:rFonts w:ascii="Times New Roman" w:hAnsi="Times New Roman"/>
          <w:sz w:val="24"/>
          <w:szCs w:val="24"/>
        </w:rPr>
        <w:t xml:space="preserve"> </w:t>
      </w:r>
      <w:r w:rsidRPr="00760765">
        <w:rPr>
          <w:rFonts w:ascii="Times New Roman" w:hAnsi="Times New Roman"/>
          <w:sz w:val="24"/>
          <w:szCs w:val="24"/>
        </w:rPr>
        <w:t xml:space="preserve">comments were substantive and addressed in the attached Response Summary. The Department will issue a 30-day comment period notice and will respond to comments received as a result of that notice. </w:t>
      </w:r>
    </w:p>
    <w:p w:rsidRPr="00AD5C74" w:rsidR="005C60F9" w:rsidP="00BF1380" w:rsidRDefault="005C60F9" w14:paraId="5A3FBDFB" w14:textId="77777777">
      <w:pPr>
        <w:tabs>
          <w:tab w:val="left" w:pos="-720"/>
          <w:tab w:val="left" w:pos="0"/>
        </w:tabs>
        <w:suppressAutoHyphens/>
        <w:rPr>
          <w:rFonts w:ascii="Times New Roman" w:hAnsi="Times New Roman"/>
          <w:color w:val="FF0000"/>
          <w:szCs w:val="24"/>
        </w:rPr>
      </w:pP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42C6144">
      <w:pPr>
        <w:tabs>
          <w:tab w:val="left" w:pos="0"/>
        </w:tabs>
        <w:suppressAutoHyphens/>
        <w:rPr>
          <w:rFonts w:ascii="Times New Roman" w:hAnsi="Times New Roman"/>
        </w:rPr>
      </w:pPr>
      <w:r w:rsidRPr="00196A81">
        <w:rPr>
          <w:rFonts w:ascii="Times New Roman" w:hAnsi="Times New Roman"/>
        </w:rPr>
        <w:t xml:space="preserve">No payments or gifts </w:t>
      </w:r>
      <w:r w:rsidR="00333230">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40BE577F">
      <w:pPr>
        <w:tabs>
          <w:tab w:val="left" w:pos="-720"/>
          <w:tab w:val="left" w:pos="0"/>
        </w:tabs>
        <w:suppressAutoHyphens/>
        <w:rPr>
          <w:rFonts w:ascii="Times New Roman" w:hAnsi="Times New Roman"/>
          <w:iCs/>
          <w:szCs w:val="24"/>
        </w:rPr>
      </w:pPr>
      <w:r w:rsidRPr="00196A81">
        <w:rPr>
          <w:rFonts w:ascii="Times New Roman" w:hAnsi="Times New Roman"/>
          <w:iCs/>
          <w:szCs w:val="24"/>
        </w:rPr>
        <w:t xml:space="preserve">There are no assurances of confidentiality provided to </w:t>
      </w:r>
      <w:r w:rsidR="009A03B1">
        <w:rPr>
          <w:rFonts w:ascii="Times New Roman" w:hAnsi="Times New Roman"/>
          <w:iCs/>
          <w:szCs w:val="24"/>
        </w:rPr>
        <w:t>IHEs</w:t>
      </w:r>
      <w:r w:rsidRPr="00196A81">
        <w:rPr>
          <w:rFonts w:ascii="Times New Roman" w:hAnsi="Times New Roman"/>
          <w:iCs/>
          <w:szCs w:val="24"/>
        </w:rPr>
        <w:t xml:space="preserve">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3B334E" w:rsidR="00C224FD" w:rsidP="003B334E" w:rsidRDefault="00C224FD" w14:paraId="56DDEF3E" w14:textId="24367162">
      <w:pPr>
        <w:pStyle w:val="ListParagraph"/>
        <w:numPr>
          <w:ilvl w:val="0"/>
          <w:numId w:val="7"/>
        </w:numPr>
        <w:tabs>
          <w:tab w:val="left" w:pos="-720"/>
          <w:tab w:val="left" w:pos="0"/>
        </w:tabs>
        <w:suppressAutoHyphens/>
        <w:rPr>
          <w:rStyle w:val="a"/>
          <w:rFonts w:ascii="Times New Roman" w:hAnsi="Times New Roman"/>
          <w:b/>
          <w:szCs w:val="24"/>
        </w:rPr>
      </w:pPr>
      <w:r w:rsidRPr="003B334E">
        <w:rPr>
          <w:rStyle w:val="a"/>
          <w:rFonts w:ascii="Times New Roman" w:hAnsi="Times New Roman"/>
          <w:b/>
          <w:szCs w:val="24"/>
        </w:rPr>
        <w:t xml:space="preserve">Provide an explanation of how the burden was estimated, including identification of burden type: recordkeeping, reporting or </w:t>
      </w:r>
      <w:r w:rsidRPr="003B334E" w:rsidR="00E70294">
        <w:rPr>
          <w:rStyle w:val="a"/>
          <w:rFonts w:ascii="Times New Roman" w:hAnsi="Times New Roman"/>
          <w:b/>
          <w:szCs w:val="24"/>
        </w:rPr>
        <w:t>third-party</w:t>
      </w:r>
      <w:r w:rsidRPr="003B334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8E3236" w:rsidR="00F5782B" w:rsidP="008E3236"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Please do not include increases in burden and respondents numerically in this table. Explain these changes in number 15.</w:t>
      </w:r>
    </w:p>
    <w:p w:rsidRPr="008E3236" w:rsidR="00043C32" w:rsidP="008E3236"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8E3236" w:rsidR="00C224FD">
        <w:rPr>
          <w:rStyle w:val="a"/>
          <w:rFonts w:ascii="Times New Roman" w:hAnsi="Times New Roman"/>
          <w:b/>
          <w:szCs w:val="24"/>
        </w:rPr>
        <w:t>.</w:t>
      </w:r>
      <w:r w:rsidRPr="008E3236">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8E3236" w:rsidR="00043C32" w:rsidP="008E3236"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 xml:space="preserve">If this request for approval covers more than one form, provide separate hour burden estimates for each form and aggregate the hour burden in the </w:t>
      </w:r>
      <w:r w:rsidRPr="008E3236" w:rsidR="00C224FD">
        <w:rPr>
          <w:rStyle w:val="a"/>
          <w:rFonts w:ascii="Times New Roman" w:hAnsi="Times New Roman"/>
          <w:b/>
          <w:szCs w:val="24"/>
        </w:rPr>
        <w:t>table below.</w:t>
      </w:r>
    </w:p>
    <w:p w:rsidRPr="008E3236" w:rsidR="00043C32" w:rsidP="008E3236"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8E3236" w:rsidR="00C92035">
          <w:rPr>
            <w:rStyle w:val="Hyperlink"/>
            <w:rFonts w:ascii="Times New Roman" w:hAnsi="Times New Roman"/>
            <w:b/>
            <w:szCs w:val="24"/>
          </w:rPr>
          <w:t>U</w:t>
        </w:r>
        <w:r w:rsidRPr="008E3236" w:rsidR="00960C86">
          <w:rPr>
            <w:rStyle w:val="Hyperlink"/>
            <w:rFonts w:ascii="Times New Roman" w:hAnsi="Times New Roman"/>
            <w:b/>
            <w:szCs w:val="24"/>
          </w:rPr>
          <w:t>se this site</w:t>
        </w:r>
      </w:hyperlink>
      <w:r w:rsidRPr="008E3236" w:rsidR="00960C86">
        <w:rPr>
          <w:rStyle w:val="a"/>
          <w:rFonts w:ascii="Times New Roman" w:hAnsi="Times New Roman"/>
          <w:b/>
          <w:szCs w:val="24"/>
        </w:rPr>
        <w:t xml:space="preserve"> to research the appropriate wage rate. </w:t>
      </w:r>
      <w:r w:rsidRPr="008E3236">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8E3236"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2849800E">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321F6F" w:rsidP="000B5BBA" w:rsidRDefault="00321F6F" w14:paraId="26C27147" w14:textId="0C80829E">
      <w:pPr>
        <w:pStyle w:val="ListParagraph"/>
        <w:tabs>
          <w:tab w:val="left" w:pos="-720"/>
          <w:tab w:val="left" w:pos="0"/>
        </w:tabs>
        <w:suppressAutoHyphens/>
        <w:ind w:left="0"/>
        <w:contextualSpacing w:val="0"/>
        <w:rPr>
          <w:rFonts w:ascii="Times New Roman" w:hAnsi="Times New Roman"/>
          <w:b/>
          <w:sz w:val="26"/>
          <w:szCs w:val="26"/>
        </w:rPr>
      </w:pPr>
    </w:p>
    <w:p w:rsidR="00321F6F" w:rsidP="00321F6F" w:rsidRDefault="00321F6F" w14:paraId="0E8ABDC6" w14:textId="707D694D">
      <w:pPr>
        <w:rPr>
          <w:rFonts w:ascii="Times New Roman" w:hAnsi="Times New Roman"/>
          <w:iCs/>
          <w:szCs w:val="24"/>
        </w:rPr>
      </w:pPr>
      <w:r>
        <w:rPr>
          <w:rFonts w:ascii="Times New Roman" w:hAnsi="Times New Roman"/>
          <w:iCs/>
          <w:szCs w:val="24"/>
        </w:rPr>
        <w:t xml:space="preserve">The </w:t>
      </w:r>
      <w:r w:rsidR="000311D5">
        <w:rPr>
          <w:rFonts w:ascii="Times New Roman" w:hAnsi="Times New Roman"/>
          <w:iCs/>
          <w:szCs w:val="24"/>
        </w:rPr>
        <w:t xml:space="preserve">HEER instrument </w:t>
      </w:r>
      <w:r w:rsidR="00782FAD">
        <w:rPr>
          <w:rFonts w:ascii="Times New Roman" w:hAnsi="Times New Roman"/>
          <w:iCs/>
          <w:szCs w:val="24"/>
        </w:rPr>
        <w:t>is targeted to</w:t>
      </w:r>
      <w:r w:rsidR="000311D5">
        <w:rPr>
          <w:rFonts w:ascii="Times New Roman" w:hAnsi="Times New Roman"/>
          <w:iCs/>
          <w:szCs w:val="24"/>
        </w:rPr>
        <w:t xml:space="preserve"> a total of 5,</w:t>
      </w:r>
      <w:r w:rsidR="006C6281">
        <w:rPr>
          <w:rFonts w:ascii="Times New Roman" w:hAnsi="Times New Roman"/>
          <w:iCs/>
          <w:szCs w:val="24"/>
        </w:rPr>
        <w:t>170</w:t>
      </w:r>
      <w:r w:rsidR="000311D5">
        <w:rPr>
          <w:rFonts w:ascii="Times New Roman" w:hAnsi="Times New Roman"/>
          <w:iCs/>
          <w:szCs w:val="24"/>
        </w:rPr>
        <w:t xml:space="preserve"> institutions. </w:t>
      </w:r>
      <w:r w:rsidR="00EE7A2A">
        <w:rPr>
          <w:rFonts w:ascii="Times New Roman" w:hAnsi="Times New Roman"/>
          <w:iCs/>
          <w:szCs w:val="24"/>
        </w:rPr>
        <w:t xml:space="preserve">The response burden by type of institution </w:t>
      </w:r>
      <w:r w:rsidR="00D40E14">
        <w:rPr>
          <w:rFonts w:ascii="Times New Roman" w:hAnsi="Times New Roman"/>
          <w:iCs/>
          <w:szCs w:val="24"/>
        </w:rPr>
        <w:t xml:space="preserve">is shown in Table 1. The burden estimates are based on discussions with </w:t>
      </w:r>
      <w:r w:rsidR="00782FAD">
        <w:rPr>
          <w:rFonts w:ascii="Times New Roman" w:hAnsi="Times New Roman"/>
          <w:iCs/>
          <w:szCs w:val="24"/>
        </w:rPr>
        <w:t xml:space="preserve">experts in the Office of Postsecondary </w:t>
      </w:r>
      <w:r w:rsidR="00E70294">
        <w:rPr>
          <w:rFonts w:ascii="Times New Roman" w:hAnsi="Times New Roman"/>
          <w:iCs/>
          <w:szCs w:val="24"/>
        </w:rPr>
        <w:t>Education</w:t>
      </w:r>
      <w:r w:rsidR="00782FAD">
        <w:rPr>
          <w:rFonts w:ascii="Times New Roman" w:hAnsi="Times New Roman"/>
          <w:iCs/>
          <w:szCs w:val="24"/>
        </w:rPr>
        <w:t xml:space="preserve"> in the Department</w:t>
      </w:r>
      <w:r w:rsidR="002069A0">
        <w:rPr>
          <w:rFonts w:ascii="Times New Roman" w:hAnsi="Times New Roman"/>
          <w:iCs/>
          <w:szCs w:val="24"/>
        </w:rPr>
        <w:t xml:space="preserve"> the number of IHE recipients of HEER</w:t>
      </w:r>
      <w:r w:rsidR="00F922CE">
        <w:rPr>
          <w:rFonts w:ascii="Times New Roman" w:hAnsi="Times New Roman"/>
          <w:iCs/>
          <w:szCs w:val="24"/>
        </w:rPr>
        <w:t>F</w:t>
      </w:r>
      <w:r w:rsidR="002069A0">
        <w:rPr>
          <w:rFonts w:ascii="Times New Roman" w:hAnsi="Times New Roman"/>
          <w:iCs/>
          <w:szCs w:val="24"/>
        </w:rPr>
        <w:t xml:space="preserve"> funds, as of July 8, 2020</w:t>
      </w:r>
      <w:r w:rsidR="00782FAD">
        <w:rPr>
          <w:rFonts w:ascii="Times New Roman" w:hAnsi="Times New Roman"/>
          <w:iCs/>
          <w:szCs w:val="24"/>
        </w:rPr>
        <w:t xml:space="preserve">. </w:t>
      </w:r>
    </w:p>
    <w:p w:rsidRPr="00196A81" w:rsidR="00321F6F" w:rsidP="000B5BBA" w:rsidRDefault="00321F6F" w14:paraId="391FA85D" w14:textId="77777777">
      <w:pPr>
        <w:pStyle w:val="ListParagraph"/>
        <w:tabs>
          <w:tab w:val="left" w:pos="-720"/>
          <w:tab w:val="left" w:pos="0"/>
        </w:tabs>
        <w:suppressAutoHyphens/>
        <w:ind w:left="0"/>
        <w:contextualSpacing w:val="0"/>
        <w:rPr>
          <w:rFonts w:ascii="Times New Roman" w:hAnsi="Times New Roman"/>
          <w:b/>
          <w:sz w:val="26"/>
          <w:szCs w:val="26"/>
        </w:rPr>
      </w:pP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B634C4" w:rsidR="00ED7195" w:rsidP="00BF1380" w:rsidRDefault="003522F0" w14:paraId="56DDEF46" w14:textId="417C37EF">
      <w:pPr>
        <w:pStyle w:val="Caption"/>
        <w:tabs>
          <w:tab w:val="left" w:pos="0"/>
        </w:tabs>
        <w:jc w:val="center"/>
        <w:rPr>
          <w:rFonts w:ascii="Times New Roman" w:hAnsi="Times New Roman"/>
          <w:color w:val="FF0000"/>
          <w:sz w:val="24"/>
          <w:szCs w:val="24"/>
        </w:rPr>
      </w:pPr>
      <w:r w:rsidRPr="00B634C4">
        <w:rPr>
          <w:rFonts w:ascii="Times New Roman" w:hAnsi="Times New Roman"/>
          <w:color w:val="000000" w:themeColor="text1"/>
          <w:sz w:val="24"/>
          <w:szCs w:val="24"/>
        </w:rPr>
        <w:t xml:space="preserve">Table </w:t>
      </w:r>
      <w:r w:rsidRPr="00B634C4" w:rsidR="00E70294">
        <w:rPr>
          <w:rFonts w:ascii="Times New Roman" w:hAnsi="Times New Roman"/>
          <w:color w:val="000000" w:themeColor="text1"/>
          <w:sz w:val="24"/>
          <w:szCs w:val="24"/>
        </w:rPr>
        <w:t>1: Estimated</w:t>
      </w:r>
      <w:r w:rsidRPr="00B634C4" w:rsidR="00ED7195">
        <w:rPr>
          <w:rFonts w:ascii="Times New Roman" w:hAnsi="Times New Roman"/>
          <w:color w:val="000000" w:themeColor="text1"/>
          <w:sz w:val="24"/>
          <w:szCs w:val="24"/>
        </w:rPr>
        <w:t xml:space="preserve"> </w:t>
      </w:r>
      <w:r w:rsidRPr="00B634C4" w:rsidR="00F31BEC">
        <w:rPr>
          <w:rFonts w:ascii="Times New Roman" w:hAnsi="Times New Roman"/>
          <w:color w:val="000000" w:themeColor="text1"/>
          <w:sz w:val="24"/>
          <w:szCs w:val="24"/>
        </w:rPr>
        <w:t xml:space="preserve">Annual </w:t>
      </w:r>
      <w:r w:rsidRPr="00B634C4" w:rsidR="007F6104">
        <w:rPr>
          <w:rFonts w:ascii="Times New Roman" w:hAnsi="Times New Roman"/>
          <w:color w:val="000000" w:themeColor="text1"/>
          <w:sz w:val="24"/>
          <w:szCs w:val="24"/>
        </w:rPr>
        <w:t>Burden and Respondent Costs</w:t>
      </w:r>
      <w:r w:rsidRPr="00B634C4"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137"/>
        <w:gridCol w:w="1260"/>
        <w:gridCol w:w="1350"/>
      </w:tblGrid>
      <w:tr w:rsidRPr="00B634C4" w:rsidR="00C86713" w:rsidTr="00496368" w14:paraId="56DDEF5E" w14:textId="77777777">
        <w:trPr>
          <w:tblHeader/>
        </w:trPr>
        <w:tc>
          <w:tcPr>
            <w:tcW w:w="1345" w:type="dxa"/>
            <w:vAlign w:val="center"/>
          </w:tcPr>
          <w:p w:rsidRPr="00B634C4" w:rsidR="00C86713" w:rsidP="00BF1380" w:rsidRDefault="00C86713" w14:paraId="56DDEF49" w14:textId="77777777">
            <w:pPr>
              <w:tabs>
                <w:tab w:val="left" w:pos="0"/>
              </w:tabs>
              <w:jc w:val="center"/>
              <w:rPr>
                <w:rFonts w:ascii="Times New Roman" w:hAnsi="Times New Roman"/>
                <w:sz w:val="20"/>
              </w:rPr>
            </w:pPr>
            <w:r w:rsidRPr="00B634C4">
              <w:rPr>
                <w:rFonts w:ascii="Times New Roman" w:hAnsi="Times New Roman"/>
                <w:sz w:val="20"/>
              </w:rPr>
              <w:t>Information Activity or IC (with type of respondent)</w:t>
            </w:r>
          </w:p>
        </w:tc>
        <w:tc>
          <w:tcPr>
            <w:tcW w:w="1248" w:type="dxa"/>
            <w:vAlign w:val="center"/>
          </w:tcPr>
          <w:p w:rsidRPr="00B634C4" w:rsidR="00C86713" w:rsidP="00BF1380" w:rsidRDefault="00C86713" w14:paraId="56DDEF4C" w14:textId="77777777">
            <w:pPr>
              <w:tabs>
                <w:tab w:val="left" w:pos="0"/>
              </w:tabs>
              <w:jc w:val="center"/>
              <w:rPr>
                <w:rFonts w:ascii="Times New Roman" w:hAnsi="Times New Roman"/>
                <w:sz w:val="20"/>
              </w:rPr>
            </w:pPr>
            <w:r w:rsidRPr="00B634C4">
              <w:rPr>
                <w:rFonts w:ascii="Times New Roman" w:hAnsi="Times New Roman"/>
                <w:sz w:val="20"/>
              </w:rPr>
              <w:t xml:space="preserve">Sample Size </w:t>
            </w:r>
            <w:r w:rsidRPr="00B634C4">
              <w:rPr>
                <w:rFonts w:ascii="Times New Roman" w:hAnsi="Times New Roman"/>
                <w:sz w:val="20"/>
                <w:shd w:val="clear" w:color="auto" w:fill="D9D9D9" w:themeFill="background1" w:themeFillShade="D9"/>
              </w:rPr>
              <w:t>(if applicable)</w:t>
            </w:r>
          </w:p>
        </w:tc>
        <w:tc>
          <w:tcPr>
            <w:tcW w:w="1249" w:type="dxa"/>
            <w:vAlign w:val="center"/>
          </w:tcPr>
          <w:p w:rsidRPr="00B634C4"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B634C4">
              <w:rPr>
                <w:rFonts w:ascii="Times New Roman" w:hAnsi="Times New Roman"/>
                <w:sz w:val="20"/>
                <w:shd w:val="clear" w:color="auto" w:fill="F2F2F2" w:themeFill="background1" w:themeFillShade="F2"/>
              </w:rPr>
              <w:t xml:space="preserve">Respondent Response Rate </w:t>
            </w:r>
            <w:r w:rsidRPr="00B634C4">
              <w:rPr>
                <w:rFonts w:ascii="Times New Roman" w:hAnsi="Times New Roman"/>
                <w:sz w:val="20"/>
                <w:shd w:val="clear" w:color="auto" w:fill="D9D9D9" w:themeFill="background1" w:themeFillShade="D9"/>
              </w:rPr>
              <w:t>(if applicable)</w:t>
            </w:r>
          </w:p>
        </w:tc>
        <w:tc>
          <w:tcPr>
            <w:tcW w:w="1249" w:type="dxa"/>
            <w:vAlign w:val="center"/>
          </w:tcPr>
          <w:p w:rsidRPr="00B634C4" w:rsidR="00C86713" w:rsidP="00BF1380" w:rsidRDefault="00C86713" w14:paraId="56DDEF50" w14:textId="77777777">
            <w:pPr>
              <w:tabs>
                <w:tab w:val="left" w:pos="0"/>
              </w:tabs>
              <w:jc w:val="center"/>
              <w:rPr>
                <w:rFonts w:ascii="Times New Roman" w:hAnsi="Times New Roman"/>
                <w:sz w:val="20"/>
              </w:rPr>
            </w:pPr>
            <w:r w:rsidRPr="00B634C4">
              <w:rPr>
                <w:rFonts w:ascii="Times New Roman" w:hAnsi="Times New Roman"/>
                <w:sz w:val="20"/>
              </w:rPr>
              <w:t>Number of Respondents</w:t>
            </w:r>
          </w:p>
        </w:tc>
        <w:tc>
          <w:tcPr>
            <w:tcW w:w="1249" w:type="dxa"/>
            <w:vAlign w:val="center"/>
          </w:tcPr>
          <w:p w:rsidRPr="00B634C4" w:rsidR="00C86713" w:rsidP="00BF1380" w:rsidRDefault="00C86713" w14:paraId="56DDEF53" w14:textId="77777777">
            <w:pPr>
              <w:tabs>
                <w:tab w:val="left" w:pos="0"/>
              </w:tabs>
              <w:jc w:val="center"/>
              <w:rPr>
                <w:rFonts w:ascii="Times New Roman" w:hAnsi="Times New Roman"/>
                <w:sz w:val="20"/>
              </w:rPr>
            </w:pPr>
            <w:r w:rsidRPr="00B634C4">
              <w:rPr>
                <w:rFonts w:ascii="Times New Roman" w:hAnsi="Times New Roman"/>
                <w:sz w:val="20"/>
              </w:rPr>
              <w:t>Number of Responses</w:t>
            </w:r>
          </w:p>
        </w:tc>
        <w:tc>
          <w:tcPr>
            <w:tcW w:w="1248" w:type="dxa"/>
            <w:vAlign w:val="center"/>
          </w:tcPr>
          <w:p w:rsidRPr="00B634C4" w:rsidR="00C86713" w:rsidP="00BF1380" w:rsidRDefault="00C86713" w14:paraId="56DDEF55" w14:textId="77777777">
            <w:pPr>
              <w:tabs>
                <w:tab w:val="left" w:pos="0"/>
              </w:tabs>
              <w:jc w:val="center"/>
              <w:rPr>
                <w:rFonts w:ascii="Times New Roman" w:hAnsi="Times New Roman"/>
                <w:sz w:val="20"/>
              </w:rPr>
            </w:pPr>
            <w:r w:rsidRPr="00B634C4">
              <w:rPr>
                <w:rFonts w:ascii="Times New Roman" w:hAnsi="Times New Roman"/>
                <w:sz w:val="20"/>
              </w:rPr>
              <w:t>Average Burden Hours per Response</w:t>
            </w:r>
          </w:p>
        </w:tc>
        <w:tc>
          <w:tcPr>
            <w:tcW w:w="1137" w:type="dxa"/>
            <w:vAlign w:val="center"/>
          </w:tcPr>
          <w:p w:rsidRPr="00B634C4" w:rsidR="00C86713" w:rsidP="00BF1380" w:rsidRDefault="00C86713" w14:paraId="56DDEF57" w14:textId="77777777">
            <w:pPr>
              <w:tabs>
                <w:tab w:val="left" w:pos="0"/>
              </w:tabs>
              <w:jc w:val="center"/>
              <w:rPr>
                <w:rFonts w:ascii="Times New Roman" w:hAnsi="Times New Roman"/>
                <w:sz w:val="20"/>
              </w:rPr>
            </w:pPr>
            <w:r w:rsidRPr="00B634C4">
              <w:rPr>
                <w:rFonts w:ascii="Times New Roman" w:hAnsi="Times New Roman"/>
                <w:sz w:val="20"/>
              </w:rPr>
              <w:t xml:space="preserve">Total </w:t>
            </w:r>
            <w:r w:rsidRPr="00B634C4" w:rsidR="00F31BEC">
              <w:rPr>
                <w:rFonts w:ascii="Times New Roman" w:hAnsi="Times New Roman"/>
                <w:sz w:val="20"/>
              </w:rPr>
              <w:t xml:space="preserve">Annual </w:t>
            </w:r>
            <w:r w:rsidRPr="00B634C4">
              <w:rPr>
                <w:rFonts w:ascii="Times New Roman" w:hAnsi="Times New Roman"/>
                <w:sz w:val="20"/>
              </w:rPr>
              <w:t>Burden Hours</w:t>
            </w:r>
          </w:p>
        </w:tc>
        <w:tc>
          <w:tcPr>
            <w:tcW w:w="1260" w:type="dxa"/>
            <w:vAlign w:val="center"/>
          </w:tcPr>
          <w:p w:rsidRPr="00B634C4" w:rsidR="00C86713" w:rsidP="00BF1380" w:rsidRDefault="00C86713" w14:paraId="56DDEF5A" w14:textId="77777777">
            <w:pPr>
              <w:tabs>
                <w:tab w:val="left" w:pos="0"/>
              </w:tabs>
              <w:jc w:val="center"/>
              <w:rPr>
                <w:rFonts w:ascii="Times New Roman" w:hAnsi="Times New Roman"/>
                <w:sz w:val="20"/>
              </w:rPr>
            </w:pPr>
            <w:r w:rsidRPr="00B634C4">
              <w:rPr>
                <w:rFonts w:ascii="Times New Roman" w:hAnsi="Times New Roman"/>
                <w:sz w:val="20"/>
              </w:rPr>
              <w:t>Estimated Respondent Average Hourly Wage</w:t>
            </w:r>
          </w:p>
        </w:tc>
        <w:tc>
          <w:tcPr>
            <w:tcW w:w="1350" w:type="dxa"/>
            <w:vAlign w:val="center"/>
          </w:tcPr>
          <w:p w:rsidRPr="00B634C4" w:rsidR="00C86713" w:rsidP="00BF1380" w:rsidRDefault="00C86713" w14:paraId="56DDEF5D" w14:textId="77777777">
            <w:pPr>
              <w:tabs>
                <w:tab w:val="left" w:pos="0"/>
              </w:tabs>
              <w:jc w:val="center"/>
              <w:rPr>
                <w:rFonts w:ascii="Times New Roman" w:hAnsi="Times New Roman"/>
                <w:sz w:val="20"/>
              </w:rPr>
            </w:pPr>
            <w:r w:rsidRPr="00B634C4">
              <w:rPr>
                <w:rFonts w:ascii="Times New Roman" w:hAnsi="Times New Roman"/>
                <w:sz w:val="20"/>
              </w:rPr>
              <w:t>Total Annual Costs (hourly wage x total burden hours)</w:t>
            </w:r>
          </w:p>
        </w:tc>
      </w:tr>
      <w:tr w:rsidRPr="00B634C4" w:rsidR="004C227C" w:rsidTr="00496368" w14:paraId="56DDEF68" w14:textId="77777777">
        <w:tc>
          <w:tcPr>
            <w:tcW w:w="1345" w:type="dxa"/>
          </w:tcPr>
          <w:p w:rsidRPr="00B634C4" w:rsidR="004C227C" w:rsidP="00BF1380" w:rsidRDefault="004C227C" w14:paraId="56DDEF5F" w14:textId="06D36A35">
            <w:pPr>
              <w:tabs>
                <w:tab w:val="left" w:pos="0"/>
              </w:tabs>
              <w:rPr>
                <w:rFonts w:ascii="Times New Roman" w:hAnsi="Times New Roman"/>
                <w:szCs w:val="24"/>
              </w:rPr>
            </w:pPr>
            <w:r w:rsidRPr="00B634C4">
              <w:rPr>
                <w:rFonts w:ascii="Times New Roman" w:hAnsi="Times New Roman"/>
                <w:szCs w:val="24"/>
              </w:rPr>
              <w:t>Public institutions</w:t>
            </w:r>
          </w:p>
        </w:tc>
        <w:tc>
          <w:tcPr>
            <w:tcW w:w="1248" w:type="dxa"/>
          </w:tcPr>
          <w:p w:rsidRPr="00B634C4" w:rsidR="004C227C" w:rsidP="00BF1380" w:rsidRDefault="004C227C" w14:paraId="56DDEF60" w14:textId="4287CB3B">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4C227C" w:rsidP="00BF1380" w:rsidRDefault="004C227C" w14:paraId="56DDEF61" w14:textId="45C080E0">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4C227C" w:rsidP="00BF1380" w:rsidRDefault="00A222FB" w14:paraId="56DDEF62" w14:textId="11BD3BE0">
            <w:pPr>
              <w:tabs>
                <w:tab w:val="left" w:pos="0"/>
              </w:tabs>
              <w:rPr>
                <w:rFonts w:ascii="Times New Roman" w:hAnsi="Times New Roman"/>
                <w:szCs w:val="24"/>
              </w:rPr>
            </w:pPr>
            <w:r>
              <w:rPr>
                <w:rFonts w:ascii="Times New Roman" w:hAnsi="Times New Roman"/>
                <w:iCs/>
                <w:szCs w:val="24"/>
              </w:rPr>
              <w:t>1,876</w:t>
            </w:r>
            <w:r w:rsidRPr="00B634C4" w:rsidR="004C227C">
              <w:rPr>
                <w:rFonts w:ascii="Times New Roman" w:hAnsi="Times New Roman"/>
                <w:iCs/>
                <w:szCs w:val="24"/>
              </w:rPr>
              <w:tab/>
            </w:r>
          </w:p>
        </w:tc>
        <w:tc>
          <w:tcPr>
            <w:tcW w:w="1249" w:type="dxa"/>
          </w:tcPr>
          <w:p w:rsidRPr="00B634C4" w:rsidR="004C227C" w:rsidP="00BF1380" w:rsidRDefault="00A222FB" w14:paraId="56DDEF63" w14:textId="4C1B7696">
            <w:pPr>
              <w:tabs>
                <w:tab w:val="left" w:pos="0"/>
              </w:tabs>
              <w:rPr>
                <w:rFonts w:ascii="Times New Roman" w:hAnsi="Times New Roman"/>
                <w:szCs w:val="24"/>
              </w:rPr>
            </w:pPr>
            <w:r>
              <w:rPr>
                <w:rFonts w:ascii="Times New Roman" w:hAnsi="Times New Roman"/>
                <w:iCs/>
                <w:szCs w:val="24"/>
              </w:rPr>
              <w:t>1,876</w:t>
            </w:r>
          </w:p>
        </w:tc>
        <w:tc>
          <w:tcPr>
            <w:tcW w:w="1248" w:type="dxa"/>
          </w:tcPr>
          <w:p w:rsidRPr="00B634C4" w:rsidR="004C227C" w:rsidP="00BF1380" w:rsidRDefault="00D26F12" w14:paraId="56DDEF64" w14:textId="22FEF2DD">
            <w:pPr>
              <w:tabs>
                <w:tab w:val="left" w:pos="0"/>
              </w:tabs>
              <w:rPr>
                <w:rFonts w:ascii="Times New Roman" w:hAnsi="Times New Roman"/>
                <w:szCs w:val="24"/>
              </w:rPr>
            </w:pPr>
            <w:r>
              <w:rPr>
                <w:rFonts w:ascii="Times New Roman" w:hAnsi="Times New Roman"/>
                <w:szCs w:val="24"/>
              </w:rPr>
              <w:t>6</w:t>
            </w:r>
          </w:p>
        </w:tc>
        <w:tc>
          <w:tcPr>
            <w:tcW w:w="1137" w:type="dxa"/>
          </w:tcPr>
          <w:p w:rsidRPr="00B634C4" w:rsidR="004C227C" w:rsidP="00BF1380" w:rsidRDefault="00843096" w14:paraId="56DDEF65" w14:textId="3470294F">
            <w:pPr>
              <w:tabs>
                <w:tab w:val="left" w:pos="0"/>
              </w:tabs>
              <w:rPr>
                <w:rFonts w:ascii="Times New Roman" w:hAnsi="Times New Roman"/>
                <w:szCs w:val="24"/>
              </w:rPr>
            </w:pPr>
            <w:r>
              <w:rPr>
                <w:rFonts w:ascii="Times New Roman" w:hAnsi="Times New Roman"/>
                <w:iCs/>
                <w:szCs w:val="24"/>
              </w:rPr>
              <w:t>11,256</w:t>
            </w:r>
          </w:p>
        </w:tc>
        <w:tc>
          <w:tcPr>
            <w:tcW w:w="1260" w:type="dxa"/>
          </w:tcPr>
          <w:p w:rsidRPr="00B634C4" w:rsidR="004C227C" w:rsidP="00BF1380" w:rsidRDefault="004C227C" w14:paraId="56DDEF66" w14:textId="5F66E2B3">
            <w:pPr>
              <w:tabs>
                <w:tab w:val="left" w:pos="0"/>
              </w:tabs>
              <w:rPr>
                <w:rFonts w:ascii="Times New Roman" w:hAnsi="Times New Roman"/>
                <w:szCs w:val="24"/>
              </w:rPr>
            </w:pPr>
            <w:r w:rsidRPr="00B634C4">
              <w:rPr>
                <w:rFonts w:ascii="Times New Roman" w:hAnsi="Times New Roman"/>
                <w:iCs/>
                <w:szCs w:val="24"/>
              </w:rPr>
              <w:t>$4</w:t>
            </w:r>
            <w:r w:rsidR="00A222FB">
              <w:rPr>
                <w:rFonts w:ascii="Times New Roman" w:hAnsi="Times New Roman"/>
                <w:iCs/>
                <w:szCs w:val="24"/>
              </w:rPr>
              <w:t>3.96</w:t>
            </w:r>
          </w:p>
        </w:tc>
        <w:tc>
          <w:tcPr>
            <w:tcW w:w="1350" w:type="dxa"/>
          </w:tcPr>
          <w:p w:rsidRPr="00B634C4" w:rsidR="004C227C" w:rsidP="00BF1380" w:rsidRDefault="00D80B60" w14:paraId="56DDEF67" w14:textId="4A9820BC">
            <w:pPr>
              <w:tabs>
                <w:tab w:val="left" w:pos="0"/>
              </w:tabs>
              <w:rPr>
                <w:rFonts w:ascii="Times New Roman" w:hAnsi="Times New Roman"/>
                <w:szCs w:val="24"/>
              </w:rPr>
            </w:pPr>
            <w:r w:rsidRPr="00B634C4">
              <w:rPr>
                <w:rFonts w:ascii="Times New Roman" w:hAnsi="Times New Roman"/>
                <w:iCs/>
                <w:szCs w:val="24"/>
              </w:rPr>
              <w:t>$</w:t>
            </w:r>
            <w:r w:rsidR="00BA3098">
              <w:rPr>
                <w:rFonts w:ascii="Times New Roman" w:hAnsi="Times New Roman"/>
                <w:iCs/>
                <w:szCs w:val="24"/>
              </w:rPr>
              <w:t>494,814</w:t>
            </w:r>
          </w:p>
        </w:tc>
      </w:tr>
      <w:tr w:rsidRPr="00B634C4" w:rsidR="00842018" w:rsidTr="00496368" w14:paraId="56DDEF72" w14:textId="77777777">
        <w:tc>
          <w:tcPr>
            <w:tcW w:w="1345" w:type="dxa"/>
          </w:tcPr>
          <w:p w:rsidRPr="00B634C4" w:rsidR="00842018" w:rsidP="00842018" w:rsidRDefault="00842018" w14:paraId="56DDEF69" w14:textId="31D10DBF">
            <w:pPr>
              <w:tabs>
                <w:tab w:val="left" w:pos="0"/>
              </w:tabs>
              <w:rPr>
                <w:rFonts w:ascii="Times New Roman" w:hAnsi="Times New Roman"/>
                <w:szCs w:val="24"/>
              </w:rPr>
            </w:pPr>
            <w:r w:rsidRPr="00B634C4">
              <w:rPr>
                <w:rFonts w:ascii="Times New Roman" w:hAnsi="Times New Roman"/>
                <w:iCs/>
                <w:szCs w:val="24"/>
              </w:rPr>
              <w:t>Private Institutions</w:t>
            </w:r>
          </w:p>
        </w:tc>
        <w:tc>
          <w:tcPr>
            <w:tcW w:w="1248" w:type="dxa"/>
          </w:tcPr>
          <w:p w:rsidRPr="00B634C4" w:rsidR="00842018" w:rsidP="00842018" w:rsidRDefault="00842018" w14:paraId="56DDEF6A" w14:textId="6E8C6BD9">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842018" w:rsidP="00842018" w:rsidRDefault="00842018" w14:paraId="56DDEF6B" w14:textId="051CE8F8">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842018" w:rsidP="00842018" w:rsidRDefault="00620211" w14:paraId="56DDEF6C" w14:textId="56C76CB1">
            <w:pPr>
              <w:tabs>
                <w:tab w:val="left" w:pos="0"/>
              </w:tabs>
              <w:rPr>
                <w:rFonts w:ascii="Times New Roman" w:hAnsi="Times New Roman"/>
                <w:szCs w:val="24"/>
              </w:rPr>
            </w:pPr>
            <w:r>
              <w:rPr>
                <w:rFonts w:ascii="Times New Roman" w:hAnsi="Times New Roman"/>
                <w:szCs w:val="24"/>
              </w:rPr>
              <w:t>1,653</w:t>
            </w:r>
          </w:p>
        </w:tc>
        <w:tc>
          <w:tcPr>
            <w:tcW w:w="1249" w:type="dxa"/>
          </w:tcPr>
          <w:p w:rsidRPr="00B634C4" w:rsidR="00842018" w:rsidP="00842018" w:rsidRDefault="00620211" w14:paraId="56DDEF6D" w14:textId="59204F23">
            <w:pPr>
              <w:tabs>
                <w:tab w:val="left" w:pos="0"/>
              </w:tabs>
              <w:rPr>
                <w:rFonts w:ascii="Times New Roman" w:hAnsi="Times New Roman"/>
                <w:szCs w:val="24"/>
              </w:rPr>
            </w:pPr>
            <w:r>
              <w:rPr>
                <w:rFonts w:ascii="Times New Roman" w:hAnsi="Times New Roman"/>
                <w:iCs/>
                <w:szCs w:val="24"/>
              </w:rPr>
              <w:t>1,653</w:t>
            </w:r>
          </w:p>
        </w:tc>
        <w:tc>
          <w:tcPr>
            <w:tcW w:w="1248" w:type="dxa"/>
          </w:tcPr>
          <w:p w:rsidRPr="00B634C4" w:rsidR="00842018" w:rsidP="00842018" w:rsidRDefault="00D26F12" w14:paraId="56DDEF6E" w14:textId="62B201BE">
            <w:pPr>
              <w:tabs>
                <w:tab w:val="left" w:pos="0"/>
              </w:tabs>
              <w:rPr>
                <w:rFonts w:ascii="Times New Roman" w:hAnsi="Times New Roman"/>
                <w:szCs w:val="24"/>
              </w:rPr>
            </w:pPr>
            <w:r>
              <w:rPr>
                <w:rFonts w:ascii="Times New Roman" w:hAnsi="Times New Roman"/>
                <w:szCs w:val="24"/>
              </w:rPr>
              <w:t>6</w:t>
            </w:r>
          </w:p>
        </w:tc>
        <w:tc>
          <w:tcPr>
            <w:tcW w:w="1137" w:type="dxa"/>
          </w:tcPr>
          <w:p w:rsidRPr="00B634C4" w:rsidR="00842018" w:rsidP="00842018" w:rsidRDefault="00843096" w14:paraId="56DDEF6F" w14:textId="4149D005">
            <w:pPr>
              <w:pStyle w:val="EndnoteText"/>
              <w:tabs>
                <w:tab w:val="clear" w:pos="-720"/>
                <w:tab w:val="left" w:pos="0"/>
              </w:tabs>
              <w:suppressAutoHyphens w:val="0"/>
              <w:rPr>
                <w:rFonts w:ascii="Times New Roman" w:hAnsi="Times New Roman"/>
                <w:szCs w:val="24"/>
              </w:rPr>
            </w:pPr>
            <w:r>
              <w:rPr>
                <w:rFonts w:ascii="Times New Roman" w:hAnsi="Times New Roman"/>
                <w:szCs w:val="24"/>
              </w:rPr>
              <w:t>9,918</w:t>
            </w:r>
          </w:p>
        </w:tc>
        <w:tc>
          <w:tcPr>
            <w:tcW w:w="1260" w:type="dxa"/>
          </w:tcPr>
          <w:p w:rsidRPr="00B634C4" w:rsidR="00842018" w:rsidP="00842018" w:rsidRDefault="00842018" w14:paraId="56DDEF70" w14:textId="49CE98E4">
            <w:pPr>
              <w:tabs>
                <w:tab w:val="left" w:pos="0"/>
              </w:tabs>
              <w:rPr>
                <w:rFonts w:ascii="Times New Roman" w:hAnsi="Times New Roman"/>
                <w:szCs w:val="24"/>
              </w:rPr>
            </w:pPr>
            <w:r w:rsidRPr="00B634C4">
              <w:rPr>
                <w:rFonts w:ascii="Times New Roman" w:hAnsi="Times New Roman"/>
                <w:iCs/>
                <w:szCs w:val="24"/>
              </w:rPr>
              <w:t>$4</w:t>
            </w:r>
            <w:r w:rsidR="00A2719C">
              <w:rPr>
                <w:rFonts w:ascii="Times New Roman" w:hAnsi="Times New Roman"/>
                <w:iCs/>
                <w:szCs w:val="24"/>
              </w:rPr>
              <w:t>3.</w:t>
            </w:r>
            <w:r w:rsidR="00F922CE">
              <w:rPr>
                <w:rFonts w:ascii="Times New Roman" w:hAnsi="Times New Roman"/>
                <w:iCs/>
                <w:szCs w:val="24"/>
              </w:rPr>
              <w:t>96</w:t>
            </w:r>
          </w:p>
        </w:tc>
        <w:tc>
          <w:tcPr>
            <w:tcW w:w="1350" w:type="dxa"/>
          </w:tcPr>
          <w:p w:rsidRPr="00B634C4" w:rsidR="00842018" w:rsidP="00842018" w:rsidRDefault="00842018" w14:paraId="56DDEF71" w14:textId="3746C95B">
            <w:pPr>
              <w:tabs>
                <w:tab w:val="left" w:pos="0"/>
              </w:tabs>
              <w:rPr>
                <w:rFonts w:ascii="Times New Roman" w:hAnsi="Times New Roman"/>
                <w:szCs w:val="24"/>
              </w:rPr>
            </w:pPr>
            <w:r w:rsidRPr="00B634C4">
              <w:rPr>
                <w:rFonts w:ascii="Times New Roman" w:hAnsi="Times New Roman"/>
                <w:iCs/>
                <w:szCs w:val="24"/>
              </w:rPr>
              <w:t>$</w:t>
            </w:r>
            <w:r w:rsidR="00BA3098">
              <w:rPr>
                <w:rFonts w:ascii="Times New Roman" w:hAnsi="Times New Roman"/>
                <w:iCs/>
                <w:szCs w:val="24"/>
              </w:rPr>
              <w:t>4</w:t>
            </w:r>
            <w:r w:rsidR="00A05A21">
              <w:rPr>
                <w:rFonts w:ascii="Times New Roman" w:hAnsi="Times New Roman"/>
                <w:iCs/>
                <w:szCs w:val="24"/>
              </w:rPr>
              <w:t>35,995</w:t>
            </w:r>
          </w:p>
        </w:tc>
      </w:tr>
      <w:tr w:rsidRPr="00B634C4" w:rsidR="00842018" w:rsidTr="00496368" w14:paraId="2718491B" w14:textId="77777777">
        <w:tc>
          <w:tcPr>
            <w:tcW w:w="1345" w:type="dxa"/>
          </w:tcPr>
          <w:p w:rsidRPr="00B634C4" w:rsidR="00842018" w:rsidP="00842018" w:rsidRDefault="00842018" w14:paraId="360E6A78" w14:textId="68B67066">
            <w:pPr>
              <w:tabs>
                <w:tab w:val="left" w:pos="0"/>
              </w:tabs>
              <w:rPr>
                <w:rFonts w:ascii="Times New Roman" w:hAnsi="Times New Roman"/>
                <w:szCs w:val="24"/>
              </w:rPr>
            </w:pPr>
            <w:r w:rsidRPr="00B634C4">
              <w:rPr>
                <w:rFonts w:ascii="Times New Roman" w:hAnsi="Times New Roman"/>
                <w:iCs/>
                <w:szCs w:val="24"/>
              </w:rPr>
              <w:t>For Profit Institutions</w:t>
            </w:r>
          </w:p>
        </w:tc>
        <w:tc>
          <w:tcPr>
            <w:tcW w:w="1248" w:type="dxa"/>
          </w:tcPr>
          <w:p w:rsidRPr="00B634C4" w:rsidR="00842018" w:rsidP="00842018" w:rsidRDefault="00842018" w14:paraId="6217576E" w14:textId="1C1266BC">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842018" w:rsidP="00842018" w:rsidRDefault="00842018" w14:paraId="34820EFF" w14:textId="41223288">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842018" w:rsidP="00842018" w:rsidRDefault="00842018" w14:paraId="7C862606" w14:textId="2F6A8E98">
            <w:pPr>
              <w:tabs>
                <w:tab w:val="left" w:pos="0"/>
              </w:tabs>
              <w:rPr>
                <w:rFonts w:ascii="Times New Roman" w:hAnsi="Times New Roman"/>
                <w:szCs w:val="24"/>
              </w:rPr>
            </w:pPr>
            <w:r w:rsidRPr="00B634C4">
              <w:rPr>
                <w:rFonts w:ascii="Times New Roman" w:hAnsi="Times New Roman"/>
                <w:iCs/>
                <w:szCs w:val="24"/>
              </w:rPr>
              <w:t>1,</w:t>
            </w:r>
            <w:r w:rsidR="00CC6517">
              <w:rPr>
                <w:rFonts w:ascii="Times New Roman" w:hAnsi="Times New Roman"/>
                <w:iCs/>
                <w:szCs w:val="24"/>
              </w:rPr>
              <w:t>641</w:t>
            </w:r>
          </w:p>
        </w:tc>
        <w:tc>
          <w:tcPr>
            <w:tcW w:w="1249" w:type="dxa"/>
          </w:tcPr>
          <w:p w:rsidRPr="00B634C4" w:rsidR="00842018" w:rsidP="00842018" w:rsidRDefault="00842018" w14:paraId="416DA8C5" w14:textId="5B416BAD">
            <w:pPr>
              <w:tabs>
                <w:tab w:val="left" w:pos="0"/>
              </w:tabs>
              <w:rPr>
                <w:rFonts w:ascii="Times New Roman" w:hAnsi="Times New Roman"/>
                <w:szCs w:val="24"/>
              </w:rPr>
            </w:pPr>
            <w:r w:rsidRPr="00B634C4">
              <w:rPr>
                <w:rFonts w:ascii="Times New Roman" w:hAnsi="Times New Roman"/>
                <w:iCs/>
                <w:szCs w:val="24"/>
              </w:rPr>
              <w:t>1,</w:t>
            </w:r>
            <w:r w:rsidR="00CC6517">
              <w:rPr>
                <w:rFonts w:ascii="Times New Roman" w:hAnsi="Times New Roman"/>
                <w:iCs/>
                <w:szCs w:val="24"/>
              </w:rPr>
              <w:t>641</w:t>
            </w:r>
          </w:p>
        </w:tc>
        <w:tc>
          <w:tcPr>
            <w:tcW w:w="1248" w:type="dxa"/>
          </w:tcPr>
          <w:p w:rsidRPr="00B634C4" w:rsidR="00842018" w:rsidP="00842018" w:rsidRDefault="00D26F12" w14:paraId="26F05952" w14:textId="179E60CD">
            <w:pPr>
              <w:tabs>
                <w:tab w:val="left" w:pos="0"/>
              </w:tabs>
              <w:rPr>
                <w:rFonts w:ascii="Times New Roman" w:hAnsi="Times New Roman"/>
                <w:szCs w:val="24"/>
              </w:rPr>
            </w:pPr>
            <w:r>
              <w:rPr>
                <w:rFonts w:ascii="Times New Roman" w:hAnsi="Times New Roman"/>
                <w:szCs w:val="24"/>
              </w:rPr>
              <w:t>6</w:t>
            </w:r>
          </w:p>
        </w:tc>
        <w:tc>
          <w:tcPr>
            <w:tcW w:w="1137" w:type="dxa"/>
          </w:tcPr>
          <w:p w:rsidRPr="00B634C4" w:rsidR="00842018" w:rsidP="00842018" w:rsidRDefault="00C7640A" w14:paraId="6D9F6AC4" w14:textId="543E08B1">
            <w:pPr>
              <w:pStyle w:val="EndnoteText"/>
              <w:tabs>
                <w:tab w:val="clear" w:pos="-720"/>
                <w:tab w:val="left" w:pos="0"/>
              </w:tabs>
              <w:suppressAutoHyphens w:val="0"/>
              <w:rPr>
                <w:rFonts w:ascii="Times New Roman" w:hAnsi="Times New Roman"/>
                <w:szCs w:val="24"/>
              </w:rPr>
            </w:pPr>
            <w:r>
              <w:rPr>
                <w:rFonts w:ascii="Times New Roman" w:hAnsi="Times New Roman"/>
                <w:iCs/>
                <w:szCs w:val="24"/>
              </w:rPr>
              <w:t>9,846</w:t>
            </w:r>
          </w:p>
        </w:tc>
        <w:tc>
          <w:tcPr>
            <w:tcW w:w="1260" w:type="dxa"/>
          </w:tcPr>
          <w:p w:rsidRPr="00B634C4" w:rsidR="00842018" w:rsidP="00842018" w:rsidRDefault="00842018" w14:paraId="17CFC217" w14:textId="6C9E8655">
            <w:pPr>
              <w:tabs>
                <w:tab w:val="left" w:pos="0"/>
              </w:tabs>
              <w:rPr>
                <w:rFonts w:ascii="Times New Roman" w:hAnsi="Times New Roman"/>
                <w:szCs w:val="24"/>
              </w:rPr>
            </w:pPr>
            <w:r w:rsidRPr="00B634C4">
              <w:rPr>
                <w:rFonts w:ascii="Times New Roman" w:hAnsi="Times New Roman"/>
                <w:iCs/>
                <w:szCs w:val="24"/>
              </w:rPr>
              <w:t>$4</w:t>
            </w:r>
            <w:r w:rsidR="00CC6517">
              <w:rPr>
                <w:rFonts w:ascii="Times New Roman" w:hAnsi="Times New Roman"/>
                <w:iCs/>
                <w:szCs w:val="24"/>
              </w:rPr>
              <w:t>3.96</w:t>
            </w:r>
          </w:p>
        </w:tc>
        <w:tc>
          <w:tcPr>
            <w:tcW w:w="1350" w:type="dxa"/>
          </w:tcPr>
          <w:p w:rsidRPr="00B634C4" w:rsidR="00842018" w:rsidP="00842018" w:rsidRDefault="00842018" w14:paraId="18559A97" w14:textId="0FE0A8CE">
            <w:pPr>
              <w:tabs>
                <w:tab w:val="left" w:pos="0"/>
              </w:tabs>
              <w:rPr>
                <w:rFonts w:ascii="Times New Roman" w:hAnsi="Times New Roman"/>
                <w:szCs w:val="24"/>
              </w:rPr>
            </w:pPr>
            <w:r w:rsidRPr="00B634C4">
              <w:rPr>
                <w:rFonts w:ascii="Times New Roman" w:hAnsi="Times New Roman"/>
                <w:iCs/>
                <w:szCs w:val="24"/>
              </w:rPr>
              <w:t>$</w:t>
            </w:r>
            <w:r w:rsidR="00BA3098">
              <w:rPr>
                <w:rFonts w:ascii="Times New Roman" w:hAnsi="Times New Roman"/>
                <w:iCs/>
                <w:szCs w:val="24"/>
              </w:rPr>
              <w:t>432,830</w:t>
            </w:r>
          </w:p>
        </w:tc>
      </w:tr>
      <w:tr w:rsidRPr="00196A81" w:rsidR="004C227C" w:rsidTr="00496368" w14:paraId="56DDEF90" w14:textId="77777777">
        <w:tc>
          <w:tcPr>
            <w:tcW w:w="1345" w:type="dxa"/>
          </w:tcPr>
          <w:p w:rsidRPr="00B634C4" w:rsidR="004C227C" w:rsidP="00BF1380" w:rsidRDefault="004C227C" w14:paraId="56DDEF87" w14:textId="77777777">
            <w:pPr>
              <w:tabs>
                <w:tab w:val="left" w:pos="0"/>
              </w:tabs>
              <w:jc w:val="center"/>
              <w:rPr>
                <w:rFonts w:ascii="Times New Roman" w:hAnsi="Times New Roman"/>
                <w:szCs w:val="24"/>
              </w:rPr>
            </w:pPr>
            <w:r w:rsidRPr="00B634C4">
              <w:rPr>
                <w:rFonts w:ascii="Times New Roman" w:hAnsi="Times New Roman"/>
                <w:szCs w:val="24"/>
              </w:rPr>
              <w:t>Annualized Totals</w:t>
            </w:r>
          </w:p>
        </w:tc>
        <w:tc>
          <w:tcPr>
            <w:tcW w:w="1248" w:type="dxa"/>
          </w:tcPr>
          <w:p w:rsidRPr="00B634C4" w:rsidR="004C227C" w:rsidP="00BF1380" w:rsidRDefault="004C227C" w14:paraId="56DDEF88" w14:textId="08FBFA5D">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4C227C" w:rsidP="00BF1380" w:rsidRDefault="004C227C" w14:paraId="56DDEF89" w14:textId="57F96D56">
            <w:pPr>
              <w:tabs>
                <w:tab w:val="left" w:pos="0"/>
              </w:tabs>
              <w:rPr>
                <w:rFonts w:ascii="Times New Roman" w:hAnsi="Times New Roman"/>
                <w:szCs w:val="24"/>
              </w:rPr>
            </w:pPr>
            <w:r w:rsidRPr="00B634C4">
              <w:rPr>
                <w:rFonts w:ascii="Times New Roman" w:hAnsi="Times New Roman"/>
                <w:szCs w:val="24"/>
              </w:rPr>
              <w:t>N/A</w:t>
            </w:r>
          </w:p>
        </w:tc>
        <w:tc>
          <w:tcPr>
            <w:tcW w:w="1249" w:type="dxa"/>
          </w:tcPr>
          <w:p w:rsidRPr="00B634C4" w:rsidR="004C227C" w:rsidP="00BF1380" w:rsidRDefault="004C227C" w14:paraId="56DDEF8A" w14:textId="64FAA639">
            <w:pPr>
              <w:tabs>
                <w:tab w:val="left" w:pos="0"/>
              </w:tabs>
              <w:rPr>
                <w:rFonts w:ascii="Times New Roman" w:hAnsi="Times New Roman"/>
                <w:szCs w:val="24"/>
              </w:rPr>
            </w:pPr>
            <w:r w:rsidRPr="00B634C4">
              <w:rPr>
                <w:rFonts w:ascii="Times New Roman" w:hAnsi="Times New Roman"/>
                <w:iCs/>
                <w:szCs w:val="24"/>
              </w:rPr>
              <w:t>5</w:t>
            </w:r>
            <w:r w:rsidR="00CC6517">
              <w:rPr>
                <w:rFonts w:ascii="Times New Roman" w:hAnsi="Times New Roman"/>
                <w:iCs/>
                <w:szCs w:val="24"/>
              </w:rPr>
              <w:t>,170</w:t>
            </w:r>
          </w:p>
        </w:tc>
        <w:tc>
          <w:tcPr>
            <w:tcW w:w="1249" w:type="dxa"/>
          </w:tcPr>
          <w:p w:rsidRPr="00B634C4" w:rsidR="004C227C" w:rsidP="00BF1380" w:rsidRDefault="004C227C" w14:paraId="56DDEF8B" w14:textId="32D3EF70">
            <w:pPr>
              <w:tabs>
                <w:tab w:val="left" w:pos="0"/>
              </w:tabs>
              <w:rPr>
                <w:rFonts w:ascii="Times New Roman" w:hAnsi="Times New Roman"/>
                <w:szCs w:val="24"/>
              </w:rPr>
            </w:pPr>
            <w:r w:rsidRPr="00B634C4">
              <w:rPr>
                <w:rFonts w:ascii="Times New Roman" w:hAnsi="Times New Roman"/>
                <w:iCs/>
                <w:szCs w:val="24"/>
              </w:rPr>
              <w:t>5,</w:t>
            </w:r>
            <w:r w:rsidR="00C3328B">
              <w:rPr>
                <w:rFonts w:ascii="Times New Roman" w:hAnsi="Times New Roman"/>
                <w:iCs/>
                <w:szCs w:val="24"/>
              </w:rPr>
              <w:t>170</w:t>
            </w:r>
          </w:p>
        </w:tc>
        <w:tc>
          <w:tcPr>
            <w:tcW w:w="1248" w:type="dxa"/>
          </w:tcPr>
          <w:p w:rsidRPr="00B634C4" w:rsidR="004C227C" w:rsidP="00BF1380" w:rsidRDefault="00D26F12" w14:paraId="56DDEF8C" w14:textId="058A8CEF">
            <w:pPr>
              <w:tabs>
                <w:tab w:val="left" w:pos="0"/>
              </w:tabs>
              <w:rPr>
                <w:rFonts w:ascii="Times New Roman" w:hAnsi="Times New Roman"/>
                <w:szCs w:val="24"/>
              </w:rPr>
            </w:pPr>
            <w:r>
              <w:rPr>
                <w:rFonts w:ascii="Times New Roman" w:hAnsi="Times New Roman"/>
                <w:szCs w:val="24"/>
              </w:rPr>
              <w:t>6</w:t>
            </w:r>
          </w:p>
        </w:tc>
        <w:tc>
          <w:tcPr>
            <w:tcW w:w="1137" w:type="dxa"/>
          </w:tcPr>
          <w:p w:rsidRPr="00B634C4" w:rsidR="004C227C" w:rsidP="00BF1380" w:rsidRDefault="00C7640A" w14:paraId="56DDEF8D" w14:textId="4834A620">
            <w:pPr>
              <w:tabs>
                <w:tab w:val="left" w:pos="0"/>
              </w:tabs>
              <w:rPr>
                <w:rFonts w:ascii="Times New Roman" w:hAnsi="Times New Roman"/>
                <w:szCs w:val="24"/>
              </w:rPr>
            </w:pPr>
            <w:r>
              <w:rPr>
                <w:rFonts w:ascii="Times New Roman" w:hAnsi="Times New Roman"/>
                <w:iCs/>
                <w:szCs w:val="24"/>
              </w:rPr>
              <w:t>31,020</w:t>
            </w:r>
          </w:p>
        </w:tc>
        <w:tc>
          <w:tcPr>
            <w:tcW w:w="1260" w:type="dxa"/>
          </w:tcPr>
          <w:p w:rsidRPr="00B634C4" w:rsidR="004C227C" w:rsidP="00BF1380" w:rsidRDefault="004C227C" w14:paraId="56DDEF8E" w14:textId="572ABC10">
            <w:pPr>
              <w:tabs>
                <w:tab w:val="left" w:pos="0"/>
              </w:tabs>
              <w:rPr>
                <w:rFonts w:ascii="Times New Roman" w:hAnsi="Times New Roman"/>
                <w:szCs w:val="24"/>
              </w:rPr>
            </w:pPr>
            <w:r w:rsidRPr="00B634C4">
              <w:rPr>
                <w:rFonts w:ascii="Times New Roman" w:hAnsi="Times New Roman"/>
                <w:szCs w:val="24"/>
              </w:rPr>
              <w:t>N/A</w:t>
            </w:r>
          </w:p>
        </w:tc>
        <w:tc>
          <w:tcPr>
            <w:tcW w:w="1350" w:type="dxa"/>
          </w:tcPr>
          <w:p w:rsidRPr="00196A81" w:rsidR="004C227C" w:rsidP="00BF1380" w:rsidRDefault="00382E93" w14:paraId="56DDEF8F" w14:textId="1E0A6A6B">
            <w:pPr>
              <w:tabs>
                <w:tab w:val="left" w:pos="0"/>
              </w:tabs>
              <w:rPr>
                <w:rFonts w:ascii="Times New Roman" w:hAnsi="Times New Roman"/>
                <w:szCs w:val="24"/>
              </w:rPr>
            </w:pPr>
            <w:r w:rsidRPr="00B634C4">
              <w:rPr>
                <w:rFonts w:ascii="Times New Roman" w:hAnsi="Times New Roman"/>
                <w:szCs w:val="24"/>
              </w:rPr>
              <w:t>$</w:t>
            </w:r>
            <w:r w:rsidR="00BA3098">
              <w:rPr>
                <w:rFonts w:ascii="Times New Roman" w:hAnsi="Times New Roman"/>
                <w:szCs w:val="24"/>
              </w:rPr>
              <w:t>1,3</w:t>
            </w:r>
            <w:r w:rsidR="00D5274E">
              <w:rPr>
                <w:rFonts w:ascii="Times New Roman" w:hAnsi="Times New Roman"/>
                <w:szCs w:val="24"/>
              </w:rPr>
              <w:t>6</w:t>
            </w:r>
            <w:r w:rsidR="00BA3098">
              <w:rPr>
                <w:rFonts w:ascii="Times New Roman" w:hAnsi="Times New Roman"/>
                <w:szCs w:val="24"/>
              </w:rPr>
              <w:t>3</w:t>
            </w:r>
            <w:r w:rsidR="00D5274E">
              <w:rPr>
                <w:rFonts w:ascii="Times New Roman" w:hAnsi="Times New Roman"/>
                <w:szCs w:val="24"/>
              </w:rPr>
              <w:t>,639</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E11BE5" w:rsidR="00043C32" w:rsidP="00E11BE5"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E11BE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47188D" w:rsidR="00043C32" w:rsidP="0047188D"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47188D" w:rsidR="00043C32" w:rsidP="0047188D"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47188D"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2069A0" w:rsidP="009D48E2" w:rsidRDefault="002069A0" w14:paraId="60918300" w14:textId="77777777">
      <w:pPr>
        <w:tabs>
          <w:tab w:val="left" w:pos="-720"/>
        </w:tabs>
        <w:suppressAutoHyphens/>
        <w:rPr>
          <w:rFonts w:ascii="Times New Roman" w:hAnsi="Times New Roman"/>
          <w:iCs/>
          <w:szCs w:val="24"/>
        </w:rPr>
      </w:pPr>
    </w:p>
    <w:p w:rsidRPr="004D0F57" w:rsidR="001D3396" w:rsidP="001D3396" w:rsidRDefault="001D3396" w14:paraId="0207427C" w14:textId="77777777">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35262A" w:rsidP="009D48E2" w:rsidRDefault="00C076C3" w14:paraId="1B26038E" w14:textId="7EC21C7E">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sidR="0035262A">
        <w:rPr>
          <w:rFonts w:ascii="Times New Roman" w:hAnsi="Times New Roman"/>
          <w:iCs/>
          <w:szCs w:val="24"/>
        </w:rPr>
        <w:t xml:space="preserve"> cost</w:t>
      </w:r>
      <w:r w:rsidR="00AE5430">
        <w:rPr>
          <w:rFonts w:ascii="Times New Roman" w:hAnsi="Times New Roman"/>
          <w:iCs/>
          <w:szCs w:val="24"/>
        </w:rPr>
        <w:t>s</w:t>
      </w:r>
      <w:r w:rsidRPr="00196A81" w:rsidR="0035262A">
        <w:rPr>
          <w:rFonts w:ascii="Times New Roman" w:hAnsi="Times New Roman"/>
          <w:iCs/>
          <w:szCs w:val="24"/>
        </w:rPr>
        <w:t xml:space="preserve"> to the Federal government</w:t>
      </w:r>
      <w:r w:rsidR="00967B91">
        <w:rPr>
          <w:rFonts w:ascii="Times New Roman" w:hAnsi="Times New Roman"/>
          <w:iCs/>
          <w:szCs w:val="24"/>
        </w:rPr>
        <w:t>, beyond the efforts normally associated with Department staff conducting monitoring, would be to review the data that each institution submits.</w:t>
      </w:r>
    </w:p>
    <w:p w:rsidR="00542026" w:rsidP="009D48E2" w:rsidRDefault="00542026" w14:paraId="77CC0F2C" w14:textId="6A6EFF7F">
      <w:pPr>
        <w:pStyle w:val="ListParagraph"/>
        <w:tabs>
          <w:tab w:val="left" w:pos="-720"/>
        </w:tabs>
        <w:suppressAutoHyphens/>
        <w:ind w:left="0"/>
        <w:rPr>
          <w:rFonts w:ascii="Times New Roman" w:hAnsi="Times New Roman"/>
          <w:iCs/>
          <w:szCs w:val="24"/>
        </w:rPr>
      </w:pPr>
    </w:p>
    <w:p w:rsidRPr="00314690" w:rsidR="00542026" w:rsidP="009D48E2" w:rsidRDefault="00542026" w14:paraId="3F4C965C" w14:textId="37BE066F">
      <w:pPr>
        <w:pStyle w:val="ListParagraph"/>
        <w:tabs>
          <w:tab w:val="left" w:pos="-720"/>
        </w:tabs>
        <w:suppressAutoHyphens/>
        <w:ind w:left="0"/>
        <w:rPr>
          <w:rFonts w:ascii="Times New Roman" w:hAnsi="Times New Roman"/>
          <w:iCs/>
          <w:szCs w:val="24"/>
        </w:rPr>
      </w:pPr>
      <w:r w:rsidRPr="00314690">
        <w:rPr>
          <w:rFonts w:ascii="Times New Roman" w:hAnsi="Times New Roman"/>
          <w:iCs/>
          <w:szCs w:val="24"/>
        </w:rPr>
        <w:t>The Department estimates the following: GS-13,</w:t>
      </w:r>
      <w:r w:rsidRPr="00314690" w:rsidR="00D26343">
        <w:rPr>
          <w:rFonts w:ascii="Times New Roman" w:hAnsi="Times New Roman"/>
          <w:iCs/>
          <w:szCs w:val="24"/>
        </w:rPr>
        <w:t xml:space="preserve"> .25</w:t>
      </w:r>
      <w:r w:rsidRPr="00314690" w:rsidR="00AF574A">
        <w:rPr>
          <w:rFonts w:ascii="Times New Roman" w:hAnsi="Times New Roman"/>
          <w:iCs/>
          <w:szCs w:val="24"/>
        </w:rPr>
        <w:t xml:space="preserve"> hours, </w:t>
      </w:r>
      <w:r w:rsidRPr="00314690" w:rsidR="00314690">
        <w:rPr>
          <w:rFonts w:ascii="Times New Roman" w:hAnsi="Times New Roman"/>
          <w:iCs/>
          <w:szCs w:val="24"/>
        </w:rPr>
        <w:t>5,170</w:t>
      </w:r>
      <w:r w:rsidRPr="00314690" w:rsidR="00AF574A">
        <w:rPr>
          <w:rFonts w:ascii="Times New Roman" w:hAnsi="Times New Roman"/>
          <w:iCs/>
          <w:szCs w:val="24"/>
        </w:rPr>
        <w:t xml:space="preserve"> institutions </w:t>
      </w:r>
      <w:r w:rsidR="005F39E4">
        <w:rPr>
          <w:rFonts w:ascii="Times New Roman" w:hAnsi="Times New Roman"/>
          <w:iCs/>
          <w:szCs w:val="24"/>
        </w:rPr>
        <w:t>= 1</w:t>
      </w:r>
      <w:r w:rsidR="0044215C">
        <w:rPr>
          <w:rFonts w:ascii="Times New Roman" w:hAnsi="Times New Roman"/>
          <w:iCs/>
          <w:szCs w:val="24"/>
        </w:rPr>
        <w:t>,</w:t>
      </w:r>
      <w:r w:rsidR="005F39E4">
        <w:rPr>
          <w:rFonts w:ascii="Times New Roman" w:hAnsi="Times New Roman"/>
          <w:iCs/>
          <w:szCs w:val="24"/>
        </w:rPr>
        <w:t>293</w:t>
      </w:r>
      <w:r w:rsidRPr="00314690" w:rsidR="00DF3163">
        <w:rPr>
          <w:rFonts w:ascii="Times New Roman" w:hAnsi="Times New Roman"/>
          <w:iCs/>
          <w:szCs w:val="24"/>
        </w:rPr>
        <w:t xml:space="preserve"> hours X 45.42 per hour=$</w:t>
      </w:r>
      <w:r w:rsidR="001C6D74">
        <w:rPr>
          <w:rFonts w:ascii="Times New Roman" w:hAnsi="Times New Roman"/>
          <w:iCs/>
          <w:szCs w:val="24"/>
        </w:rPr>
        <w:t>58,7</w:t>
      </w:r>
      <w:r w:rsidR="0036698D">
        <w:rPr>
          <w:rFonts w:ascii="Times New Roman" w:hAnsi="Times New Roman"/>
          <w:iCs/>
          <w:szCs w:val="24"/>
        </w:rPr>
        <w:t>2</w:t>
      </w:r>
      <w:r w:rsidR="00520026">
        <w:rPr>
          <w:rFonts w:ascii="Times New Roman" w:hAnsi="Times New Roman"/>
          <w:iCs/>
          <w:szCs w:val="24"/>
        </w:rPr>
        <w:t>8.</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BE6501" w:rsidR="0052073E" w:rsidP="00BE6501" w:rsidRDefault="003C2437" w14:paraId="56DDEFAD" w14:textId="034ECFCD">
            <w:pPr>
              <w:tabs>
                <w:tab w:val="left" w:pos="-720"/>
                <w:tab w:val="left" w:pos="0"/>
              </w:tabs>
              <w:suppressAutoHyphens/>
              <w:jc w:val="center"/>
              <w:rPr>
                <w:rFonts w:ascii="Times New Roman" w:hAnsi="Times New Roman"/>
                <w:bCs/>
                <w:szCs w:val="24"/>
              </w:rPr>
            </w:pPr>
            <w:r>
              <w:rPr>
                <w:rFonts w:ascii="Times New Roman" w:hAnsi="Times New Roman"/>
                <w:bCs/>
                <w:szCs w:val="24"/>
              </w:rPr>
              <w:t>31,020</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BE6501" w:rsidR="0052073E" w:rsidP="00BE6501" w:rsidRDefault="004A1A49" w14:paraId="56DDEFB2" w14:textId="702788DE">
            <w:pPr>
              <w:tabs>
                <w:tab w:val="left" w:pos="-720"/>
                <w:tab w:val="left" w:pos="0"/>
              </w:tabs>
              <w:suppressAutoHyphens/>
              <w:jc w:val="center"/>
              <w:rPr>
                <w:rFonts w:ascii="Times New Roman" w:hAnsi="Times New Roman"/>
                <w:bCs/>
                <w:szCs w:val="24"/>
              </w:rPr>
            </w:pPr>
            <w:r w:rsidRPr="00BE6501">
              <w:rPr>
                <w:rFonts w:ascii="Times New Roman" w:hAnsi="Times New Roman"/>
                <w:bCs/>
                <w:szCs w:val="24"/>
              </w:rPr>
              <w:t>5,170</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BE6501" w:rsidR="0052073E" w:rsidP="00BE6501" w:rsidRDefault="00BE6501" w14:paraId="56DDEFB7" w14:textId="0543D218">
            <w:pPr>
              <w:tabs>
                <w:tab w:val="left" w:pos="-720"/>
                <w:tab w:val="left" w:pos="0"/>
              </w:tabs>
              <w:suppressAutoHyphens/>
              <w:jc w:val="center"/>
              <w:rPr>
                <w:rFonts w:ascii="Times New Roman" w:hAnsi="Times New Roman"/>
                <w:bCs/>
                <w:szCs w:val="24"/>
              </w:rPr>
            </w:pPr>
            <w:r>
              <w:rPr>
                <w:rFonts w:ascii="Times New Roman" w:hAnsi="Times New Roman"/>
                <w:bCs/>
                <w:szCs w:val="24"/>
              </w:rPr>
              <w:t>$</w:t>
            </w:r>
            <w:r w:rsidR="004204EC">
              <w:rPr>
                <w:rFonts w:ascii="Times New Roman" w:hAnsi="Times New Roman"/>
                <w:szCs w:val="24"/>
              </w:rPr>
              <w:t>1,3</w:t>
            </w:r>
            <w:r w:rsidR="00BE2F31">
              <w:rPr>
                <w:rFonts w:ascii="Times New Roman" w:hAnsi="Times New Roman"/>
                <w:szCs w:val="24"/>
              </w:rPr>
              <w:t>63,639</w:t>
            </w: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534B4A" w:rsidP="009D48E2" w:rsidRDefault="006E4BA8" w14:paraId="56DDEFBC" w14:textId="743C211F">
      <w:pPr>
        <w:tabs>
          <w:tab w:val="left" w:pos="-720"/>
          <w:tab w:val="left" w:pos="0"/>
        </w:tabs>
        <w:suppressAutoHyphens/>
        <w:rPr>
          <w:rFonts w:ascii="Times New Roman" w:hAnsi="Times New Roman"/>
          <w:szCs w:val="24"/>
        </w:rPr>
      </w:pPr>
      <w:r>
        <w:rPr>
          <w:rFonts w:ascii="Times New Roman" w:hAnsi="Times New Roman"/>
          <w:szCs w:val="24"/>
        </w:rPr>
        <w:t xml:space="preserve">The burden increase is a program change due to the enactment of a new statute, the CARES Act. The total new burden is estimated to be </w:t>
      </w:r>
      <w:r w:rsidR="00756C8E">
        <w:rPr>
          <w:rFonts w:ascii="Times New Roman" w:hAnsi="Times New Roman"/>
          <w:szCs w:val="24"/>
        </w:rPr>
        <w:t>31,020</w:t>
      </w:r>
      <w:r w:rsidR="00BE6501">
        <w:rPr>
          <w:rFonts w:ascii="Times New Roman" w:hAnsi="Times New Roman"/>
          <w:szCs w:val="24"/>
        </w:rPr>
        <w:t xml:space="preserve"> </w:t>
      </w:r>
      <w:r>
        <w:rPr>
          <w:rFonts w:ascii="Times New Roman" w:hAnsi="Times New Roman"/>
          <w:szCs w:val="24"/>
        </w:rPr>
        <w:t>burden hours a</w:t>
      </w:r>
      <w:r w:rsidR="000C24BE">
        <w:rPr>
          <w:rFonts w:ascii="Times New Roman" w:hAnsi="Times New Roman"/>
          <w:szCs w:val="24"/>
        </w:rPr>
        <w:t>t</w:t>
      </w:r>
      <w:r>
        <w:rPr>
          <w:rFonts w:ascii="Times New Roman" w:hAnsi="Times New Roman"/>
          <w:szCs w:val="24"/>
        </w:rPr>
        <w:t xml:space="preserve"> a cost of</w:t>
      </w:r>
      <w:r w:rsidR="0067015C">
        <w:rPr>
          <w:rFonts w:ascii="Times New Roman" w:hAnsi="Times New Roman"/>
          <w:szCs w:val="24"/>
        </w:rPr>
        <w:t xml:space="preserve"> $</w:t>
      </w:r>
      <w:r w:rsidR="00011034">
        <w:rPr>
          <w:rFonts w:ascii="Times New Roman" w:hAnsi="Times New Roman"/>
          <w:szCs w:val="24"/>
        </w:rPr>
        <w:t>1,354,713</w:t>
      </w:r>
      <w:r>
        <w:rPr>
          <w:rFonts w:ascii="Times New Roman" w:hAnsi="Times New Roman"/>
          <w:szCs w:val="24"/>
        </w:rPr>
        <w:t>.</w:t>
      </w:r>
    </w:p>
    <w:p w:rsidRPr="006E4BA8" w:rsidR="006E4BA8" w:rsidP="009D48E2" w:rsidRDefault="006E4BA8" w14:paraId="073A7559"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9C3D0C" w:rsidR="006D2573" w:rsidP="00BF23F4" w:rsidRDefault="006D2573" w14:paraId="143B0213" w14:textId="7E957D2F">
      <w:pPr>
        <w:rPr>
          <w:b/>
        </w:rPr>
      </w:pPr>
      <w:r w:rsidRPr="006D2573">
        <w:rPr>
          <w:rFonts w:ascii="Times New Roman" w:hAnsi="Times New Roman"/>
        </w:rPr>
        <w:t>IHEs will be asked to respond to the information collection in FY2021 Quarter 2. Data quality will be controlled and reviewed during data collection, while IHEs will have the opportunity to correct and resubmit final data. Once the review is completed, the descriptive statistics based on this information collection will be published on the Education Stabilization Fund (ESF) Public Transparency Portal no later than 2021 Quarter 3, and on a similar time frame in subsequent years.</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lastRenderedPageBreak/>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CCE0B" w14:textId="77777777" w:rsidR="00557354" w:rsidRDefault="00557354" w:rsidP="00043C32">
      <w:r>
        <w:separator/>
      </w:r>
    </w:p>
  </w:endnote>
  <w:endnote w:type="continuationSeparator" w:id="0">
    <w:p w14:paraId="626A09BB" w14:textId="77777777" w:rsidR="00557354" w:rsidRDefault="0055735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3E1ADC">
    <w:pPr>
      <w:spacing w:before="140" w:line="100" w:lineRule="exact"/>
      <w:rPr>
        <w:sz w:val="10"/>
      </w:rPr>
    </w:pPr>
  </w:p>
  <w:p w14:paraId="56DDEFC9" w14:textId="77777777" w:rsidR="00386054" w:rsidRDefault="003E1ADC">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171AF" w14:textId="77777777" w:rsidR="00557354" w:rsidRDefault="00557354" w:rsidP="00043C32">
      <w:r>
        <w:separator/>
      </w:r>
    </w:p>
  </w:footnote>
  <w:footnote w:type="continuationSeparator" w:id="0">
    <w:p w14:paraId="11DEE85C" w14:textId="77777777" w:rsidR="00557354" w:rsidRDefault="00557354"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7270F16"/>
    <w:multiLevelType w:val="hybridMultilevel"/>
    <w:tmpl w:val="BCB8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E06FB"/>
    <w:multiLevelType w:val="hybridMultilevel"/>
    <w:tmpl w:val="8230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D548E"/>
    <w:multiLevelType w:val="hybridMultilevel"/>
    <w:tmpl w:val="DE20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4BB"/>
    <w:rsid w:val="0000150C"/>
    <w:rsid w:val="000050D4"/>
    <w:rsid w:val="00010D85"/>
    <w:rsid w:val="00011034"/>
    <w:rsid w:val="00014804"/>
    <w:rsid w:val="000311D5"/>
    <w:rsid w:val="00035ED5"/>
    <w:rsid w:val="00043C32"/>
    <w:rsid w:val="000446F5"/>
    <w:rsid w:val="0004501A"/>
    <w:rsid w:val="00047953"/>
    <w:rsid w:val="00063A39"/>
    <w:rsid w:val="0007076C"/>
    <w:rsid w:val="00093017"/>
    <w:rsid w:val="000B0550"/>
    <w:rsid w:val="000B5BBA"/>
    <w:rsid w:val="000C24BE"/>
    <w:rsid w:val="000C2793"/>
    <w:rsid w:val="0010088E"/>
    <w:rsid w:val="00114062"/>
    <w:rsid w:val="00120C0C"/>
    <w:rsid w:val="001268CB"/>
    <w:rsid w:val="00132B19"/>
    <w:rsid w:val="0014781D"/>
    <w:rsid w:val="0015687E"/>
    <w:rsid w:val="001616E7"/>
    <w:rsid w:val="00163379"/>
    <w:rsid w:val="001634C5"/>
    <w:rsid w:val="001824F3"/>
    <w:rsid w:val="00187E3A"/>
    <w:rsid w:val="00196A81"/>
    <w:rsid w:val="001A55BB"/>
    <w:rsid w:val="001A6AE0"/>
    <w:rsid w:val="001B4FCB"/>
    <w:rsid w:val="001B5E30"/>
    <w:rsid w:val="001C4C78"/>
    <w:rsid w:val="001C6D74"/>
    <w:rsid w:val="001C73C0"/>
    <w:rsid w:val="001D3396"/>
    <w:rsid w:val="001E79BD"/>
    <w:rsid w:val="002069A0"/>
    <w:rsid w:val="002149F3"/>
    <w:rsid w:val="00217E2B"/>
    <w:rsid w:val="00221318"/>
    <w:rsid w:val="002225CC"/>
    <w:rsid w:val="00224A3B"/>
    <w:rsid w:val="002313E2"/>
    <w:rsid w:val="00240A39"/>
    <w:rsid w:val="00242055"/>
    <w:rsid w:val="00246FE9"/>
    <w:rsid w:val="00250100"/>
    <w:rsid w:val="0025791C"/>
    <w:rsid w:val="00262A69"/>
    <w:rsid w:val="00270AF7"/>
    <w:rsid w:val="002761ED"/>
    <w:rsid w:val="00277B6A"/>
    <w:rsid w:val="002A0084"/>
    <w:rsid w:val="002A3221"/>
    <w:rsid w:val="002B5B03"/>
    <w:rsid w:val="002C3520"/>
    <w:rsid w:val="002E14E0"/>
    <w:rsid w:val="002E6EEE"/>
    <w:rsid w:val="002F0981"/>
    <w:rsid w:val="002F55E5"/>
    <w:rsid w:val="00314690"/>
    <w:rsid w:val="0032078A"/>
    <w:rsid w:val="0032181B"/>
    <w:rsid w:val="00321F6F"/>
    <w:rsid w:val="0032539E"/>
    <w:rsid w:val="003254B8"/>
    <w:rsid w:val="00333230"/>
    <w:rsid w:val="00335670"/>
    <w:rsid w:val="00337880"/>
    <w:rsid w:val="003522F0"/>
    <w:rsid w:val="0035262A"/>
    <w:rsid w:val="003570FE"/>
    <w:rsid w:val="003658B8"/>
    <w:rsid w:val="0036698D"/>
    <w:rsid w:val="0037211D"/>
    <w:rsid w:val="00382E93"/>
    <w:rsid w:val="003860E4"/>
    <w:rsid w:val="003B1545"/>
    <w:rsid w:val="003B334E"/>
    <w:rsid w:val="003C2437"/>
    <w:rsid w:val="003C5DAC"/>
    <w:rsid w:val="003D1207"/>
    <w:rsid w:val="003E1ADC"/>
    <w:rsid w:val="003F1B15"/>
    <w:rsid w:val="003F3EA6"/>
    <w:rsid w:val="003F7BB3"/>
    <w:rsid w:val="00400F78"/>
    <w:rsid w:val="00412915"/>
    <w:rsid w:val="004204EC"/>
    <w:rsid w:val="004232B5"/>
    <w:rsid w:val="004237B8"/>
    <w:rsid w:val="00427070"/>
    <w:rsid w:val="0044215C"/>
    <w:rsid w:val="00442E07"/>
    <w:rsid w:val="0047188D"/>
    <w:rsid w:val="00472FF6"/>
    <w:rsid w:val="00486931"/>
    <w:rsid w:val="00496368"/>
    <w:rsid w:val="004A1A49"/>
    <w:rsid w:val="004B1AEE"/>
    <w:rsid w:val="004C227C"/>
    <w:rsid w:val="004D1E4E"/>
    <w:rsid w:val="00510974"/>
    <w:rsid w:val="00520026"/>
    <w:rsid w:val="005204C5"/>
    <w:rsid w:val="0052073E"/>
    <w:rsid w:val="00534B4A"/>
    <w:rsid w:val="00540814"/>
    <w:rsid w:val="00542026"/>
    <w:rsid w:val="005528D6"/>
    <w:rsid w:val="00557354"/>
    <w:rsid w:val="00575C2E"/>
    <w:rsid w:val="00575DDA"/>
    <w:rsid w:val="0058188E"/>
    <w:rsid w:val="00581C11"/>
    <w:rsid w:val="005C1165"/>
    <w:rsid w:val="005C60F9"/>
    <w:rsid w:val="005F39E4"/>
    <w:rsid w:val="006113D9"/>
    <w:rsid w:val="00616F79"/>
    <w:rsid w:val="00620211"/>
    <w:rsid w:val="00624633"/>
    <w:rsid w:val="00634076"/>
    <w:rsid w:val="00665232"/>
    <w:rsid w:val="0067015C"/>
    <w:rsid w:val="0067532C"/>
    <w:rsid w:val="0068567A"/>
    <w:rsid w:val="00693C4F"/>
    <w:rsid w:val="0069427C"/>
    <w:rsid w:val="006A292A"/>
    <w:rsid w:val="006A38F7"/>
    <w:rsid w:val="006A44DB"/>
    <w:rsid w:val="006A4EBB"/>
    <w:rsid w:val="006B2188"/>
    <w:rsid w:val="006B4172"/>
    <w:rsid w:val="006C6281"/>
    <w:rsid w:val="006D2573"/>
    <w:rsid w:val="006D32B9"/>
    <w:rsid w:val="006E07A2"/>
    <w:rsid w:val="006E4BA8"/>
    <w:rsid w:val="00701D11"/>
    <w:rsid w:val="007118A4"/>
    <w:rsid w:val="00713B69"/>
    <w:rsid w:val="00714CDE"/>
    <w:rsid w:val="00725191"/>
    <w:rsid w:val="00732805"/>
    <w:rsid w:val="00733871"/>
    <w:rsid w:val="00755D99"/>
    <w:rsid w:val="00756C8E"/>
    <w:rsid w:val="00756FD3"/>
    <w:rsid w:val="00765392"/>
    <w:rsid w:val="00782FAD"/>
    <w:rsid w:val="00783F90"/>
    <w:rsid w:val="00790E3E"/>
    <w:rsid w:val="00794567"/>
    <w:rsid w:val="00797F6D"/>
    <w:rsid w:val="007A7678"/>
    <w:rsid w:val="007C0A4C"/>
    <w:rsid w:val="007C3424"/>
    <w:rsid w:val="007F6104"/>
    <w:rsid w:val="00800D30"/>
    <w:rsid w:val="00807D1A"/>
    <w:rsid w:val="00832282"/>
    <w:rsid w:val="00837B9F"/>
    <w:rsid w:val="00842018"/>
    <w:rsid w:val="00843096"/>
    <w:rsid w:val="008540B0"/>
    <w:rsid w:val="00860E11"/>
    <w:rsid w:val="008701A2"/>
    <w:rsid w:val="00874EFE"/>
    <w:rsid w:val="008809E6"/>
    <w:rsid w:val="00882126"/>
    <w:rsid w:val="008933F1"/>
    <w:rsid w:val="008A1394"/>
    <w:rsid w:val="008D0601"/>
    <w:rsid w:val="008D1F11"/>
    <w:rsid w:val="008D706D"/>
    <w:rsid w:val="008E3236"/>
    <w:rsid w:val="008E5919"/>
    <w:rsid w:val="008E74C4"/>
    <w:rsid w:val="00902450"/>
    <w:rsid w:val="00905951"/>
    <w:rsid w:val="009073CC"/>
    <w:rsid w:val="00910C36"/>
    <w:rsid w:val="00912D2C"/>
    <w:rsid w:val="00916EE4"/>
    <w:rsid w:val="00920F63"/>
    <w:rsid w:val="009243F3"/>
    <w:rsid w:val="009313F5"/>
    <w:rsid w:val="0093366B"/>
    <w:rsid w:val="00934185"/>
    <w:rsid w:val="00946126"/>
    <w:rsid w:val="00952DF9"/>
    <w:rsid w:val="0095421D"/>
    <w:rsid w:val="00960493"/>
    <w:rsid w:val="00960C86"/>
    <w:rsid w:val="00967B91"/>
    <w:rsid w:val="009767AF"/>
    <w:rsid w:val="00981F58"/>
    <w:rsid w:val="00986D0A"/>
    <w:rsid w:val="009A03B1"/>
    <w:rsid w:val="009B1F10"/>
    <w:rsid w:val="009B26BD"/>
    <w:rsid w:val="009D48E2"/>
    <w:rsid w:val="009E3E86"/>
    <w:rsid w:val="00A05A21"/>
    <w:rsid w:val="00A118A2"/>
    <w:rsid w:val="00A222FB"/>
    <w:rsid w:val="00A223F4"/>
    <w:rsid w:val="00A23F26"/>
    <w:rsid w:val="00A2719C"/>
    <w:rsid w:val="00A4001C"/>
    <w:rsid w:val="00A40AAB"/>
    <w:rsid w:val="00A46D01"/>
    <w:rsid w:val="00A6459A"/>
    <w:rsid w:val="00A70816"/>
    <w:rsid w:val="00A73590"/>
    <w:rsid w:val="00A7636D"/>
    <w:rsid w:val="00A76C3D"/>
    <w:rsid w:val="00A84D56"/>
    <w:rsid w:val="00A9138E"/>
    <w:rsid w:val="00AC1C89"/>
    <w:rsid w:val="00AC3695"/>
    <w:rsid w:val="00AD381B"/>
    <w:rsid w:val="00AD5C74"/>
    <w:rsid w:val="00AE5430"/>
    <w:rsid w:val="00AF222B"/>
    <w:rsid w:val="00AF574A"/>
    <w:rsid w:val="00AF5B5B"/>
    <w:rsid w:val="00AF5D1A"/>
    <w:rsid w:val="00B017F9"/>
    <w:rsid w:val="00B07213"/>
    <w:rsid w:val="00B10A05"/>
    <w:rsid w:val="00B265D8"/>
    <w:rsid w:val="00B326A3"/>
    <w:rsid w:val="00B360E5"/>
    <w:rsid w:val="00B443FF"/>
    <w:rsid w:val="00B5339C"/>
    <w:rsid w:val="00B54167"/>
    <w:rsid w:val="00B54A2F"/>
    <w:rsid w:val="00B60D84"/>
    <w:rsid w:val="00B619C9"/>
    <w:rsid w:val="00B623A1"/>
    <w:rsid w:val="00B62E06"/>
    <w:rsid w:val="00B634C4"/>
    <w:rsid w:val="00B64B1D"/>
    <w:rsid w:val="00B9671B"/>
    <w:rsid w:val="00BA0B3A"/>
    <w:rsid w:val="00BA1D31"/>
    <w:rsid w:val="00BA3098"/>
    <w:rsid w:val="00BA4301"/>
    <w:rsid w:val="00BB2D77"/>
    <w:rsid w:val="00BE2F31"/>
    <w:rsid w:val="00BE5D3F"/>
    <w:rsid w:val="00BE6501"/>
    <w:rsid w:val="00BF1380"/>
    <w:rsid w:val="00BF23F4"/>
    <w:rsid w:val="00C06E00"/>
    <w:rsid w:val="00C076C3"/>
    <w:rsid w:val="00C164D3"/>
    <w:rsid w:val="00C20670"/>
    <w:rsid w:val="00C224FD"/>
    <w:rsid w:val="00C3328B"/>
    <w:rsid w:val="00C41664"/>
    <w:rsid w:val="00C752FB"/>
    <w:rsid w:val="00C7640A"/>
    <w:rsid w:val="00C86713"/>
    <w:rsid w:val="00C875E8"/>
    <w:rsid w:val="00C92035"/>
    <w:rsid w:val="00C95DBB"/>
    <w:rsid w:val="00CB44DA"/>
    <w:rsid w:val="00CC2A72"/>
    <w:rsid w:val="00CC3FB5"/>
    <w:rsid w:val="00CC6517"/>
    <w:rsid w:val="00CD2067"/>
    <w:rsid w:val="00CD47BC"/>
    <w:rsid w:val="00D26343"/>
    <w:rsid w:val="00D26813"/>
    <w:rsid w:val="00D26F12"/>
    <w:rsid w:val="00D34984"/>
    <w:rsid w:val="00D36C35"/>
    <w:rsid w:val="00D40E14"/>
    <w:rsid w:val="00D5274E"/>
    <w:rsid w:val="00D66A30"/>
    <w:rsid w:val="00D67E1A"/>
    <w:rsid w:val="00D75313"/>
    <w:rsid w:val="00D80B60"/>
    <w:rsid w:val="00D900C8"/>
    <w:rsid w:val="00D90557"/>
    <w:rsid w:val="00DB0D7F"/>
    <w:rsid w:val="00DC6B7E"/>
    <w:rsid w:val="00DD1696"/>
    <w:rsid w:val="00DD2C0A"/>
    <w:rsid w:val="00DF11C8"/>
    <w:rsid w:val="00DF3163"/>
    <w:rsid w:val="00DF6F00"/>
    <w:rsid w:val="00E033E8"/>
    <w:rsid w:val="00E11BE5"/>
    <w:rsid w:val="00E14E10"/>
    <w:rsid w:val="00E16ACD"/>
    <w:rsid w:val="00E17134"/>
    <w:rsid w:val="00E22868"/>
    <w:rsid w:val="00E25EBC"/>
    <w:rsid w:val="00E267CC"/>
    <w:rsid w:val="00E3375E"/>
    <w:rsid w:val="00E46732"/>
    <w:rsid w:val="00E542AE"/>
    <w:rsid w:val="00E556E9"/>
    <w:rsid w:val="00E66550"/>
    <w:rsid w:val="00E70294"/>
    <w:rsid w:val="00E83DFB"/>
    <w:rsid w:val="00E877BF"/>
    <w:rsid w:val="00E960B2"/>
    <w:rsid w:val="00EA1767"/>
    <w:rsid w:val="00EA488A"/>
    <w:rsid w:val="00EB01FF"/>
    <w:rsid w:val="00EB0929"/>
    <w:rsid w:val="00EB0C51"/>
    <w:rsid w:val="00EB0FA5"/>
    <w:rsid w:val="00EC01DD"/>
    <w:rsid w:val="00EC35E3"/>
    <w:rsid w:val="00EC4AE7"/>
    <w:rsid w:val="00EC78D5"/>
    <w:rsid w:val="00ED7195"/>
    <w:rsid w:val="00EE5CA5"/>
    <w:rsid w:val="00EE6587"/>
    <w:rsid w:val="00EE7A2A"/>
    <w:rsid w:val="00F0414F"/>
    <w:rsid w:val="00F070F3"/>
    <w:rsid w:val="00F22AA0"/>
    <w:rsid w:val="00F27525"/>
    <w:rsid w:val="00F27AAF"/>
    <w:rsid w:val="00F31941"/>
    <w:rsid w:val="00F31BEC"/>
    <w:rsid w:val="00F547F4"/>
    <w:rsid w:val="00F5782B"/>
    <w:rsid w:val="00F72A59"/>
    <w:rsid w:val="00F73131"/>
    <w:rsid w:val="00F922CE"/>
    <w:rsid w:val="00FC669D"/>
    <w:rsid w:val="00FD4F0B"/>
    <w:rsid w:val="00FD54CF"/>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75C2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39f14e24-2167-49bb-9c18-ff1d58172457"/>
  </ds:schemaRefs>
</ds:datastoreItem>
</file>

<file path=customXml/itemProps3.xml><?xml version="1.0" encoding="utf-8"?>
<ds:datastoreItem xmlns:ds="http://schemas.openxmlformats.org/officeDocument/2006/customXml" ds:itemID="{7ED39618-70F8-4CB4-9C21-D0EE6F50E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2828</Words>
  <Characters>16124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2020-11-02T13:34:00Z</dcterms:created>
  <dcterms:modified xsi:type="dcterms:W3CDTF">2020-11-02T13:34:00Z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