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75681" w:rsidR="00075681" w:rsidP="00075681" w:rsidRDefault="00075681" w14:paraId="3E4A7FFE" w14:textId="77777777">
      <w:pPr>
        <w:autoSpaceDE w:val="0"/>
        <w:autoSpaceDN w:val="0"/>
        <w:adjustRightInd w:val="0"/>
        <w:jc w:val="center"/>
        <w:outlineLvl w:val="0"/>
        <w:rPr>
          <w:rFonts w:eastAsia="Times New Roman"/>
          <w:szCs w:val="24"/>
        </w:rPr>
      </w:pPr>
      <w:bookmarkStart w:name="_GoBack" w:id="0"/>
      <w:bookmarkEnd w:id="0"/>
      <w:smartTag w:uri="urn:schemas-microsoft-com:office:smarttags" w:element="place">
        <w:smartTag w:uri="urn:schemas-microsoft-com:office:smarttags" w:element="country-region">
          <w:smartTag w:uri="urn:schemas-microsoft-com:office:smarttags" w:element="State">
            <w:r w:rsidRPr="00075681">
              <w:rPr>
                <w:rFonts w:eastAsia="Times New Roman"/>
                <w:szCs w:val="24"/>
              </w:rPr>
              <w:t>UNITED STATES OF AMERICA</w:t>
            </w:r>
          </w:smartTag>
        </w:smartTag>
      </w:smartTag>
    </w:p>
    <w:p w:rsidRPr="00075681" w:rsidR="00075681" w:rsidP="00075681" w:rsidRDefault="00075681" w14:paraId="4B1D0BC3" w14:textId="77777777">
      <w:pPr>
        <w:autoSpaceDE w:val="0"/>
        <w:autoSpaceDN w:val="0"/>
        <w:adjustRightInd w:val="0"/>
        <w:jc w:val="center"/>
        <w:rPr>
          <w:rFonts w:eastAsia="Times New Roman"/>
          <w:szCs w:val="24"/>
        </w:rPr>
      </w:pPr>
      <w:r w:rsidRPr="00075681">
        <w:rPr>
          <w:rFonts w:eastAsia="Times New Roman"/>
          <w:szCs w:val="24"/>
        </w:rPr>
        <w:t>FEDERAL ENERGY REGULATORY COMMISSION</w:t>
      </w:r>
    </w:p>
    <w:p w:rsidRPr="00075681" w:rsidR="00075681" w:rsidP="00075681" w:rsidRDefault="00075681" w14:paraId="34592589" w14:textId="77777777">
      <w:pPr>
        <w:autoSpaceDE w:val="0"/>
        <w:autoSpaceDN w:val="0"/>
        <w:adjustRightInd w:val="0"/>
        <w:jc w:val="center"/>
        <w:rPr>
          <w:rFonts w:eastAsia="Times New Roman"/>
          <w:szCs w:val="24"/>
        </w:rPr>
      </w:pPr>
    </w:p>
    <w:p w:rsidRPr="00075681" w:rsidR="00075681" w:rsidP="00075681" w:rsidRDefault="00075681" w14:paraId="5B01CF9C" w14:textId="77777777">
      <w:pPr>
        <w:autoSpaceDE w:val="0"/>
        <w:autoSpaceDN w:val="0"/>
        <w:adjustRightInd w:val="0"/>
        <w:rPr>
          <w:rFonts w:eastAsia="Times New Roman"/>
          <w:szCs w:val="24"/>
        </w:rPr>
      </w:pPr>
    </w:p>
    <w:tbl>
      <w:tblPr>
        <w:tblW w:w="0" w:type="auto"/>
        <w:tblCellMar>
          <w:left w:w="0" w:type="dxa"/>
          <w:right w:w="0" w:type="dxa"/>
        </w:tblCellMar>
        <w:tblLook w:val="01E0" w:firstRow="1" w:lastRow="1" w:firstColumn="1" w:lastColumn="1" w:noHBand="0" w:noVBand="0"/>
      </w:tblPr>
      <w:tblGrid>
        <w:gridCol w:w="5933"/>
        <w:gridCol w:w="1347"/>
        <w:gridCol w:w="2080"/>
      </w:tblGrid>
      <w:tr w:rsidRPr="00075681" w:rsidR="00075681" w:rsidTr="00ED440D" w14:paraId="60EF3D2B" w14:textId="77777777">
        <w:tc>
          <w:tcPr>
            <w:tcW w:w="5933" w:type="dxa"/>
            <w:shd w:val="clear" w:color="auto" w:fill="auto"/>
          </w:tcPr>
          <w:p w:rsidRPr="00075681" w:rsidR="00075681" w:rsidP="00075681" w:rsidRDefault="00075681" w14:paraId="6F868184" w14:textId="77777777">
            <w:pPr>
              <w:autoSpaceDE w:val="0"/>
              <w:autoSpaceDN w:val="0"/>
              <w:adjustRightInd w:val="0"/>
              <w:rPr>
                <w:rFonts w:eastAsia="Times New Roman"/>
                <w:szCs w:val="24"/>
              </w:rPr>
            </w:pPr>
            <w:r w:rsidRPr="00075681">
              <w:rPr>
                <w:rFonts w:eastAsia="Times New Roman"/>
                <w:szCs w:val="24"/>
              </w:rPr>
              <w:t>CYBERSECURITY INCENTIVES POLICY WHITE PAPER</w:t>
            </w:r>
          </w:p>
        </w:tc>
        <w:tc>
          <w:tcPr>
            <w:tcW w:w="1347" w:type="dxa"/>
            <w:shd w:val="clear" w:color="auto" w:fill="auto"/>
          </w:tcPr>
          <w:p w:rsidRPr="00075681" w:rsidR="00075681" w:rsidP="00075681" w:rsidRDefault="00075681" w14:paraId="162389BC" w14:textId="77777777">
            <w:pPr>
              <w:tabs>
                <w:tab w:val="left" w:pos="720"/>
                <w:tab w:val="left" w:pos="1440"/>
                <w:tab w:val="left" w:pos="2880"/>
                <w:tab w:val="left" w:pos="4320"/>
                <w:tab w:val="left" w:pos="5040"/>
                <w:tab w:val="left" w:pos="5760"/>
                <w:tab w:val="left" w:pos="6480"/>
                <w:tab w:val="left" w:pos="7200"/>
              </w:tabs>
              <w:autoSpaceDE w:val="0"/>
              <w:autoSpaceDN w:val="0"/>
              <w:adjustRightInd w:val="0"/>
              <w:jc w:val="right"/>
              <w:rPr>
                <w:rFonts w:eastAsia="Times New Roman"/>
                <w:szCs w:val="24"/>
              </w:rPr>
            </w:pPr>
            <w:r w:rsidRPr="00075681">
              <w:rPr>
                <w:rFonts w:eastAsia="Times New Roman"/>
                <w:szCs w:val="24"/>
              </w:rPr>
              <w:t>Docket No.</w:t>
            </w:r>
          </w:p>
        </w:tc>
        <w:tc>
          <w:tcPr>
            <w:tcW w:w="2080" w:type="dxa"/>
            <w:shd w:val="clear" w:color="auto" w:fill="auto"/>
            <w:tcMar>
              <w:left w:w="144" w:type="dxa"/>
            </w:tcMar>
          </w:tcPr>
          <w:p w:rsidRPr="00075681" w:rsidR="00075681" w:rsidP="00075681" w:rsidRDefault="00075681" w14:paraId="6C67B09C" w14:textId="77777777">
            <w:pPr>
              <w:tabs>
                <w:tab w:val="left" w:pos="720"/>
                <w:tab w:val="left" w:pos="1440"/>
                <w:tab w:val="left" w:pos="2880"/>
                <w:tab w:val="left" w:pos="4320"/>
                <w:tab w:val="left" w:pos="5040"/>
                <w:tab w:val="left" w:pos="5760"/>
                <w:tab w:val="left" w:pos="6480"/>
                <w:tab w:val="left" w:pos="7200"/>
              </w:tabs>
              <w:autoSpaceDE w:val="0"/>
              <w:autoSpaceDN w:val="0"/>
              <w:adjustRightInd w:val="0"/>
              <w:rPr>
                <w:rFonts w:eastAsia="Times New Roman"/>
                <w:szCs w:val="24"/>
              </w:rPr>
            </w:pPr>
            <w:r w:rsidRPr="00075681">
              <w:rPr>
                <w:rFonts w:eastAsia="Times New Roman"/>
                <w:szCs w:val="24"/>
              </w:rPr>
              <w:t>AD20-19-000</w:t>
            </w:r>
          </w:p>
        </w:tc>
      </w:tr>
    </w:tbl>
    <w:p w:rsidRPr="00075681" w:rsidR="00075681" w:rsidP="00075681" w:rsidRDefault="00075681" w14:paraId="550A750F" w14:textId="77777777">
      <w:pPr>
        <w:autoSpaceDE w:val="0"/>
        <w:autoSpaceDN w:val="0"/>
        <w:adjustRightInd w:val="0"/>
        <w:rPr>
          <w:rFonts w:eastAsia="Times New Roman"/>
          <w:szCs w:val="24"/>
        </w:rPr>
      </w:pPr>
    </w:p>
    <w:p w:rsidRPr="00075681" w:rsidR="00075681" w:rsidP="00075681" w:rsidRDefault="00075681" w14:paraId="0D39A382" w14:textId="77777777">
      <w:pPr>
        <w:autoSpaceDE w:val="0"/>
        <w:autoSpaceDN w:val="0"/>
        <w:adjustRightInd w:val="0"/>
        <w:rPr>
          <w:rFonts w:eastAsia="Times New Roman"/>
          <w:szCs w:val="24"/>
        </w:rPr>
      </w:pPr>
    </w:p>
    <w:p w:rsidRPr="00075681" w:rsidR="00075681" w:rsidP="00075681" w:rsidRDefault="00075681" w14:paraId="77426AA5" w14:textId="77777777">
      <w:pPr>
        <w:autoSpaceDE w:val="0"/>
        <w:autoSpaceDN w:val="0"/>
        <w:adjustRightInd w:val="0"/>
        <w:jc w:val="center"/>
        <w:outlineLvl w:val="0"/>
        <w:rPr>
          <w:rFonts w:eastAsia="Times New Roman"/>
          <w:szCs w:val="24"/>
        </w:rPr>
      </w:pPr>
    </w:p>
    <w:p w:rsidRPr="00075681" w:rsidR="00075681" w:rsidP="00075681" w:rsidRDefault="00075681" w14:paraId="4A023387" w14:textId="77777777">
      <w:pPr>
        <w:autoSpaceDE w:val="0"/>
        <w:autoSpaceDN w:val="0"/>
        <w:adjustRightInd w:val="0"/>
        <w:jc w:val="center"/>
        <w:outlineLvl w:val="0"/>
        <w:rPr>
          <w:rFonts w:eastAsia="Times New Roman"/>
          <w:szCs w:val="24"/>
        </w:rPr>
      </w:pPr>
      <w:r w:rsidRPr="00075681">
        <w:rPr>
          <w:rFonts w:eastAsia="Times New Roman"/>
          <w:szCs w:val="24"/>
        </w:rPr>
        <w:t>NOTICE OF WHITE PAPER</w:t>
      </w:r>
    </w:p>
    <w:p w:rsidRPr="00075681" w:rsidR="00075681" w:rsidP="00075681" w:rsidRDefault="00075681" w14:paraId="517F97FC" w14:textId="77777777">
      <w:pPr>
        <w:autoSpaceDE w:val="0"/>
        <w:autoSpaceDN w:val="0"/>
        <w:adjustRightInd w:val="0"/>
        <w:jc w:val="center"/>
        <w:rPr>
          <w:rFonts w:eastAsia="Times New Roman"/>
          <w:szCs w:val="24"/>
        </w:rPr>
      </w:pPr>
    </w:p>
    <w:p w:rsidRPr="00075681" w:rsidR="00075681" w:rsidP="00075681" w:rsidRDefault="00075681" w14:paraId="26F68580" w14:textId="77777777">
      <w:pPr>
        <w:widowControl/>
        <w:autoSpaceDE w:val="0"/>
        <w:autoSpaceDN w:val="0"/>
        <w:adjustRightInd w:val="0"/>
        <w:jc w:val="center"/>
        <w:rPr>
          <w:rFonts w:eastAsia="Times New Roman"/>
          <w:szCs w:val="24"/>
        </w:rPr>
      </w:pPr>
      <w:r w:rsidRPr="00075681">
        <w:rPr>
          <w:rFonts w:eastAsia="Times New Roman"/>
          <w:szCs w:val="24"/>
        </w:rPr>
        <w:t>(June 18, 2020)</w:t>
      </w:r>
    </w:p>
    <w:p w:rsidRPr="00075681" w:rsidR="00075681" w:rsidP="00075681" w:rsidRDefault="00075681" w14:paraId="5A6C4901" w14:textId="77777777">
      <w:pPr>
        <w:widowControl/>
        <w:autoSpaceDE w:val="0"/>
        <w:autoSpaceDN w:val="0"/>
        <w:adjustRightInd w:val="0"/>
        <w:rPr>
          <w:rFonts w:eastAsia="Times New Roman"/>
          <w:szCs w:val="24"/>
        </w:rPr>
      </w:pPr>
    </w:p>
    <w:p w:rsidRPr="00075681" w:rsidR="00075681" w:rsidP="00075681" w:rsidRDefault="00075681" w14:paraId="07398C79" w14:textId="77777777">
      <w:pPr>
        <w:widowControl/>
        <w:autoSpaceDE w:val="0"/>
        <w:autoSpaceDN w:val="0"/>
        <w:adjustRightInd w:val="0"/>
        <w:ind w:firstLine="720"/>
        <w:rPr>
          <w:rFonts w:eastAsia="Times New Roman"/>
          <w:color w:val="000000"/>
          <w:szCs w:val="26"/>
        </w:rPr>
      </w:pPr>
      <w:r w:rsidRPr="00075681">
        <w:rPr>
          <w:rFonts w:eastAsia="Times New Roman"/>
          <w:color w:val="000000"/>
          <w:szCs w:val="26"/>
        </w:rPr>
        <w:t>Take notice that Commission staff is publishing a White Paper discussing a potential new framework for providing transmission incentives to utilities for cybersecurity investments.</w:t>
      </w:r>
    </w:p>
    <w:p w:rsidRPr="00075681" w:rsidR="00075681" w:rsidP="00075681" w:rsidRDefault="00075681" w14:paraId="45CEC105" w14:textId="77777777">
      <w:pPr>
        <w:widowControl/>
        <w:autoSpaceDE w:val="0"/>
        <w:autoSpaceDN w:val="0"/>
        <w:adjustRightInd w:val="0"/>
        <w:rPr>
          <w:rFonts w:eastAsia="Times New Roman"/>
          <w:color w:val="000000"/>
          <w:szCs w:val="26"/>
        </w:rPr>
      </w:pPr>
    </w:p>
    <w:p w:rsidRPr="00075681" w:rsidR="00075681" w:rsidP="00075681" w:rsidRDefault="00075681" w14:paraId="27CFA619" w14:textId="77777777">
      <w:pPr>
        <w:widowControl/>
        <w:autoSpaceDE w:val="0"/>
        <w:autoSpaceDN w:val="0"/>
        <w:adjustRightInd w:val="0"/>
        <w:ind w:firstLine="720"/>
        <w:rPr>
          <w:rFonts w:eastAsia="Times New Roman"/>
          <w:color w:val="000000"/>
          <w:szCs w:val="26"/>
        </w:rPr>
      </w:pPr>
      <w:r w:rsidRPr="00075681">
        <w:rPr>
          <w:rFonts w:eastAsia="Times New Roman"/>
          <w:color w:val="000000"/>
          <w:szCs w:val="26"/>
        </w:rPr>
        <w:t xml:space="preserve">The White Paper is being placed in the record of this administrative docket, referenced above.  The White Paper will also be available on the Commission’s website at </w:t>
      </w:r>
      <w:hyperlink w:history="1" r:id="rId12">
        <w:r w:rsidRPr="00075681">
          <w:rPr>
            <w:rFonts w:eastAsia="Times New Roman"/>
            <w:color w:val="0000FF"/>
            <w:szCs w:val="26"/>
            <w:u w:val="single"/>
          </w:rPr>
          <w:t>http://www.ferc.gov</w:t>
        </w:r>
      </w:hyperlink>
      <w:r w:rsidRPr="00075681">
        <w:rPr>
          <w:rFonts w:eastAsia="Times New Roman"/>
          <w:color w:val="000000"/>
          <w:szCs w:val="26"/>
        </w:rPr>
        <w:t>.</w:t>
      </w:r>
    </w:p>
    <w:p w:rsidRPr="00075681" w:rsidR="00075681" w:rsidP="00075681" w:rsidRDefault="00075681" w14:paraId="6423D948" w14:textId="77777777">
      <w:pPr>
        <w:widowControl/>
        <w:autoSpaceDE w:val="0"/>
        <w:autoSpaceDN w:val="0"/>
        <w:adjustRightInd w:val="0"/>
        <w:rPr>
          <w:rFonts w:eastAsia="Times New Roman"/>
          <w:color w:val="000000"/>
          <w:szCs w:val="26"/>
        </w:rPr>
      </w:pPr>
    </w:p>
    <w:p w:rsidRPr="00075681" w:rsidR="00075681" w:rsidP="00075681" w:rsidRDefault="00075681" w14:paraId="4E5394F1" w14:textId="77777777">
      <w:pPr>
        <w:widowControl/>
        <w:autoSpaceDE w:val="0"/>
        <w:autoSpaceDN w:val="0"/>
        <w:adjustRightInd w:val="0"/>
        <w:ind w:firstLine="720"/>
        <w:rPr>
          <w:rFonts w:eastAsia="Times New Roman"/>
          <w:color w:val="000000"/>
          <w:szCs w:val="26"/>
        </w:rPr>
      </w:pPr>
      <w:r w:rsidRPr="00075681">
        <w:rPr>
          <w:rFonts w:eastAsia="Times New Roman"/>
          <w:color w:val="000000"/>
          <w:szCs w:val="26"/>
        </w:rPr>
        <w:t>Comments on the White Paper should be filed within 60 days of the issuance of this Notice and reply comments should be filed within 75 days of the issuance of this Notice.  The Commission encourages electronic submission of comments in lieu of paper using the “</w:t>
      </w:r>
      <w:proofErr w:type="spellStart"/>
      <w:r w:rsidRPr="00075681">
        <w:rPr>
          <w:rFonts w:eastAsia="Times New Roman"/>
          <w:color w:val="000000"/>
          <w:szCs w:val="26"/>
        </w:rPr>
        <w:t>eFiling</w:t>
      </w:r>
      <w:proofErr w:type="spellEnd"/>
      <w:r w:rsidRPr="00075681">
        <w:rPr>
          <w:rFonts w:eastAsia="Times New Roman"/>
          <w:color w:val="000000"/>
          <w:szCs w:val="26"/>
        </w:rPr>
        <w:t xml:space="preserve">” link at http://www.ferc.gov.  Persons unable to file electronically should submit an original of the comment to the Federal Energy Regulatory Commission, </w:t>
      </w:r>
      <w:smartTag w:uri="urn:schemas-microsoft-com:office:smarttags" w:element="address">
        <w:smartTag w:uri="urn:schemas-microsoft-com:office:smarttags" w:element="Street">
          <w:r w:rsidRPr="00075681">
            <w:rPr>
              <w:rFonts w:eastAsia="Times New Roman"/>
              <w:color w:val="000000"/>
              <w:szCs w:val="26"/>
            </w:rPr>
            <w:t>888 First Street, NE</w:t>
          </w:r>
        </w:smartTag>
        <w:r w:rsidRPr="00075681">
          <w:rPr>
            <w:rFonts w:eastAsia="Times New Roman"/>
            <w:color w:val="000000"/>
            <w:szCs w:val="26"/>
          </w:rPr>
          <w:t xml:space="preserve">, </w:t>
        </w:r>
        <w:smartTag w:uri="urn:schemas-microsoft-com:office:smarttags" w:element="City">
          <w:r w:rsidRPr="00075681">
            <w:rPr>
              <w:rFonts w:eastAsia="Times New Roman"/>
              <w:color w:val="000000"/>
              <w:szCs w:val="26"/>
            </w:rPr>
            <w:t>Washington</w:t>
          </w:r>
        </w:smartTag>
        <w:r w:rsidRPr="00075681">
          <w:rPr>
            <w:rFonts w:eastAsia="Times New Roman"/>
            <w:color w:val="000000"/>
            <w:szCs w:val="26"/>
          </w:rPr>
          <w:t xml:space="preserve">, </w:t>
        </w:r>
        <w:smartTag w:uri="urn:schemas-microsoft-com:office:smarttags" w:element="State">
          <w:r w:rsidRPr="00075681">
            <w:rPr>
              <w:rFonts w:eastAsia="Times New Roman"/>
              <w:color w:val="000000"/>
              <w:szCs w:val="26"/>
            </w:rPr>
            <w:t>DC</w:t>
          </w:r>
        </w:smartTag>
        <w:r w:rsidRPr="00075681">
          <w:rPr>
            <w:rFonts w:eastAsia="Times New Roman"/>
            <w:color w:val="000000"/>
            <w:szCs w:val="26"/>
          </w:rPr>
          <w:t xml:space="preserve"> </w:t>
        </w:r>
        <w:smartTag w:uri="urn:schemas-microsoft-com:office:smarttags" w:element="PostalCode">
          <w:r w:rsidRPr="00075681">
            <w:rPr>
              <w:rFonts w:eastAsia="Times New Roman"/>
              <w:color w:val="000000"/>
              <w:szCs w:val="26"/>
            </w:rPr>
            <w:t>20426</w:t>
          </w:r>
        </w:smartTag>
      </w:smartTag>
      <w:r w:rsidRPr="00075681">
        <w:rPr>
          <w:rFonts w:eastAsia="Times New Roman"/>
          <w:color w:val="000000"/>
          <w:szCs w:val="26"/>
        </w:rPr>
        <w:t>.</w:t>
      </w:r>
    </w:p>
    <w:p w:rsidRPr="00075681" w:rsidR="00075681" w:rsidP="00075681" w:rsidRDefault="00075681" w14:paraId="7785D011" w14:textId="77777777">
      <w:pPr>
        <w:widowControl/>
        <w:autoSpaceDE w:val="0"/>
        <w:autoSpaceDN w:val="0"/>
        <w:adjustRightInd w:val="0"/>
        <w:rPr>
          <w:rFonts w:eastAsia="Times New Roman"/>
          <w:color w:val="000000"/>
          <w:szCs w:val="26"/>
        </w:rPr>
      </w:pPr>
    </w:p>
    <w:p w:rsidRPr="00075681" w:rsidR="00075681" w:rsidP="00075681" w:rsidRDefault="00075681" w14:paraId="638C194E" w14:textId="1A0E356F">
      <w:pPr>
        <w:widowControl/>
        <w:autoSpaceDE w:val="0"/>
        <w:autoSpaceDN w:val="0"/>
        <w:adjustRightInd w:val="0"/>
        <w:ind w:firstLine="720"/>
        <w:rPr>
          <w:rFonts w:eastAsia="Times New Roman"/>
          <w:color w:val="000000"/>
          <w:szCs w:val="26"/>
        </w:rPr>
      </w:pPr>
      <w:r w:rsidRPr="00075681">
        <w:rPr>
          <w:rFonts w:eastAsia="Times New Roman"/>
          <w:color w:val="000000"/>
          <w:szCs w:val="26"/>
        </w:rPr>
        <w:t xml:space="preserve">All filings in this docket are accessible on-line at </w:t>
      </w:r>
      <w:hyperlink w:history="1" r:id="rId13">
        <w:r w:rsidR="0060025C">
          <w:rPr>
            <w:rStyle w:val="Hyperlink"/>
            <w:szCs w:val="26"/>
          </w:rPr>
          <w:t>http://www.ferc.gov</w:t>
        </w:r>
      </w:hyperlink>
      <w:r w:rsidRPr="00075681">
        <w:rPr>
          <w:rFonts w:eastAsia="Times New Roman"/>
          <w:color w:val="000000"/>
          <w:szCs w:val="26"/>
        </w:rPr>
        <w:t>, using the</w:t>
      </w:r>
    </w:p>
    <w:p w:rsidRPr="00075681" w:rsidR="00075681" w:rsidP="00075681" w:rsidRDefault="00075681" w14:paraId="10B3AC5E" w14:textId="77777777">
      <w:pPr>
        <w:widowControl/>
        <w:autoSpaceDE w:val="0"/>
        <w:autoSpaceDN w:val="0"/>
        <w:adjustRightInd w:val="0"/>
        <w:rPr>
          <w:rFonts w:eastAsia="Times New Roman"/>
          <w:color w:val="000000"/>
          <w:szCs w:val="26"/>
        </w:rPr>
      </w:pPr>
      <w:r w:rsidRPr="00075681">
        <w:rPr>
          <w:rFonts w:eastAsia="Times New Roman"/>
          <w:color w:val="000000"/>
          <w:szCs w:val="26"/>
        </w:rPr>
        <w:t>“eLibrary” link.  There is an “</w:t>
      </w:r>
      <w:proofErr w:type="spellStart"/>
      <w:r w:rsidRPr="00075681">
        <w:rPr>
          <w:rFonts w:eastAsia="Times New Roman"/>
          <w:color w:val="000000"/>
          <w:szCs w:val="26"/>
        </w:rPr>
        <w:t>eSubscription</w:t>
      </w:r>
      <w:proofErr w:type="spellEnd"/>
      <w:r w:rsidRPr="00075681">
        <w:rPr>
          <w:rFonts w:eastAsia="Times New Roman"/>
          <w:color w:val="000000"/>
          <w:szCs w:val="26"/>
        </w:rPr>
        <w:t>” link on the web site that enables</w:t>
      </w:r>
    </w:p>
    <w:p w:rsidRPr="00075681" w:rsidR="00075681" w:rsidP="00075681" w:rsidRDefault="00075681" w14:paraId="035C8CF7" w14:textId="163DFC2C">
      <w:pPr>
        <w:widowControl/>
        <w:autoSpaceDE w:val="0"/>
        <w:autoSpaceDN w:val="0"/>
        <w:adjustRightInd w:val="0"/>
        <w:rPr>
          <w:rFonts w:eastAsia="Times New Roman"/>
          <w:color w:val="000000"/>
          <w:szCs w:val="26"/>
        </w:rPr>
      </w:pPr>
      <w:r w:rsidRPr="00075681">
        <w:rPr>
          <w:rFonts w:eastAsia="Times New Roman"/>
          <w:color w:val="000000"/>
          <w:szCs w:val="26"/>
        </w:rPr>
        <w:t xml:space="preserve">subscribers to receive email notification when a document is added to a subscribed </w:t>
      </w:r>
      <w:r w:rsidRPr="00075681">
        <w:rPr>
          <w:rFonts w:eastAsia="Times New Roman"/>
          <w:color w:val="000000"/>
          <w:szCs w:val="26"/>
        </w:rPr>
        <w:br w:type="page"/>
      </w:r>
    </w:p>
    <w:p w:rsidRPr="00075681" w:rsidR="00075681" w:rsidP="00075681" w:rsidRDefault="00075681" w14:paraId="1098A32B" w14:textId="77777777">
      <w:pPr>
        <w:widowControl/>
        <w:autoSpaceDE w:val="0"/>
        <w:autoSpaceDN w:val="0"/>
        <w:adjustRightInd w:val="0"/>
        <w:rPr>
          <w:rFonts w:eastAsia="Times New Roman"/>
          <w:color w:val="000000"/>
          <w:szCs w:val="26"/>
        </w:rPr>
      </w:pPr>
      <w:r w:rsidRPr="00075681">
        <w:rPr>
          <w:rFonts w:eastAsia="Times New Roman"/>
          <w:color w:val="000000"/>
          <w:szCs w:val="26"/>
        </w:rPr>
        <w:lastRenderedPageBreak/>
        <w:t>docket.  For assistance with any FERC Online service, please email</w:t>
      </w:r>
    </w:p>
    <w:p w:rsidRPr="00075681" w:rsidR="00075681" w:rsidP="00075681" w:rsidRDefault="00075681" w14:paraId="4AB86E61" w14:textId="77777777">
      <w:pPr>
        <w:widowControl/>
        <w:autoSpaceDE w:val="0"/>
        <w:autoSpaceDN w:val="0"/>
        <w:adjustRightInd w:val="0"/>
        <w:rPr>
          <w:rFonts w:eastAsia="Times New Roman"/>
          <w:color w:val="000000"/>
          <w:szCs w:val="26"/>
        </w:rPr>
      </w:pPr>
      <w:r w:rsidRPr="00075681">
        <w:rPr>
          <w:rFonts w:eastAsia="Times New Roman"/>
          <w:color w:val="000000"/>
          <w:szCs w:val="26"/>
        </w:rPr>
        <w:t>FERCOnlineSupport@ferc.gov, or call (866) 208-3676 (toll free).  For TTY, call (202)</w:t>
      </w:r>
    </w:p>
    <w:p w:rsidRPr="00075681" w:rsidR="00075681" w:rsidP="00075681" w:rsidRDefault="00075681" w14:paraId="206F5D33" w14:textId="77777777">
      <w:pPr>
        <w:widowControl/>
        <w:autoSpaceDE w:val="0"/>
        <w:autoSpaceDN w:val="0"/>
        <w:adjustRightInd w:val="0"/>
        <w:rPr>
          <w:rFonts w:eastAsia="Times New Roman"/>
          <w:color w:val="000000"/>
          <w:szCs w:val="26"/>
        </w:rPr>
      </w:pPr>
      <w:r w:rsidRPr="00075681">
        <w:rPr>
          <w:rFonts w:eastAsia="Times New Roman"/>
          <w:color w:val="000000"/>
          <w:szCs w:val="26"/>
        </w:rPr>
        <w:t xml:space="preserve">502-8659. </w:t>
      </w:r>
    </w:p>
    <w:p w:rsidRPr="00075681" w:rsidR="00075681" w:rsidP="00075681" w:rsidRDefault="00075681" w14:paraId="6B573ED2" w14:textId="77777777">
      <w:pPr>
        <w:widowControl/>
        <w:autoSpaceDE w:val="0"/>
        <w:autoSpaceDN w:val="0"/>
        <w:adjustRightInd w:val="0"/>
        <w:ind w:firstLine="720"/>
        <w:rPr>
          <w:rFonts w:eastAsia="Times New Roman"/>
          <w:color w:val="000000"/>
          <w:szCs w:val="26"/>
        </w:rPr>
      </w:pPr>
    </w:p>
    <w:p w:rsidRPr="00075681" w:rsidR="00075681" w:rsidP="00075681" w:rsidRDefault="00075681" w14:paraId="0D120191" w14:textId="77777777">
      <w:pPr>
        <w:widowControl/>
        <w:autoSpaceDE w:val="0"/>
        <w:autoSpaceDN w:val="0"/>
        <w:adjustRightInd w:val="0"/>
        <w:ind w:firstLine="720"/>
        <w:rPr>
          <w:rFonts w:eastAsia="Times New Roman"/>
          <w:color w:val="000000"/>
          <w:szCs w:val="26"/>
        </w:rPr>
      </w:pPr>
      <w:r w:rsidRPr="00075681">
        <w:rPr>
          <w:rFonts w:eastAsia="Times New Roman"/>
          <w:color w:val="000000"/>
          <w:szCs w:val="26"/>
        </w:rPr>
        <w:t>Questions regarding this Notice should be directed to:</w:t>
      </w:r>
    </w:p>
    <w:p w:rsidRPr="00075681" w:rsidR="00075681" w:rsidP="00075681" w:rsidRDefault="00075681" w14:paraId="06D2D426" w14:textId="77777777">
      <w:pPr>
        <w:widowControl/>
        <w:autoSpaceDE w:val="0"/>
        <w:autoSpaceDN w:val="0"/>
        <w:adjustRightInd w:val="0"/>
        <w:ind w:firstLine="720"/>
        <w:rPr>
          <w:rFonts w:eastAsia="Times New Roman"/>
          <w:color w:val="000000"/>
          <w:szCs w:val="26"/>
        </w:rPr>
      </w:pPr>
    </w:p>
    <w:p w:rsidRPr="00075681" w:rsidR="00075681" w:rsidP="00075681" w:rsidRDefault="00075681" w14:paraId="61215952" w14:textId="77777777">
      <w:pPr>
        <w:widowControl/>
        <w:autoSpaceDE w:val="0"/>
        <w:autoSpaceDN w:val="0"/>
        <w:adjustRightInd w:val="0"/>
        <w:rPr>
          <w:rFonts w:eastAsia="Times New Roman"/>
          <w:color w:val="000000"/>
          <w:szCs w:val="26"/>
        </w:rPr>
      </w:pPr>
    </w:p>
    <w:p w:rsidRPr="00075681" w:rsidR="00075681" w:rsidP="00075681" w:rsidRDefault="00075681" w14:paraId="576C7C60" w14:textId="77777777">
      <w:pPr>
        <w:widowControl/>
        <w:autoSpaceDE w:val="0"/>
        <w:autoSpaceDN w:val="0"/>
        <w:adjustRightInd w:val="0"/>
        <w:rPr>
          <w:rFonts w:eastAsia="Times New Roman"/>
          <w:szCs w:val="26"/>
        </w:rPr>
      </w:pPr>
      <w:r w:rsidRPr="00075681">
        <w:rPr>
          <w:rFonts w:eastAsia="Times New Roman"/>
          <w:szCs w:val="26"/>
        </w:rPr>
        <w:t>Jessica L. Cockrell</w:t>
      </w:r>
    </w:p>
    <w:p w:rsidRPr="00075681" w:rsidR="00075681" w:rsidP="00075681" w:rsidRDefault="00075681" w14:paraId="77EC43B1" w14:textId="77777777">
      <w:pPr>
        <w:widowControl/>
        <w:autoSpaceDE w:val="0"/>
        <w:autoSpaceDN w:val="0"/>
        <w:adjustRightInd w:val="0"/>
        <w:rPr>
          <w:rFonts w:eastAsia="Times New Roman"/>
          <w:color w:val="000000"/>
          <w:szCs w:val="26"/>
        </w:rPr>
      </w:pPr>
      <w:r w:rsidRPr="00075681">
        <w:rPr>
          <w:rFonts w:eastAsia="Times New Roman"/>
          <w:color w:val="000000"/>
          <w:szCs w:val="26"/>
        </w:rPr>
        <w:t>Office of Energy Policy and Innovation</w:t>
      </w:r>
    </w:p>
    <w:p w:rsidRPr="00075681" w:rsidR="00075681" w:rsidP="00075681" w:rsidRDefault="00075681" w14:paraId="3DEDCED1" w14:textId="77777777">
      <w:pPr>
        <w:widowControl/>
        <w:autoSpaceDE w:val="0"/>
        <w:autoSpaceDN w:val="0"/>
        <w:adjustRightInd w:val="0"/>
        <w:rPr>
          <w:rFonts w:eastAsia="Times New Roman"/>
          <w:color w:val="000000"/>
          <w:szCs w:val="26"/>
        </w:rPr>
      </w:pPr>
      <w:r w:rsidRPr="00075681">
        <w:rPr>
          <w:rFonts w:eastAsia="Times New Roman"/>
          <w:color w:val="000000"/>
          <w:szCs w:val="26"/>
        </w:rPr>
        <w:t>Federal Energy Regulatory Commission</w:t>
      </w:r>
    </w:p>
    <w:p w:rsidRPr="00075681" w:rsidR="00075681" w:rsidP="00075681" w:rsidRDefault="00075681" w14:paraId="672408F5" w14:textId="77777777">
      <w:pPr>
        <w:widowControl/>
        <w:autoSpaceDE w:val="0"/>
        <w:autoSpaceDN w:val="0"/>
        <w:adjustRightInd w:val="0"/>
        <w:rPr>
          <w:rFonts w:eastAsia="Times New Roman"/>
          <w:color w:val="000000"/>
          <w:szCs w:val="26"/>
        </w:rPr>
      </w:pPr>
      <w:r w:rsidRPr="00075681">
        <w:rPr>
          <w:rFonts w:eastAsia="Times New Roman"/>
          <w:color w:val="000000"/>
          <w:szCs w:val="26"/>
        </w:rPr>
        <w:t xml:space="preserve">888 </w:t>
      </w:r>
      <w:smartTag w:uri="urn:schemas-microsoft-com:office:smarttags" w:element="Street">
        <w:smartTag w:uri="urn:schemas-microsoft-com:office:smarttags" w:element="address">
          <w:r w:rsidRPr="00075681">
            <w:rPr>
              <w:rFonts w:eastAsia="Times New Roman"/>
              <w:color w:val="000000"/>
              <w:szCs w:val="26"/>
            </w:rPr>
            <w:t>First Street, N.E.</w:t>
          </w:r>
        </w:smartTag>
      </w:smartTag>
    </w:p>
    <w:p w:rsidRPr="00075681" w:rsidR="00075681" w:rsidP="00075681" w:rsidRDefault="00075681" w14:paraId="6C788175" w14:textId="77777777">
      <w:pPr>
        <w:widowControl/>
        <w:autoSpaceDE w:val="0"/>
        <w:autoSpaceDN w:val="0"/>
        <w:adjustRightInd w:val="0"/>
        <w:rPr>
          <w:rFonts w:eastAsia="Times New Roman"/>
          <w:color w:val="000000"/>
          <w:szCs w:val="26"/>
        </w:rPr>
      </w:pPr>
      <w:smartTag w:uri="urn:schemas-microsoft-com:office:smarttags" w:element="place">
        <w:smartTag w:uri="urn:schemas-microsoft-com:office:smarttags" w:element="City">
          <w:r w:rsidRPr="00075681">
            <w:rPr>
              <w:rFonts w:eastAsia="Times New Roman"/>
              <w:color w:val="000000"/>
              <w:szCs w:val="26"/>
            </w:rPr>
            <w:t>Washington</w:t>
          </w:r>
        </w:smartTag>
        <w:r w:rsidRPr="00075681">
          <w:rPr>
            <w:rFonts w:eastAsia="Times New Roman"/>
            <w:color w:val="000000"/>
            <w:szCs w:val="26"/>
          </w:rPr>
          <w:t xml:space="preserve">, </w:t>
        </w:r>
        <w:smartTag w:uri="urn:schemas-microsoft-com:office:smarttags" w:element="State">
          <w:r w:rsidRPr="00075681">
            <w:rPr>
              <w:rFonts w:eastAsia="Times New Roman"/>
              <w:color w:val="000000"/>
              <w:szCs w:val="26"/>
            </w:rPr>
            <w:t>DC</w:t>
          </w:r>
        </w:smartTag>
        <w:r w:rsidRPr="00075681">
          <w:rPr>
            <w:rFonts w:eastAsia="Times New Roman"/>
            <w:color w:val="000000"/>
            <w:szCs w:val="26"/>
          </w:rPr>
          <w:t xml:space="preserve"> </w:t>
        </w:r>
        <w:smartTag w:uri="urn:schemas-microsoft-com:office:smarttags" w:element="PostalCode">
          <w:r w:rsidRPr="00075681">
            <w:rPr>
              <w:rFonts w:eastAsia="Times New Roman"/>
              <w:color w:val="000000"/>
              <w:szCs w:val="26"/>
            </w:rPr>
            <w:t>20426</w:t>
          </w:r>
        </w:smartTag>
      </w:smartTag>
    </w:p>
    <w:p w:rsidRPr="00075681" w:rsidR="00075681" w:rsidP="00075681" w:rsidRDefault="00075681" w14:paraId="660B5944" w14:textId="77777777">
      <w:pPr>
        <w:widowControl/>
        <w:autoSpaceDE w:val="0"/>
        <w:autoSpaceDN w:val="0"/>
        <w:adjustRightInd w:val="0"/>
        <w:rPr>
          <w:rFonts w:eastAsia="Times New Roman"/>
          <w:szCs w:val="26"/>
        </w:rPr>
      </w:pPr>
      <w:r w:rsidRPr="00075681">
        <w:rPr>
          <w:rFonts w:eastAsia="Times New Roman"/>
          <w:szCs w:val="26"/>
        </w:rPr>
        <w:t>(202) 502-8190</w:t>
      </w:r>
    </w:p>
    <w:p w:rsidRPr="00075681" w:rsidR="00075681" w:rsidP="00075681" w:rsidRDefault="00075681" w14:paraId="5C6C77F8" w14:textId="77777777">
      <w:pPr>
        <w:widowControl/>
        <w:autoSpaceDE w:val="0"/>
        <w:autoSpaceDN w:val="0"/>
        <w:adjustRightInd w:val="0"/>
        <w:rPr>
          <w:rFonts w:eastAsia="Times New Roman"/>
          <w:szCs w:val="26"/>
        </w:rPr>
      </w:pPr>
      <w:r w:rsidRPr="00075681">
        <w:rPr>
          <w:rFonts w:eastAsia="Times New Roman"/>
          <w:szCs w:val="26"/>
        </w:rPr>
        <w:t>Jessica.Cockrell@ferc.gov</w:t>
      </w:r>
    </w:p>
    <w:p w:rsidRPr="00075681" w:rsidR="00075681" w:rsidP="00075681" w:rsidRDefault="00075681" w14:paraId="48433F02" w14:textId="77777777">
      <w:pPr>
        <w:autoSpaceDE w:val="0"/>
        <w:autoSpaceDN w:val="0"/>
        <w:adjustRightInd w:val="0"/>
        <w:rPr>
          <w:rFonts w:eastAsia="Times New Roman"/>
          <w:color w:val="000000"/>
          <w:szCs w:val="26"/>
        </w:rPr>
      </w:pPr>
    </w:p>
    <w:p w:rsidRPr="00075681" w:rsidR="00075681" w:rsidP="00075681" w:rsidRDefault="00075681" w14:paraId="56D5085E" w14:textId="77777777">
      <w:pPr>
        <w:autoSpaceDE w:val="0"/>
        <w:autoSpaceDN w:val="0"/>
        <w:adjustRightInd w:val="0"/>
        <w:rPr>
          <w:rFonts w:eastAsia="Times New Roman"/>
          <w:szCs w:val="24"/>
        </w:rPr>
      </w:pPr>
    </w:p>
    <w:p w:rsidRPr="00075681" w:rsidR="00075681" w:rsidP="00075681" w:rsidRDefault="00075681" w14:paraId="45AED36B" w14:textId="77777777">
      <w:pPr>
        <w:autoSpaceDE w:val="0"/>
        <w:autoSpaceDN w:val="0"/>
        <w:adjustRightInd w:val="0"/>
        <w:outlineLvl w:val="0"/>
        <w:rPr>
          <w:rFonts w:eastAsia="Times New Roman"/>
          <w:szCs w:val="24"/>
        </w:rPr>
      </w:pPr>
      <w:r w:rsidRPr="00075681">
        <w:rPr>
          <w:rFonts w:eastAsia="Times New Roman"/>
          <w:szCs w:val="24"/>
        </w:rPr>
        <w:tab/>
      </w:r>
      <w:r w:rsidRPr="00075681">
        <w:rPr>
          <w:rFonts w:eastAsia="Times New Roman"/>
          <w:szCs w:val="24"/>
        </w:rPr>
        <w:tab/>
      </w:r>
    </w:p>
    <w:p w:rsidRPr="00075681" w:rsidR="00075681" w:rsidP="00075681" w:rsidRDefault="00075681" w14:paraId="5EF17E78" w14:textId="77777777">
      <w:pPr>
        <w:widowControl/>
        <w:autoSpaceDE w:val="0"/>
        <w:autoSpaceDN w:val="0"/>
        <w:adjustRightInd w:val="0"/>
        <w:rPr>
          <w:rFonts w:eastAsia="Times New Roman"/>
          <w:szCs w:val="24"/>
        </w:rPr>
      </w:pPr>
    </w:p>
    <w:p w:rsidRPr="00075681" w:rsidR="00075681" w:rsidP="00075681" w:rsidRDefault="00075681" w14:paraId="718DB02F" w14:textId="77777777">
      <w:pPr>
        <w:widowControl/>
        <w:autoSpaceDE w:val="0"/>
        <w:autoSpaceDN w:val="0"/>
        <w:adjustRightInd w:val="0"/>
        <w:rPr>
          <w:rFonts w:eastAsia="Times New Roman"/>
          <w:szCs w:val="24"/>
        </w:rPr>
      </w:pPr>
    </w:p>
    <w:p w:rsidRPr="00075681" w:rsidR="00075681" w:rsidP="00075681" w:rsidRDefault="00075681" w14:paraId="63ACFF2C" w14:textId="77777777">
      <w:pPr>
        <w:widowControl/>
        <w:autoSpaceDE w:val="0"/>
        <w:autoSpaceDN w:val="0"/>
        <w:adjustRightInd w:val="0"/>
        <w:ind w:firstLine="2174"/>
        <w:jc w:val="center"/>
        <w:rPr>
          <w:rFonts w:eastAsia="Times New Roman"/>
          <w:szCs w:val="24"/>
        </w:rPr>
      </w:pPr>
      <w:r w:rsidRPr="00075681">
        <w:rPr>
          <w:rFonts w:eastAsia="Times New Roman"/>
          <w:szCs w:val="24"/>
        </w:rPr>
        <w:t>Kimberly D. Bose,</w:t>
      </w:r>
    </w:p>
    <w:p w:rsidRPr="00075681" w:rsidR="00075681" w:rsidP="00075681" w:rsidRDefault="00075681" w14:paraId="7EC61DD0" w14:textId="77777777">
      <w:pPr>
        <w:widowControl/>
        <w:autoSpaceDE w:val="0"/>
        <w:autoSpaceDN w:val="0"/>
        <w:adjustRightInd w:val="0"/>
        <w:ind w:firstLine="2174"/>
        <w:jc w:val="center"/>
        <w:rPr>
          <w:rFonts w:eastAsia="Times New Roman"/>
          <w:szCs w:val="24"/>
        </w:rPr>
      </w:pPr>
      <w:r w:rsidRPr="00075681">
        <w:rPr>
          <w:rFonts w:eastAsia="Times New Roman"/>
          <w:szCs w:val="24"/>
        </w:rPr>
        <w:t>Secretary.</w:t>
      </w:r>
    </w:p>
    <w:p w:rsidRPr="00075681" w:rsidR="00075681" w:rsidP="00075681" w:rsidRDefault="00075681" w14:paraId="1172A4CF" w14:textId="77777777">
      <w:pPr>
        <w:widowControl/>
        <w:autoSpaceDE w:val="0"/>
        <w:autoSpaceDN w:val="0"/>
        <w:adjustRightInd w:val="0"/>
        <w:rPr>
          <w:rFonts w:eastAsia="Times New Roman"/>
          <w:szCs w:val="24"/>
        </w:rPr>
      </w:pPr>
    </w:p>
    <w:p w:rsidRPr="00075681" w:rsidR="00075681" w:rsidP="00075681" w:rsidRDefault="00075681" w14:paraId="76295091" w14:textId="77777777">
      <w:pPr>
        <w:autoSpaceDE w:val="0"/>
        <w:autoSpaceDN w:val="0"/>
        <w:adjustRightInd w:val="0"/>
        <w:outlineLvl w:val="0"/>
        <w:rPr>
          <w:rFonts w:eastAsia="Times New Roman"/>
          <w:szCs w:val="24"/>
        </w:rPr>
      </w:pPr>
    </w:p>
    <w:p w:rsidR="00BE0E1F" w:rsidP="00BE0E1F" w:rsidRDefault="00BE0E1F" w14:paraId="454938FF" w14:textId="7A26EE88">
      <w:pPr>
        <w:pStyle w:val="Title"/>
        <w:jc w:val="center"/>
        <w:rPr>
          <w:sz w:val="48"/>
          <w:szCs w:val="48"/>
        </w:rPr>
      </w:pPr>
    </w:p>
    <w:p w:rsidR="00CB092D" w:rsidP="00BE0E1F" w:rsidRDefault="00CB092D" w14:paraId="15EBF7B9" w14:textId="77777777">
      <w:pPr>
        <w:pStyle w:val="Title"/>
        <w:jc w:val="center"/>
        <w:rPr>
          <w:sz w:val="48"/>
          <w:szCs w:val="48"/>
        </w:rPr>
        <w:sectPr w:rsidR="00CB092D" w:rsidSect="0067304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fmt="numberInDash" w:start="1"/>
          <w:cols w:space="720"/>
          <w:titlePg/>
          <w:docGrid w:linePitch="360"/>
        </w:sectPr>
      </w:pPr>
    </w:p>
    <w:p w:rsidR="00BE0E1F" w:rsidP="00BE0E1F" w:rsidRDefault="00BE0E1F" w14:paraId="4ED25721" w14:textId="19CE2EF4">
      <w:pPr>
        <w:pStyle w:val="Title"/>
        <w:jc w:val="center"/>
        <w:rPr>
          <w:sz w:val="48"/>
          <w:szCs w:val="48"/>
        </w:rPr>
      </w:pPr>
    </w:p>
    <w:p w:rsidR="00BE0E1F" w:rsidP="00BE0E1F" w:rsidRDefault="00231B53" w14:paraId="7665657A" w14:textId="436CE738">
      <w:pPr>
        <w:pStyle w:val="Title"/>
        <w:jc w:val="center"/>
        <w:rPr>
          <w:sz w:val="48"/>
          <w:szCs w:val="48"/>
        </w:rPr>
      </w:pPr>
      <w:r>
        <w:rPr>
          <w:noProof/>
          <w:sz w:val="48"/>
          <w:szCs w:val="48"/>
        </w:rPr>
        <w:drawing>
          <wp:anchor distT="0" distB="0" distL="114300" distR="114300" simplePos="0" relativeHeight="251658240" behindDoc="0" locked="0" layoutInCell="1" allowOverlap="1" wp14:editId="2263E0F4" wp14:anchorId="1ED406F7">
            <wp:simplePos x="0" y="0"/>
            <wp:positionH relativeFrom="margin">
              <wp:align>center</wp:align>
            </wp:positionH>
            <wp:positionV relativeFrom="margin">
              <wp:align>top</wp:align>
            </wp:positionV>
            <wp:extent cx="3695700" cy="3695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C_Se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5700" cy="3695700"/>
                    </a:xfrm>
                    <a:prstGeom prst="rect">
                      <a:avLst/>
                    </a:prstGeom>
                  </pic:spPr>
                </pic:pic>
              </a:graphicData>
            </a:graphic>
          </wp:anchor>
        </w:drawing>
      </w:r>
    </w:p>
    <w:p w:rsidR="00BE0E1F" w:rsidP="00BE0E1F" w:rsidRDefault="00BE0E1F" w14:paraId="0921D8CC" w14:textId="77777777">
      <w:pPr>
        <w:pStyle w:val="Title"/>
        <w:jc w:val="center"/>
        <w:rPr>
          <w:sz w:val="48"/>
          <w:szCs w:val="48"/>
        </w:rPr>
      </w:pPr>
    </w:p>
    <w:p w:rsidR="00BE0E1F" w:rsidP="00BE0E1F" w:rsidRDefault="00BE0E1F" w14:paraId="7286BD48" w14:textId="77777777">
      <w:pPr>
        <w:pStyle w:val="Title"/>
        <w:jc w:val="center"/>
        <w:rPr>
          <w:sz w:val="48"/>
          <w:szCs w:val="48"/>
        </w:rPr>
      </w:pPr>
    </w:p>
    <w:p w:rsidR="00BE0E1F" w:rsidP="00BE0E1F" w:rsidRDefault="00BE0E1F" w14:paraId="361875AF" w14:textId="77777777">
      <w:pPr>
        <w:pStyle w:val="Title"/>
        <w:jc w:val="center"/>
        <w:rPr>
          <w:sz w:val="48"/>
          <w:szCs w:val="48"/>
        </w:rPr>
      </w:pPr>
    </w:p>
    <w:p w:rsidR="00BE0E1F" w:rsidP="00BE0E1F" w:rsidRDefault="00BE0E1F" w14:paraId="63677E3C" w14:textId="77777777">
      <w:pPr>
        <w:pStyle w:val="Title"/>
        <w:jc w:val="center"/>
        <w:rPr>
          <w:sz w:val="48"/>
          <w:szCs w:val="48"/>
        </w:rPr>
      </w:pPr>
    </w:p>
    <w:p w:rsidR="00BE0E1F" w:rsidP="00BE0E1F" w:rsidRDefault="00BE0E1F" w14:paraId="14629E77" w14:textId="77777777">
      <w:pPr>
        <w:pStyle w:val="Title"/>
        <w:jc w:val="center"/>
        <w:rPr>
          <w:sz w:val="48"/>
          <w:szCs w:val="48"/>
        </w:rPr>
      </w:pPr>
    </w:p>
    <w:p w:rsidR="00BE0E1F" w:rsidP="00BE0E1F" w:rsidRDefault="00BE0E1F" w14:paraId="2665E677" w14:textId="77777777">
      <w:pPr>
        <w:pStyle w:val="Title"/>
        <w:jc w:val="center"/>
        <w:rPr>
          <w:sz w:val="48"/>
          <w:szCs w:val="48"/>
        </w:rPr>
      </w:pPr>
    </w:p>
    <w:p w:rsidR="00BE0E1F" w:rsidP="00BE0E1F" w:rsidRDefault="00BE0E1F" w14:paraId="2E4735A7" w14:textId="77777777">
      <w:pPr>
        <w:pStyle w:val="Title"/>
        <w:jc w:val="center"/>
        <w:rPr>
          <w:sz w:val="48"/>
          <w:szCs w:val="48"/>
        </w:rPr>
      </w:pPr>
    </w:p>
    <w:p w:rsidR="00BE0E1F" w:rsidP="00BE0E1F" w:rsidRDefault="00BE0E1F" w14:paraId="7CE21A03" w14:textId="77777777">
      <w:pPr>
        <w:pStyle w:val="Title"/>
        <w:jc w:val="center"/>
        <w:rPr>
          <w:sz w:val="48"/>
          <w:szCs w:val="48"/>
        </w:rPr>
      </w:pPr>
    </w:p>
    <w:p w:rsidRPr="00A31ED5" w:rsidR="002870A9" w:rsidP="00BE0E1F" w:rsidRDefault="00BE0E1F" w14:paraId="53E38DBA" w14:textId="5BDB3A45">
      <w:pPr>
        <w:pStyle w:val="Title"/>
        <w:jc w:val="center"/>
        <w:rPr>
          <w:rFonts w:ascii="Times New Roman" w:hAnsi="Times New Roman" w:cs="Times New Roman"/>
          <w:sz w:val="48"/>
          <w:szCs w:val="48"/>
        </w:rPr>
      </w:pPr>
      <w:r>
        <w:rPr>
          <w:sz w:val="48"/>
          <w:szCs w:val="48"/>
        </w:rPr>
        <w:t xml:space="preserve"> </w:t>
      </w:r>
      <w:r w:rsidRPr="00A31ED5" w:rsidR="009105A9">
        <w:rPr>
          <w:rFonts w:ascii="Times New Roman" w:hAnsi="Times New Roman" w:cs="Times New Roman"/>
          <w:sz w:val="48"/>
          <w:szCs w:val="48"/>
        </w:rPr>
        <w:t>Cybe</w:t>
      </w:r>
      <w:r w:rsidRPr="00A31ED5">
        <w:rPr>
          <w:rFonts w:ascii="Times New Roman" w:hAnsi="Times New Roman" w:cs="Times New Roman"/>
          <w:sz w:val="48"/>
          <w:szCs w:val="48"/>
        </w:rPr>
        <w:t>rsecurity Incentives Policy</w:t>
      </w:r>
      <w:r w:rsidRPr="00A31ED5" w:rsidR="006050E1">
        <w:rPr>
          <w:rFonts w:ascii="Times New Roman" w:hAnsi="Times New Roman" w:cs="Times New Roman"/>
          <w:sz w:val="48"/>
          <w:szCs w:val="48"/>
        </w:rPr>
        <w:t xml:space="preserve"> White Paper</w:t>
      </w:r>
    </w:p>
    <w:p w:rsidR="00BE0E1F" w:rsidP="00BE0E1F" w:rsidRDefault="00BE0E1F" w14:paraId="10243DDA" w14:textId="77A5666C">
      <w:pPr>
        <w:jc w:val="center"/>
      </w:pPr>
      <w:r w:rsidRPr="00BE0E1F">
        <w:rPr>
          <w:sz w:val="28"/>
        </w:rPr>
        <w:t>A STAFF PAPER:  FEDERAL ENERGY REGULATORY COMMISSION</w:t>
      </w:r>
    </w:p>
    <w:p w:rsidR="00BE0E1F" w:rsidP="00BE0E1F" w:rsidRDefault="00175EF0" w14:paraId="1BF3EBAF" w14:textId="18A4F87A">
      <w:pPr>
        <w:jc w:val="center"/>
      </w:pPr>
      <w:r>
        <w:t>DOCKET NO.</w:t>
      </w:r>
      <w:r w:rsidR="00BA745A">
        <w:t xml:space="preserve"> AD</w:t>
      </w:r>
      <w:r w:rsidR="000947CD">
        <w:t>20</w:t>
      </w:r>
      <w:r w:rsidR="00BA745A">
        <w:t>-</w:t>
      </w:r>
      <w:r w:rsidR="009E1E44">
        <w:t>19</w:t>
      </w:r>
      <w:r w:rsidR="00BA745A">
        <w:t>-</w:t>
      </w:r>
      <w:r w:rsidR="000947CD">
        <w:t>000</w:t>
      </w:r>
    </w:p>
    <w:p w:rsidR="00BE0E1F" w:rsidP="00BE0E1F" w:rsidRDefault="00BE0E1F" w14:paraId="434D1253" w14:textId="77777777">
      <w:pPr>
        <w:jc w:val="center"/>
      </w:pPr>
    </w:p>
    <w:p w:rsidRPr="00BE0E1F" w:rsidR="00BE0E1F" w:rsidP="00BE0E1F" w:rsidRDefault="009937E5" w14:paraId="2DD9BE68" w14:textId="2B102D2A">
      <w:pPr>
        <w:jc w:val="center"/>
        <w:rPr>
          <w:sz w:val="40"/>
        </w:rPr>
      </w:pPr>
      <w:r>
        <w:rPr>
          <w:sz w:val="40"/>
        </w:rPr>
        <w:t xml:space="preserve">JUNE </w:t>
      </w:r>
      <w:r w:rsidRPr="00BE0E1F" w:rsidR="00BE0E1F">
        <w:rPr>
          <w:sz w:val="40"/>
        </w:rPr>
        <w:t>2020</w:t>
      </w:r>
    </w:p>
    <w:p w:rsidR="00BE0E1F" w:rsidP="00BE0E1F" w:rsidRDefault="00BE0E1F" w14:paraId="02063901" w14:textId="77777777">
      <w:pPr>
        <w:jc w:val="center"/>
      </w:pPr>
    </w:p>
    <w:p w:rsidR="00BE0E1F" w:rsidP="00BE0E1F" w:rsidRDefault="00BE0E1F" w14:paraId="5385490E" w14:textId="77777777">
      <w:pPr>
        <w:jc w:val="center"/>
      </w:pPr>
    </w:p>
    <w:p w:rsidR="00BE0E1F" w:rsidP="00BE0E1F" w:rsidRDefault="00BE0E1F" w14:paraId="0D067A41" w14:textId="77777777">
      <w:pPr>
        <w:jc w:val="center"/>
      </w:pPr>
    </w:p>
    <w:p w:rsidRPr="00BE0E1F" w:rsidR="00BE0E1F" w:rsidP="00BE0E1F" w:rsidRDefault="00BE0E1F" w14:paraId="1EEF22B5" w14:textId="50C9E788">
      <w:pPr>
        <w:jc w:val="center"/>
      </w:pPr>
      <w:r w:rsidRPr="00BE0E1F">
        <w:t>The opinions and views expressed in this staff paper do not necessarily represent those of the Federal Energy Regulatory Commission, its Chairman, or individual Commissioners, and are not binding on the Commission.</w:t>
      </w:r>
    </w:p>
    <w:p w:rsidRPr="00BE0E1F" w:rsidR="00BE0E1F" w:rsidP="00BE0E1F" w:rsidRDefault="00BE0E1F" w14:paraId="416DA998" w14:textId="77777777">
      <w:pPr>
        <w:jc w:val="center"/>
      </w:pPr>
    </w:p>
    <w:p w:rsidR="00BE0E1F" w:rsidP="00BE0E1F" w:rsidRDefault="00BE0E1F" w14:paraId="41270248" w14:textId="77777777"/>
    <w:p w:rsidR="00BE0E1F" w:rsidRDefault="00BE0E1F" w14:paraId="68B69E8E" w14:textId="77777777">
      <w:pPr>
        <w:widowControl/>
        <w:spacing w:after="160" w:line="259" w:lineRule="auto"/>
      </w:pPr>
      <w:r>
        <w:br w:type="page"/>
      </w:r>
    </w:p>
    <w:p w:rsidR="009105A9" w:rsidP="008354F9" w:rsidRDefault="008354F9" w14:paraId="54F65599" w14:textId="432DEC55">
      <w:pPr>
        <w:pStyle w:val="Heading1"/>
      </w:pPr>
      <w:r>
        <w:lastRenderedPageBreak/>
        <w:t>Introduction</w:t>
      </w:r>
    </w:p>
    <w:p w:rsidR="00BE0E1F" w:rsidP="001B475B" w:rsidRDefault="00BE0E1F" w14:paraId="11791A18" w14:textId="65D9BF86">
      <w:pPr>
        <w:pStyle w:val="FERCNopara"/>
      </w:pPr>
      <w:r>
        <w:t>In March 2019</w:t>
      </w:r>
      <w:r w:rsidR="0093216D">
        <w:t>,</w:t>
      </w:r>
      <w:r>
        <w:t xml:space="preserve"> </w:t>
      </w:r>
      <w:r w:rsidR="00787552">
        <w:t>pursuant to section 219</w:t>
      </w:r>
      <w:r w:rsidR="00AF35D5">
        <w:t xml:space="preserve"> of the Federal Power Act (FPA)</w:t>
      </w:r>
      <w:r w:rsidR="00787552">
        <w:t>,</w:t>
      </w:r>
      <w:r w:rsidR="009937E5">
        <w:rPr>
          <w:rStyle w:val="FootnoteReference"/>
        </w:rPr>
        <w:footnoteReference w:id="2"/>
      </w:r>
      <w:r w:rsidR="00787552">
        <w:t xml:space="preserve"> </w:t>
      </w:r>
      <w:r>
        <w:t>the Commission issued a Notice of Inquiry seeking comment on the scope and implementation of its electric transmission incentives policy.</w:t>
      </w:r>
      <w:r>
        <w:rPr>
          <w:rStyle w:val="FootnoteReference"/>
        </w:rPr>
        <w:footnoteReference w:id="3"/>
      </w:r>
      <w:r w:rsidR="00754E8E">
        <w:t xml:space="preserve">  In March 2020, the Commission issued a Notice of Proposed Rulemaking on several topics considered in the 2019 Notice of Inquiry.</w:t>
      </w:r>
      <w:r w:rsidR="00754E8E">
        <w:rPr>
          <w:rStyle w:val="FootnoteReference"/>
        </w:rPr>
        <w:footnoteReference w:id="4"/>
      </w:r>
      <w:r w:rsidR="00754E8E">
        <w:t xml:space="preserve">  </w:t>
      </w:r>
      <w:r w:rsidRPr="00E85069" w:rsidR="00754E8E">
        <w:t>In the Transmission Incentives NOPR, the Commission acknowledged that</w:t>
      </w:r>
      <w:r w:rsidR="00653DB7">
        <w:t>,</w:t>
      </w:r>
      <w:r w:rsidRPr="00E85069" w:rsidR="00754E8E">
        <w:t xml:space="preserve"> although reliability is clearly delineated as a benefit to be promoted by incentives, there are differing mandates for promoting reliability under FPA sections 215</w:t>
      </w:r>
      <w:r w:rsidR="00BC110B">
        <w:rPr>
          <w:rStyle w:val="FootnoteReference"/>
        </w:rPr>
        <w:footnoteReference w:id="5"/>
      </w:r>
      <w:r w:rsidRPr="00E85069" w:rsidR="00754E8E">
        <w:t xml:space="preserve"> and 219.  </w:t>
      </w:r>
      <w:r w:rsidR="006A3CC5">
        <w:t>Further, the Commission stated that cybersecurity is an important part of reliability</w:t>
      </w:r>
      <w:r w:rsidR="004C58F4">
        <w:t xml:space="preserve"> </w:t>
      </w:r>
      <w:r w:rsidR="006A3CC5">
        <w:t xml:space="preserve">and </w:t>
      </w:r>
      <w:r w:rsidR="004C58F4">
        <w:t>indicated that it would</w:t>
      </w:r>
      <w:r w:rsidR="006A3CC5">
        <w:t xml:space="preserve"> address cybersecurity incentives independently in a separate, future</w:t>
      </w:r>
      <w:r w:rsidR="004C58F4">
        <w:t xml:space="preserve"> </w:t>
      </w:r>
      <w:r w:rsidR="006A3CC5">
        <w:t>proceeding</w:t>
      </w:r>
      <w:r w:rsidR="004C58F4">
        <w:t xml:space="preserve">. </w:t>
      </w:r>
      <w:r w:rsidRPr="00E85069" w:rsidR="00754E8E">
        <w:t xml:space="preserve"> </w:t>
      </w:r>
      <w:bookmarkStart w:name="_Hlk40632554" w:id="1"/>
      <w:r w:rsidR="00BC110B">
        <w:t xml:space="preserve">This </w:t>
      </w:r>
      <w:r w:rsidR="006150D0">
        <w:t xml:space="preserve">staff </w:t>
      </w:r>
      <w:r w:rsidR="00BC110B">
        <w:t xml:space="preserve">paper </w:t>
      </w:r>
      <w:r w:rsidR="00EE25F0">
        <w:t>discusses</w:t>
      </w:r>
      <w:r w:rsidR="00BC110B">
        <w:t xml:space="preserve"> a </w:t>
      </w:r>
      <w:r w:rsidR="00F11CBC">
        <w:t xml:space="preserve">potential </w:t>
      </w:r>
      <w:r w:rsidR="00BC110B">
        <w:t xml:space="preserve">new framework for providing transmission incentives </w:t>
      </w:r>
      <w:r w:rsidR="00A814D6">
        <w:t xml:space="preserve">to utilities </w:t>
      </w:r>
      <w:r w:rsidR="00BC110B">
        <w:t>for cybersecurity investments</w:t>
      </w:r>
      <w:bookmarkEnd w:id="1"/>
      <w:r w:rsidR="00FD068B">
        <w:t>.</w:t>
      </w:r>
    </w:p>
    <w:p w:rsidRPr="00E85069" w:rsidR="00754E8E" w:rsidP="001B475B" w:rsidRDefault="000D6D5A" w14:paraId="49AF3982" w14:textId="6681E3C0">
      <w:pPr>
        <w:pStyle w:val="FERCNopara"/>
      </w:pPr>
      <w:r>
        <w:t>As discussed further in section II (</w:t>
      </w:r>
      <w:r w:rsidR="0055562E">
        <w:t>Background</w:t>
      </w:r>
      <w:r>
        <w:t>)</w:t>
      </w:r>
      <w:r w:rsidR="006150D0">
        <w:t xml:space="preserve"> of this staff paper</w:t>
      </w:r>
      <w:r>
        <w:t xml:space="preserve">, </w:t>
      </w:r>
      <w:r w:rsidR="00AA4518">
        <w:t xml:space="preserve">pursuant to FPA section 215, </w:t>
      </w:r>
      <w:r>
        <w:t xml:space="preserve">the Commission has approved a suite of </w:t>
      </w:r>
      <w:r w:rsidR="006C5C37">
        <w:t xml:space="preserve">mandatory </w:t>
      </w:r>
      <w:r>
        <w:t>Reliability Standards</w:t>
      </w:r>
      <w:r w:rsidR="009A2049">
        <w:t xml:space="preserve"> </w:t>
      </w:r>
      <w:r>
        <w:t xml:space="preserve">that applicable registered entities must meet to provide </w:t>
      </w:r>
      <w:r w:rsidRPr="00E85069">
        <w:t>for an adequate level of reliability</w:t>
      </w:r>
      <w:r>
        <w:t xml:space="preserve"> of the bulk </w:t>
      </w:r>
      <w:r w:rsidDel="001D7002">
        <w:t>power</w:t>
      </w:r>
      <w:r>
        <w:t xml:space="preserve"> system.</w:t>
      </w:r>
      <w:r w:rsidRPr="00E85069">
        <w:rPr>
          <w:b/>
          <w:vertAlign w:val="superscript"/>
        </w:rPr>
        <w:footnoteReference w:id="6"/>
      </w:r>
      <w:r>
        <w:t xml:space="preserve"> </w:t>
      </w:r>
      <w:r w:rsidRPr="004C58F4">
        <w:t xml:space="preserve"> </w:t>
      </w:r>
      <w:r w:rsidRPr="00E85069" w:rsidR="00754E8E">
        <w:t>FPA section 219(b)(4)(A)</w:t>
      </w:r>
      <w:r w:rsidR="008D02B7">
        <w:t xml:space="preserve"> </w:t>
      </w:r>
      <w:bookmarkStart w:name="_Hlk39141367" w:id="2"/>
      <w:r w:rsidR="008D02B7">
        <w:t>directs the Commission to establish r</w:t>
      </w:r>
      <w:r w:rsidR="00FE349E">
        <w:t>ule</w:t>
      </w:r>
      <w:r w:rsidR="008D02B7">
        <w:t>s</w:t>
      </w:r>
      <w:r w:rsidR="004C58F4">
        <w:t xml:space="preserve"> allow</w:t>
      </w:r>
      <w:r w:rsidR="008D02B7">
        <w:t>ing</w:t>
      </w:r>
      <w:r w:rsidR="004C58F4">
        <w:t xml:space="preserve"> recover</w:t>
      </w:r>
      <w:r w:rsidR="00632B5C">
        <w:t>y</w:t>
      </w:r>
      <w:r w:rsidR="008D02B7">
        <w:t xml:space="preserve"> of</w:t>
      </w:r>
      <w:r w:rsidR="004C58F4">
        <w:t xml:space="preserve"> </w:t>
      </w:r>
      <w:r w:rsidRPr="00E85069" w:rsidR="004C58F4">
        <w:t xml:space="preserve">all prudently incurred costs </w:t>
      </w:r>
      <w:r w:rsidR="004C58F4">
        <w:t>ne</w:t>
      </w:r>
      <w:r w:rsidRPr="004C58F4" w:rsidR="004C58F4">
        <w:t xml:space="preserve">cessary to comply with mandatory </w:t>
      </w:r>
      <w:r w:rsidR="00557900">
        <w:t>Re</w:t>
      </w:r>
      <w:r w:rsidRPr="004C58F4" w:rsidR="004C58F4">
        <w:t xml:space="preserve">liability </w:t>
      </w:r>
      <w:r w:rsidR="00557900">
        <w:t>S</w:t>
      </w:r>
      <w:r w:rsidRPr="004C58F4" w:rsidR="004C58F4">
        <w:t>tandards</w:t>
      </w:r>
      <w:r w:rsidRPr="00E85069" w:rsidR="00754E8E">
        <w:t>.</w:t>
      </w:r>
      <w:bookmarkEnd w:id="2"/>
      <w:r w:rsidRPr="00E85069" w:rsidR="00754E8E">
        <w:rPr>
          <w:b/>
          <w:vertAlign w:val="superscript"/>
        </w:rPr>
        <w:footnoteReference w:id="7"/>
      </w:r>
      <w:r w:rsidRPr="00E85069" w:rsidR="00754E8E">
        <w:t xml:space="preserve">  In light of these mandatory </w:t>
      </w:r>
      <w:r w:rsidR="00754E8E">
        <w:t>R</w:t>
      </w:r>
      <w:r w:rsidRPr="00E85069" w:rsidR="00754E8E">
        <w:t xml:space="preserve">eliability </w:t>
      </w:r>
      <w:r w:rsidR="00754E8E">
        <w:t>S</w:t>
      </w:r>
      <w:r w:rsidRPr="00E85069" w:rsidR="00754E8E">
        <w:t xml:space="preserve">tandards, and the </w:t>
      </w:r>
      <w:r w:rsidR="00FE349E">
        <w:t xml:space="preserve">opportunity for </w:t>
      </w:r>
      <w:r w:rsidRPr="00E85069" w:rsidR="00754E8E">
        <w:t xml:space="preserve">cost recovery pursuant to FPA section 219(b)(4)(A), additional transmission incentives are not necessary to maintain an adequate level of reliability.  </w:t>
      </w:r>
      <w:r w:rsidRPr="00E85069" w:rsidR="00754E8E">
        <w:lastRenderedPageBreak/>
        <w:t xml:space="preserve">However, </w:t>
      </w:r>
      <w:r w:rsidR="00EE6EF4">
        <w:t xml:space="preserve">transmission </w:t>
      </w:r>
      <w:r w:rsidRPr="00E85069" w:rsidR="00754E8E">
        <w:t xml:space="preserve">incentives to counter the evolving </w:t>
      </w:r>
      <w:r w:rsidRPr="004122F0" w:rsidR="00754E8E">
        <w:t xml:space="preserve">and increasing threats to the cybersecurity of the electric grid may be warranted.  </w:t>
      </w:r>
      <w:r w:rsidRPr="004122F0" w:rsidR="006150D0">
        <w:t xml:space="preserve">This </w:t>
      </w:r>
      <w:r w:rsidRPr="004122F0" w:rsidR="00946E5E">
        <w:t>staff</w:t>
      </w:r>
      <w:r w:rsidRPr="004122F0" w:rsidR="00754E8E">
        <w:t xml:space="preserve"> </w:t>
      </w:r>
      <w:r w:rsidRPr="004122F0" w:rsidR="006150D0">
        <w:t xml:space="preserve">paper </w:t>
      </w:r>
      <w:r w:rsidRPr="004122F0" w:rsidR="00754E8E">
        <w:t>explore</w:t>
      </w:r>
      <w:r w:rsidRPr="004122F0" w:rsidR="006150D0">
        <w:t>s</w:t>
      </w:r>
      <w:r w:rsidRPr="004122F0" w:rsidR="00754E8E">
        <w:t xml:space="preserve"> </w:t>
      </w:r>
      <w:r w:rsidRPr="004122F0" w:rsidR="00A814D6">
        <w:t>a new framework for providing transmission incentives to utilities for cybersecurity investments</w:t>
      </w:r>
      <w:r w:rsidRPr="004122F0" w:rsidR="006150D0">
        <w:t xml:space="preserve"> </w:t>
      </w:r>
      <w:r w:rsidRPr="004122F0" w:rsidR="00754E8E">
        <w:t xml:space="preserve">that produce </w:t>
      </w:r>
      <w:r w:rsidRPr="004122F0" w:rsidR="00B628AA">
        <w:t xml:space="preserve">significant </w:t>
      </w:r>
      <w:r w:rsidRPr="004122F0" w:rsidR="00754E8E">
        <w:t xml:space="preserve">cybersecurity benefits </w:t>
      </w:r>
      <w:r w:rsidRPr="004122F0" w:rsidR="00B628AA">
        <w:t>for actions taken that exceed</w:t>
      </w:r>
      <w:r w:rsidRPr="004122F0" w:rsidR="00754E8E">
        <w:t xml:space="preserve"> the requirements of</w:t>
      </w:r>
      <w:r w:rsidRPr="00E85069" w:rsidR="00754E8E">
        <w:t xml:space="preserve"> the </w:t>
      </w:r>
      <w:r w:rsidRPr="00975972" w:rsidR="00975972">
        <w:t>Critical Infrastructure Protection Reliability Standards</w:t>
      </w:r>
      <w:r w:rsidR="00975972">
        <w:t xml:space="preserve"> (CIP Reliability Standards</w:t>
      </w:r>
      <w:r w:rsidR="007E5E78">
        <w:t>)</w:t>
      </w:r>
      <w:r w:rsidRPr="00E85069" w:rsidR="00754E8E">
        <w:t>.</w:t>
      </w:r>
      <w:r w:rsidRPr="003925D3" w:rsidR="00975972">
        <w:rPr>
          <w:b/>
          <w:vertAlign w:val="superscript"/>
        </w:rPr>
        <w:footnoteReference w:id="8"/>
      </w:r>
      <w:r w:rsidRPr="00E85069" w:rsidR="00754E8E">
        <w:t xml:space="preserve">  </w:t>
      </w:r>
    </w:p>
    <w:p w:rsidRPr="00BE0E1F" w:rsidR="00BE0E1F" w:rsidDel="00043802" w:rsidP="00F17EC7" w:rsidRDefault="008B1504" w14:paraId="1F80A0FE" w14:textId="3E54F22F">
      <w:pPr>
        <w:pStyle w:val="FERCNopara"/>
      </w:pPr>
      <w:r>
        <w:t>T</w:t>
      </w:r>
      <w:r w:rsidDel="00043802" w:rsidR="00BE0E1F">
        <w:t xml:space="preserve">his </w:t>
      </w:r>
      <w:r w:rsidR="006150D0">
        <w:t xml:space="preserve">staff </w:t>
      </w:r>
      <w:r w:rsidDel="00043802" w:rsidR="00BE0E1F">
        <w:t xml:space="preserve">paper </w:t>
      </w:r>
      <w:r w:rsidR="00A814D6">
        <w:t xml:space="preserve">first provides </w:t>
      </w:r>
      <w:r w:rsidR="00C330B5">
        <w:t xml:space="preserve">a </w:t>
      </w:r>
      <w:r w:rsidR="00A814D6">
        <w:t>background</w:t>
      </w:r>
      <w:r w:rsidR="0062171B">
        <w:t xml:space="preserve"> discussion</w:t>
      </w:r>
      <w:r w:rsidR="00C330B5">
        <w:t>,</w:t>
      </w:r>
      <w:r w:rsidR="00A814D6">
        <w:t xml:space="preserve"> including a description of the </w:t>
      </w:r>
      <w:r w:rsidDel="00043802" w:rsidR="00BE0E1F">
        <w:t xml:space="preserve">cybersecurity challenges on the </w:t>
      </w:r>
      <w:r w:rsidDel="00043802" w:rsidR="00A13A9F">
        <w:t>B</w:t>
      </w:r>
      <w:r w:rsidDel="00043802" w:rsidR="00BE0E1F">
        <w:t xml:space="preserve">ulk </w:t>
      </w:r>
      <w:r w:rsidDel="00043802" w:rsidR="00A13A9F">
        <w:t>E</w:t>
      </w:r>
      <w:r w:rsidDel="00043802" w:rsidR="00BE0E1F">
        <w:t xml:space="preserve">lectric </w:t>
      </w:r>
      <w:r w:rsidDel="00043802" w:rsidR="00A13A9F">
        <w:t>S</w:t>
      </w:r>
      <w:r w:rsidDel="00043802" w:rsidR="00BE0E1F">
        <w:t>ystem</w:t>
      </w:r>
      <w:r w:rsidDel="00043802" w:rsidR="00A13A9F">
        <w:t xml:space="preserve"> (BES)</w:t>
      </w:r>
      <w:r w:rsidRPr="00175EF0" w:rsidR="0009772E">
        <w:rPr>
          <w:rStyle w:val="FootnoteReference"/>
        </w:rPr>
        <w:footnoteReference w:id="9"/>
      </w:r>
      <w:r w:rsidR="00A814D6">
        <w:t xml:space="preserve"> and existing </w:t>
      </w:r>
      <w:r w:rsidR="006F721B">
        <w:t>CIP</w:t>
      </w:r>
      <w:r w:rsidR="00A814D6">
        <w:t xml:space="preserve"> Reliability Standards.  Next</w:t>
      </w:r>
      <w:r>
        <w:t>, it discusses</w:t>
      </w:r>
      <w:r w:rsidR="00A814D6">
        <w:t xml:space="preserve"> </w:t>
      </w:r>
      <w:r w:rsidR="00D944FA">
        <w:t xml:space="preserve">the importance of infrastructure security, </w:t>
      </w:r>
      <w:r>
        <w:t xml:space="preserve">including </w:t>
      </w:r>
      <w:r w:rsidR="00A814D6">
        <w:t>the Commission and staff’s efforts to incentivize energy infrastructure security to date</w:t>
      </w:r>
      <w:r w:rsidR="0067766C">
        <w:t>,</w:t>
      </w:r>
      <w:r w:rsidR="00A814D6">
        <w:t xml:space="preserve"> and why there is </w:t>
      </w:r>
      <w:r>
        <w:t>a need to adopt a new approach to</w:t>
      </w:r>
      <w:r w:rsidR="00A814D6">
        <w:t xml:space="preserve"> incentiviz</w:t>
      </w:r>
      <w:r>
        <w:t>e</w:t>
      </w:r>
      <w:r w:rsidR="00A814D6">
        <w:t xml:space="preserve"> cybersecurity investments.</w:t>
      </w:r>
      <w:r>
        <w:t xml:space="preserve">  The </w:t>
      </w:r>
      <w:r w:rsidR="006150D0">
        <w:t xml:space="preserve">staff </w:t>
      </w:r>
      <w:r>
        <w:t>paper</w:t>
      </w:r>
      <w:r w:rsidR="00CD4092">
        <w:t xml:space="preserve"> then</w:t>
      </w:r>
      <w:r>
        <w:t xml:space="preserve"> </w:t>
      </w:r>
      <w:r w:rsidR="00D944FA">
        <w:t xml:space="preserve">discusses an incentives framework for cybersecurity investment, including a description of various incentives and potential approaches to identify cybersecurity investments eligible for incentives.  The staff paper also outlines the application process for utilities seeking incentives </w:t>
      </w:r>
      <w:r w:rsidR="00421719">
        <w:t xml:space="preserve">for cybersecurity investments </w:t>
      </w:r>
      <w:r w:rsidR="00D944FA">
        <w:t>from the Commission.</w:t>
      </w:r>
      <w:r w:rsidDel="00043802" w:rsidR="00BE0E1F">
        <w:t xml:space="preserve">  </w:t>
      </w:r>
      <w:r w:rsidR="00D944FA">
        <w:t xml:space="preserve">Finally, the staff paper requests comments from interested parties </w:t>
      </w:r>
      <w:r>
        <w:t xml:space="preserve">on </w:t>
      </w:r>
      <w:r w:rsidR="00D944FA">
        <w:t>the topics discussed here, questions posed</w:t>
      </w:r>
      <w:r w:rsidR="00FE1D7B">
        <w:t xml:space="preserve"> and </w:t>
      </w:r>
      <w:r w:rsidR="00421719">
        <w:t xml:space="preserve">whether the Commission should consider </w:t>
      </w:r>
      <w:r w:rsidR="00FE1D7B">
        <w:t xml:space="preserve">alternate approaches, </w:t>
      </w:r>
      <w:r w:rsidR="00284873">
        <w:t>within</w:t>
      </w:r>
      <w:r w:rsidR="00FE1D7B">
        <w:t xml:space="preserve"> </w:t>
      </w:r>
      <w:r w:rsidR="00284873">
        <w:t>60 days of the issuance of this pape</w:t>
      </w:r>
      <w:r w:rsidR="00BA5BE1">
        <w:t>r and reply comments within 75 days of the issuance of this paper</w:t>
      </w:r>
      <w:r w:rsidR="00DF1D2F">
        <w:t xml:space="preserve">. </w:t>
      </w:r>
      <w:r w:rsidDel="00043802" w:rsidR="00BE0E1F">
        <w:t xml:space="preserve">  </w:t>
      </w:r>
    </w:p>
    <w:p w:rsidR="008354F9" w:rsidP="00F17EC7" w:rsidRDefault="00D811DE" w14:paraId="11CD8301" w14:textId="01A1E10B">
      <w:pPr>
        <w:pStyle w:val="Heading1"/>
      </w:pPr>
      <w:r>
        <w:t>Background</w:t>
      </w:r>
    </w:p>
    <w:p w:rsidR="00917FA7" w:rsidP="00917FA7" w:rsidRDefault="00917FA7" w14:paraId="14901F03" w14:textId="29BBA21B">
      <w:pPr>
        <w:pStyle w:val="Heading2"/>
      </w:pPr>
      <w:r>
        <w:t xml:space="preserve">The </w:t>
      </w:r>
      <w:r w:rsidRPr="008354F9">
        <w:t xml:space="preserve">Cybersecurity </w:t>
      </w:r>
      <w:r>
        <w:t>Challenge</w:t>
      </w:r>
      <w:r w:rsidRPr="00574E65">
        <w:rPr>
          <w:color w:val="5B9BD5" w:themeColor="accent1"/>
        </w:rPr>
        <w:t xml:space="preserve"> </w:t>
      </w:r>
    </w:p>
    <w:p w:rsidRPr="004122F0" w:rsidR="00917FA7" w:rsidP="004122F0" w:rsidRDefault="004122F0" w14:paraId="78027062" w14:textId="200B3217">
      <w:pPr>
        <w:pStyle w:val="FERCNopara"/>
        <w:rPr>
          <w:sz w:val="24"/>
          <w:szCs w:val="24"/>
        </w:rPr>
      </w:pPr>
      <w:bookmarkStart w:name="_Hlk36500814" w:id="3"/>
      <w:r>
        <w:t>Securing the reliability, including cybersecurity, of energy infrastructure is a vital element in the protection of U.S. national security interests.</w:t>
      </w:r>
      <w:r>
        <w:rPr>
          <w:rStyle w:val="FootnoteReference"/>
        </w:rPr>
        <w:footnoteReference w:id="10"/>
      </w:r>
      <w:r>
        <w:t xml:space="preserve">  The Commission is charged </w:t>
      </w:r>
      <w:r>
        <w:lastRenderedPageBreak/>
        <w:t>with overseeing the development and enforcement of cybersecurity standards for the nation’s BES.  The electric transmission grid has many components that are vulnerable to cyber-attacks, and a cyber-attack against high voltage transformers or other large equipment used to support transformer functions can have a large impact on the transmission system due to the cost and time to replace these components.</w:t>
      </w:r>
      <w:r>
        <w:rPr>
          <w:b/>
          <w:vertAlign w:val="superscript"/>
        </w:rPr>
        <w:footnoteReference w:id="11"/>
      </w:r>
      <w:r>
        <w:t xml:space="preserve">  The risk of a cyber-attack to a utility responsible for transmission depends on several variables, such as network configuration within and between facilities and means of communicating data.  A simultaneous cyber-attack on multiple electric grid facilities can have the effect of instantaneously dropping large amounts of load or generation from the grid.</w:t>
      </w:r>
      <w:r>
        <w:rPr>
          <w:rStyle w:val="FootnoteReference"/>
        </w:rPr>
        <w:footnoteReference w:id="12"/>
      </w:r>
      <w:r>
        <w:t xml:space="preserve">  Further, the electric grid is interconnected to other </w:t>
      </w:r>
      <w:r w:rsidR="00B04B22">
        <w:t xml:space="preserve">critical </w:t>
      </w:r>
      <w:r>
        <w:t>infrastructure and, due to the significant interdependencies between systems, adverse impacts to one system can materially impact others.</w:t>
      </w:r>
      <w:r>
        <w:rPr>
          <w:rStyle w:val="FootnoteReference"/>
        </w:rPr>
        <w:footnoteReference w:id="13"/>
      </w:r>
      <w:r>
        <w:t xml:space="preserve">  For these reasons, preventing or minimizing adverse impacts to energy infrastructure systems is crucial for maintaining a reliable energy system.</w:t>
      </w:r>
      <w:bookmarkEnd w:id="3"/>
      <w:r>
        <w:tab/>
      </w:r>
      <w:r>
        <w:rPr>
          <w:sz w:val="24"/>
          <w:szCs w:val="24"/>
        </w:rPr>
        <w:t xml:space="preserve"> </w:t>
      </w:r>
      <w:r w:rsidR="00917FA7">
        <w:tab/>
      </w:r>
    </w:p>
    <w:p w:rsidR="00917FA7" w:rsidP="00917FA7" w:rsidRDefault="00917FA7" w14:paraId="0541FD81" w14:textId="77777777">
      <w:pPr>
        <w:pStyle w:val="Heading2"/>
      </w:pPr>
      <w:r w:rsidRPr="008354F9">
        <w:t xml:space="preserve">CIP Reliability Standards </w:t>
      </w:r>
    </w:p>
    <w:p w:rsidR="00640D89" w:rsidP="00640D89" w:rsidRDefault="00D811DE" w14:paraId="2823FCE5" w14:textId="467D59B0">
      <w:pPr>
        <w:pStyle w:val="FERCparanumber"/>
        <w:numPr>
          <w:ilvl w:val="0"/>
          <w:numId w:val="0"/>
        </w:numPr>
        <w:ind w:firstLine="720"/>
      </w:pPr>
      <w:r w:rsidRPr="003925D3">
        <w:t>On August 8, 2005, the E</w:t>
      </w:r>
      <w:r>
        <w:t>nergy</w:t>
      </w:r>
      <w:r w:rsidRPr="003925D3">
        <w:t xml:space="preserve"> </w:t>
      </w:r>
      <w:r>
        <w:t>Policy</w:t>
      </w:r>
      <w:r w:rsidRPr="003925D3">
        <w:t xml:space="preserve"> Act of 2005 was enacted into law.</w:t>
      </w:r>
      <w:r w:rsidRPr="003925D3">
        <w:rPr>
          <w:b/>
          <w:vertAlign w:val="superscript"/>
        </w:rPr>
        <w:footnoteReference w:id="14"/>
      </w:r>
      <w:r w:rsidRPr="003925D3">
        <w:t xml:space="preserve">  </w:t>
      </w:r>
      <w:proofErr w:type="spellStart"/>
      <w:r w:rsidRPr="003925D3">
        <w:t>EPAct</w:t>
      </w:r>
      <w:proofErr w:type="spellEnd"/>
      <w:r w:rsidRPr="003925D3">
        <w:t xml:space="preserve"> 2005 added a new section 215 to the FPA, which requires a Commission-certified Electric Reliability Organization to develop mandatory and enforceable Reliability Standards, including requirements for cybersecurity protection, which are subject to Commission review and approval.  Once approved, the Reliability Standards may be enforced by the Electric Reliability Organization subject to Commission oversight, or the Commission can independently enforce Reliability Standards.</w:t>
      </w:r>
      <w:r w:rsidRPr="003925D3">
        <w:rPr>
          <w:b/>
          <w:vertAlign w:val="superscript"/>
        </w:rPr>
        <w:footnoteReference w:id="15"/>
      </w:r>
      <w:r w:rsidRPr="003925D3">
        <w:t xml:space="preserve">  </w:t>
      </w:r>
    </w:p>
    <w:p w:rsidR="00917FA7" w:rsidP="00640D89" w:rsidRDefault="00D811DE" w14:paraId="76FA5B83" w14:textId="0024F2E6">
      <w:pPr>
        <w:pStyle w:val="FERCparanumber"/>
        <w:numPr>
          <w:ilvl w:val="0"/>
          <w:numId w:val="0"/>
        </w:numPr>
        <w:ind w:firstLine="720"/>
      </w:pPr>
      <w:r w:rsidRPr="003925D3">
        <w:lastRenderedPageBreak/>
        <w:t>On February 3, 2006, the Commission issued Order No. 672, implementing FPA section 215.</w:t>
      </w:r>
      <w:r w:rsidRPr="003925D3">
        <w:rPr>
          <w:b/>
          <w:vertAlign w:val="superscript"/>
        </w:rPr>
        <w:footnoteReference w:id="16"/>
      </w:r>
      <w:r w:rsidRPr="003925D3">
        <w:t xml:space="preserve">  </w:t>
      </w:r>
      <w:r>
        <w:t>T</w:t>
      </w:r>
      <w:r w:rsidRPr="003925D3">
        <w:t xml:space="preserve">he Commission subsequently certified </w:t>
      </w:r>
      <w:r w:rsidRPr="00E85069" w:rsidR="00AA4518">
        <w:t>the North American Electri</w:t>
      </w:r>
      <w:r w:rsidR="00AA4518">
        <w:t>c Reliability Corporation (</w:t>
      </w:r>
      <w:r w:rsidRPr="003925D3">
        <w:t>NERC</w:t>
      </w:r>
      <w:r w:rsidR="00AA4518">
        <w:t>)</w:t>
      </w:r>
      <w:r w:rsidRPr="003925D3">
        <w:t xml:space="preserve"> as the Electric Reliability Organization.</w:t>
      </w:r>
      <w:r w:rsidRPr="003925D3">
        <w:rPr>
          <w:b/>
          <w:vertAlign w:val="superscript"/>
        </w:rPr>
        <w:footnoteReference w:id="17"/>
      </w:r>
      <w:r w:rsidRPr="003925D3">
        <w:t xml:space="preserve">  The Reliability Standards developed by </w:t>
      </w:r>
      <w:r>
        <w:t>NERC</w:t>
      </w:r>
      <w:r w:rsidRPr="003925D3">
        <w:t xml:space="preserve"> </w:t>
      </w:r>
      <w:r w:rsidRPr="009E745F">
        <w:t xml:space="preserve">become mandatory and enforceable after Commission approval and apply to users, owners and operators of the bulk power system, as set forth in each Reliability Standard.  </w:t>
      </w:r>
    </w:p>
    <w:p w:rsidR="00322C7E" w:rsidP="00975972" w:rsidRDefault="00D811DE" w14:paraId="3750704F" w14:textId="5A8757B3">
      <w:pPr>
        <w:pStyle w:val="FERCNopara"/>
      </w:pPr>
      <w:r w:rsidRPr="003925D3">
        <w:t>On January 18, 2008, the Commission issued Order No. 706, approving</w:t>
      </w:r>
      <w:r w:rsidRPr="003925D3">
        <w:rPr>
          <w:b/>
          <w:bCs/>
        </w:rPr>
        <w:t xml:space="preserve"> </w:t>
      </w:r>
      <w:r w:rsidRPr="003925D3">
        <w:t xml:space="preserve">the initial eight </w:t>
      </w:r>
      <w:r w:rsidR="006150D0">
        <w:t xml:space="preserve">CIP Reliability Standards </w:t>
      </w:r>
      <w:r w:rsidRPr="003925D3">
        <w:t>submitted to the Commission for</w:t>
      </w:r>
      <w:r w:rsidRPr="00845BEE">
        <w:rPr>
          <w:b/>
        </w:rPr>
        <w:t xml:space="preserve"> </w:t>
      </w:r>
      <w:r w:rsidRPr="003925D3">
        <w:t>approval by NERC</w:t>
      </w:r>
      <w:r w:rsidR="00845BEE">
        <w:t xml:space="preserve"> – CIP version 1</w:t>
      </w:r>
      <w:r w:rsidRPr="003925D3">
        <w:t>.</w:t>
      </w:r>
      <w:r w:rsidRPr="003925D3">
        <w:rPr>
          <w:b/>
          <w:vertAlign w:val="superscript"/>
        </w:rPr>
        <w:footnoteReference w:id="18"/>
      </w:r>
      <w:r w:rsidRPr="003925D3">
        <w:t xml:space="preserve">  </w:t>
      </w:r>
      <w:bookmarkStart w:name="_Hlk37744337" w:id="4"/>
      <w:bookmarkEnd w:id="4"/>
      <w:r w:rsidRPr="00B018AE" w:rsidR="00B018AE">
        <w:t>The CIP Reliability Standards</w:t>
      </w:r>
      <w:r w:rsidR="008756D6">
        <w:t xml:space="preserve"> require certain users, owners, and operators of the </w:t>
      </w:r>
      <w:r w:rsidR="00845BEE">
        <w:t>b</w:t>
      </w:r>
      <w:r w:rsidR="008756D6">
        <w:t>ulk</w:t>
      </w:r>
      <w:r w:rsidR="00845BEE">
        <w:t xml:space="preserve"> p</w:t>
      </w:r>
      <w:r w:rsidR="008756D6">
        <w:t xml:space="preserve">ower </w:t>
      </w:r>
      <w:r w:rsidR="00845BEE">
        <w:t>s</w:t>
      </w:r>
      <w:r w:rsidR="008756D6">
        <w:t>ystem to comply with specific requirements to safeguard critical cyber assets</w:t>
      </w:r>
      <w:r w:rsidRPr="00B018AE" w:rsidR="00B018AE">
        <w:t>.  The</w:t>
      </w:r>
      <w:r w:rsidR="008756D6">
        <w:t>se s</w:t>
      </w:r>
      <w:r w:rsidR="00B018AE">
        <w:t>tandards</w:t>
      </w:r>
      <w:r w:rsidRPr="00B018AE" w:rsidR="00B018AE">
        <w:t xml:space="preserve"> are results-based and do not specify a technology or method to achieve compliance</w:t>
      </w:r>
      <w:r w:rsidR="00B018AE">
        <w:t>, instead leaving it up</w:t>
      </w:r>
      <w:r w:rsidRPr="00B018AE" w:rsidR="00B018AE">
        <w:t xml:space="preserve"> to the </w:t>
      </w:r>
      <w:r w:rsidR="00B018AE">
        <w:t xml:space="preserve">utility to decide </w:t>
      </w:r>
      <w:r w:rsidRPr="00B018AE" w:rsidR="00B018AE">
        <w:t xml:space="preserve">how </w:t>
      </w:r>
      <w:r w:rsidR="00B018AE">
        <w:t xml:space="preserve">best to </w:t>
      </w:r>
      <w:r w:rsidRPr="00B018AE" w:rsidR="00B018AE">
        <w:t>comply with the standards.</w:t>
      </w:r>
    </w:p>
    <w:p w:rsidR="00672C27" w:rsidP="00672C27" w:rsidRDefault="00680A87" w14:paraId="0F6777B0" w14:textId="0563D108">
      <w:pPr>
        <w:pStyle w:val="FERCNopara"/>
      </w:pPr>
      <w:r>
        <w:t>The</w:t>
      </w:r>
      <w:r w:rsidR="00B04B22">
        <w:t xml:space="preserve"> </w:t>
      </w:r>
      <w:r>
        <w:t xml:space="preserve">CIP Reliability Standards have been modified over time, in part to address the evolving nature of cyber-related threats to the bulk </w:t>
      </w:r>
      <w:r w:rsidDel="003C3746">
        <w:t>power</w:t>
      </w:r>
      <w:r>
        <w:t xml:space="preserve"> system.  </w:t>
      </w:r>
      <w:r w:rsidRPr="00322C7E" w:rsidR="00322C7E">
        <w:t xml:space="preserve">Since 2008, NERC has </w:t>
      </w:r>
      <w:r w:rsidR="00F114B8">
        <w:t>modified</w:t>
      </w:r>
      <w:r w:rsidRPr="00322C7E" w:rsidR="004D62AE">
        <w:t xml:space="preserve"> </w:t>
      </w:r>
      <w:r w:rsidRPr="00322C7E" w:rsidR="00322C7E">
        <w:t xml:space="preserve">the CIP </w:t>
      </w:r>
      <w:r w:rsidR="000D6998">
        <w:t>R</w:t>
      </w:r>
      <w:r w:rsidRPr="00322C7E" w:rsidR="00322C7E">
        <w:t xml:space="preserve">eliability </w:t>
      </w:r>
      <w:r w:rsidR="000D6998">
        <w:t>S</w:t>
      </w:r>
      <w:r w:rsidRPr="00322C7E" w:rsidR="00322C7E">
        <w:t xml:space="preserve">tandards, submitting new </w:t>
      </w:r>
      <w:r w:rsidR="00157D52">
        <w:t>and modified</w:t>
      </w:r>
      <w:r w:rsidRPr="00322C7E" w:rsidR="00322C7E">
        <w:t xml:space="preserve"> standards for Commission approval.  </w:t>
      </w:r>
      <w:r w:rsidR="00EA732E">
        <w:t>A</w:t>
      </w:r>
      <w:r w:rsidR="00157D52">
        <w:t xml:space="preserve"> major revision to the CIP Reliability Standards occurred in 2013</w:t>
      </w:r>
      <w:r w:rsidR="004D62AE">
        <w:t>, when</w:t>
      </w:r>
      <w:r w:rsidR="00157D52">
        <w:t xml:space="preserve"> </w:t>
      </w:r>
      <w:r w:rsidR="00CA6422">
        <w:t>t</w:t>
      </w:r>
      <w:r w:rsidRPr="00322C7E" w:rsidR="00322C7E">
        <w:t xml:space="preserve">he Commission approved CIP version 5 </w:t>
      </w:r>
      <w:r w:rsidR="004D62AE">
        <w:t>in Order No. 791</w:t>
      </w:r>
      <w:r w:rsidR="002E1DFE">
        <w:t>, effective July 2016</w:t>
      </w:r>
      <w:r w:rsidRPr="00322C7E" w:rsidR="00322C7E">
        <w:t>.</w:t>
      </w:r>
      <w:r w:rsidR="00802AF1">
        <w:rPr>
          <w:rStyle w:val="FootnoteReference"/>
        </w:rPr>
        <w:footnoteReference w:id="19"/>
      </w:r>
      <w:r w:rsidRPr="00322C7E" w:rsidR="00322C7E">
        <w:t xml:space="preserve">  </w:t>
      </w:r>
      <w:r w:rsidR="00EA732E">
        <w:t xml:space="preserve">The CIP </w:t>
      </w:r>
      <w:r w:rsidR="0015059F">
        <w:t>v</w:t>
      </w:r>
      <w:r w:rsidR="00EA732E">
        <w:t xml:space="preserve">ersion 5 </w:t>
      </w:r>
      <w:r w:rsidR="0015059F">
        <w:t xml:space="preserve">Reliability </w:t>
      </w:r>
      <w:r w:rsidR="00EA732E">
        <w:t xml:space="preserve">Standards implemented </w:t>
      </w:r>
      <w:r w:rsidRPr="00322C7E" w:rsidR="00672C27">
        <w:t xml:space="preserve">a tiered approach to </w:t>
      </w:r>
      <w:r w:rsidR="00222DE1">
        <w:t xml:space="preserve">categorize </w:t>
      </w:r>
      <w:r w:rsidRPr="00322C7E" w:rsidR="00672C27">
        <w:t>assets, identifying them as high, medium</w:t>
      </w:r>
      <w:r w:rsidR="00672C27">
        <w:t>,</w:t>
      </w:r>
      <w:r w:rsidRPr="00322C7E" w:rsidR="00672C27">
        <w:t xml:space="preserve"> or low risk to bulk power system reliability if compromised</w:t>
      </w:r>
      <w:r w:rsidR="00672C27">
        <w:t xml:space="preserve">.  High impact systems include </w:t>
      </w:r>
      <w:r w:rsidRPr="002F63E4" w:rsidR="00672C27">
        <w:t>large control centers</w:t>
      </w:r>
      <w:r w:rsidR="00672C27">
        <w:t>; m</w:t>
      </w:r>
      <w:r w:rsidRPr="002F63E4" w:rsidR="00672C27">
        <w:t xml:space="preserve">edium impact systems include </w:t>
      </w:r>
      <w:r w:rsidR="00AD14CB">
        <w:t xml:space="preserve">smaller </w:t>
      </w:r>
      <w:r w:rsidRPr="002F63E4" w:rsidR="00672C27">
        <w:t>control centers, ultra-high voltage transmission</w:t>
      </w:r>
      <w:r w:rsidR="00222DE1">
        <w:t>,</w:t>
      </w:r>
      <w:r w:rsidRPr="002F63E4" w:rsidR="00672C27">
        <w:t xml:space="preserve"> </w:t>
      </w:r>
      <w:r w:rsidR="00672C27">
        <w:t xml:space="preserve">and </w:t>
      </w:r>
      <w:r w:rsidRPr="002F63E4" w:rsidR="00672C27">
        <w:t>large substations and generating facilities</w:t>
      </w:r>
      <w:r w:rsidR="00114813">
        <w:t>.  The remainder of the cyber systems are categorized as low impact systems</w:t>
      </w:r>
      <w:r w:rsidRPr="002F63E4" w:rsidR="00672C27">
        <w:t>.</w:t>
      </w:r>
      <w:r w:rsidR="00672C27">
        <w:t xml:space="preserve">  </w:t>
      </w:r>
      <w:r w:rsidRPr="002F63E4" w:rsidR="00672C27">
        <w:t xml:space="preserve">Most requirements </w:t>
      </w:r>
      <w:r w:rsidR="00672C27">
        <w:t xml:space="preserve">in CIP Reliability Standards </w:t>
      </w:r>
      <w:r w:rsidRPr="002F63E4" w:rsidR="00672C27">
        <w:t>apply to high and medium impact systems</w:t>
      </w:r>
      <w:r w:rsidR="00B73CFE">
        <w:t>;</w:t>
      </w:r>
      <w:r w:rsidR="00A80480">
        <w:t xml:space="preserve"> </w:t>
      </w:r>
      <w:r w:rsidR="00B64656">
        <w:t xml:space="preserve">however, </w:t>
      </w:r>
      <w:r w:rsidR="000C509F">
        <w:t>a</w:t>
      </w:r>
      <w:r w:rsidR="00672C27">
        <w:t xml:space="preserve"> </w:t>
      </w:r>
      <w:r w:rsidR="00A40C45">
        <w:t>technical</w:t>
      </w:r>
      <w:r w:rsidRPr="00222DE1" w:rsidR="00A80480">
        <w:t xml:space="preserve"> </w:t>
      </w:r>
      <w:r w:rsidR="00A80480">
        <w:t>c</w:t>
      </w:r>
      <w:r w:rsidRPr="00222DE1" w:rsidR="00A80480">
        <w:t>ontrols</w:t>
      </w:r>
      <w:r w:rsidR="00A80480">
        <w:t xml:space="preserve"> requirement </w:t>
      </w:r>
      <w:r w:rsidR="00B64656">
        <w:t xml:space="preserve">in CIP-003 </w:t>
      </w:r>
      <w:r w:rsidR="00F94D4F">
        <w:t>appl</w:t>
      </w:r>
      <w:r w:rsidR="00A40C45">
        <w:t>ies</w:t>
      </w:r>
      <w:r w:rsidR="00F94D4F">
        <w:t xml:space="preserve"> </w:t>
      </w:r>
      <w:r w:rsidR="00B64656">
        <w:lastRenderedPageBreak/>
        <w:t xml:space="preserve">only </w:t>
      </w:r>
      <w:r w:rsidR="00F94D4F">
        <w:t>to low impact systems</w:t>
      </w:r>
      <w:r w:rsidRPr="002F63E4" w:rsidR="00672C27">
        <w:t>.</w:t>
      </w:r>
      <w:r w:rsidR="001179C0">
        <w:rPr>
          <w:rStyle w:val="FootnoteReference"/>
          <w:b w:val="0"/>
        </w:rPr>
        <w:footnoteReference w:id="20"/>
      </w:r>
    </w:p>
    <w:p w:rsidR="00322C7E" w:rsidP="000D6998" w:rsidRDefault="002A25B0" w14:paraId="41706FFE" w14:textId="44029763">
      <w:pPr>
        <w:pStyle w:val="FERCNopara"/>
      </w:pPr>
      <w:r>
        <w:t>Since 2013, the Commission has approved new and modified CIP Reliability Standards that address specific issues such as the supply chain, cyber</w:t>
      </w:r>
      <w:r w:rsidR="002002E6">
        <w:t xml:space="preserve"> </w:t>
      </w:r>
      <w:r>
        <w:t>incident reporting</w:t>
      </w:r>
      <w:r w:rsidR="00C91BB3">
        <w:t>,</w:t>
      </w:r>
      <w:r>
        <w:t xml:space="preserve"> and physical security</w:t>
      </w:r>
      <w:r w:rsidR="00C91BB3">
        <w:t xml:space="preserve"> of critical transmission facilities</w:t>
      </w:r>
      <w:r>
        <w:t>.</w:t>
      </w:r>
    </w:p>
    <w:p w:rsidRPr="00322C7E" w:rsidR="00322C7E" w:rsidP="000D6998" w:rsidRDefault="002A25B0" w14:paraId="7C7982EB" w14:textId="0B2C3A87">
      <w:pPr>
        <w:pStyle w:val="FERCNopara"/>
      </w:pPr>
      <w:r w:rsidRPr="00F85DC2">
        <w:t xml:space="preserve">The </w:t>
      </w:r>
      <w:r w:rsidRPr="00F85DC2" w:rsidR="00A16F06">
        <w:t xml:space="preserve">CIP </w:t>
      </w:r>
      <w:r w:rsidRPr="00F85DC2">
        <w:t xml:space="preserve">Reliability </w:t>
      </w:r>
      <w:r w:rsidRPr="002B7427">
        <w:t xml:space="preserve">Standards </w:t>
      </w:r>
      <w:r w:rsidR="001038AF">
        <w:t xml:space="preserve">now </w:t>
      </w:r>
      <w:r w:rsidRPr="002B7427">
        <w:t>consist of</w:t>
      </w:r>
      <w:r w:rsidRPr="002B7427" w:rsidR="00672C27">
        <w:t xml:space="preserve"> </w:t>
      </w:r>
      <w:r w:rsidRPr="002B7427" w:rsidR="00322C7E">
        <w:t>1</w:t>
      </w:r>
      <w:r w:rsidRPr="002B7427" w:rsidR="00672C27">
        <w:t>3</w:t>
      </w:r>
      <w:r w:rsidRPr="002B7427" w:rsidR="00322C7E">
        <w:t xml:space="preserve"> standards specifying a set of requirements that registered entities must follow to ensure the cyber and physical security</w:t>
      </w:r>
      <w:r w:rsidR="0015164F">
        <w:rPr>
          <w:rStyle w:val="FootnoteReference"/>
        </w:rPr>
        <w:footnoteReference w:id="21"/>
      </w:r>
      <w:r w:rsidRPr="002B7427" w:rsidR="00322C7E">
        <w:t xml:space="preserve"> of the bulk power system.</w:t>
      </w:r>
      <w:r w:rsidRPr="00322C7E" w:rsidR="00322C7E">
        <w:t xml:space="preserve">  There are </w:t>
      </w:r>
      <w:r w:rsidRPr="005B18D5" w:rsidR="00322C7E">
        <w:t xml:space="preserve">currently </w:t>
      </w:r>
      <w:r w:rsidRPr="005B18D5" w:rsidR="00A55831">
        <w:t>1</w:t>
      </w:r>
      <w:r w:rsidRPr="005B18D5" w:rsidR="0028120D">
        <w:t>0</w:t>
      </w:r>
      <w:r w:rsidRPr="005B18D5" w:rsidR="00672C27">
        <w:t xml:space="preserve"> </w:t>
      </w:r>
      <w:r w:rsidRPr="005B18D5" w:rsidR="00322C7E">
        <w:t>active cybersecurity</w:t>
      </w:r>
      <w:r w:rsidRPr="005B18D5" w:rsidR="00A55831">
        <w:t xml:space="preserve"> </w:t>
      </w:r>
      <w:r w:rsidRPr="005B18D5" w:rsidR="00322C7E">
        <w:t>standards</w:t>
      </w:r>
      <w:r w:rsidR="00A55831">
        <w:t xml:space="preserve"> and </w:t>
      </w:r>
      <w:r w:rsidR="00157D52">
        <w:t>two</w:t>
      </w:r>
      <w:r w:rsidRPr="00322C7E" w:rsidR="00322C7E">
        <w:t xml:space="preserve"> cybersecurity standard</w:t>
      </w:r>
      <w:r w:rsidR="00157D52">
        <w:t>s</w:t>
      </w:r>
      <w:r w:rsidRPr="00322C7E" w:rsidR="00322C7E">
        <w:t xml:space="preserve"> to be </w:t>
      </w:r>
      <w:r w:rsidR="006E30F1">
        <w:t>effective</w:t>
      </w:r>
      <w:r w:rsidRPr="00322C7E" w:rsidR="00322C7E">
        <w:t xml:space="preserve"> in the near future:</w:t>
      </w:r>
      <w:r w:rsidRPr="00322C7E" w:rsidR="00322C7E">
        <w:rPr>
          <w:b/>
          <w:vertAlign w:val="superscript"/>
        </w:rPr>
        <w:footnoteReference w:id="22"/>
      </w:r>
      <w:r w:rsidRPr="00322C7E" w:rsidR="00322C7E">
        <w:t xml:space="preserve">  </w:t>
      </w:r>
    </w:p>
    <w:p w:rsidRPr="00322C7E" w:rsidR="00322C7E" w:rsidP="00322C7E" w:rsidRDefault="00322C7E" w14:paraId="5CA07086" w14:textId="26E8D940">
      <w:pPr>
        <w:numPr>
          <w:ilvl w:val="0"/>
          <w:numId w:val="24"/>
        </w:numPr>
      </w:pPr>
      <w:r w:rsidRPr="00322C7E">
        <w:rPr>
          <w:b/>
          <w:bCs/>
        </w:rPr>
        <w:t>CIP-002-5.1a</w:t>
      </w:r>
      <w:r w:rsidR="00032701">
        <w:rPr>
          <w:b/>
          <w:bCs/>
        </w:rPr>
        <w:t xml:space="preserve">: </w:t>
      </w:r>
      <w:r w:rsidRPr="00322C7E">
        <w:rPr>
          <w:b/>
          <w:bCs/>
        </w:rPr>
        <w:t>Bulk Electric System Cyber System</w:t>
      </w:r>
      <w:r w:rsidR="00302159">
        <w:rPr>
          <w:rStyle w:val="FootnoteReference"/>
        </w:rPr>
        <w:footnoteReference w:id="23"/>
      </w:r>
      <w:r w:rsidRPr="00322C7E">
        <w:rPr>
          <w:b/>
          <w:bCs/>
        </w:rPr>
        <w:t xml:space="preserve"> Categorization:</w:t>
      </w:r>
      <w:r w:rsidRPr="00322C7E">
        <w:t xml:space="preserve"> requires entities to identify and categorize BES cyber elements and their associated cyber assets for the application of cybersecurity requirements </w:t>
      </w:r>
      <w:r w:rsidR="00BD4DF9">
        <w:t xml:space="preserve">using a tiered approach </w:t>
      </w:r>
      <w:r w:rsidRPr="00322C7E">
        <w:t>commensurate with the adverse impact of their loss, compromise</w:t>
      </w:r>
      <w:r w:rsidR="00BB2551">
        <w:t>,</w:t>
      </w:r>
      <w:r w:rsidRPr="00322C7E">
        <w:t xml:space="preserve"> or misuse.</w:t>
      </w:r>
    </w:p>
    <w:p w:rsidRPr="00322C7E" w:rsidR="00322C7E" w:rsidP="00322C7E" w:rsidRDefault="00322C7E" w14:paraId="1209BEE4" w14:textId="4B4C6BA7">
      <w:pPr>
        <w:numPr>
          <w:ilvl w:val="0"/>
          <w:numId w:val="24"/>
        </w:numPr>
      </w:pPr>
      <w:r w:rsidRPr="00322C7E">
        <w:rPr>
          <w:b/>
          <w:bCs/>
        </w:rPr>
        <w:t>CIP-003-7</w:t>
      </w:r>
      <w:r w:rsidR="00032701">
        <w:rPr>
          <w:b/>
          <w:bCs/>
        </w:rPr>
        <w:t xml:space="preserve">: </w:t>
      </w:r>
      <w:r w:rsidRPr="00322C7E">
        <w:rPr>
          <w:b/>
          <w:bCs/>
        </w:rPr>
        <w:t xml:space="preserve">Security Management Controls: </w:t>
      </w:r>
      <w:r w:rsidRPr="00322C7E">
        <w:t xml:space="preserve"> requires entities to specify consistent and sustainable security management controls to protect BES </w:t>
      </w:r>
      <w:r w:rsidR="00EB5FF4">
        <w:t>C</w:t>
      </w:r>
      <w:r w:rsidRPr="00322C7E">
        <w:t xml:space="preserve">yber </w:t>
      </w:r>
      <w:r w:rsidR="00EB5FF4">
        <w:t>S</w:t>
      </w:r>
      <w:r w:rsidRPr="00322C7E">
        <w:t xml:space="preserve">ystems against compromise that could lead to </w:t>
      </w:r>
      <w:proofErr w:type="spellStart"/>
      <w:r w:rsidRPr="00322C7E">
        <w:t>misoperation</w:t>
      </w:r>
      <w:proofErr w:type="spellEnd"/>
      <w:r w:rsidRPr="00322C7E">
        <w:t xml:space="preserve"> or instability in the BES.</w:t>
      </w:r>
    </w:p>
    <w:p w:rsidRPr="00322C7E" w:rsidR="00322C7E" w:rsidP="00322C7E" w:rsidRDefault="00322C7E" w14:paraId="1AECEE1F" w14:textId="4DCAAFD9">
      <w:pPr>
        <w:numPr>
          <w:ilvl w:val="0"/>
          <w:numId w:val="24"/>
        </w:numPr>
      </w:pPr>
      <w:r w:rsidRPr="00322C7E">
        <w:rPr>
          <w:b/>
          <w:bCs/>
        </w:rPr>
        <w:t>CIP</w:t>
      </w:r>
      <w:r w:rsidR="006A7801">
        <w:rPr>
          <w:b/>
          <w:bCs/>
        </w:rPr>
        <w:t>-</w:t>
      </w:r>
      <w:r w:rsidRPr="00322C7E">
        <w:rPr>
          <w:b/>
          <w:bCs/>
        </w:rPr>
        <w:t>004-6</w:t>
      </w:r>
      <w:r w:rsidR="00032701">
        <w:rPr>
          <w:b/>
          <w:bCs/>
        </w:rPr>
        <w:t xml:space="preserve">: </w:t>
      </w:r>
      <w:r w:rsidRPr="00322C7E">
        <w:rPr>
          <w:b/>
          <w:bCs/>
        </w:rPr>
        <w:t xml:space="preserve">Personnel and Training: </w:t>
      </w:r>
      <w:r w:rsidRPr="00322C7E">
        <w:t xml:space="preserve"> requires the minimizing of risk against compromise that could lead to </w:t>
      </w:r>
      <w:proofErr w:type="spellStart"/>
      <w:r w:rsidRPr="00322C7E">
        <w:t>misoperation</w:t>
      </w:r>
      <w:proofErr w:type="spellEnd"/>
      <w:r w:rsidRPr="00322C7E">
        <w:t xml:space="preserve"> or instability in the </w:t>
      </w:r>
      <w:r w:rsidRPr="00322C7E">
        <w:lastRenderedPageBreak/>
        <w:t xml:space="preserve">BES from individuals accessing BES </w:t>
      </w:r>
      <w:r w:rsidR="00194FC7">
        <w:t>C</w:t>
      </w:r>
      <w:r w:rsidRPr="00322C7E">
        <w:t xml:space="preserve">yber </w:t>
      </w:r>
      <w:r w:rsidR="00194FC7">
        <w:t>S</w:t>
      </w:r>
      <w:r w:rsidRPr="00322C7E">
        <w:t>ystems by requiring an appropriate level of personnel risk assessment, training</w:t>
      </w:r>
      <w:r w:rsidR="00302159">
        <w:t>,</w:t>
      </w:r>
      <w:r w:rsidRPr="00322C7E">
        <w:t xml:space="preserve"> and security awareness.</w:t>
      </w:r>
    </w:p>
    <w:p w:rsidRPr="00322C7E" w:rsidR="00322C7E" w:rsidP="00322C7E" w:rsidRDefault="00322C7E" w14:paraId="0E77E512" w14:textId="73C8EAED">
      <w:pPr>
        <w:numPr>
          <w:ilvl w:val="0"/>
          <w:numId w:val="24"/>
        </w:numPr>
      </w:pPr>
      <w:r w:rsidRPr="00322C7E">
        <w:rPr>
          <w:b/>
          <w:bCs/>
        </w:rPr>
        <w:t>CIP-005-5</w:t>
      </w:r>
      <w:r w:rsidR="00032701">
        <w:rPr>
          <w:b/>
          <w:bCs/>
        </w:rPr>
        <w:t xml:space="preserve">: </w:t>
      </w:r>
      <w:r w:rsidRPr="00322C7E">
        <w:rPr>
          <w:b/>
          <w:bCs/>
        </w:rPr>
        <w:t xml:space="preserve">Electronic Security Perimeter(s): </w:t>
      </w:r>
      <w:r w:rsidRPr="00322C7E">
        <w:t xml:space="preserve"> requires entities to manage electronic access to BES </w:t>
      </w:r>
      <w:r w:rsidR="00194FC7">
        <w:t>C</w:t>
      </w:r>
      <w:r w:rsidRPr="00322C7E">
        <w:t xml:space="preserve">yber </w:t>
      </w:r>
      <w:r w:rsidR="00194FC7">
        <w:t>S</w:t>
      </w:r>
      <w:r w:rsidRPr="00322C7E">
        <w:t xml:space="preserve">ystems by specifying a controlled Electronic Security Perimeter in support of protecting BES </w:t>
      </w:r>
      <w:r w:rsidR="00194FC7">
        <w:t>C</w:t>
      </w:r>
      <w:r w:rsidRPr="00322C7E">
        <w:t xml:space="preserve">yber </w:t>
      </w:r>
      <w:r w:rsidR="00194FC7">
        <w:t>S</w:t>
      </w:r>
      <w:r w:rsidRPr="00322C7E">
        <w:t xml:space="preserve">ystems against compromise that could lead to </w:t>
      </w:r>
      <w:proofErr w:type="spellStart"/>
      <w:r w:rsidRPr="00322C7E">
        <w:t>misoperation</w:t>
      </w:r>
      <w:proofErr w:type="spellEnd"/>
      <w:r w:rsidRPr="00322C7E">
        <w:t xml:space="preserve"> or instability in the BES</w:t>
      </w:r>
    </w:p>
    <w:p w:rsidRPr="00322C7E" w:rsidR="00322C7E" w:rsidP="00322C7E" w:rsidRDefault="00322C7E" w14:paraId="289B93CB" w14:textId="7DE970CB">
      <w:pPr>
        <w:numPr>
          <w:ilvl w:val="0"/>
          <w:numId w:val="24"/>
        </w:numPr>
      </w:pPr>
      <w:r w:rsidRPr="00322C7E">
        <w:rPr>
          <w:b/>
          <w:bCs/>
        </w:rPr>
        <w:t>CIP-006-6</w:t>
      </w:r>
      <w:r w:rsidR="00032701">
        <w:rPr>
          <w:b/>
          <w:bCs/>
        </w:rPr>
        <w:t xml:space="preserve">: </w:t>
      </w:r>
      <w:r w:rsidRPr="00322C7E">
        <w:rPr>
          <w:b/>
          <w:bCs/>
        </w:rPr>
        <w:t xml:space="preserve">Physical Security of Bulk Electric System Cyber Systems: </w:t>
      </w:r>
      <w:r w:rsidRPr="00322C7E">
        <w:t xml:space="preserve"> requires entities to manage physical access to BES </w:t>
      </w:r>
      <w:r w:rsidR="00194FC7">
        <w:t>C</w:t>
      </w:r>
      <w:r w:rsidRPr="00322C7E">
        <w:t xml:space="preserve">yber </w:t>
      </w:r>
      <w:r w:rsidR="00194FC7">
        <w:t>S</w:t>
      </w:r>
      <w:r w:rsidRPr="00322C7E">
        <w:t xml:space="preserve">ystems by specifying a physical security plan in support of protecting BES </w:t>
      </w:r>
      <w:r w:rsidR="00194FC7">
        <w:t>C</w:t>
      </w:r>
      <w:r w:rsidRPr="00322C7E">
        <w:t xml:space="preserve">yber </w:t>
      </w:r>
      <w:r w:rsidR="00672C27">
        <w:t>S</w:t>
      </w:r>
      <w:r w:rsidRPr="00322C7E">
        <w:t xml:space="preserve">ystems against compromise that could lead to </w:t>
      </w:r>
      <w:proofErr w:type="spellStart"/>
      <w:r w:rsidRPr="00322C7E">
        <w:t>misoperation</w:t>
      </w:r>
      <w:proofErr w:type="spellEnd"/>
      <w:r w:rsidRPr="00322C7E">
        <w:t xml:space="preserve"> or instability in the BES.</w:t>
      </w:r>
    </w:p>
    <w:p w:rsidRPr="00322C7E" w:rsidR="00322C7E" w:rsidP="00322C7E" w:rsidRDefault="00322C7E" w14:paraId="7381ABAF" w14:textId="22D0E0F0">
      <w:pPr>
        <w:numPr>
          <w:ilvl w:val="0"/>
          <w:numId w:val="24"/>
        </w:numPr>
      </w:pPr>
      <w:r w:rsidRPr="00322C7E">
        <w:rPr>
          <w:b/>
          <w:bCs/>
        </w:rPr>
        <w:t xml:space="preserve">CIP-007-6: System Security Management: </w:t>
      </w:r>
      <w:r w:rsidRPr="00322C7E">
        <w:t xml:space="preserve"> requires entities to manage system security by specifying select technical, operational, and procedural requirements in support of protecting BES </w:t>
      </w:r>
      <w:r w:rsidR="00523430">
        <w:t>C</w:t>
      </w:r>
      <w:r w:rsidRPr="00322C7E">
        <w:t xml:space="preserve">yber </w:t>
      </w:r>
      <w:r w:rsidR="00523430">
        <w:t>S</w:t>
      </w:r>
      <w:r w:rsidRPr="00322C7E">
        <w:t xml:space="preserve">ystems against compromise that could lead to </w:t>
      </w:r>
      <w:proofErr w:type="spellStart"/>
      <w:r w:rsidRPr="00322C7E">
        <w:t>misoperation</w:t>
      </w:r>
      <w:proofErr w:type="spellEnd"/>
      <w:r w:rsidRPr="00322C7E">
        <w:t xml:space="preserve"> or instability in the BES.</w:t>
      </w:r>
    </w:p>
    <w:p w:rsidRPr="00322C7E" w:rsidR="00322C7E" w:rsidP="00322C7E" w:rsidRDefault="00322C7E" w14:paraId="50A449B7" w14:textId="7F990EC2">
      <w:pPr>
        <w:numPr>
          <w:ilvl w:val="0"/>
          <w:numId w:val="24"/>
        </w:numPr>
      </w:pPr>
      <w:r w:rsidRPr="00322C7E">
        <w:rPr>
          <w:b/>
          <w:bCs/>
        </w:rPr>
        <w:t>CIP-008-5</w:t>
      </w:r>
      <w:r w:rsidR="00032701">
        <w:rPr>
          <w:b/>
          <w:bCs/>
        </w:rPr>
        <w:t xml:space="preserve">: </w:t>
      </w:r>
      <w:r w:rsidRPr="00322C7E">
        <w:rPr>
          <w:b/>
          <w:bCs/>
        </w:rPr>
        <w:t xml:space="preserve">Incident Reporting and Response Planning: </w:t>
      </w:r>
      <w:r w:rsidRPr="00322C7E">
        <w:t xml:space="preserve"> requires entities to mitigate the risk to the reliable operation of the BES as the result of a cybersecurity incident by specifying incident response requirements.</w:t>
      </w:r>
    </w:p>
    <w:p w:rsidRPr="00322C7E" w:rsidR="00322C7E" w:rsidP="00322C7E" w:rsidRDefault="00322C7E" w14:paraId="49ACD61C" w14:textId="2DD821C9">
      <w:pPr>
        <w:numPr>
          <w:ilvl w:val="0"/>
          <w:numId w:val="24"/>
        </w:numPr>
      </w:pPr>
      <w:r w:rsidRPr="00322C7E">
        <w:rPr>
          <w:b/>
          <w:bCs/>
        </w:rPr>
        <w:t>CIP-009-6</w:t>
      </w:r>
      <w:r w:rsidR="00032701">
        <w:rPr>
          <w:b/>
          <w:bCs/>
        </w:rPr>
        <w:t xml:space="preserve">: </w:t>
      </w:r>
      <w:r w:rsidRPr="00322C7E">
        <w:rPr>
          <w:b/>
          <w:bCs/>
        </w:rPr>
        <w:t>Recovery Plans for Bulk Electric System Cyber Systems:</w:t>
      </w:r>
      <w:r w:rsidRPr="00322C7E">
        <w:t xml:space="preserve"> requires entities to recover reliability functions performed by BES </w:t>
      </w:r>
      <w:r w:rsidR="00523430">
        <w:t>C</w:t>
      </w:r>
      <w:r w:rsidRPr="00322C7E">
        <w:t xml:space="preserve">yber </w:t>
      </w:r>
      <w:r w:rsidR="00523430">
        <w:t>S</w:t>
      </w:r>
      <w:r w:rsidRPr="00322C7E">
        <w:t>ystems by specifying recovery plan requirements in support of the continued stability, operability, and reliability of the BES.</w:t>
      </w:r>
    </w:p>
    <w:p w:rsidRPr="00322C7E" w:rsidR="00322C7E" w:rsidP="00322C7E" w:rsidRDefault="00322C7E" w14:paraId="069EC7D8" w14:textId="5794F8DB">
      <w:pPr>
        <w:numPr>
          <w:ilvl w:val="0"/>
          <w:numId w:val="24"/>
        </w:numPr>
      </w:pPr>
      <w:r w:rsidRPr="00322C7E">
        <w:rPr>
          <w:b/>
          <w:bCs/>
        </w:rPr>
        <w:t>CIP-010-2</w:t>
      </w:r>
      <w:r w:rsidR="00032701">
        <w:rPr>
          <w:b/>
          <w:bCs/>
        </w:rPr>
        <w:t xml:space="preserve">: </w:t>
      </w:r>
      <w:r w:rsidRPr="00322C7E">
        <w:rPr>
          <w:b/>
          <w:bCs/>
        </w:rPr>
        <w:t xml:space="preserve">Configuration Change Management and Vulnerability Assessments: </w:t>
      </w:r>
      <w:r w:rsidRPr="00322C7E">
        <w:t xml:space="preserve"> requires entities to prevent and detect unauthorized changes to BES </w:t>
      </w:r>
      <w:r w:rsidR="00523430">
        <w:t>C</w:t>
      </w:r>
      <w:r w:rsidRPr="00322C7E">
        <w:t xml:space="preserve">yber </w:t>
      </w:r>
      <w:r w:rsidR="00523430">
        <w:t>S</w:t>
      </w:r>
      <w:r w:rsidRPr="00322C7E">
        <w:t xml:space="preserve">ystems by specifying configuration change management and vulnerability assessment requirements in support of protecting BES Cyber Systems from compromise that could lead to </w:t>
      </w:r>
      <w:proofErr w:type="spellStart"/>
      <w:r w:rsidRPr="00322C7E">
        <w:t>misoperation</w:t>
      </w:r>
      <w:proofErr w:type="spellEnd"/>
      <w:r w:rsidRPr="00322C7E">
        <w:t xml:space="preserve"> or instability in the BES. </w:t>
      </w:r>
    </w:p>
    <w:p w:rsidR="00322C7E" w:rsidP="00322C7E" w:rsidRDefault="00322C7E" w14:paraId="14654A84" w14:textId="091BC56D">
      <w:pPr>
        <w:numPr>
          <w:ilvl w:val="0"/>
          <w:numId w:val="24"/>
        </w:numPr>
      </w:pPr>
      <w:r w:rsidRPr="00322C7E">
        <w:rPr>
          <w:b/>
          <w:bCs/>
        </w:rPr>
        <w:t>CIP-011-2</w:t>
      </w:r>
      <w:r w:rsidR="00032701">
        <w:rPr>
          <w:b/>
          <w:bCs/>
        </w:rPr>
        <w:t xml:space="preserve">: </w:t>
      </w:r>
      <w:r w:rsidRPr="00322C7E">
        <w:rPr>
          <w:b/>
          <w:bCs/>
        </w:rPr>
        <w:t xml:space="preserve">Information Protection: </w:t>
      </w:r>
      <w:r w:rsidRPr="00322C7E">
        <w:t xml:space="preserve"> requires entities to prevent unauthorized access to BES </w:t>
      </w:r>
      <w:r w:rsidR="00523430">
        <w:t>C</w:t>
      </w:r>
      <w:r w:rsidRPr="00322C7E">
        <w:t xml:space="preserve">yber </w:t>
      </w:r>
      <w:r w:rsidR="00523430">
        <w:t>S</w:t>
      </w:r>
      <w:r w:rsidRPr="00322C7E">
        <w:t xml:space="preserve">ystem Information by specifying information protection requirements in support of protecting BES </w:t>
      </w:r>
      <w:r w:rsidR="00523430">
        <w:t>C</w:t>
      </w:r>
      <w:r w:rsidRPr="00322C7E">
        <w:t xml:space="preserve">yber </w:t>
      </w:r>
      <w:r w:rsidR="00523430">
        <w:t>S</w:t>
      </w:r>
      <w:r w:rsidRPr="00322C7E">
        <w:t xml:space="preserve">ystems against compromise that could lead to </w:t>
      </w:r>
      <w:proofErr w:type="spellStart"/>
      <w:r w:rsidRPr="00322C7E">
        <w:t>misoperation</w:t>
      </w:r>
      <w:proofErr w:type="spellEnd"/>
      <w:r w:rsidRPr="00322C7E">
        <w:t xml:space="preserve"> or instability in the BES.</w:t>
      </w:r>
    </w:p>
    <w:p w:rsidRPr="00322C7E" w:rsidR="00672C27" w:rsidP="00322C7E" w:rsidRDefault="00672C27" w14:paraId="6A21F626" w14:textId="409CF8FB">
      <w:pPr>
        <w:numPr>
          <w:ilvl w:val="0"/>
          <w:numId w:val="24"/>
        </w:numPr>
      </w:pPr>
      <w:r w:rsidRPr="00E05D95">
        <w:rPr>
          <w:b/>
          <w:bCs/>
        </w:rPr>
        <w:t>CIP-012-1: Communications between Control Centers:</w:t>
      </w:r>
      <w:r>
        <w:t xml:space="preserve">  requires entities t</w:t>
      </w:r>
      <w:r w:rsidRPr="00672C27">
        <w:t>o protect the confidentiality and integrity of Real-time Assessment and Real-time monitoring data transmitted between Control Centers.</w:t>
      </w:r>
    </w:p>
    <w:p w:rsidRPr="00322C7E" w:rsidR="00322C7E" w:rsidP="00322C7E" w:rsidRDefault="00322C7E" w14:paraId="49ED6FC7" w14:textId="2F977B15">
      <w:pPr>
        <w:numPr>
          <w:ilvl w:val="0"/>
          <w:numId w:val="24"/>
        </w:numPr>
      </w:pPr>
      <w:r w:rsidRPr="00322C7E">
        <w:rPr>
          <w:b/>
          <w:bCs/>
        </w:rPr>
        <w:t>CIP-013-1: Supply Chain Risk Management:</w:t>
      </w:r>
      <w:r w:rsidRPr="00322C7E">
        <w:t xml:space="preserve"> </w:t>
      </w:r>
      <w:r w:rsidR="00A777D3">
        <w:t xml:space="preserve"> </w:t>
      </w:r>
      <w:r w:rsidRPr="00322C7E">
        <w:t xml:space="preserve">requires entities to mitigate cybersecurity risks by implementing security controls for supply chain risk management of BES </w:t>
      </w:r>
      <w:r w:rsidR="00523430">
        <w:t>C</w:t>
      </w:r>
      <w:r w:rsidRPr="00322C7E">
        <w:t xml:space="preserve">yber </w:t>
      </w:r>
      <w:r w:rsidR="00523430">
        <w:t>S</w:t>
      </w:r>
      <w:r w:rsidRPr="00322C7E">
        <w:t>ystems</w:t>
      </w:r>
      <w:r w:rsidR="00A777D3">
        <w:t>.</w:t>
      </w:r>
    </w:p>
    <w:p w:rsidRPr="00322C7E" w:rsidR="00322C7E" w:rsidP="00322C7E" w:rsidRDefault="00322C7E" w14:paraId="34E60A72" w14:textId="77777777"/>
    <w:p w:rsidRPr="00322C7E" w:rsidR="00322C7E" w:rsidP="004D2B69" w:rsidRDefault="00322C7E" w14:paraId="782B997E" w14:textId="10755BE9">
      <w:pPr>
        <w:pStyle w:val="FERCNopara"/>
      </w:pPr>
      <w:r w:rsidRPr="00322C7E">
        <w:lastRenderedPageBreak/>
        <w:t xml:space="preserve">The CIP </w:t>
      </w:r>
      <w:r w:rsidR="00BD7437">
        <w:t>Reliability S</w:t>
      </w:r>
      <w:r w:rsidRPr="00322C7E">
        <w:t>tandards, viewed as a whole, constitute a defense-in-depth</w:t>
      </w:r>
      <w:r w:rsidR="00EA0FDE">
        <w:rPr>
          <w:rStyle w:val="FootnoteReference"/>
        </w:rPr>
        <w:footnoteReference w:id="24"/>
      </w:r>
      <w:r w:rsidRPr="00322C7E">
        <w:t xml:space="preserve"> approach to cybersecurity based on an assessment of risk.  </w:t>
      </w:r>
      <w:r w:rsidR="00790E47">
        <w:t>T</w:t>
      </w:r>
      <w:r w:rsidRPr="00322C7E">
        <w:t xml:space="preserve">he CIP </w:t>
      </w:r>
      <w:r w:rsidR="00BD7437">
        <w:t>R</w:t>
      </w:r>
      <w:r w:rsidRPr="00322C7E">
        <w:t xml:space="preserve">eliability </w:t>
      </w:r>
      <w:r w:rsidR="00BD7437">
        <w:t>S</w:t>
      </w:r>
      <w:r w:rsidRPr="00322C7E">
        <w:t xml:space="preserve">tandards are objective-based and </w:t>
      </w:r>
      <w:r w:rsidR="00790E47">
        <w:t xml:space="preserve">allow </w:t>
      </w:r>
      <w:r w:rsidRPr="00322C7E">
        <w:t xml:space="preserve">responsible entities to choose compliance approaches best tailored to their systems.  </w:t>
      </w:r>
    </w:p>
    <w:p w:rsidRPr="008354F9" w:rsidR="008354F9" w:rsidP="005B18D5" w:rsidRDefault="00DF73E4" w14:paraId="415751C4" w14:textId="234EA2DA">
      <w:pPr>
        <w:pStyle w:val="Heading1"/>
      </w:pPr>
      <w:r>
        <w:t>Infrastructure Security</w:t>
      </w:r>
      <w:r w:rsidRPr="008354F9" w:rsidR="008354F9">
        <w:t xml:space="preserve"> </w:t>
      </w:r>
    </w:p>
    <w:p w:rsidR="00947E89" w:rsidP="00947E89" w:rsidRDefault="00947E89" w14:paraId="2A0FF2AA" w14:textId="533C6A50">
      <w:pPr>
        <w:pStyle w:val="Heading2"/>
      </w:pPr>
      <w:r w:rsidRPr="008354F9">
        <w:t xml:space="preserve">Commission </w:t>
      </w:r>
      <w:r w:rsidR="006262E3">
        <w:t xml:space="preserve">and Staff </w:t>
      </w:r>
      <w:r w:rsidRPr="008354F9">
        <w:t xml:space="preserve">Efforts to </w:t>
      </w:r>
      <w:r w:rsidR="006262E3">
        <w:t>Support</w:t>
      </w:r>
      <w:r w:rsidRPr="008354F9" w:rsidR="006262E3">
        <w:t xml:space="preserve"> </w:t>
      </w:r>
      <w:r>
        <w:t>Infrastructure Security</w:t>
      </w:r>
    </w:p>
    <w:p w:rsidR="007A172C" w:rsidP="00FD02D0" w:rsidRDefault="00B17332" w14:paraId="5A019D72" w14:textId="4635EA6C">
      <w:pPr>
        <w:pStyle w:val="FERCNopara"/>
        <w:rPr>
          <w:rFonts w:eastAsia="Times New Roman"/>
          <w:szCs w:val="26"/>
        </w:rPr>
      </w:pPr>
      <w:r w:rsidRPr="00B17332">
        <w:rPr>
          <w:rFonts w:eastAsia="Times New Roman"/>
          <w:szCs w:val="26"/>
        </w:rPr>
        <w:t xml:space="preserve">In conjunction with mandatory </w:t>
      </w:r>
      <w:r w:rsidR="00BF4857">
        <w:rPr>
          <w:rFonts w:eastAsia="Times New Roman"/>
          <w:szCs w:val="26"/>
        </w:rPr>
        <w:t>Reliability S</w:t>
      </w:r>
      <w:r w:rsidRPr="00B17332">
        <w:rPr>
          <w:rFonts w:eastAsia="Times New Roman"/>
          <w:szCs w:val="26"/>
        </w:rPr>
        <w:t>tandards, the Commission has used its authorit</w:t>
      </w:r>
      <w:r w:rsidR="006262E3">
        <w:rPr>
          <w:rFonts w:eastAsia="Times New Roman"/>
          <w:szCs w:val="26"/>
        </w:rPr>
        <w:t>y</w:t>
      </w:r>
      <w:r w:rsidRPr="00B17332">
        <w:rPr>
          <w:rFonts w:eastAsia="Times New Roman"/>
          <w:szCs w:val="26"/>
        </w:rPr>
        <w:t xml:space="preserve"> to provide incentives for infrastructure security</w:t>
      </w:r>
      <w:r w:rsidR="004B5790">
        <w:rPr>
          <w:rFonts w:eastAsia="Times New Roman"/>
          <w:szCs w:val="26"/>
        </w:rPr>
        <w:t>,</w:t>
      </w:r>
      <w:r w:rsidRPr="00B17332">
        <w:rPr>
          <w:rFonts w:eastAsia="Times New Roman"/>
          <w:szCs w:val="26"/>
        </w:rPr>
        <w:t xml:space="preserve"> </w:t>
      </w:r>
      <w:r w:rsidR="006262E3">
        <w:rPr>
          <w:rFonts w:eastAsia="Times New Roman"/>
          <w:szCs w:val="26"/>
        </w:rPr>
        <w:t>ranging</w:t>
      </w:r>
      <w:r w:rsidR="007A172C">
        <w:rPr>
          <w:rFonts w:eastAsia="Times New Roman"/>
          <w:szCs w:val="26"/>
        </w:rPr>
        <w:t xml:space="preserve"> from recovery of the costs of prudently incurred transmission infrastructure investments</w:t>
      </w:r>
      <w:r w:rsidR="006262E3">
        <w:rPr>
          <w:rFonts w:eastAsia="Times New Roman"/>
          <w:szCs w:val="26"/>
        </w:rPr>
        <w:t xml:space="preserve"> to</w:t>
      </w:r>
      <w:r w:rsidR="007A172C">
        <w:rPr>
          <w:rFonts w:eastAsia="Times New Roman"/>
          <w:szCs w:val="26"/>
        </w:rPr>
        <w:t xml:space="preserve"> </w:t>
      </w:r>
      <w:r w:rsidR="006262E3">
        <w:rPr>
          <w:rFonts w:eastAsia="Times New Roman"/>
          <w:szCs w:val="26"/>
        </w:rPr>
        <w:t>encouraging</w:t>
      </w:r>
      <w:r w:rsidR="007A172C">
        <w:rPr>
          <w:rFonts w:eastAsia="Times New Roman"/>
          <w:szCs w:val="26"/>
        </w:rPr>
        <w:t xml:space="preserve"> infrastructure security investments</w:t>
      </w:r>
      <w:r w:rsidR="006262E3">
        <w:rPr>
          <w:rFonts w:eastAsia="Times New Roman"/>
          <w:szCs w:val="26"/>
        </w:rPr>
        <w:t>.</w:t>
      </w:r>
      <w:r w:rsidRPr="006262E3" w:rsidR="006262E3">
        <w:rPr>
          <w:rFonts w:eastAsia="Times New Roman"/>
          <w:szCs w:val="26"/>
        </w:rPr>
        <w:t xml:space="preserve"> </w:t>
      </w:r>
      <w:r w:rsidR="006262E3">
        <w:rPr>
          <w:rFonts w:eastAsia="Times New Roman"/>
          <w:szCs w:val="26"/>
        </w:rPr>
        <w:t xml:space="preserve"> Staff has engaged </w:t>
      </w:r>
      <w:r w:rsidR="00975972">
        <w:rPr>
          <w:rFonts w:eastAsia="Times New Roman"/>
          <w:szCs w:val="26"/>
        </w:rPr>
        <w:t>with</w:t>
      </w:r>
      <w:r w:rsidR="006262E3">
        <w:rPr>
          <w:rFonts w:eastAsia="Times New Roman"/>
          <w:szCs w:val="26"/>
        </w:rPr>
        <w:t xml:space="preserve"> utilities to encourage voluntary infrastructure security investments</w:t>
      </w:r>
      <w:r w:rsidR="007A172C">
        <w:rPr>
          <w:rFonts w:eastAsia="Times New Roman"/>
          <w:szCs w:val="26"/>
        </w:rPr>
        <w:t xml:space="preserve"> </w:t>
      </w:r>
      <w:r w:rsidR="00BB7A24">
        <w:rPr>
          <w:rFonts w:eastAsia="Times New Roman"/>
          <w:szCs w:val="26"/>
        </w:rPr>
        <w:t>and implementation of</w:t>
      </w:r>
      <w:r w:rsidR="007A172C">
        <w:rPr>
          <w:rFonts w:eastAsia="Times New Roman"/>
          <w:szCs w:val="26"/>
        </w:rPr>
        <w:t xml:space="preserve"> </w:t>
      </w:r>
      <w:r w:rsidR="00D45D68">
        <w:rPr>
          <w:rFonts w:eastAsia="Times New Roman"/>
          <w:szCs w:val="26"/>
        </w:rPr>
        <w:t>best practices for</w:t>
      </w:r>
      <w:r w:rsidR="007A172C">
        <w:rPr>
          <w:rFonts w:eastAsia="Times New Roman"/>
          <w:szCs w:val="26"/>
        </w:rPr>
        <w:t xml:space="preserve"> cybersecurity </w:t>
      </w:r>
      <w:r w:rsidR="00FE79F1">
        <w:rPr>
          <w:rFonts w:eastAsia="Times New Roman"/>
          <w:szCs w:val="26"/>
        </w:rPr>
        <w:t>measures</w:t>
      </w:r>
      <w:r w:rsidR="007A172C">
        <w:rPr>
          <w:rFonts w:eastAsia="Times New Roman"/>
          <w:szCs w:val="26"/>
        </w:rPr>
        <w:t>.</w:t>
      </w:r>
      <w:r w:rsidR="006262E3">
        <w:rPr>
          <w:rFonts w:eastAsia="Times New Roman"/>
          <w:szCs w:val="26"/>
        </w:rPr>
        <w:t xml:space="preserve">   </w:t>
      </w:r>
      <w:r w:rsidR="007A172C">
        <w:rPr>
          <w:rFonts w:eastAsia="Times New Roman"/>
          <w:szCs w:val="26"/>
        </w:rPr>
        <w:t xml:space="preserve">  </w:t>
      </w:r>
      <w:r>
        <w:rPr>
          <w:rFonts w:eastAsia="Times New Roman"/>
          <w:szCs w:val="26"/>
        </w:rPr>
        <w:t xml:space="preserve"> </w:t>
      </w:r>
    </w:p>
    <w:p w:rsidR="00947E89" w:rsidP="00FD02D0" w:rsidRDefault="00FE79F1" w14:paraId="17B6AB63" w14:textId="44ACEA15">
      <w:pPr>
        <w:pStyle w:val="FERCNopara"/>
      </w:pPr>
      <w:r>
        <w:rPr>
          <w:rFonts w:eastAsia="Times New Roman"/>
          <w:szCs w:val="26"/>
        </w:rPr>
        <w:t>Under the</w:t>
      </w:r>
      <w:r w:rsidR="007A172C">
        <w:rPr>
          <w:rFonts w:eastAsia="Times New Roman"/>
          <w:szCs w:val="26"/>
        </w:rPr>
        <w:t xml:space="preserve"> </w:t>
      </w:r>
      <w:r>
        <w:rPr>
          <w:rFonts w:eastAsia="Times New Roman"/>
          <w:szCs w:val="26"/>
        </w:rPr>
        <w:t>Commission’s ratemaking authority</w:t>
      </w:r>
      <w:r w:rsidR="007A172C">
        <w:rPr>
          <w:rFonts w:eastAsia="Times New Roman"/>
          <w:szCs w:val="26"/>
        </w:rPr>
        <w:t xml:space="preserve">, </w:t>
      </w:r>
      <w:r>
        <w:rPr>
          <w:rFonts w:eastAsia="Times New Roman"/>
          <w:szCs w:val="26"/>
        </w:rPr>
        <w:t xml:space="preserve">the Commission has authorized </w:t>
      </w:r>
      <w:r w:rsidR="007A172C">
        <w:rPr>
          <w:rFonts w:eastAsia="Times New Roman"/>
          <w:szCs w:val="26"/>
        </w:rPr>
        <w:t>u</w:t>
      </w:r>
      <w:r w:rsidR="007E073E">
        <w:rPr>
          <w:rFonts w:eastAsia="Times New Roman"/>
          <w:szCs w:val="26"/>
        </w:rPr>
        <w:t xml:space="preserve">tilities </w:t>
      </w:r>
      <w:r w:rsidR="00D842A8">
        <w:rPr>
          <w:rFonts w:eastAsia="Times New Roman"/>
          <w:szCs w:val="26"/>
        </w:rPr>
        <w:t>with formula rates</w:t>
      </w:r>
      <w:r w:rsidR="00B17332">
        <w:rPr>
          <w:rFonts w:eastAsia="Times New Roman"/>
          <w:szCs w:val="26"/>
        </w:rPr>
        <w:t>, for example,</w:t>
      </w:r>
      <w:r w:rsidR="00D842A8">
        <w:rPr>
          <w:rFonts w:eastAsia="Times New Roman"/>
          <w:szCs w:val="26"/>
        </w:rPr>
        <w:t xml:space="preserve"> </w:t>
      </w:r>
      <w:r>
        <w:rPr>
          <w:rFonts w:eastAsia="Times New Roman"/>
          <w:szCs w:val="26"/>
        </w:rPr>
        <w:t>to</w:t>
      </w:r>
      <w:r w:rsidR="007E073E">
        <w:rPr>
          <w:rFonts w:eastAsia="Times New Roman"/>
          <w:szCs w:val="26"/>
        </w:rPr>
        <w:t xml:space="preserve"> recover </w:t>
      </w:r>
      <w:r w:rsidR="00F77E4A">
        <w:rPr>
          <w:rFonts w:eastAsia="Times New Roman"/>
          <w:szCs w:val="26"/>
        </w:rPr>
        <w:t xml:space="preserve">prudently incurred costs </w:t>
      </w:r>
      <w:r w:rsidR="007A172C">
        <w:rPr>
          <w:rFonts w:eastAsia="Times New Roman"/>
          <w:szCs w:val="26"/>
        </w:rPr>
        <w:t xml:space="preserve">related to </w:t>
      </w:r>
      <w:r w:rsidR="00EF074E">
        <w:rPr>
          <w:rFonts w:eastAsia="Times New Roman"/>
          <w:szCs w:val="26"/>
        </w:rPr>
        <w:t>“s</w:t>
      </w:r>
      <w:r w:rsidR="007A172C">
        <w:rPr>
          <w:rFonts w:eastAsia="Times New Roman"/>
          <w:szCs w:val="26"/>
        </w:rPr>
        <w:t>ecurity</w:t>
      </w:r>
      <w:r w:rsidR="00F77E4A">
        <w:rPr>
          <w:rFonts w:eastAsia="Times New Roman"/>
          <w:szCs w:val="26"/>
        </w:rPr>
        <w:t xml:space="preserve"> </w:t>
      </w:r>
      <w:r w:rsidR="008A16F6">
        <w:rPr>
          <w:rFonts w:eastAsia="Times New Roman"/>
          <w:szCs w:val="26"/>
        </w:rPr>
        <w:t>and reliability</w:t>
      </w:r>
      <w:r w:rsidRPr="005B18D5" w:rsidR="008A16F6">
        <w:rPr>
          <w:rFonts w:eastAsia="Times New Roman"/>
          <w:szCs w:val="26"/>
        </w:rPr>
        <w:t xml:space="preserve">” </w:t>
      </w:r>
      <w:r w:rsidRPr="005B18D5" w:rsidR="00D842A8">
        <w:rPr>
          <w:rFonts w:eastAsia="Times New Roman"/>
          <w:szCs w:val="26"/>
        </w:rPr>
        <w:t>t</w:t>
      </w:r>
      <w:r w:rsidRPr="005B18D5" w:rsidR="007E073E">
        <w:rPr>
          <w:rFonts w:eastAsia="Times New Roman"/>
          <w:szCs w:val="26"/>
        </w:rPr>
        <w:t>hrough formula rates</w:t>
      </w:r>
      <w:r w:rsidRPr="005B18D5" w:rsidR="00947E89">
        <w:rPr>
          <w:rFonts w:eastAsia="Times New Roman"/>
          <w:szCs w:val="26"/>
        </w:rPr>
        <w:t>.</w:t>
      </w:r>
      <w:r w:rsidRPr="005B18D5" w:rsidR="00774AC1">
        <w:rPr>
          <w:rStyle w:val="FootnoteReference"/>
          <w:rFonts w:eastAsia="Times New Roman"/>
          <w:szCs w:val="26"/>
        </w:rPr>
        <w:footnoteReference w:id="25"/>
      </w:r>
      <w:r w:rsidRPr="005B18D5" w:rsidR="00947E89">
        <w:rPr>
          <w:rFonts w:eastAsia="Times New Roman"/>
          <w:szCs w:val="26"/>
        </w:rPr>
        <w:t xml:space="preserve"> </w:t>
      </w:r>
      <w:r w:rsidRPr="005B18D5" w:rsidR="009530DE">
        <w:rPr>
          <w:rFonts w:eastAsia="Times New Roman"/>
          <w:szCs w:val="26"/>
        </w:rPr>
        <w:t xml:space="preserve"> </w:t>
      </w:r>
      <w:r w:rsidRPr="005B18D5" w:rsidR="00D63E28">
        <w:rPr>
          <w:rFonts w:eastAsia="Times New Roman"/>
          <w:szCs w:val="26"/>
        </w:rPr>
        <w:t>C</w:t>
      </w:r>
      <w:r w:rsidRPr="005B18D5" w:rsidR="00947E89">
        <w:rPr>
          <w:rFonts w:eastAsia="Times New Roman"/>
          <w:szCs w:val="26"/>
        </w:rPr>
        <w:t>ybersecurity activities can be included in a wide range of accounting categories</w:t>
      </w:r>
      <w:r w:rsidRPr="005B18D5" w:rsidR="00C61AEB">
        <w:rPr>
          <w:rFonts w:eastAsia="Times New Roman"/>
          <w:szCs w:val="26"/>
        </w:rPr>
        <w:t>,</w:t>
      </w:r>
      <w:r w:rsidRPr="005B18D5" w:rsidR="00947E89">
        <w:rPr>
          <w:rFonts w:eastAsia="Times New Roman"/>
          <w:szCs w:val="24"/>
        </w:rPr>
        <w:t xml:space="preserve"> which are then automatically flowed through and recovered in formula rates either as plant components within rate base or as expense line items of the formula rate, depending on the nature of the cost that the utility incurs.  These costs include</w:t>
      </w:r>
      <w:r w:rsidRPr="0039529A" w:rsidR="00947E89">
        <w:rPr>
          <w:rFonts w:eastAsia="Times New Roman"/>
          <w:szCs w:val="24"/>
        </w:rPr>
        <w:t xml:space="preserve"> transmission plant (e.g., transmission line upgrades to harden the system), general and intangible plant (e.g., software, computers, and cybersecurity investments), operations and maintenance (e.g., computer hardware, software, substations, and transmission systems), and administrative and general line items (e.g., labor, associated personnel, and outside services).</w:t>
      </w:r>
      <w:r w:rsidRPr="0039529A" w:rsidR="00947E89">
        <w:rPr>
          <w:rFonts w:eastAsia="Times New Roman"/>
          <w:sz w:val="16"/>
          <w:szCs w:val="16"/>
        </w:rPr>
        <w:t xml:space="preserve"> </w:t>
      </w:r>
      <w:r w:rsidRPr="0039529A" w:rsidR="00947E89">
        <w:rPr>
          <w:rFonts w:eastAsia="Times New Roman"/>
          <w:szCs w:val="24"/>
        </w:rPr>
        <w:t xml:space="preserve"> The ability to automatically recover</w:t>
      </w:r>
      <w:r w:rsidR="00C5104C">
        <w:rPr>
          <w:rFonts w:eastAsia="Times New Roman"/>
          <w:szCs w:val="24"/>
        </w:rPr>
        <w:t xml:space="preserve"> prudently incurred</w:t>
      </w:r>
      <w:r w:rsidRPr="0039529A" w:rsidR="00947E89">
        <w:rPr>
          <w:rFonts w:eastAsia="Times New Roman"/>
          <w:szCs w:val="24"/>
        </w:rPr>
        <w:t xml:space="preserve"> investments in transmission infrastructure security as they are incurred provides a significant incentive for utilities to make such investments. </w:t>
      </w:r>
      <w:r w:rsidR="00F04285">
        <w:rPr>
          <w:rFonts w:eastAsia="Times New Roman"/>
          <w:szCs w:val="24"/>
        </w:rPr>
        <w:t xml:space="preserve"> </w:t>
      </w:r>
      <w:r w:rsidRPr="0039529A" w:rsidR="0004415D">
        <w:t xml:space="preserve">In addition, the Commission has </w:t>
      </w:r>
      <w:r w:rsidR="00834942">
        <w:t xml:space="preserve">accepted utility proposals </w:t>
      </w:r>
      <w:r w:rsidRPr="0039529A" w:rsidR="0004415D">
        <w:t xml:space="preserve">to recover security costs as part of </w:t>
      </w:r>
      <w:r w:rsidR="00834942">
        <w:t>utili</w:t>
      </w:r>
      <w:r w:rsidR="000507A1">
        <w:t>ti</w:t>
      </w:r>
      <w:r w:rsidR="00834942">
        <w:t>es’</w:t>
      </w:r>
      <w:r w:rsidRPr="0039529A" w:rsidR="0004415D">
        <w:t xml:space="preserve"> </w:t>
      </w:r>
      <w:r w:rsidRPr="0039529A" w:rsidR="0004415D">
        <w:lastRenderedPageBreak/>
        <w:t>stated rates.</w:t>
      </w:r>
      <w:r w:rsidRPr="0039529A" w:rsidR="0004415D">
        <w:rPr>
          <w:b/>
          <w:vertAlign w:val="superscript"/>
        </w:rPr>
        <w:footnoteReference w:id="26"/>
      </w:r>
      <w:r w:rsidRPr="0039529A" w:rsidR="0004415D">
        <w:t xml:space="preserve">  </w:t>
      </w:r>
    </w:p>
    <w:p w:rsidR="00947E89" w:rsidP="00FD02D0" w:rsidRDefault="00947E89" w14:paraId="1E0DDB76" w14:textId="3E761AED">
      <w:pPr>
        <w:pStyle w:val="FERCNopara"/>
      </w:pPr>
      <w:r>
        <w:t xml:space="preserve">The Commission has taken a variety of actions designed to more specifically incent infrastructure security.  On September 14, 2001, days after the terrorist attacks of September 11, 2001, the Commission issued a policy statement in which it recognized that </w:t>
      </w:r>
      <w:r w:rsidR="00693820">
        <w:t>“</w:t>
      </w:r>
      <w:r w:rsidR="00E80598">
        <w:t>electric</w:t>
      </w:r>
      <w:r w:rsidRPr="00693820" w:rsidR="00693820">
        <w:t xml:space="preserve">, gas, and oil </w:t>
      </w:r>
      <w:r>
        <w:t>companies may need to adopt new procedures, update existing procedures, and install facilities to further safeguard their electric power transmission grid</w:t>
      </w:r>
      <w:r w:rsidRPr="00693820" w:rsidR="00693820">
        <w:t xml:space="preserve"> and gas and oil pipeline systems</w:t>
      </w:r>
      <w:r>
        <w:t>.</w:t>
      </w:r>
      <w:r w:rsidR="00693820">
        <w:t>”</w:t>
      </w:r>
      <w:r>
        <w:rPr>
          <w:rStyle w:val="FootnoteReference"/>
        </w:rPr>
        <w:footnoteReference w:id="27"/>
      </w:r>
      <w:r>
        <w:t xml:space="preserve">  The Commission stated that it would </w:t>
      </w:r>
      <w:r w:rsidR="004622BA">
        <w:t>“</w:t>
      </w:r>
      <w:r>
        <w:t xml:space="preserve">approve applications to recover prudently incurred costs necessary to further safeguard the </w:t>
      </w:r>
      <w:r w:rsidR="00C61AEB">
        <w:t>reliability</w:t>
      </w:r>
      <w:r>
        <w:t xml:space="preserve"> and security of our energy supply infrastructure.”</w:t>
      </w:r>
      <w:r>
        <w:rPr>
          <w:rStyle w:val="FootnoteReference"/>
        </w:rPr>
        <w:footnoteReference w:id="28"/>
      </w:r>
      <w:r>
        <w:t xml:space="preserve">  The Commission also noted that companies could propose a separate rate recovery mechanism, such as a surcharge to currently existing rates or some other cost recovery method, for such costs.</w:t>
      </w:r>
      <w:r>
        <w:rPr>
          <w:rStyle w:val="FootnoteReference"/>
        </w:rPr>
        <w:footnoteReference w:id="29"/>
      </w:r>
      <w:r>
        <w:t xml:space="preserve">  </w:t>
      </w:r>
    </w:p>
    <w:p w:rsidRPr="0039529A" w:rsidR="00947E89" w:rsidP="00A047B1" w:rsidRDefault="003C574C" w14:paraId="56D5FD49" w14:textId="02CCA4DA">
      <w:pPr>
        <w:pStyle w:val="FERCNopara"/>
      </w:pPr>
      <w:r>
        <w:t>In addition, t</w:t>
      </w:r>
      <w:r w:rsidR="00F80307">
        <w:t xml:space="preserve">he Commission has authorized programs to enhance security through transmission equipment sharing. </w:t>
      </w:r>
      <w:r w:rsidR="003F705A">
        <w:t xml:space="preserve"> </w:t>
      </w:r>
      <w:r w:rsidR="00F80307">
        <w:t>For example, i</w:t>
      </w:r>
      <w:r w:rsidRPr="0039529A" w:rsidR="00947E89">
        <w:t xml:space="preserve">n </w:t>
      </w:r>
      <w:r w:rsidR="005A2B13">
        <w:t>2006</w:t>
      </w:r>
      <w:r w:rsidRPr="0039529A" w:rsidR="00947E89">
        <w:t>, the Commission approved a proposal designed to increase the industry's inventory of spare electric transformers</w:t>
      </w:r>
      <w:r w:rsidR="00B25DCB">
        <w:t xml:space="preserve"> and provided related incentives</w:t>
      </w:r>
      <w:r w:rsidRPr="0039529A" w:rsidR="00947E89">
        <w:t xml:space="preserve">.  A group of investor-owned utilities developed a Spare Transformer Sharing Agreement (STEP Agreement) intended to “ensure that the </w:t>
      </w:r>
      <w:r w:rsidR="00BC7DA6">
        <w:t>electric</w:t>
      </w:r>
      <w:r w:rsidRPr="0039529A" w:rsidR="00947E89">
        <w:t xml:space="preserve"> industry has sufficient capability to restore service in the event of coordinated, deliberate destruction of utility substations.”</w:t>
      </w:r>
      <w:r w:rsidRPr="0039529A" w:rsidR="00947E89">
        <w:rPr>
          <w:b/>
          <w:vertAlign w:val="superscript"/>
        </w:rPr>
        <w:footnoteReference w:id="30"/>
      </w:r>
      <w:r w:rsidRPr="0039529A" w:rsidR="00947E89">
        <w:t xml:space="preserve">  The Commission’s order provided for blanket authorization under FPA section 203</w:t>
      </w:r>
      <w:r w:rsidRPr="0039529A" w:rsidR="00947E89">
        <w:rPr>
          <w:b/>
          <w:vertAlign w:val="superscript"/>
        </w:rPr>
        <w:footnoteReference w:id="31"/>
      </w:r>
      <w:r w:rsidRPr="0039529A" w:rsidR="00947E89">
        <w:t xml:space="preserve"> for any of the STEP Agreement’s signatories to be permitted to transfer transformers under the STEP Agreement.</w:t>
      </w:r>
      <w:r w:rsidRPr="0039529A" w:rsidR="00947E89">
        <w:rPr>
          <w:b/>
          <w:vertAlign w:val="superscript"/>
        </w:rPr>
        <w:footnoteReference w:id="32"/>
      </w:r>
      <w:r w:rsidRPr="0039529A" w:rsidR="00947E89">
        <w:t xml:space="preserve">  To encourage participation in the STEP Agreement, the Commission also </w:t>
      </w:r>
      <w:r w:rsidR="001D1DE1">
        <w:t>found that</w:t>
      </w:r>
      <w:r w:rsidRPr="0039529A" w:rsidR="00947E89">
        <w:t xml:space="preserve"> participation in the STEP Agreement </w:t>
      </w:r>
      <w:r w:rsidR="001D1DE1">
        <w:t xml:space="preserve">was </w:t>
      </w:r>
      <w:r w:rsidRPr="0039529A" w:rsidR="00947E89">
        <w:t>prudent, the costs of participation qualif</w:t>
      </w:r>
      <w:r w:rsidR="001D1DE1">
        <w:t>ied</w:t>
      </w:r>
      <w:r w:rsidRPr="0039529A" w:rsidR="00947E89">
        <w:t xml:space="preserve"> for single</w:t>
      </w:r>
      <w:r w:rsidR="001D1DE1">
        <w:t>-</w:t>
      </w:r>
      <w:r w:rsidRPr="0039529A" w:rsidR="00947E89">
        <w:t>issue rate treatment, and accord</w:t>
      </w:r>
      <w:r w:rsidR="001D1DE1">
        <w:t>ed</w:t>
      </w:r>
      <w:r w:rsidRPr="0039529A" w:rsidR="00947E89">
        <w:t xml:space="preserve"> all future jurisdictional signatories to the STEP Agreement the </w:t>
      </w:r>
      <w:r w:rsidRPr="0039529A" w:rsidR="00947E89">
        <w:lastRenderedPageBreak/>
        <w:t>same benefits as current signatories.</w:t>
      </w:r>
      <w:r w:rsidRPr="0039529A" w:rsidR="00947E89">
        <w:rPr>
          <w:b/>
          <w:vertAlign w:val="superscript"/>
        </w:rPr>
        <w:footnoteReference w:id="33"/>
      </w:r>
    </w:p>
    <w:p w:rsidR="00A85A20" w:rsidP="007C6CFF" w:rsidRDefault="00947E89" w14:paraId="06DFECBE" w14:textId="3AC14F3F">
      <w:pPr>
        <w:pStyle w:val="FERCNopara"/>
        <w:rPr>
          <w:bCs/>
          <w:szCs w:val="26"/>
        </w:rPr>
      </w:pPr>
      <w:r>
        <w:t>With respect to single-issue ratemaking, typically,</w:t>
      </w:r>
      <w:r w:rsidRPr="0039529A">
        <w:t xml:space="preserve"> when a utility files to change its rates pursuant to FPA section 205, the Commission considers the utility’s total cost of providing service in the Commission’s determination of a just and reasonable rate.  </w:t>
      </w:r>
      <w:r w:rsidRPr="0039529A">
        <w:rPr>
          <w:bCs/>
          <w:szCs w:val="26"/>
        </w:rPr>
        <w:t xml:space="preserve">Thus, the Commission’s regulations </w:t>
      </w:r>
      <w:r>
        <w:rPr>
          <w:bCs/>
          <w:szCs w:val="26"/>
        </w:rPr>
        <w:t xml:space="preserve">generally </w:t>
      </w:r>
      <w:r w:rsidRPr="0039529A">
        <w:rPr>
          <w:bCs/>
          <w:szCs w:val="26"/>
        </w:rPr>
        <w:t>require</w:t>
      </w:r>
      <w:r w:rsidRPr="0039529A">
        <w:rPr>
          <w:szCs w:val="26"/>
        </w:rPr>
        <w:t xml:space="preserve"> a utility seeking a rate increase to file a comprehensive cost-of-service study on all of its transmission costs, rather than focus on just a single or limited component(s) of the utility’s rate.</w:t>
      </w:r>
      <w:r w:rsidRPr="0039529A">
        <w:rPr>
          <w:b/>
          <w:vertAlign w:val="superscript"/>
        </w:rPr>
        <w:footnoteReference w:id="34"/>
      </w:r>
      <w:r w:rsidRPr="0039529A">
        <w:rPr>
          <w:szCs w:val="26"/>
        </w:rPr>
        <w:t xml:space="preserve">  </w:t>
      </w:r>
      <w:r w:rsidRPr="0039529A">
        <w:rPr>
          <w:bCs/>
          <w:szCs w:val="26"/>
        </w:rPr>
        <w:t xml:space="preserve">To encourage investment in critical transmission infrastructure security, the Commission </w:t>
      </w:r>
      <w:r w:rsidR="004A36DB">
        <w:rPr>
          <w:bCs/>
          <w:szCs w:val="26"/>
        </w:rPr>
        <w:t xml:space="preserve">has indicated its willingness to </w:t>
      </w:r>
      <w:r w:rsidRPr="0039529A">
        <w:rPr>
          <w:bCs/>
          <w:szCs w:val="26"/>
        </w:rPr>
        <w:t xml:space="preserve">waive </w:t>
      </w:r>
      <w:r w:rsidR="004A36DB">
        <w:rPr>
          <w:bCs/>
          <w:szCs w:val="26"/>
        </w:rPr>
        <w:t>its</w:t>
      </w:r>
      <w:r w:rsidRPr="0039529A">
        <w:rPr>
          <w:bCs/>
          <w:szCs w:val="26"/>
        </w:rPr>
        <w:t xml:space="preserve"> regulations and allow a utility to request a selective adjustment to recover </w:t>
      </w:r>
      <w:r w:rsidRPr="0039529A">
        <w:t>costs associated with an incremental transmission line or upgrade or an incremental component of a transmission line (such as a change to return on equity or requests for financial transmission investment incentives)</w:t>
      </w:r>
      <w:r>
        <w:rPr>
          <w:bCs/>
          <w:szCs w:val="26"/>
        </w:rPr>
        <w:t>.</w:t>
      </w:r>
      <w:r w:rsidRPr="0039529A" w:rsidR="00965846">
        <w:rPr>
          <w:b/>
          <w:szCs w:val="26"/>
          <w:vertAlign w:val="superscript"/>
        </w:rPr>
        <w:footnoteReference w:id="35"/>
      </w:r>
      <w:r w:rsidR="0004415D">
        <w:rPr>
          <w:bCs/>
          <w:szCs w:val="26"/>
        </w:rPr>
        <w:t xml:space="preserve">  </w:t>
      </w:r>
    </w:p>
    <w:p w:rsidR="00947E89" w:rsidP="00676743" w:rsidRDefault="00834942" w14:paraId="19FCD642" w14:textId="10986B75">
      <w:pPr>
        <w:pStyle w:val="FERCNopara"/>
      </w:pPr>
      <w:r>
        <w:t xml:space="preserve">The Commission has </w:t>
      </w:r>
      <w:r w:rsidR="004A36DB">
        <w:t xml:space="preserve">also </w:t>
      </w:r>
      <w:r>
        <w:t xml:space="preserve">examined </w:t>
      </w:r>
      <w:r w:rsidR="004A36DB">
        <w:t xml:space="preserve">maintaining the security and reliability of energy infrastructure and </w:t>
      </w:r>
      <w:r>
        <w:t>how to provide incentives</w:t>
      </w:r>
      <w:r w:rsidR="004A36DB">
        <w:t xml:space="preserve"> and cost recovery for security investments in energy</w:t>
      </w:r>
      <w:r>
        <w:t xml:space="preserve"> infrastructure.  </w:t>
      </w:r>
      <w:r w:rsidR="00326C9D">
        <w:t xml:space="preserve">On </w:t>
      </w:r>
      <w:r w:rsidR="00947E89">
        <w:t xml:space="preserve">March 28, 2019, the Commission and the United States Department of Energy convened a technical conference to discuss current cyber and physical security practices used to protect energy infrastructure and to explore how </w:t>
      </w:r>
      <w:r w:rsidR="0050222D">
        <w:t>f</w:t>
      </w:r>
      <w:r w:rsidR="00947E89">
        <w:t xml:space="preserve">ederal and </w:t>
      </w:r>
      <w:r w:rsidR="00F96B4C">
        <w:t>s</w:t>
      </w:r>
      <w:r w:rsidR="00947E89">
        <w:t>tate authorities can provide incentives and cost recovery for security investments in energy infrastructure, particularly for the electric and natural gas sectors</w:t>
      </w:r>
      <w:r w:rsidR="005F2884">
        <w:t xml:space="preserve">.  </w:t>
      </w:r>
      <w:r w:rsidR="00947E89">
        <w:t>Specifically, the technical conference was aimed at better understanding</w:t>
      </w:r>
      <w:r w:rsidR="00017CFC">
        <w:t>:</w:t>
      </w:r>
      <w:r w:rsidR="00947E89">
        <w:t xml:space="preserve"> </w:t>
      </w:r>
      <w:r w:rsidR="00676743">
        <w:t xml:space="preserve"> </w:t>
      </w:r>
      <w:r w:rsidR="00947E89">
        <w:t xml:space="preserve">(1) the types of cyber and physical security threats to energy infrastructure, particularly electric transmission, generation, and natural gas pipelines; (2) the need for security investments that go beyond those measures already required by mandatory reliability standards, including in infrastructure not subject to those standards (e.g., natural gas pipelines); (3) how the </w:t>
      </w:r>
      <w:r w:rsidR="006F7F57">
        <w:t>costs</w:t>
      </w:r>
      <w:r w:rsidR="00947E89">
        <w:t xml:space="preserve"> of such investments are or could be recovered; and (4) whether additional incentives for making such investments are needed, and</w:t>
      </w:r>
      <w:r w:rsidR="00F82ED8">
        <w:t>,</w:t>
      </w:r>
      <w:r w:rsidR="00947E89">
        <w:t xml:space="preserve"> if so, how those incentives </w:t>
      </w:r>
      <w:r w:rsidR="00947E89">
        <w:lastRenderedPageBreak/>
        <w:t>should be designed.</w:t>
      </w:r>
      <w:r w:rsidR="00947E89">
        <w:rPr>
          <w:rStyle w:val="FootnoteReference"/>
        </w:rPr>
        <w:footnoteReference w:id="36"/>
      </w:r>
    </w:p>
    <w:p w:rsidR="00947E89" w:rsidP="0096226D" w:rsidRDefault="00947E89" w14:paraId="12CDC844" w14:textId="6B51D094">
      <w:pPr>
        <w:pStyle w:val="FERCNopara"/>
      </w:pPr>
      <w:r>
        <w:t xml:space="preserve">The topic of how to incent cybersecurity was also </w:t>
      </w:r>
      <w:r w:rsidR="00F30E31">
        <w:t>addressed</w:t>
      </w:r>
      <w:r>
        <w:t xml:space="preserve"> in</w:t>
      </w:r>
      <w:r w:rsidRPr="004F1336">
        <w:t xml:space="preserve"> July 2018 and June 2019 reliability technical conferences</w:t>
      </w:r>
      <w:r>
        <w:t xml:space="preserve"> convened by the Commission.  The July 31, 2018, </w:t>
      </w:r>
      <w:r w:rsidRPr="008F129B">
        <w:rPr>
          <w:i/>
          <w:iCs/>
        </w:rPr>
        <w:t>2018 Reliability Technical Conference</w:t>
      </w:r>
      <w:r>
        <w:t xml:space="preserve"> included a panel discussion on “</w:t>
      </w:r>
      <w:r w:rsidRPr="00C902DE">
        <w:t>Addressing the Evolving Cybersecurity Threat</w:t>
      </w:r>
      <w:r>
        <w:t>.”</w:t>
      </w:r>
      <w:r>
        <w:rPr>
          <w:rStyle w:val="FootnoteReference"/>
        </w:rPr>
        <w:footnoteReference w:id="37"/>
      </w:r>
      <w:r>
        <w:t xml:space="preserve"> </w:t>
      </w:r>
      <w:r w:rsidR="005328C6">
        <w:t xml:space="preserve"> </w:t>
      </w:r>
      <w:r>
        <w:t xml:space="preserve">The June 27, 2019, </w:t>
      </w:r>
      <w:r w:rsidRPr="00B4003F">
        <w:rPr>
          <w:i/>
          <w:iCs/>
        </w:rPr>
        <w:t xml:space="preserve">2019 </w:t>
      </w:r>
      <w:r w:rsidRPr="00B4003F" w:rsidR="002852F6">
        <w:rPr>
          <w:i/>
          <w:iCs/>
        </w:rPr>
        <w:t>Reliability</w:t>
      </w:r>
      <w:r w:rsidRPr="00B4003F">
        <w:rPr>
          <w:i/>
          <w:iCs/>
        </w:rPr>
        <w:t xml:space="preserve"> Technical Conference </w:t>
      </w:r>
      <w:r>
        <w:t xml:space="preserve">examined topics that included </w:t>
      </w:r>
      <w:r w:rsidR="00976EB4">
        <w:t xml:space="preserve">adoption of </w:t>
      </w:r>
      <w:r>
        <w:t xml:space="preserve">cloud-based computer services and virtualization </w:t>
      </w:r>
      <w:r w:rsidR="00976EB4">
        <w:t>technologies</w:t>
      </w:r>
      <w:r>
        <w:t xml:space="preserve"> by utilities</w:t>
      </w:r>
      <w:r w:rsidR="00976EB4">
        <w:t xml:space="preserve"> in a manner that addresses security concerns</w:t>
      </w:r>
      <w:r>
        <w:t>.</w:t>
      </w:r>
      <w:r>
        <w:rPr>
          <w:rStyle w:val="FootnoteReference"/>
        </w:rPr>
        <w:footnoteReference w:id="38"/>
      </w:r>
    </w:p>
    <w:p w:rsidRPr="009E745F" w:rsidR="009E745F" w:rsidP="009E745F" w:rsidRDefault="00453AE7" w14:paraId="60C46C7B" w14:textId="514C613F">
      <w:pPr>
        <w:pStyle w:val="FERCNopara"/>
        <w:rPr>
          <w:rFonts w:eastAsia="Times New Roman"/>
          <w:szCs w:val="24"/>
        </w:rPr>
      </w:pPr>
      <w:r>
        <w:rPr>
          <w:rFonts w:eastAsia="Times New Roman"/>
          <w:szCs w:val="24"/>
        </w:rPr>
        <w:t>Finally, s</w:t>
      </w:r>
      <w:r w:rsidRPr="009E745F" w:rsidR="009E745F">
        <w:rPr>
          <w:rFonts w:eastAsia="Times New Roman"/>
          <w:szCs w:val="24"/>
        </w:rPr>
        <w:t>taff conducts</w:t>
      </w:r>
      <w:r w:rsidR="006C17D2">
        <w:rPr>
          <w:rFonts w:eastAsia="Times New Roman"/>
          <w:szCs w:val="24"/>
        </w:rPr>
        <w:t xml:space="preserve"> </w:t>
      </w:r>
      <w:r w:rsidRPr="009E745F" w:rsidR="009E745F">
        <w:rPr>
          <w:rFonts w:eastAsia="Times New Roman"/>
          <w:szCs w:val="24"/>
        </w:rPr>
        <w:t xml:space="preserve">voluntary security assessments </w:t>
      </w:r>
      <w:r w:rsidR="000B1583">
        <w:rPr>
          <w:rFonts w:eastAsia="Times New Roman"/>
          <w:szCs w:val="24"/>
        </w:rPr>
        <w:t xml:space="preserve">for utilities to identify threats and vulnerabilities </w:t>
      </w:r>
      <w:r w:rsidRPr="009E745F" w:rsidR="009E745F">
        <w:rPr>
          <w:rFonts w:eastAsia="Times New Roman"/>
          <w:szCs w:val="24"/>
        </w:rPr>
        <w:t xml:space="preserve">to </w:t>
      </w:r>
      <w:r w:rsidR="000B1583">
        <w:rPr>
          <w:rFonts w:eastAsia="Times New Roman"/>
          <w:szCs w:val="24"/>
        </w:rPr>
        <w:t>their</w:t>
      </w:r>
      <w:r w:rsidRPr="009E745F" w:rsidR="009E745F">
        <w:rPr>
          <w:rFonts w:eastAsia="Times New Roman"/>
          <w:szCs w:val="24"/>
        </w:rPr>
        <w:t xml:space="preserve"> energy infrastructure facilities and networks.  This engagement </w:t>
      </w:r>
      <w:r w:rsidR="000B1583">
        <w:rPr>
          <w:rFonts w:eastAsia="Times New Roman"/>
          <w:szCs w:val="24"/>
        </w:rPr>
        <w:t>allows the</w:t>
      </w:r>
      <w:r w:rsidRPr="009E745F" w:rsidR="009E745F">
        <w:rPr>
          <w:rFonts w:eastAsia="Times New Roman"/>
          <w:szCs w:val="24"/>
        </w:rPr>
        <w:t xml:space="preserve"> development of best practices to encourage the</w:t>
      </w:r>
      <w:r w:rsidR="000B1583">
        <w:rPr>
          <w:rFonts w:eastAsia="Times New Roman"/>
          <w:szCs w:val="24"/>
        </w:rPr>
        <w:t>se utilities</w:t>
      </w:r>
      <w:r w:rsidRPr="009E745F" w:rsidR="009E745F">
        <w:rPr>
          <w:rFonts w:eastAsia="Times New Roman"/>
          <w:szCs w:val="24"/>
        </w:rPr>
        <w:t xml:space="preserve"> to voluntarily make security changes </w:t>
      </w:r>
      <w:r w:rsidR="000B1583">
        <w:rPr>
          <w:rFonts w:eastAsia="Times New Roman"/>
          <w:szCs w:val="24"/>
        </w:rPr>
        <w:t>that</w:t>
      </w:r>
      <w:r w:rsidRPr="009E745F" w:rsidR="009E745F">
        <w:rPr>
          <w:rFonts w:eastAsia="Times New Roman"/>
          <w:szCs w:val="24"/>
        </w:rPr>
        <w:t xml:space="preserve"> may involve additional investments to better protect critical transmission infrastructure security</w:t>
      </w:r>
      <w:r w:rsidR="000B1583">
        <w:rPr>
          <w:rFonts w:eastAsia="Times New Roman"/>
          <w:szCs w:val="24"/>
        </w:rPr>
        <w:t xml:space="preserve">.  </w:t>
      </w:r>
      <w:r w:rsidR="00975972">
        <w:rPr>
          <w:rFonts w:eastAsia="Times New Roman"/>
          <w:szCs w:val="24"/>
        </w:rPr>
        <w:t>U</w:t>
      </w:r>
      <w:r w:rsidR="000B1583">
        <w:rPr>
          <w:rFonts w:eastAsia="Times New Roman"/>
          <w:szCs w:val="24"/>
        </w:rPr>
        <w:t xml:space="preserve">tilities </w:t>
      </w:r>
      <w:r w:rsidR="008B4AB1">
        <w:rPr>
          <w:rFonts w:eastAsia="Times New Roman"/>
          <w:szCs w:val="24"/>
        </w:rPr>
        <w:t xml:space="preserve">have an opportunity for </w:t>
      </w:r>
      <w:r w:rsidRPr="009E745F" w:rsidR="009E745F">
        <w:rPr>
          <w:rFonts w:eastAsia="Times New Roman"/>
          <w:szCs w:val="24"/>
        </w:rPr>
        <w:t>cost recovery</w:t>
      </w:r>
      <w:r w:rsidR="000B1583">
        <w:rPr>
          <w:rFonts w:eastAsia="Times New Roman"/>
          <w:szCs w:val="24"/>
        </w:rPr>
        <w:t xml:space="preserve"> for such investments</w:t>
      </w:r>
      <w:r w:rsidRPr="009E745F" w:rsidR="009E745F">
        <w:rPr>
          <w:rFonts w:eastAsia="Times New Roman"/>
          <w:szCs w:val="24"/>
        </w:rPr>
        <w:t>.</w:t>
      </w:r>
    </w:p>
    <w:p w:rsidR="008354F9" w:rsidP="008354F9" w:rsidRDefault="008354F9" w14:paraId="19065682" w14:textId="0FEF05C7">
      <w:pPr>
        <w:pStyle w:val="Heading2"/>
      </w:pPr>
      <w:r w:rsidRPr="008354F9">
        <w:t>The Need for Cybersecurity In</w:t>
      </w:r>
      <w:r w:rsidR="00DF73E4">
        <w:t>vestment</w:t>
      </w:r>
    </w:p>
    <w:p w:rsidR="00144DE2" w:rsidP="00144DE2" w:rsidRDefault="00C56A6A" w14:paraId="586B9054" w14:textId="5FBD51D2">
      <w:pPr>
        <w:pStyle w:val="FERCNopara"/>
      </w:pPr>
      <w:r>
        <w:t xml:space="preserve">As discussed above, the Commission has employed both </w:t>
      </w:r>
      <w:r w:rsidR="00EE7C49">
        <w:t xml:space="preserve">FPA </w:t>
      </w:r>
      <w:r>
        <w:t xml:space="preserve">section 215 and its other </w:t>
      </w:r>
      <w:r w:rsidR="00A912C1">
        <w:t>statutory authorit</w:t>
      </w:r>
      <w:r w:rsidR="00B2518B">
        <w:t>y</w:t>
      </w:r>
      <w:r w:rsidR="00A912C1">
        <w:t xml:space="preserve"> to </w:t>
      </w:r>
      <w:r w:rsidR="003E3E21">
        <w:t>address</w:t>
      </w:r>
      <w:r w:rsidR="00A912C1">
        <w:t xml:space="preserve"> cybersecurity across jurisdictional facilities.  To date, FPA</w:t>
      </w:r>
      <w:r w:rsidR="00EE7C49">
        <w:t xml:space="preserve"> </w:t>
      </w:r>
      <w:r w:rsidR="00FA081C">
        <w:t>section</w:t>
      </w:r>
      <w:r w:rsidR="00A912C1">
        <w:t xml:space="preserve"> 215 and the </w:t>
      </w:r>
      <w:r w:rsidR="00CB2AAB">
        <w:t>CIP</w:t>
      </w:r>
      <w:r w:rsidR="00A912C1">
        <w:t xml:space="preserve"> Reliability Standards </w:t>
      </w:r>
      <w:r w:rsidR="002C7EC5">
        <w:t xml:space="preserve">promulgated under that section </w:t>
      </w:r>
      <w:r w:rsidR="00A912C1">
        <w:t xml:space="preserve">have served as the </w:t>
      </w:r>
      <w:r w:rsidR="00910AFA">
        <w:t xml:space="preserve">Commission’s </w:t>
      </w:r>
      <w:r w:rsidR="00A912C1">
        <w:t xml:space="preserve">primary tool for driving </w:t>
      </w:r>
      <w:r w:rsidR="00910AFA">
        <w:t>changes to cybersecurity practices</w:t>
      </w:r>
      <w:r w:rsidR="00A912C1">
        <w:t xml:space="preserve"> within the electric sector.  </w:t>
      </w:r>
    </w:p>
    <w:p w:rsidR="00BB20E1" w:rsidP="002C7EC5" w:rsidRDefault="00A912C1" w14:paraId="72E88917" w14:textId="02C775E7">
      <w:pPr>
        <w:autoSpaceDE w:val="0"/>
        <w:autoSpaceDN w:val="0"/>
        <w:ind w:firstLine="720"/>
      </w:pPr>
      <w:r>
        <w:t xml:space="preserve">While the </w:t>
      </w:r>
      <w:r w:rsidR="004839CB">
        <w:t>CIP Reliability Standards</w:t>
      </w:r>
      <w:r>
        <w:t xml:space="preserve"> form a</w:t>
      </w:r>
      <w:r w:rsidR="00144DE2">
        <w:t>n effective</w:t>
      </w:r>
      <w:r>
        <w:t xml:space="preserve"> technical baseline for cybersecuri</w:t>
      </w:r>
      <w:r w:rsidR="00910AFA">
        <w:t>ty practices, they</w:t>
      </w:r>
      <w:r w:rsidR="00144DE2">
        <w:t xml:space="preserve"> have certain limitations</w:t>
      </w:r>
      <w:r w:rsidR="00161EC3">
        <w:t>.</w:t>
      </w:r>
      <w:r w:rsidR="00CC30D1">
        <w:t xml:space="preserve"> </w:t>
      </w:r>
      <w:r w:rsidR="00273F4D">
        <w:t xml:space="preserve"> </w:t>
      </w:r>
      <w:r w:rsidR="00161EC3">
        <w:t>F</w:t>
      </w:r>
      <w:r w:rsidR="0060646A">
        <w:t xml:space="preserve">or instance, </w:t>
      </w:r>
      <w:r w:rsidR="00161EC3">
        <w:t xml:space="preserve">the </w:t>
      </w:r>
      <w:r w:rsidRPr="00161EC3" w:rsidR="00161EC3">
        <w:t>Reliability Standard</w:t>
      </w:r>
      <w:r w:rsidR="00CC30D1">
        <w:t>s</w:t>
      </w:r>
      <w:r w:rsidDel="00CC30D1" w:rsidR="00CC30D1">
        <w:t xml:space="preserve"> </w:t>
      </w:r>
      <w:r w:rsidR="00910AFA">
        <w:t>do not necessarily require entities to employ</w:t>
      </w:r>
      <w:r w:rsidR="00F36B4E">
        <w:t xml:space="preserve"> </w:t>
      </w:r>
      <w:r w:rsidR="00910AFA">
        <w:t>best practices.</w:t>
      </w:r>
      <w:r w:rsidR="00CC30D1">
        <w:rPr>
          <w:rStyle w:val="FootnoteReference"/>
        </w:rPr>
        <w:footnoteReference w:id="39"/>
      </w:r>
      <w:r w:rsidR="0021468D">
        <w:t xml:space="preserve">  Moreover, </w:t>
      </w:r>
      <w:r w:rsidDel="00CD47CB" w:rsidR="007740FB">
        <w:t>t</w:t>
      </w:r>
      <w:r w:rsidR="007740FB">
        <w:t xml:space="preserve">he standards </w:t>
      </w:r>
      <w:r w:rsidR="00DC565F">
        <w:t xml:space="preserve">development </w:t>
      </w:r>
      <w:r w:rsidR="007740FB">
        <w:t xml:space="preserve">process </w:t>
      </w:r>
      <w:r w:rsidR="00DC565F">
        <w:t>does not lend itself</w:t>
      </w:r>
      <w:r w:rsidR="007740FB">
        <w:t xml:space="preserve"> to </w:t>
      </w:r>
      <w:r w:rsidR="00940485">
        <w:t xml:space="preserve">addressing </w:t>
      </w:r>
      <w:r w:rsidR="00DC565F">
        <w:t xml:space="preserve">rapidly evolving cybersecurity threats.  </w:t>
      </w:r>
      <w:r w:rsidR="00247B2F">
        <w:t xml:space="preserve">It can take </w:t>
      </w:r>
      <w:r w:rsidR="007E0DC4">
        <w:t xml:space="preserve">many </w:t>
      </w:r>
      <w:r w:rsidR="00247B2F">
        <w:t>months for a new standard to be developed</w:t>
      </w:r>
      <w:r w:rsidR="004D448C">
        <w:t>,</w:t>
      </w:r>
      <w:r w:rsidR="00247B2F">
        <w:t xml:space="preserve"> and once approved, it may be several more months or years before fully implemented and </w:t>
      </w:r>
      <w:r w:rsidR="00247B2F">
        <w:lastRenderedPageBreak/>
        <w:t>enforceable.</w:t>
      </w:r>
      <w:r w:rsidRPr="00F40BE4" w:rsidR="00C7090A">
        <w:rPr>
          <w:b/>
          <w:vertAlign w:val="superscript"/>
        </w:rPr>
        <w:footnoteReference w:id="40"/>
      </w:r>
      <w:r w:rsidR="00247B2F">
        <w:t xml:space="preserve"> </w:t>
      </w:r>
      <w:r w:rsidR="00CD47CB">
        <w:t xml:space="preserve"> </w:t>
      </w:r>
      <w:r w:rsidR="00C16007">
        <w:t>Since</w:t>
      </w:r>
      <w:r w:rsidR="007740FB">
        <w:t xml:space="preserve"> cybersecurity threats ca</w:t>
      </w:r>
      <w:r w:rsidR="007953BD">
        <w:t>n adapt</w:t>
      </w:r>
      <w:r w:rsidR="00DE43E2">
        <w:t xml:space="preserve"> and spread </w:t>
      </w:r>
      <w:r w:rsidR="00C16007">
        <w:t>quic</w:t>
      </w:r>
      <w:r w:rsidR="00952856">
        <w:t>k</w:t>
      </w:r>
      <w:r w:rsidR="00C16007">
        <w:t xml:space="preserve">ly, </w:t>
      </w:r>
      <w:r w:rsidR="005509E5">
        <w:t>attackers</w:t>
      </w:r>
      <w:r w:rsidR="00C16007">
        <w:t xml:space="preserve"> can </w:t>
      </w:r>
      <w:r w:rsidR="00C07BAD">
        <w:t xml:space="preserve">use sophisticated methods to </w:t>
      </w:r>
      <w:r w:rsidR="00C16007">
        <w:t>exploit</w:t>
      </w:r>
      <w:r w:rsidR="007953BD">
        <w:t xml:space="preserve"> </w:t>
      </w:r>
      <w:r w:rsidR="00DE43E2">
        <w:t xml:space="preserve">the </w:t>
      </w:r>
      <w:r w:rsidRPr="00DE43E2" w:rsidR="00DE43E2">
        <w:t xml:space="preserve">interdependency of connected networks and equipment </w:t>
      </w:r>
      <w:r w:rsidR="00C07BAD">
        <w:t>and</w:t>
      </w:r>
      <w:r w:rsidR="007953BD">
        <w:t xml:space="preserve"> target facilities</w:t>
      </w:r>
      <w:r w:rsidR="00980546">
        <w:t>, some</w:t>
      </w:r>
      <w:r w:rsidR="007953BD">
        <w:t xml:space="preserve"> </w:t>
      </w:r>
      <w:r w:rsidR="0013554E">
        <w:t xml:space="preserve">of which </w:t>
      </w:r>
      <w:r w:rsidR="007953BD">
        <w:t xml:space="preserve">may not be covered under the standards. </w:t>
      </w:r>
      <w:r w:rsidR="00AB5864">
        <w:t xml:space="preserve"> </w:t>
      </w:r>
      <w:r w:rsidR="00FF7B4E">
        <w:t>Further, these growing threats come at a time of great change in the operation of the transmission system in which the number of attack vectors is increasing.</w:t>
      </w:r>
      <w:r w:rsidRPr="00F40BE4" w:rsidR="00FF7B4E">
        <w:rPr>
          <w:b/>
          <w:vertAlign w:val="superscript"/>
        </w:rPr>
        <w:footnoteReference w:id="41"/>
      </w:r>
      <w:r w:rsidRPr="00F40BE4" w:rsidR="00FF7B4E">
        <w:t xml:space="preserve"> </w:t>
      </w:r>
      <w:r w:rsidR="00585A38">
        <w:t xml:space="preserve"> </w:t>
      </w:r>
      <w:r w:rsidR="00156E3C">
        <w:t>The standards development process, while inclusive and deliberative, is also public</w:t>
      </w:r>
      <w:r w:rsidR="00247B2F">
        <w:t>,</w:t>
      </w:r>
      <w:r w:rsidR="00156E3C">
        <w:t xml:space="preserve"> potentially providing information to adversarial entities</w:t>
      </w:r>
      <w:r w:rsidR="00D07191">
        <w:t xml:space="preserve"> regarding limits and preferred approaches to implementation</w:t>
      </w:r>
      <w:r w:rsidR="00156E3C">
        <w:t>.</w:t>
      </w:r>
      <w:r w:rsidR="001602F0">
        <w:t xml:space="preserve"> </w:t>
      </w:r>
      <w:r w:rsidR="00CD47CB">
        <w:t xml:space="preserve"> </w:t>
      </w:r>
      <w:bookmarkStart w:name="_Hlk40266019" w:id="6"/>
      <w:r w:rsidR="00447409">
        <w:t xml:space="preserve">Also, because the CIP Reliability Standards </w:t>
      </w:r>
      <w:r w:rsidR="00980546">
        <w:t>apply to</w:t>
      </w:r>
      <w:r w:rsidR="00447409">
        <w:t xml:space="preserve"> BES facilities, </w:t>
      </w:r>
      <w:r w:rsidR="002C7EC5">
        <w:t xml:space="preserve">which </w:t>
      </w:r>
      <w:r w:rsidR="00564550">
        <w:t xml:space="preserve">are </w:t>
      </w:r>
      <w:r w:rsidR="00447409">
        <w:t>generally 100</w:t>
      </w:r>
      <w:r w:rsidR="00273F4D">
        <w:t xml:space="preserve"> </w:t>
      </w:r>
      <w:r w:rsidR="00447409">
        <w:t xml:space="preserve">kV or higher </w:t>
      </w:r>
      <w:r w:rsidR="00061AFC">
        <w:t xml:space="preserve">as identified </w:t>
      </w:r>
      <w:r w:rsidR="00447409">
        <w:t xml:space="preserve">in CIP-002, not all </w:t>
      </w:r>
      <w:r w:rsidR="001A7DC1">
        <w:t xml:space="preserve">operational technology </w:t>
      </w:r>
      <w:r w:rsidR="00447409">
        <w:t>is covered</w:t>
      </w:r>
      <w:r w:rsidR="00980546">
        <w:t xml:space="preserve"> by these standards</w:t>
      </w:r>
      <w:r w:rsidR="00447409">
        <w:t xml:space="preserve">. </w:t>
      </w:r>
      <w:r w:rsidR="00980546">
        <w:t xml:space="preserve"> </w:t>
      </w:r>
      <w:bookmarkEnd w:id="6"/>
      <w:r w:rsidR="00E91B82">
        <w:t>Therefore, w</w:t>
      </w:r>
      <w:r w:rsidRPr="00E91B82" w:rsidR="00E91B82">
        <w:t xml:space="preserve">hile cybersecurity systems that are not subject to the CIP Reliability Standards </w:t>
      </w:r>
      <w:r w:rsidR="00501E1D">
        <w:t xml:space="preserve">may be </w:t>
      </w:r>
      <w:r w:rsidRPr="00E91B82" w:rsidR="00E91B82">
        <w:t>less critical</w:t>
      </w:r>
      <w:r w:rsidR="001960D0">
        <w:t xml:space="preserve"> to reliable operations</w:t>
      </w:r>
      <w:r w:rsidRPr="00E91B82" w:rsidR="00E91B82">
        <w:t xml:space="preserve">, compromise of these systems </w:t>
      </w:r>
      <w:r w:rsidR="00501E1D">
        <w:t xml:space="preserve">may </w:t>
      </w:r>
      <w:r w:rsidRPr="00E91B82" w:rsidR="00E91B82">
        <w:t>allow access to more critical systems</w:t>
      </w:r>
      <w:r w:rsidR="00E91B82">
        <w:t>.</w:t>
      </w:r>
    </w:p>
    <w:p w:rsidR="005320C0" w:rsidP="00DC4409" w:rsidRDefault="005320C0" w14:paraId="3F6C82A2" w14:textId="77777777">
      <w:pPr>
        <w:autoSpaceDE w:val="0"/>
        <w:autoSpaceDN w:val="0"/>
        <w:ind w:firstLine="720"/>
      </w:pPr>
    </w:p>
    <w:p w:rsidRPr="007D70E7" w:rsidR="005320C0" w:rsidP="005320C0" w:rsidRDefault="005320C0" w14:paraId="31E72462" w14:textId="12EBD819">
      <w:pPr>
        <w:autoSpaceDE w:val="0"/>
        <w:autoSpaceDN w:val="0"/>
        <w:adjustRightInd w:val="0"/>
        <w:spacing w:after="240"/>
        <w:ind w:firstLine="720"/>
        <w:rPr>
          <w:rFonts w:eastAsia="Times New Roman"/>
          <w:szCs w:val="24"/>
        </w:rPr>
      </w:pPr>
      <w:r w:rsidRPr="009E745F">
        <w:rPr>
          <w:rFonts w:eastAsia="Times New Roman"/>
          <w:szCs w:val="24"/>
        </w:rPr>
        <w:t xml:space="preserve">In addition, changes to the operating environment can occur suddenly and without warning, such as under the COVID-19 national emergency.  </w:t>
      </w:r>
      <w:r>
        <w:rPr>
          <w:rFonts w:eastAsia="Times New Roman"/>
          <w:szCs w:val="24"/>
        </w:rPr>
        <w:t xml:space="preserve">As the power sector is adapting to expanded remote operations, there is the potential for increased vulnerabilities and potential amplification of the </w:t>
      </w:r>
      <w:r w:rsidRPr="009E745F">
        <w:rPr>
          <w:rFonts w:eastAsia="Times New Roman"/>
          <w:szCs w:val="24"/>
        </w:rPr>
        <w:t xml:space="preserve">effect of cybersecurity threats to the BES.  </w:t>
      </w:r>
      <w:r>
        <w:rPr>
          <w:rFonts w:eastAsia="Times New Roman"/>
          <w:szCs w:val="24"/>
        </w:rPr>
        <w:t>Therefore, i</w:t>
      </w:r>
      <w:r w:rsidRPr="009E745F">
        <w:rPr>
          <w:rFonts w:eastAsia="Times New Roman"/>
          <w:szCs w:val="24"/>
        </w:rPr>
        <w:t xml:space="preserve">t is important that </w:t>
      </w:r>
      <w:r w:rsidR="004F53A0">
        <w:rPr>
          <w:rFonts w:eastAsia="Times New Roman"/>
          <w:szCs w:val="24"/>
        </w:rPr>
        <w:t>u</w:t>
      </w:r>
      <w:r>
        <w:rPr>
          <w:rFonts w:eastAsia="Times New Roman"/>
          <w:szCs w:val="24"/>
        </w:rPr>
        <w:t xml:space="preserve">tilities have the ability to make cybersecurity investments to </w:t>
      </w:r>
      <w:r w:rsidRPr="009E745F">
        <w:rPr>
          <w:rFonts w:eastAsia="Times New Roman"/>
          <w:szCs w:val="24"/>
        </w:rPr>
        <w:t>quickly and effectively adapt to address unforeseen circumstances.</w:t>
      </w:r>
    </w:p>
    <w:p w:rsidR="00B2518B" w:rsidP="00917AB3" w:rsidRDefault="00BF6609" w14:paraId="46A947F0" w14:textId="316E851C">
      <w:pPr>
        <w:ind w:firstLine="720"/>
      </w:pPr>
      <w:r w:rsidRPr="00BF6609">
        <w:t xml:space="preserve">For these reasons, </w:t>
      </w:r>
      <w:r w:rsidR="00305832">
        <w:t>this staff paper discusses</w:t>
      </w:r>
      <w:r w:rsidR="00144DE2">
        <w:t xml:space="preserve"> augment</w:t>
      </w:r>
      <w:r w:rsidR="00305832">
        <w:t>ing</w:t>
      </w:r>
      <w:r w:rsidR="00144DE2">
        <w:t xml:space="preserve"> </w:t>
      </w:r>
      <w:r w:rsidRPr="00BF6609">
        <w:t>the current</w:t>
      </w:r>
      <w:r w:rsidR="00D87604">
        <w:t xml:space="preserve"> </w:t>
      </w:r>
      <w:r w:rsidR="004B0914">
        <w:t xml:space="preserve">CIP </w:t>
      </w:r>
      <w:r w:rsidR="00D87604">
        <w:t>Reliability</w:t>
      </w:r>
      <w:r w:rsidRPr="00BF6609">
        <w:t xml:space="preserve"> </w:t>
      </w:r>
      <w:r w:rsidR="00D87604">
        <w:t>S</w:t>
      </w:r>
      <w:r w:rsidRPr="00BF6609">
        <w:t xml:space="preserve">tandards </w:t>
      </w:r>
      <w:r w:rsidR="00243CE5">
        <w:t xml:space="preserve">under FPA section 215 </w:t>
      </w:r>
      <w:r w:rsidR="00144DE2">
        <w:t xml:space="preserve">with </w:t>
      </w:r>
      <w:r w:rsidR="00305832">
        <w:t>a</w:t>
      </w:r>
      <w:r w:rsidR="00CA0120">
        <w:t xml:space="preserve">n </w:t>
      </w:r>
      <w:r w:rsidRPr="00BF6609">
        <w:t xml:space="preserve">incentive-based </w:t>
      </w:r>
      <w:r w:rsidR="00CA0120">
        <w:t xml:space="preserve">approach under FPA section 219 that encourages utilities to undertake </w:t>
      </w:r>
      <w:r w:rsidRPr="00305832" w:rsidR="00CA0120">
        <w:t>cybersecurity investments</w:t>
      </w:r>
      <w:r w:rsidR="00CA0120">
        <w:t xml:space="preserve"> on a </w:t>
      </w:r>
      <w:r w:rsidRPr="00BF6609" w:rsidR="00CA0120">
        <w:t xml:space="preserve">voluntary </w:t>
      </w:r>
      <w:r w:rsidR="00CA0120">
        <w:t>basis</w:t>
      </w:r>
      <w:r w:rsidRPr="00BF6609">
        <w:t xml:space="preserve">.  </w:t>
      </w:r>
      <w:r w:rsidR="00CA0120">
        <w:t xml:space="preserve">This approach would </w:t>
      </w:r>
      <w:r w:rsidR="0069502D">
        <w:t>incenti</w:t>
      </w:r>
      <w:r w:rsidR="00CA0120">
        <w:t>vize</w:t>
      </w:r>
      <w:r w:rsidR="0069502D">
        <w:t xml:space="preserve"> </w:t>
      </w:r>
      <w:r w:rsidR="00CA0120">
        <w:t>a utility</w:t>
      </w:r>
      <w:r w:rsidR="0069502D">
        <w:t xml:space="preserve"> to adopt best practices to protect </w:t>
      </w:r>
      <w:r w:rsidR="004B0914">
        <w:t>it</w:t>
      </w:r>
      <w:r w:rsidR="00CA0120">
        <w:t>s own transmission system as well as improve the security of the BES</w:t>
      </w:r>
      <w:r w:rsidR="004B0914">
        <w:t>.</w:t>
      </w:r>
      <w:r w:rsidR="0069502D">
        <w:t xml:space="preserve"> </w:t>
      </w:r>
      <w:r w:rsidR="00F3682F">
        <w:t xml:space="preserve"> </w:t>
      </w:r>
      <w:r w:rsidR="00CA0120">
        <w:t>Further, it</w:t>
      </w:r>
      <w:r w:rsidR="0069502D">
        <w:t xml:space="preserve"> could allow the industry to be more agile in monitoring and responding to new and </w:t>
      </w:r>
      <w:r w:rsidR="00864B85">
        <w:t>(</w:t>
      </w:r>
      <w:r w:rsidR="00E83897">
        <w:t>un</w:t>
      </w:r>
      <w:r w:rsidR="00864B85">
        <w:t>)</w:t>
      </w:r>
      <w:r w:rsidR="0069502D">
        <w:t xml:space="preserve">anticipated cybersecurity threats, to identify and respond to a wider range of threats, </w:t>
      </w:r>
      <w:r w:rsidR="00A47E42">
        <w:t xml:space="preserve">and </w:t>
      </w:r>
      <w:r w:rsidR="0069502D">
        <w:t xml:space="preserve">to address threats with comprehensive and more effective solutions.  </w:t>
      </w:r>
      <w:r w:rsidR="00B2518B">
        <w:t xml:space="preserve">An incentive-based approach allows a utility to </w:t>
      </w:r>
      <w:r w:rsidR="0069502D">
        <w:t xml:space="preserve">tailor </w:t>
      </w:r>
      <w:r w:rsidR="00B2518B">
        <w:t xml:space="preserve">its request for incentives </w:t>
      </w:r>
      <w:r w:rsidR="0069502D">
        <w:t xml:space="preserve">to the potential challenges and responsive actions </w:t>
      </w:r>
      <w:r w:rsidR="00B2518B">
        <w:t>that it faces</w:t>
      </w:r>
      <w:r w:rsidR="0069502D">
        <w:t>.  In the future, the</w:t>
      </w:r>
      <w:r w:rsidR="00B2518B">
        <w:t>se</w:t>
      </w:r>
      <w:r w:rsidR="0069502D">
        <w:t xml:space="preserve"> </w:t>
      </w:r>
      <w:r w:rsidR="00B2518B">
        <w:t xml:space="preserve">voluntary </w:t>
      </w:r>
      <w:r w:rsidR="0069502D">
        <w:t xml:space="preserve">actions taken by </w:t>
      </w:r>
      <w:r w:rsidR="00B2518B">
        <w:t>utilities</w:t>
      </w:r>
      <w:r w:rsidR="0069502D">
        <w:t xml:space="preserve">, if proven beneficial, could be </w:t>
      </w:r>
      <w:r w:rsidR="00B2518B">
        <w:t xml:space="preserve">the basis of future </w:t>
      </w:r>
      <w:r w:rsidR="004B0914">
        <w:t>CIP</w:t>
      </w:r>
      <w:r w:rsidR="0069502D">
        <w:t xml:space="preserve"> Reliability Standards</w:t>
      </w:r>
      <w:r w:rsidR="00B2518B">
        <w:t xml:space="preserve"> that are mandatory</w:t>
      </w:r>
      <w:r w:rsidR="0069502D">
        <w:t>.</w:t>
      </w:r>
      <w:r w:rsidRPr="00BF6609">
        <w:t xml:space="preserve">  </w:t>
      </w:r>
      <w:r w:rsidR="00CD47CB">
        <w:t xml:space="preserve">  </w:t>
      </w:r>
    </w:p>
    <w:p w:rsidR="009957F5" w:rsidP="00917AB3" w:rsidRDefault="003F71BC" w14:paraId="66E87BA4" w14:textId="1ABE393F">
      <w:pPr>
        <w:ind w:firstLine="720"/>
      </w:pPr>
      <w:r>
        <w:lastRenderedPageBreak/>
        <w:t xml:space="preserve">  </w:t>
      </w:r>
    </w:p>
    <w:p w:rsidRPr="008354F9" w:rsidR="005320C0" w:rsidP="005320C0" w:rsidRDefault="005320C0" w14:paraId="18A36ECF" w14:textId="5C055F56">
      <w:pPr>
        <w:pStyle w:val="Heading1"/>
      </w:pPr>
      <w:r>
        <w:t>Incentives Framework for Cybersecurity Investment</w:t>
      </w:r>
    </w:p>
    <w:p w:rsidR="00AD57F1" w:rsidP="00005BCA" w:rsidRDefault="00AD57F1" w14:paraId="101CC692" w14:textId="4E6B1025">
      <w:pPr>
        <w:pStyle w:val="FERCNopara"/>
      </w:pPr>
      <w:bookmarkStart w:name="_Hlk33790025" w:id="7"/>
      <w:r w:rsidRPr="00175EF0">
        <w:t xml:space="preserve">Providing </w:t>
      </w:r>
      <w:r w:rsidR="00C21F92">
        <w:t xml:space="preserve">transmission </w:t>
      </w:r>
      <w:r w:rsidRPr="00175EF0">
        <w:t xml:space="preserve">incentives for </w:t>
      </w:r>
      <w:r w:rsidR="00C21F92">
        <w:t xml:space="preserve">cybersecurity </w:t>
      </w:r>
      <w:r w:rsidRPr="00175EF0" w:rsidR="004D64F4">
        <w:t>investment</w:t>
      </w:r>
      <w:r w:rsidR="00C21F92">
        <w:t>s</w:t>
      </w:r>
      <w:r w:rsidRPr="00175EF0" w:rsidR="004D64F4">
        <w:t xml:space="preserve"> </w:t>
      </w:r>
      <w:r w:rsidRPr="00175EF0">
        <w:t xml:space="preserve">will require the Commission to establish a new framework for </w:t>
      </w:r>
      <w:r w:rsidRPr="00DF73E4" w:rsidR="005320C0">
        <w:t xml:space="preserve">evaluating requests for transmission incentives </w:t>
      </w:r>
      <w:r w:rsidR="00A8097A">
        <w:t>by</w:t>
      </w:r>
      <w:r w:rsidRPr="00DF73E4" w:rsidR="005320C0">
        <w:t xml:space="preserve"> utilities for cybersecurity investments</w:t>
      </w:r>
      <w:r w:rsidRPr="00175EF0">
        <w:t xml:space="preserve">. </w:t>
      </w:r>
      <w:r w:rsidRPr="00175EF0" w:rsidR="00CC00D4">
        <w:t xml:space="preserve"> </w:t>
      </w:r>
      <w:r w:rsidRPr="00175EF0" w:rsidR="00024521">
        <w:rPr>
          <w:color w:val="000000"/>
          <w:szCs w:val="26"/>
        </w:rPr>
        <w:t xml:space="preserve">As discussed above, </w:t>
      </w:r>
      <w:r w:rsidRPr="00564550" w:rsidR="00564550">
        <w:rPr>
          <w:color w:val="000000"/>
          <w:szCs w:val="26"/>
        </w:rPr>
        <w:t xml:space="preserve">augmenting the current </w:t>
      </w:r>
      <w:r w:rsidRPr="002452DC" w:rsidR="00564550">
        <w:rPr>
          <w:color w:val="000000"/>
        </w:rPr>
        <w:t xml:space="preserve">CIP Reliability Standards </w:t>
      </w:r>
      <w:r w:rsidRPr="00564550" w:rsidR="00564550">
        <w:rPr>
          <w:color w:val="000000"/>
          <w:szCs w:val="26"/>
        </w:rPr>
        <w:t>with an incentive-based approach under FPA section 219 that encourages utilities to undertake cybersecurity investments on a voluntary basis may have significant benefits</w:t>
      </w:r>
      <w:r w:rsidRPr="00175EF0" w:rsidR="00024521">
        <w:rPr>
          <w:color w:val="000000"/>
          <w:szCs w:val="26"/>
        </w:rPr>
        <w:t xml:space="preserve">.  However, a first necessary step is to establish approaches that examine the effectiveness of cybersecurity investments in enabling the utility to achieve a level of protection that exceeds the CIP Reliability Standards </w:t>
      </w:r>
      <w:r w:rsidR="008D3673">
        <w:rPr>
          <w:color w:val="000000"/>
          <w:szCs w:val="26"/>
        </w:rPr>
        <w:t>but also</w:t>
      </w:r>
      <w:r w:rsidRPr="00175EF0" w:rsidR="00024521">
        <w:rPr>
          <w:color w:val="000000"/>
          <w:szCs w:val="26"/>
        </w:rPr>
        <w:t xml:space="preserve"> enhances the security of its </w:t>
      </w:r>
      <w:r w:rsidR="003111D5">
        <w:rPr>
          <w:color w:val="000000"/>
          <w:szCs w:val="26"/>
        </w:rPr>
        <w:t>transmission s</w:t>
      </w:r>
      <w:r w:rsidRPr="00175EF0" w:rsidR="00024521">
        <w:rPr>
          <w:color w:val="000000"/>
          <w:szCs w:val="26"/>
        </w:rPr>
        <w:t>ystem.  A utility will then be able to identify the cybersecurity investments for which it seeks transmission incentives.  The Commission then can evaluate such transmission incentive requests.  This section</w:t>
      </w:r>
      <w:r w:rsidRPr="002452DC" w:rsidR="00024521">
        <w:rPr>
          <w:color w:val="000000"/>
        </w:rPr>
        <w:t xml:space="preserve"> </w:t>
      </w:r>
      <w:r w:rsidRPr="002452DC">
        <w:t xml:space="preserve">discusses how the typical suite of ratemaking incentives </w:t>
      </w:r>
      <w:r w:rsidRPr="002452DC" w:rsidR="006521C3">
        <w:t xml:space="preserve">awarded to transmission projects </w:t>
      </w:r>
      <w:r w:rsidRPr="002452DC">
        <w:t>c</w:t>
      </w:r>
      <w:r w:rsidRPr="002452DC" w:rsidR="006521C3">
        <w:t xml:space="preserve">ould apply in the context of </w:t>
      </w:r>
      <w:r w:rsidRPr="002452DC">
        <w:t xml:space="preserve">cybersecurity and two potential approaches for determining </w:t>
      </w:r>
      <w:r w:rsidRPr="00175EF0">
        <w:t>wh</w:t>
      </w:r>
      <w:r w:rsidR="00B8746F">
        <w:t>ich</w:t>
      </w:r>
      <w:r w:rsidRPr="002452DC">
        <w:t xml:space="preserve"> </w:t>
      </w:r>
      <w:r w:rsidRPr="002452DC" w:rsidR="004D64F4">
        <w:t>cybersecurity investment</w:t>
      </w:r>
      <w:r w:rsidRPr="002452DC" w:rsidR="00A11EBD">
        <w:t>s</w:t>
      </w:r>
      <w:r w:rsidRPr="002452DC" w:rsidR="004D64F4">
        <w:t xml:space="preserve"> </w:t>
      </w:r>
      <w:r w:rsidRPr="002452DC">
        <w:t>warrant incentives</w:t>
      </w:r>
      <w:r w:rsidRPr="00B8746F" w:rsidR="00CC00D4">
        <w:t>.</w:t>
      </w:r>
      <w:r w:rsidRPr="00DF73E4" w:rsidR="00DF73E4">
        <w:t xml:space="preserve"> </w:t>
      </w:r>
    </w:p>
    <w:p w:rsidRPr="008354F9" w:rsidR="009A5964" w:rsidP="00175EF0" w:rsidRDefault="009A5964" w14:paraId="25E0289F" w14:textId="7B2B3B96">
      <w:pPr>
        <w:pStyle w:val="Heading2"/>
      </w:pPr>
      <w:r>
        <w:t>Description of Incentives for Cybersecurity Investments</w:t>
      </w:r>
    </w:p>
    <w:p w:rsidR="001553C4" w:rsidP="004D19CD" w:rsidRDefault="002E37D8" w14:paraId="0CADF8C3" w14:textId="55C8BCBB">
      <w:pPr>
        <w:ind w:firstLine="720"/>
      </w:pPr>
      <w:r>
        <w:t xml:space="preserve">Incentives for </w:t>
      </w:r>
      <w:r w:rsidRPr="00B8746F" w:rsidR="00175C9D">
        <w:t xml:space="preserve">cybersecurity </w:t>
      </w:r>
      <w:r>
        <w:t xml:space="preserve">investments </w:t>
      </w:r>
      <w:r w:rsidRPr="00B8746F" w:rsidR="00C43E0E">
        <w:t>could</w:t>
      </w:r>
      <w:r w:rsidRPr="00B8746F" w:rsidR="00F94A25">
        <w:t xml:space="preserve"> include </w:t>
      </w:r>
      <w:r w:rsidRPr="002452DC" w:rsidR="00175C9D">
        <w:t>both non-ROE and ROE incentives</w:t>
      </w:r>
      <w:r w:rsidRPr="00B8746F" w:rsidR="00175C9D">
        <w:t>.  With</w:t>
      </w:r>
      <w:r w:rsidR="00175C9D">
        <w:t xml:space="preserve"> respect to the </w:t>
      </w:r>
      <w:r>
        <w:t>non-ROE incentives</w:t>
      </w:r>
      <w:r w:rsidR="00175C9D">
        <w:t xml:space="preserve">, cybersecurity investments </w:t>
      </w:r>
      <w:r>
        <w:t>c</w:t>
      </w:r>
      <w:r w:rsidR="00175C9D">
        <w:t xml:space="preserve">ould </w:t>
      </w:r>
      <w:r w:rsidR="001553C4">
        <w:t xml:space="preserve">be </w:t>
      </w:r>
      <w:r w:rsidR="00175C9D">
        <w:t>eligible for Construction Work in Progress</w:t>
      </w:r>
      <w:r w:rsidR="001553C4">
        <w:t>,</w:t>
      </w:r>
      <w:r w:rsidR="00175C9D">
        <w:t xml:space="preserve"> recovery of abandoned plant</w:t>
      </w:r>
      <w:r w:rsidR="007E713B">
        <w:t xml:space="preserve"> costs</w:t>
      </w:r>
      <w:r w:rsidR="00E1108D">
        <w:t>,</w:t>
      </w:r>
      <w:r w:rsidR="00175C9D">
        <w:t xml:space="preserve"> </w:t>
      </w:r>
      <w:r w:rsidR="001553C4">
        <w:t>and accelerated depreciation</w:t>
      </w:r>
      <w:r w:rsidR="00175C9D">
        <w:t>.</w:t>
      </w:r>
      <w:r w:rsidR="008B78C5">
        <w:rPr>
          <w:rStyle w:val="FootnoteReference"/>
        </w:rPr>
        <w:footnoteReference w:id="42"/>
      </w:r>
      <w:r w:rsidR="00175C9D">
        <w:t xml:space="preserve">  </w:t>
      </w:r>
      <w:r w:rsidR="0084446A">
        <w:t>T</w:t>
      </w:r>
      <w:r w:rsidR="001553C4">
        <w:t xml:space="preserve">hese incentives </w:t>
      </w:r>
      <w:r w:rsidR="00FC04BE">
        <w:t>c</w:t>
      </w:r>
      <w:r w:rsidR="001553C4">
        <w:t>ould reduce the financial risk associated with additional investments</w:t>
      </w:r>
      <w:r w:rsidR="00F94A25">
        <w:t xml:space="preserve"> in cybersecurity</w:t>
      </w:r>
      <w:r w:rsidR="00466059">
        <w:t>,</w:t>
      </w:r>
      <w:r w:rsidR="008A0484">
        <w:t xml:space="preserve"> as they do for </w:t>
      </w:r>
      <w:r w:rsidR="00685185">
        <w:t>major</w:t>
      </w:r>
      <w:r w:rsidR="008A0484">
        <w:t xml:space="preserve"> transmission projects</w:t>
      </w:r>
      <w:r w:rsidR="001553C4">
        <w:t>.  For example, t</w:t>
      </w:r>
      <w:r w:rsidR="00175C9D">
        <w:t>he C</w:t>
      </w:r>
      <w:r w:rsidR="002E2B31">
        <w:t>onstruction Work in Progress</w:t>
      </w:r>
      <w:r w:rsidR="00175C9D">
        <w:t xml:space="preserve"> incentive </w:t>
      </w:r>
      <w:r w:rsidR="00C82BA1">
        <w:t>can</w:t>
      </w:r>
      <w:r w:rsidR="00175C9D">
        <w:t xml:space="preserve"> mitigate cash flow concerns caused by the increased expenditures associated with undertaking cybersecurity upgrades by allowing a return on investments during the construction period</w:t>
      </w:r>
      <w:r w:rsidR="008B78C5">
        <w:t xml:space="preserve"> and before they are placed in service</w:t>
      </w:r>
      <w:r w:rsidR="00175C9D">
        <w:t xml:space="preserve">.  However, </w:t>
      </w:r>
      <w:r w:rsidR="001553C4">
        <w:t>these</w:t>
      </w:r>
      <w:r w:rsidR="002E2B31">
        <w:t xml:space="preserve"> incentive</w:t>
      </w:r>
      <w:r w:rsidR="001553C4">
        <w:t>s</w:t>
      </w:r>
      <w:r w:rsidR="002E2B31">
        <w:t xml:space="preserve"> </w:t>
      </w:r>
      <w:r w:rsidR="001553C4">
        <w:t>may</w:t>
      </w:r>
      <w:r w:rsidR="002E2B31">
        <w:t xml:space="preserve"> be less beneficial in this context than </w:t>
      </w:r>
      <w:r w:rsidR="00C4316C">
        <w:t>for major</w:t>
      </w:r>
      <w:r w:rsidR="00AA2334">
        <w:t xml:space="preserve"> </w:t>
      </w:r>
      <w:r w:rsidR="002E2B31">
        <w:t>transmission investments</w:t>
      </w:r>
      <w:r w:rsidR="00175C9D">
        <w:t>, given the much faster deployment of cybersecurity upgrades</w:t>
      </w:r>
      <w:r w:rsidR="00FC7C26">
        <w:t xml:space="preserve"> and the significantly</w:t>
      </w:r>
      <w:r w:rsidR="00175C9D">
        <w:t xml:space="preserve"> </w:t>
      </w:r>
      <w:r w:rsidR="00FC7C26">
        <w:t>lower capital requirements compared to</w:t>
      </w:r>
      <w:r w:rsidR="00175C9D">
        <w:t xml:space="preserve"> transmission </w:t>
      </w:r>
      <w:r w:rsidR="00564550">
        <w:t>projects</w:t>
      </w:r>
      <w:r w:rsidR="00175C9D">
        <w:t xml:space="preserve">.  </w:t>
      </w:r>
      <w:r w:rsidR="001553C4">
        <w:t>Similarly</w:t>
      </w:r>
      <w:r w:rsidR="00175C9D">
        <w:t xml:space="preserve">, </w:t>
      </w:r>
      <w:r w:rsidR="00CA056D">
        <w:t xml:space="preserve">there </w:t>
      </w:r>
      <w:r w:rsidR="0084446A">
        <w:t>may be</w:t>
      </w:r>
      <w:r w:rsidR="00CA056D">
        <w:t xml:space="preserve"> a</w:t>
      </w:r>
      <w:r w:rsidR="00175C9D">
        <w:t xml:space="preserve"> relatively short depreciation life for </w:t>
      </w:r>
      <w:r w:rsidR="00005BCA">
        <w:t>most cybersecurity investments</w:t>
      </w:r>
      <w:r w:rsidR="0084446A">
        <w:t>, and</w:t>
      </w:r>
      <w:r w:rsidR="00005BCA">
        <w:t xml:space="preserve"> </w:t>
      </w:r>
      <w:r w:rsidR="00CA056D">
        <w:t xml:space="preserve">thus, </w:t>
      </w:r>
      <w:r w:rsidR="00FC7C26">
        <w:t xml:space="preserve">it </w:t>
      </w:r>
      <w:r w:rsidR="004D19CD">
        <w:t xml:space="preserve">is unclear whether providing accelerated depreciation </w:t>
      </w:r>
      <w:r w:rsidR="00F94A25">
        <w:t xml:space="preserve">will </w:t>
      </w:r>
      <w:r w:rsidR="00175C9D">
        <w:t xml:space="preserve">have a substantial impact on cost recovery.  </w:t>
      </w:r>
    </w:p>
    <w:p w:rsidR="00175C9D" w:rsidP="00175C9D" w:rsidRDefault="00175C9D" w14:paraId="7F90D801" w14:textId="77777777"/>
    <w:p w:rsidR="000A207D" w:rsidP="008C349C" w:rsidRDefault="00175C9D" w14:paraId="794BF7C0" w14:textId="0A5E7177">
      <w:pPr>
        <w:ind w:firstLine="720"/>
      </w:pPr>
      <w:bookmarkStart w:name="_Hlk40437076" w:id="8"/>
      <w:r w:rsidRPr="003330F4">
        <w:lastRenderedPageBreak/>
        <w:t>ROE incentives</w:t>
      </w:r>
      <w:r w:rsidRPr="003330F4" w:rsidR="0004174A">
        <w:t xml:space="preserve"> </w:t>
      </w:r>
      <w:r w:rsidRPr="003330F4" w:rsidR="00B53449">
        <w:t>would</w:t>
      </w:r>
      <w:r w:rsidRPr="003330F4" w:rsidR="0004174A">
        <w:t xml:space="preserve"> apply</w:t>
      </w:r>
      <w:r w:rsidRPr="003330F4">
        <w:t xml:space="preserve"> </w:t>
      </w:r>
      <w:r w:rsidRPr="003330F4" w:rsidR="000A35D2">
        <w:t xml:space="preserve">only </w:t>
      </w:r>
      <w:r w:rsidRPr="003330F4">
        <w:t xml:space="preserve">to the specific </w:t>
      </w:r>
      <w:r w:rsidRPr="003330F4" w:rsidR="005F5075">
        <w:t>incremental</w:t>
      </w:r>
      <w:r w:rsidRPr="003330F4" w:rsidR="002A66FC">
        <w:t xml:space="preserve"> </w:t>
      </w:r>
      <w:r w:rsidRPr="003330F4">
        <w:t>cybersecurity investments</w:t>
      </w:r>
      <w:r w:rsidRPr="003330F4" w:rsidR="002A66FC">
        <w:t xml:space="preserve"> identified in an applicant’s </w:t>
      </w:r>
      <w:r w:rsidRPr="003330F4" w:rsidR="001C0702">
        <w:t>filing</w:t>
      </w:r>
      <w:r w:rsidRPr="003330F4">
        <w:t xml:space="preserve">.  </w:t>
      </w:r>
      <w:r w:rsidRPr="003330F4" w:rsidR="00C30D1D">
        <w:t>H</w:t>
      </w:r>
      <w:r w:rsidRPr="003330F4" w:rsidR="006D6B22">
        <w:t>owever,</w:t>
      </w:r>
      <w:r w:rsidRPr="003330F4" w:rsidR="000A35D2">
        <w:t xml:space="preserve"> applying </w:t>
      </w:r>
      <w:r w:rsidRPr="003330F4" w:rsidR="001C0702">
        <w:t>an</w:t>
      </w:r>
      <w:r w:rsidRPr="003330F4" w:rsidR="000A35D2">
        <w:t xml:space="preserve"> ROE incentive only to the </w:t>
      </w:r>
      <w:r w:rsidRPr="003330F4" w:rsidR="006D6B22">
        <w:t xml:space="preserve">specific </w:t>
      </w:r>
      <w:r w:rsidRPr="003330F4" w:rsidR="005F5075">
        <w:t xml:space="preserve">incremental </w:t>
      </w:r>
      <w:r w:rsidRPr="003330F4" w:rsidR="000A35D2">
        <w:t xml:space="preserve">cybersecurity investment </w:t>
      </w:r>
      <w:r w:rsidRPr="003330F4" w:rsidR="00C30D1D">
        <w:t>by</w:t>
      </w:r>
      <w:r w:rsidRPr="003330F4" w:rsidR="00AF6291">
        <w:t xml:space="preserve"> the </w:t>
      </w:r>
      <w:r w:rsidRPr="003330F4" w:rsidR="00C30D1D">
        <w:t>utility</w:t>
      </w:r>
      <w:r w:rsidRPr="003330F4" w:rsidR="00AF6291">
        <w:t xml:space="preserve"> </w:t>
      </w:r>
      <w:r w:rsidRPr="003330F4" w:rsidR="000A35D2">
        <w:t xml:space="preserve">may </w:t>
      </w:r>
      <w:r w:rsidRPr="003330F4" w:rsidR="00C30D1D">
        <w:t xml:space="preserve">fail to </w:t>
      </w:r>
      <w:r w:rsidRPr="003330F4" w:rsidR="002A66FC">
        <w:t xml:space="preserve">provide a meaningful incentive for </w:t>
      </w:r>
      <w:r w:rsidRPr="003330F4" w:rsidR="00C30D1D">
        <w:t>the cybersecurity</w:t>
      </w:r>
      <w:r w:rsidRPr="003330F4" w:rsidR="006D6B22">
        <w:t xml:space="preserve"> investment</w:t>
      </w:r>
      <w:r w:rsidRPr="003330F4" w:rsidR="002A66FC">
        <w:t xml:space="preserve"> given the relatively low capital cost of cybersecurity </w:t>
      </w:r>
      <w:r w:rsidRPr="003330F4" w:rsidR="005F5075">
        <w:t>projects</w:t>
      </w:r>
      <w:r w:rsidRPr="003330F4" w:rsidR="00AF6291">
        <w:t>.</w:t>
      </w:r>
      <w:r w:rsidRPr="003330F4" w:rsidR="002A66FC">
        <w:t xml:space="preserve"> </w:t>
      </w:r>
      <w:r w:rsidRPr="003330F4" w:rsidR="000A35D2">
        <w:t xml:space="preserve"> </w:t>
      </w:r>
      <w:r w:rsidRPr="003330F4" w:rsidR="00FC04BE">
        <w:t>T</w:t>
      </w:r>
      <w:r w:rsidRPr="003330F4" w:rsidR="001F4D7E">
        <w:t xml:space="preserve">here may be other ways to implement an ROE </w:t>
      </w:r>
      <w:r w:rsidRPr="003330F4" w:rsidR="00C30D1D">
        <w:t>incentive</w:t>
      </w:r>
      <w:r w:rsidRPr="003330F4" w:rsidR="001F4D7E">
        <w:t xml:space="preserve"> </w:t>
      </w:r>
      <w:r w:rsidRPr="003330F4" w:rsidR="00BF705E">
        <w:t xml:space="preserve">under the FPA </w:t>
      </w:r>
      <w:r w:rsidRPr="003330F4" w:rsidR="00D73D9E">
        <w:t>th</w:t>
      </w:r>
      <w:r w:rsidRPr="003330F4" w:rsidR="0024286B">
        <w:t>at</w:t>
      </w:r>
      <w:r w:rsidRPr="003330F4" w:rsidR="00D73D9E">
        <w:t xml:space="preserve"> provides a meaningful incentive for cybersecurity investments </w:t>
      </w:r>
      <w:r w:rsidRPr="003330F4" w:rsidR="00EF1F37">
        <w:t xml:space="preserve">and </w:t>
      </w:r>
      <w:r w:rsidRPr="003330F4" w:rsidR="00AF6291">
        <w:t xml:space="preserve">that would be just and reasonable.  </w:t>
      </w:r>
      <w:r w:rsidRPr="003330F4" w:rsidR="007A0F4A">
        <w:t>Staff seeks comment on this issue.</w:t>
      </w:r>
      <w:bookmarkEnd w:id="8"/>
      <w:r w:rsidRPr="003330F4" w:rsidR="007A0F4A">
        <w:t xml:space="preserve">   </w:t>
      </w:r>
    </w:p>
    <w:p w:rsidR="00175C9D" w:rsidP="00175C9D" w:rsidRDefault="00175C9D" w14:paraId="1F9736D7" w14:textId="3D93E7C1"/>
    <w:p w:rsidRPr="00C37962" w:rsidR="004C235A" w:rsidP="00822680" w:rsidRDefault="00467776" w14:paraId="557E1057" w14:textId="72A7D56F">
      <w:pPr>
        <w:pStyle w:val="FERCNopara"/>
        <w:rPr>
          <w:color w:val="000000"/>
          <w:shd w:val="clear" w:color="auto" w:fill="FFFFFF"/>
        </w:rPr>
      </w:pPr>
      <w:r>
        <w:t>I</w:t>
      </w:r>
      <w:r w:rsidR="00175C9D">
        <w:t xml:space="preserve">n limited circumstances, </w:t>
      </w:r>
      <w:r>
        <w:t xml:space="preserve">the Commission could consider </w:t>
      </w:r>
      <w:r w:rsidR="00175C9D">
        <w:t xml:space="preserve">allowing </w:t>
      </w:r>
      <w:r w:rsidR="0007746B">
        <w:t xml:space="preserve">a utility to </w:t>
      </w:r>
      <w:r w:rsidR="00E2270A">
        <w:t xml:space="preserve">defer </w:t>
      </w:r>
      <w:r w:rsidR="00175C9D">
        <w:t>certain costs that have traditionally been categorized as expense</w:t>
      </w:r>
      <w:r>
        <w:t>s</w:t>
      </w:r>
      <w:r w:rsidR="00175C9D">
        <w:t xml:space="preserve"> under </w:t>
      </w:r>
      <w:r w:rsidR="00E2270A">
        <w:t xml:space="preserve">the </w:t>
      </w:r>
      <w:r w:rsidR="00175C9D">
        <w:t>Commission</w:t>
      </w:r>
      <w:r w:rsidR="00822680">
        <w:t>’s</w:t>
      </w:r>
      <w:r w:rsidR="00175C9D">
        <w:t xml:space="preserve"> accounting standards and recovered through rates as expenses.  Certain cost categories, such as software, that </w:t>
      </w:r>
      <w:r w:rsidR="00A0761A">
        <w:t xml:space="preserve">companies </w:t>
      </w:r>
      <w:r w:rsidR="00175C9D">
        <w:t xml:space="preserve">traditionally purchase and could capitalize, are now often procured as services with periodic payments </w:t>
      </w:r>
      <w:r w:rsidR="00646DA2">
        <w:t xml:space="preserve">to vendors </w:t>
      </w:r>
      <w:r w:rsidR="00175C9D">
        <w:t xml:space="preserve">for </w:t>
      </w:r>
      <w:r w:rsidR="00646DA2">
        <w:t xml:space="preserve">lease of </w:t>
      </w:r>
      <w:r w:rsidR="00175C9D">
        <w:t xml:space="preserve">software that is updated as needed.  </w:t>
      </w:r>
      <w:r w:rsidRPr="003647A0" w:rsidR="00175C9D">
        <w:t>T</w:t>
      </w:r>
      <w:r w:rsidRPr="003647A0" w:rsidR="00BE1746">
        <w:t xml:space="preserve">herefore, </w:t>
      </w:r>
      <w:r w:rsidR="004C235A">
        <w:rPr>
          <w:rFonts w:eastAsia="Times New Roman"/>
          <w:color w:val="000000"/>
          <w:shd w:val="clear" w:color="auto" w:fill="FFFFFF"/>
        </w:rPr>
        <w:t xml:space="preserve">to encourage </w:t>
      </w:r>
      <w:r w:rsidR="004E5E19">
        <w:rPr>
          <w:rFonts w:eastAsia="Times New Roman"/>
          <w:color w:val="000000"/>
          <w:shd w:val="clear" w:color="auto" w:fill="FFFFFF"/>
        </w:rPr>
        <w:t>investment in</w:t>
      </w:r>
      <w:r w:rsidR="004C235A">
        <w:rPr>
          <w:rFonts w:eastAsia="Times New Roman"/>
          <w:color w:val="000000"/>
          <w:shd w:val="clear" w:color="auto" w:fill="FFFFFF"/>
        </w:rPr>
        <w:t xml:space="preserve"> cybersecurity</w:t>
      </w:r>
      <w:r w:rsidRPr="00467776" w:rsidR="004C235A">
        <w:rPr>
          <w:rFonts w:eastAsia="Times New Roman"/>
          <w:color w:val="000000"/>
        </w:rPr>
        <w:t>,</w:t>
      </w:r>
      <w:r w:rsidR="004C235A">
        <w:rPr>
          <w:rFonts w:eastAsia="Times New Roman"/>
          <w:color w:val="000000"/>
          <w:shd w:val="clear" w:color="auto" w:fill="FFFFFF"/>
        </w:rPr>
        <w:t xml:space="preserve"> the Commission could consider allowing utilities to </w:t>
      </w:r>
      <w:r w:rsidR="00E2270A">
        <w:rPr>
          <w:rFonts w:eastAsia="Times New Roman"/>
          <w:color w:val="000000"/>
          <w:shd w:val="clear" w:color="auto" w:fill="FFFFFF"/>
        </w:rPr>
        <w:t>defer</w:t>
      </w:r>
      <w:r w:rsidR="004C235A">
        <w:rPr>
          <w:rFonts w:eastAsia="Times New Roman"/>
          <w:color w:val="000000"/>
          <w:shd w:val="clear" w:color="auto" w:fill="FFFFFF"/>
        </w:rPr>
        <w:t xml:space="preserve"> and </w:t>
      </w:r>
      <w:r w:rsidR="00E2270A">
        <w:rPr>
          <w:rFonts w:eastAsia="Times New Roman"/>
          <w:color w:val="000000"/>
          <w:shd w:val="clear" w:color="auto" w:fill="FFFFFF"/>
        </w:rPr>
        <w:t xml:space="preserve">amortize </w:t>
      </w:r>
      <w:r w:rsidR="004C235A">
        <w:rPr>
          <w:rFonts w:eastAsia="Times New Roman"/>
          <w:color w:val="000000"/>
          <w:shd w:val="clear" w:color="auto" w:fill="FFFFFF"/>
        </w:rPr>
        <w:t>eligible costs</w:t>
      </w:r>
      <w:r w:rsidR="00E2270A">
        <w:rPr>
          <w:rFonts w:eastAsia="Times New Roman"/>
          <w:color w:val="000000"/>
          <w:shd w:val="clear" w:color="auto" w:fill="FFFFFF"/>
        </w:rPr>
        <w:t xml:space="preserve"> that are typically recorded as expense</w:t>
      </w:r>
      <w:r>
        <w:rPr>
          <w:rFonts w:eastAsia="Times New Roman"/>
          <w:color w:val="000000"/>
          <w:shd w:val="clear" w:color="auto" w:fill="FFFFFF"/>
        </w:rPr>
        <w:t>s</w:t>
      </w:r>
      <w:r w:rsidR="00E2270A">
        <w:rPr>
          <w:rFonts w:eastAsia="Times New Roman"/>
          <w:color w:val="000000"/>
          <w:shd w:val="clear" w:color="auto" w:fill="FFFFFF"/>
        </w:rPr>
        <w:t xml:space="preserve"> that are </w:t>
      </w:r>
      <w:r w:rsidR="004C235A">
        <w:rPr>
          <w:rFonts w:eastAsia="Times New Roman"/>
          <w:color w:val="000000"/>
          <w:shd w:val="clear" w:color="auto" w:fill="FFFFFF"/>
        </w:rPr>
        <w:t>associated with </w:t>
      </w:r>
      <w:r w:rsidRPr="00C37962" w:rsidR="004C235A">
        <w:rPr>
          <w:color w:val="000000"/>
          <w:shd w:val="clear" w:color="auto" w:fill="FFFFFF"/>
        </w:rPr>
        <w:t>third-party</w:t>
      </w:r>
      <w:r w:rsidR="004C235A">
        <w:rPr>
          <w:rFonts w:eastAsia="Times New Roman"/>
          <w:color w:val="000000"/>
          <w:shd w:val="clear" w:color="auto" w:fill="FFFFFF"/>
        </w:rPr>
        <w:t> </w:t>
      </w:r>
      <w:r w:rsidRPr="00467776" w:rsidR="004C235A">
        <w:rPr>
          <w:rFonts w:eastAsia="Times New Roman"/>
          <w:color w:val="000000"/>
        </w:rPr>
        <w:t>hardware, software, and computing and networking services</w:t>
      </w:r>
      <w:r w:rsidR="004C235A">
        <w:rPr>
          <w:rFonts w:eastAsia="Times New Roman"/>
          <w:color w:val="000000"/>
          <w:shd w:val="clear" w:color="auto" w:fill="FFFFFF"/>
        </w:rPr>
        <w:t> over a short</w:t>
      </w:r>
      <w:r w:rsidR="00216749">
        <w:rPr>
          <w:rFonts w:eastAsia="Times New Roman"/>
          <w:color w:val="000000"/>
          <w:shd w:val="clear" w:color="auto" w:fill="FFFFFF"/>
        </w:rPr>
        <w:t>er</w:t>
      </w:r>
      <w:r w:rsidR="004C235A">
        <w:rPr>
          <w:rFonts w:eastAsia="Times New Roman"/>
          <w:color w:val="000000"/>
          <w:shd w:val="clear" w:color="auto" w:fill="FFFFFF"/>
        </w:rPr>
        <w:t xml:space="preserve"> period (</w:t>
      </w:r>
      <w:r w:rsidR="00216749">
        <w:rPr>
          <w:rFonts w:eastAsia="Times New Roman"/>
          <w:color w:val="000000"/>
          <w:shd w:val="clear" w:color="auto" w:fill="FFFFFF"/>
        </w:rPr>
        <w:t xml:space="preserve">such as </w:t>
      </w:r>
      <w:r w:rsidR="004C235A">
        <w:rPr>
          <w:rFonts w:eastAsia="Times New Roman"/>
          <w:color w:val="000000"/>
          <w:shd w:val="clear" w:color="auto" w:fill="FFFFFF"/>
        </w:rPr>
        <w:t>five years). </w:t>
      </w:r>
    </w:p>
    <w:p w:rsidRPr="008354F9" w:rsidR="009A5964" w:rsidP="00175EF0" w:rsidRDefault="009A5964" w14:paraId="4D5AA767" w14:textId="01F86FD0">
      <w:pPr>
        <w:pStyle w:val="Heading2"/>
      </w:pPr>
      <w:r>
        <w:t>Approaches to Identify Cybersecurity Investments Eligible for Incentives</w:t>
      </w:r>
    </w:p>
    <w:bookmarkEnd w:id="7"/>
    <w:p w:rsidR="009A5964" w:rsidP="00617E1F" w:rsidRDefault="00467776" w14:paraId="64320F7A" w14:textId="6E2EB5F8">
      <w:pPr>
        <w:tabs>
          <w:tab w:val="left" w:pos="2250"/>
        </w:tabs>
        <w:autoSpaceDE w:val="0"/>
        <w:autoSpaceDN w:val="0"/>
        <w:adjustRightInd w:val="0"/>
        <w:ind w:firstLine="720"/>
        <w:rPr>
          <w:rFonts w:eastAsia="Times New Roman"/>
          <w:szCs w:val="24"/>
        </w:rPr>
      </w:pPr>
      <w:r>
        <w:rPr>
          <w:rFonts w:eastAsia="Times New Roman"/>
          <w:szCs w:val="24"/>
        </w:rPr>
        <w:t>In order t</w:t>
      </w:r>
      <w:r w:rsidR="004D19CD">
        <w:rPr>
          <w:rFonts w:eastAsia="Times New Roman"/>
          <w:szCs w:val="24"/>
        </w:rPr>
        <w:t xml:space="preserve">o determine whether </w:t>
      </w:r>
      <w:r w:rsidR="009A5964">
        <w:rPr>
          <w:rFonts w:eastAsia="Times New Roman"/>
          <w:szCs w:val="24"/>
        </w:rPr>
        <w:t xml:space="preserve">a utility’s cybersecurity investments are eligible for </w:t>
      </w:r>
      <w:r w:rsidR="004D19CD">
        <w:rPr>
          <w:rFonts w:eastAsia="Times New Roman"/>
          <w:szCs w:val="24"/>
        </w:rPr>
        <w:t>incentives</w:t>
      </w:r>
      <w:r w:rsidR="009A5964">
        <w:rPr>
          <w:rFonts w:eastAsia="Times New Roman"/>
          <w:szCs w:val="24"/>
        </w:rPr>
        <w:t>,</w:t>
      </w:r>
      <w:r w:rsidR="004D19CD">
        <w:rPr>
          <w:rFonts w:eastAsia="Times New Roman"/>
          <w:szCs w:val="24"/>
        </w:rPr>
        <w:t xml:space="preserve"> the Commission </w:t>
      </w:r>
      <w:r w:rsidR="00761C69">
        <w:rPr>
          <w:rFonts w:eastAsia="Times New Roman"/>
          <w:szCs w:val="24"/>
        </w:rPr>
        <w:t xml:space="preserve">would </w:t>
      </w:r>
      <w:r>
        <w:rPr>
          <w:rFonts w:eastAsia="Times New Roman"/>
          <w:szCs w:val="24"/>
        </w:rPr>
        <w:t xml:space="preserve">need </w:t>
      </w:r>
      <w:r w:rsidR="00761C69">
        <w:rPr>
          <w:rFonts w:eastAsia="Times New Roman"/>
          <w:szCs w:val="24"/>
        </w:rPr>
        <w:t xml:space="preserve">to develop </w:t>
      </w:r>
      <w:r>
        <w:rPr>
          <w:rFonts w:eastAsia="Times New Roman"/>
          <w:szCs w:val="24"/>
        </w:rPr>
        <w:t xml:space="preserve">an approach </w:t>
      </w:r>
      <w:r w:rsidR="004D19CD">
        <w:rPr>
          <w:rFonts w:eastAsia="Times New Roman"/>
          <w:szCs w:val="24"/>
        </w:rPr>
        <w:t xml:space="preserve">for identifying the cybersecurity </w:t>
      </w:r>
      <w:r w:rsidR="000921B0">
        <w:rPr>
          <w:rFonts w:eastAsia="Times New Roman"/>
          <w:szCs w:val="24"/>
        </w:rPr>
        <w:t>investment</w:t>
      </w:r>
      <w:r>
        <w:rPr>
          <w:rFonts w:eastAsia="Times New Roman"/>
          <w:szCs w:val="24"/>
        </w:rPr>
        <w:t>s</w:t>
      </w:r>
      <w:r w:rsidR="000921B0">
        <w:rPr>
          <w:rFonts w:eastAsia="Times New Roman"/>
          <w:szCs w:val="24"/>
        </w:rPr>
        <w:t xml:space="preserve"> </w:t>
      </w:r>
      <w:r w:rsidR="004D19CD">
        <w:rPr>
          <w:rFonts w:eastAsia="Times New Roman"/>
          <w:szCs w:val="24"/>
        </w:rPr>
        <w:t>that it seeks to incent</w:t>
      </w:r>
      <w:r>
        <w:rPr>
          <w:rFonts w:eastAsia="Times New Roman"/>
          <w:szCs w:val="24"/>
        </w:rPr>
        <w:t>ivize</w:t>
      </w:r>
      <w:r w:rsidR="004D19CD">
        <w:rPr>
          <w:rFonts w:eastAsia="Times New Roman"/>
          <w:szCs w:val="24"/>
        </w:rPr>
        <w:t xml:space="preserve">.  </w:t>
      </w:r>
      <w:r w:rsidR="006150D0">
        <w:rPr>
          <w:rFonts w:eastAsia="Times New Roman"/>
          <w:szCs w:val="24"/>
        </w:rPr>
        <w:t>T</w:t>
      </w:r>
      <w:r w:rsidR="00617E1F">
        <w:rPr>
          <w:rFonts w:eastAsia="Times New Roman"/>
          <w:szCs w:val="24"/>
        </w:rPr>
        <w:t xml:space="preserve">his </w:t>
      </w:r>
      <w:r w:rsidR="006150D0">
        <w:rPr>
          <w:rFonts w:eastAsia="Times New Roman"/>
          <w:szCs w:val="24"/>
        </w:rPr>
        <w:t xml:space="preserve">staff </w:t>
      </w:r>
      <w:r w:rsidR="00617E1F">
        <w:rPr>
          <w:rFonts w:eastAsia="Times New Roman"/>
          <w:szCs w:val="24"/>
        </w:rPr>
        <w:t xml:space="preserve">paper </w:t>
      </w:r>
      <w:r>
        <w:rPr>
          <w:rFonts w:eastAsia="Times New Roman"/>
          <w:szCs w:val="24"/>
        </w:rPr>
        <w:t xml:space="preserve">proposes </w:t>
      </w:r>
      <w:r w:rsidR="00617E1F">
        <w:rPr>
          <w:rFonts w:eastAsia="Times New Roman"/>
          <w:szCs w:val="24"/>
        </w:rPr>
        <w:t>two potential approaches</w:t>
      </w:r>
      <w:r w:rsidR="009A5964">
        <w:rPr>
          <w:rFonts w:eastAsia="Times New Roman"/>
          <w:szCs w:val="24"/>
        </w:rPr>
        <w:t xml:space="preserve">.  </w:t>
      </w:r>
    </w:p>
    <w:p w:rsidR="009A5964" w:rsidP="00617E1F" w:rsidRDefault="009A5964" w14:paraId="6ADF7D3D" w14:textId="77777777">
      <w:pPr>
        <w:tabs>
          <w:tab w:val="left" w:pos="2250"/>
        </w:tabs>
        <w:autoSpaceDE w:val="0"/>
        <w:autoSpaceDN w:val="0"/>
        <w:adjustRightInd w:val="0"/>
        <w:ind w:firstLine="720"/>
        <w:rPr>
          <w:rFonts w:eastAsia="Times New Roman"/>
          <w:szCs w:val="24"/>
        </w:rPr>
      </w:pPr>
    </w:p>
    <w:p w:rsidR="00617E1F" w:rsidP="00617E1F" w:rsidRDefault="00564550" w14:paraId="03617272" w14:textId="7E79962F">
      <w:pPr>
        <w:tabs>
          <w:tab w:val="left" w:pos="2250"/>
        </w:tabs>
        <w:autoSpaceDE w:val="0"/>
        <w:autoSpaceDN w:val="0"/>
        <w:adjustRightInd w:val="0"/>
        <w:ind w:firstLine="720"/>
        <w:rPr>
          <w:rFonts w:eastAsia="Times New Roman"/>
          <w:szCs w:val="24"/>
        </w:rPr>
      </w:pPr>
      <w:r>
        <w:rPr>
          <w:rFonts w:eastAsia="Times New Roman"/>
          <w:szCs w:val="24"/>
        </w:rPr>
        <w:t>Under both approaches, u</w:t>
      </w:r>
      <w:r w:rsidR="009A5964">
        <w:rPr>
          <w:rFonts w:eastAsia="Times New Roman"/>
          <w:szCs w:val="24"/>
        </w:rPr>
        <w:t xml:space="preserve">tilities </w:t>
      </w:r>
      <w:r w:rsidR="00421719">
        <w:rPr>
          <w:rFonts w:eastAsia="Times New Roman"/>
          <w:szCs w:val="24"/>
        </w:rPr>
        <w:t>could</w:t>
      </w:r>
      <w:r w:rsidR="009A5964">
        <w:rPr>
          <w:rFonts w:eastAsia="Times New Roman"/>
          <w:szCs w:val="24"/>
        </w:rPr>
        <w:t xml:space="preserve"> be eligible for </w:t>
      </w:r>
      <w:r w:rsidR="00617E1F">
        <w:rPr>
          <w:rFonts w:eastAsia="Times New Roman"/>
          <w:szCs w:val="24"/>
        </w:rPr>
        <w:t xml:space="preserve">incentives </w:t>
      </w:r>
      <w:r w:rsidR="008D3673">
        <w:rPr>
          <w:rFonts w:eastAsia="Times New Roman"/>
          <w:szCs w:val="24"/>
        </w:rPr>
        <w:t xml:space="preserve">under FPA section 219 </w:t>
      </w:r>
      <w:r w:rsidR="00617E1F">
        <w:rPr>
          <w:rFonts w:eastAsia="Times New Roman"/>
          <w:szCs w:val="24"/>
        </w:rPr>
        <w:t xml:space="preserve">for voluntary </w:t>
      </w:r>
      <w:r w:rsidR="000921B0">
        <w:rPr>
          <w:rFonts w:eastAsia="Times New Roman"/>
          <w:szCs w:val="24"/>
        </w:rPr>
        <w:t xml:space="preserve">cybersecurity </w:t>
      </w:r>
      <w:r w:rsidR="009A5964">
        <w:rPr>
          <w:rFonts w:eastAsia="Times New Roman"/>
          <w:szCs w:val="24"/>
        </w:rPr>
        <w:t xml:space="preserve">investments </w:t>
      </w:r>
      <w:r w:rsidR="008D3673">
        <w:rPr>
          <w:rFonts w:eastAsia="Times New Roman"/>
          <w:szCs w:val="24"/>
        </w:rPr>
        <w:t xml:space="preserve">that exceed </w:t>
      </w:r>
      <w:r w:rsidR="00617E1F">
        <w:rPr>
          <w:rFonts w:eastAsia="Times New Roman"/>
          <w:szCs w:val="24"/>
        </w:rPr>
        <w:t xml:space="preserve">the CIP Reliability Standards.  </w:t>
      </w:r>
      <w:r>
        <w:rPr>
          <w:rFonts w:eastAsia="Times New Roman"/>
          <w:szCs w:val="24"/>
        </w:rPr>
        <w:t>I</w:t>
      </w:r>
      <w:r w:rsidR="008D3673">
        <w:rPr>
          <w:rFonts w:eastAsia="Times New Roman"/>
          <w:szCs w:val="24"/>
        </w:rPr>
        <w:t xml:space="preserve">nvestments </w:t>
      </w:r>
      <w:r>
        <w:rPr>
          <w:rFonts w:eastAsia="Times New Roman"/>
          <w:szCs w:val="24"/>
        </w:rPr>
        <w:t xml:space="preserve">made </w:t>
      </w:r>
      <w:r w:rsidR="008D3673">
        <w:rPr>
          <w:rFonts w:eastAsia="Times New Roman"/>
          <w:szCs w:val="24"/>
        </w:rPr>
        <w:t xml:space="preserve">to comply with the mandatory </w:t>
      </w:r>
      <w:r w:rsidR="00617E1F">
        <w:rPr>
          <w:rFonts w:eastAsia="Times New Roman"/>
          <w:szCs w:val="24"/>
        </w:rPr>
        <w:t>CIP Reliability Standards</w:t>
      </w:r>
      <w:r>
        <w:rPr>
          <w:rFonts w:eastAsia="Times New Roman"/>
          <w:szCs w:val="24"/>
        </w:rPr>
        <w:t xml:space="preserve"> would not be eligible for incentives</w:t>
      </w:r>
      <w:r w:rsidR="00617E1F">
        <w:rPr>
          <w:rFonts w:eastAsia="Times New Roman"/>
          <w:szCs w:val="24"/>
        </w:rPr>
        <w:t xml:space="preserve">.  </w:t>
      </w:r>
    </w:p>
    <w:p w:rsidR="00617E1F" w:rsidP="00617E1F" w:rsidRDefault="00617E1F" w14:paraId="4C7024CE" w14:textId="77777777">
      <w:pPr>
        <w:autoSpaceDE w:val="0"/>
        <w:autoSpaceDN w:val="0"/>
        <w:adjustRightInd w:val="0"/>
        <w:ind w:firstLine="720"/>
        <w:rPr>
          <w:rFonts w:eastAsia="Times New Roman"/>
          <w:szCs w:val="24"/>
        </w:rPr>
      </w:pPr>
    </w:p>
    <w:p w:rsidRPr="00A02922" w:rsidR="00A02922" w:rsidRDefault="00617E1F" w14:paraId="184E66DE" w14:textId="0CA69EC7">
      <w:pPr>
        <w:pStyle w:val="FERCNopara"/>
      </w:pPr>
      <w:r>
        <w:t xml:space="preserve">The first approach </w:t>
      </w:r>
      <w:r w:rsidR="00822680">
        <w:t>is</w:t>
      </w:r>
      <w:r>
        <w:t xml:space="preserve"> based on a utility voluntarily applying certain CIP Reliability Standard requirements to </w:t>
      </w:r>
      <w:r w:rsidR="00E314DC">
        <w:t xml:space="preserve">transmission </w:t>
      </w:r>
      <w:r>
        <w:t>facilities</w:t>
      </w:r>
      <w:r w:rsidRPr="00E85069">
        <w:t xml:space="preserve"> </w:t>
      </w:r>
      <w:r>
        <w:t xml:space="preserve">that are not </w:t>
      </w:r>
      <w:r w:rsidR="000921B0">
        <w:t>subject</w:t>
      </w:r>
      <w:r>
        <w:t xml:space="preserve"> to those requirements, e.</w:t>
      </w:r>
      <w:r w:rsidR="00861108">
        <w:t>g.</w:t>
      </w:r>
      <w:r>
        <w:t xml:space="preserve">, applying </w:t>
      </w:r>
      <w:r w:rsidR="00861108">
        <w:t xml:space="preserve">all </w:t>
      </w:r>
      <w:r>
        <w:t xml:space="preserve">requirements applicable to medium </w:t>
      </w:r>
      <w:r w:rsidR="00C35093">
        <w:t xml:space="preserve">or high </w:t>
      </w:r>
      <w:r>
        <w:t xml:space="preserve">impact </w:t>
      </w:r>
      <w:r w:rsidR="001A7DC1">
        <w:t xml:space="preserve">systems </w:t>
      </w:r>
      <w:r>
        <w:t xml:space="preserve">to low impact </w:t>
      </w:r>
      <w:r w:rsidR="001A7DC1">
        <w:t>systems</w:t>
      </w:r>
      <w:r>
        <w:t xml:space="preserve">.  The second approach </w:t>
      </w:r>
      <w:r w:rsidR="008D3673">
        <w:t>is</w:t>
      </w:r>
      <w:r>
        <w:t xml:space="preserve"> based on a utility voluntarily implementing portions of the cybersecurity framework developed by the National Institute of Standards and Technology (NIST).  Both of these potential approaches</w:t>
      </w:r>
      <w:r w:rsidR="008D3673">
        <w:t>,</w:t>
      </w:r>
      <w:r>
        <w:t xml:space="preserve"> </w:t>
      </w:r>
      <w:r w:rsidRPr="00A02922" w:rsidR="00C76C8F">
        <w:t>a</w:t>
      </w:r>
      <w:r w:rsidR="00C76C8F">
        <w:t xml:space="preserve">long with a potential </w:t>
      </w:r>
      <w:r w:rsidRPr="00A02922" w:rsidR="00C76C8F">
        <w:t>process to apply the incentive</w:t>
      </w:r>
      <w:r w:rsidR="00C76C8F">
        <w:t xml:space="preserve">, </w:t>
      </w:r>
      <w:r>
        <w:t>are discussed in sections below.</w:t>
      </w:r>
      <w:r w:rsidR="001B7559">
        <w:t xml:space="preserve">  The </w:t>
      </w:r>
      <w:r w:rsidR="00CD6033">
        <w:t>two approache</w:t>
      </w:r>
      <w:r w:rsidR="001B7559">
        <w:t xml:space="preserve">s </w:t>
      </w:r>
      <w:r w:rsidR="00761C69">
        <w:lastRenderedPageBreak/>
        <w:t xml:space="preserve">could </w:t>
      </w:r>
      <w:r w:rsidR="001B7559">
        <w:t>be utilized independently or in combination.</w:t>
      </w:r>
      <w:r w:rsidR="001B7559">
        <w:rPr>
          <w:rStyle w:val="FootnoteReference"/>
        </w:rPr>
        <w:footnoteReference w:id="43"/>
      </w:r>
    </w:p>
    <w:p w:rsidRPr="007A4C5B" w:rsidR="008354F9" w:rsidP="0092708B" w:rsidRDefault="001B7559" w14:paraId="4803108E" w14:textId="6B0CDDA6">
      <w:pPr>
        <w:pStyle w:val="Heading3"/>
      </w:pPr>
      <w:r>
        <w:t>I</w:t>
      </w:r>
      <w:r w:rsidR="00EA6F3B">
        <w:t xml:space="preserve">ncentives </w:t>
      </w:r>
      <w:r w:rsidR="00D72B71">
        <w:t>B</w:t>
      </w:r>
      <w:r w:rsidR="001535C9">
        <w:t xml:space="preserve">ased on </w:t>
      </w:r>
      <w:r w:rsidR="00DE7681">
        <w:t xml:space="preserve">Applying </w:t>
      </w:r>
      <w:r w:rsidR="001535C9">
        <w:t xml:space="preserve">the CIP Reliability Standards </w:t>
      </w:r>
      <w:r w:rsidR="00DE7681">
        <w:t>to Additional Facilities</w:t>
      </w:r>
      <w:r w:rsidR="001535C9">
        <w:t xml:space="preserve"> </w:t>
      </w:r>
      <w:r w:rsidRPr="00AA3CBB" w:rsidR="00D05C7E">
        <w:t xml:space="preserve"> </w:t>
      </w:r>
    </w:p>
    <w:p w:rsidR="00AA3CBB" w:rsidP="00C900EC" w:rsidRDefault="00D05C7E" w14:paraId="284D71C9" w14:textId="01EEF926">
      <w:pPr>
        <w:pStyle w:val="FERCNopara"/>
      </w:pPr>
      <w:r>
        <w:t xml:space="preserve">Under </w:t>
      </w:r>
      <w:r w:rsidR="0070754E">
        <w:t>this</w:t>
      </w:r>
      <w:r>
        <w:t xml:space="preserve"> approach, the Commission </w:t>
      </w:r>
      <w:r w:rsidR="00D307B5">
        <w:t>c</w:t>
      </w:r>
      <w:r>
        <w:t xml:space="preserve">ould </w:t>
      </w:r>
      <w:r w:rsidRPr="00AA3CBB" w:rsidR="00AA3CBB">
        <w:t xml:space="preserve">provide </w:t>
      </w:r>
      <w:r w:rsidR="00CB27AE">
        <w:t xml:space="preserve">a </w:t>
      </w:r>
      <w:r w:rsidR="00105C13">
        <w:t>utility</w:t>
      </w:r>
      <w:r w:rsidR="00CB27AE">
        <w:t xml:space="preserve"> </w:t>
      </w:r>
      <w:r w:rsidRPr="00AA3CBB" w:rsidR="00AA3CBB">
        <w:t>a</w:t>
      </w:r>
      <w:r w:rsidR="00173320">
        <w:t xml:space="preserve">n </w:t>
      </w:r>
      <w:r w:rsidRPr="00AA3CBB" w:rsidR="00AA3CBB">
        <w:t xml:space="preserve">ROE adder </w:t>
      </w:r>
      <w:r w:rsidR="00D307B5">
        <w:t xml:space="preserve">or other </w:t>
      </w:r>
      <w:r w:rsidRPr="00AA3CBB" w:rsidR="00AA3CBB">
        <w:t>incentive for</w:t>
      </w:r>
      <w:r w:rsidR="000949A9">
        <w:t xml:space="preserve"> </w:t>
      </w:r>
      <w:r w:rsidR="00EA6F3B">
        <w:t>voluntarily</w:t>
      </w:r>
      <w:r w:rsidR="00D307B5">
        <w:t xml:space="preserve"> applying certain CIP Reliability Standard</w:t>
      </w:r>
      <w:r w:rsidR="005B287F">
        <w:t>s</w:t>
      </w:r>
      <w:r w:rsidR="00D307B5">
        <w:t xml:space="preserve"> to facilities</w:t>
      </w:r>
      <w:r w:rsidRPr="00E85069" w:rsidR="00D307B5">
        <w:t xml:space="preserve"> </w:t>
      </w:r>
      <w:r w:rsidR="00D307B5">
        <w:t xml:space="preserve">that are not </w:t>
      </w:r>
      <w:r w:rsidR="0009772E">
        <w:t xml:space="preserve">currently </w:t>
      </w:r>
      <w:r w:rsidR="0070754E">
        <w:t xml:space="preserve">subject to </w:t>
      </w:r>
      <w:r w:rsidR="00D307B5">
        <w:t>those requirements</w:t>
      </w:r>
      <w:r w:rsidR="00564550">
        <w:t>.  Specifically</w:t>
      </w:r>
      <w:r w:rsidR="00D307B5">
        <w:t xml:space="preserve">, </w:t>
      </w:r>
      <w:r w:rsidR="00564550">
        <w:t>under this approach</w:t>
      </w:r>
      <w:r w:rsidR="00861108">
        <w:t>,</w:t>
      </w:r>
      <w:r w:rsidR="00564550">
        <w:t xml:space="preserve"> the utility would voluntarily </w:t>
      </w:r>
      <w:r w:rsidR="00D307B5">
        <w:t xml:space="preserve">apply </w:t>
      </w:r>
      <w:r w:rsidR="00564550">
        <w:t>the</w:t>
      </w:r>
      <w:r w:rsidR="00D307B5">
        <w:t xml:space="preserve"> requirements </w:t>
      </w:r>
      <w:r w:rsidR="00564550">
        <w:t xml:space="preserve">for medium </w:t>
      </w:r>
      <w:r w:rsidR="00C35093">
        <w:t xml:space="preserve">(or high) </w:t>
      </w:r>
      <w:r w:rsidR="00564550">
        <w:t xml:space="preserve">impact </w:t>
      </w:r>
      <w:r w:rsidR="00A40C45">
        <w:t>systems</w:t>
      </w:r>
      <w:r w:rsidR="00564550">
        <w:t xml:space="preserve"> to low impact </w:t>
      </w:r>
      <w:r w:rsidR="00A40C45">
        <w:t>systems</w:t>
      </w:r>
      <w:r w:rsidR="00861108">
        <w:t>,</w:t>
      </w:r>
      <w:r w:rsidR="00564550">
        <w:t xml:space="preserve"> and</w:t>
      </w:r>
      <w:r w:rsidR="00861108">
        <w:t>/or the</w:t>
      </w:r>
      <w:r w:rsidR="00564550">
        <w:t xml:space="preserve"> requirements for high impact </w:t>
      </w:r>
      <w:r w:rsidR="00A40C45">
        <w:t>systems</w:t>
      </w:r>
      <w:r w:rsidR="00564550">
        <w:t xml:space="preserve"> to medium </w:t>
      </w:r>
      <w:r w:rsidR="003626CA">
        <w:t xml:space="preserve">impact </w:t>
      </w:r>
      <w:r w:rsidR="00A40C45">
        <w:t>systems</w:t>
      </w:r>
      <w:r w:rsidRPr="00AA3CBB" w:rsidR="00AA3CBB">
        <w:t xml:space="preserve">.  </w:t>
      </w:r>
      <w:r w:rsidR="005B287F">
        <w:t xml:space="preserve">Using </w:t>
      </w:r>
      <w:r w:rsidRPr="00AF089D" w:rsidR="005B287F">
        <w:t xml:space="preserve">the existing NERC Reliability Standards as a framework for providing cybersecurity incentives </w:t>
      </w:r>
      <w:r w:rsidRPr="00AF089D" w:rsidDel="00C24EF8" w:rsidR="005B287F">
        <w:t>has</w:t>
      </w:r>
      <w:r w:rsidRPr="00AF089D" w:rsidR="005B287F">
        <w:t xml:space="preserve"> the benefit of allowing the Commission to leverage an existing set of </w:t>
      </w:r>
      <w:r w:rsidR="005B287F">
        <w:t>baseline</w:t>
      </w:r>
      <w:r w:rsidRPr="00AF089D" w:rsidR="005B287F">
        <w:t xml:space="preserve"> cybersecurity requirements.  </w:t>
      </w:r>
      <w:r w:rsidR="005B287F">
        <w:t xml:space="preserve">Further, </w:t>
      </w:r>
      <w:r w:rsidRPr="005B287F" w:rsidR="005B287F">
        <w:t xml:space="preserve">utilities and the Commission are already familiar with the CIP Reliability Standards framework and applying known standards to additional facilities </w:t>
      </w:r>
      <w:r w:rsidR="00564550">
        <w:t>c</w:t>
      </w:r>
      <w:r w:rsidRPr="005B287F" w:rsidR="005B287F">
        <w:t xml:space="preserve">ould be a straightforward way to establish a benchmark for determining whether the investment </w:t>
      </w:r>
      <w:r w:rsidR="009C157E">
        <w:t xml:space="preserve">could </w:t>
      </w:r>
      <w:r w:rsidRPr="005B287F" w:rsidR="005B287F">
        <w:t>warrant an incentive.</w:t>
      </w:r>
    </w:p>
    <w:p w:rsidR="00D72B71" w:rsidP="006743B7" w:rsidRDefault="00A60902" w14:paraId="4AF9CB63" w14:textId="7E009CD0">
      <w:pPr>
        <w:pStyle w:val="FERCNopara"/>
      </w:pPr>
      <w:r>
        <w:t xml:space="preserve">As discussed above, </w:t>
      </w:r>
      <w:r w:rsidRPr="002F63E4">
        <w:t xml:space="preserve">CIP-002 (Bulk Electric System Cyber System Categorization) is a foundational standard that requires a </w:t>
      </w:r>
      <w:r w:rsidR="00BD4DF9">
        <w:t>registered entity</w:t>
      </w:r>
      <w:r w:rsidRPr="002F63E4">
        <w:t xml:space="preserve"> to categorize </w:t>
      </w:r>
      <w:r w:rsidR="00AD56C3">
        <w:t xml:space="preserve">its </w:t>
      </w:r>
      <w:r w:rsidR="00B921AF">
        <w:t>c</w:t>
      </w:r>
      <w:r w:rsidRPr="00F34659" w:rsidR="00F34659">
        <w:t xml:space="preserve">yber </w:t>
      </w:r>
      <w:r w:rsidR="00B921AF">
        <w:t>s</w:t>
      </w:r>
      <w:r w:rsidRPr="00F34659" w:rsidR="00F34659">
        <w:t>ystems</w:t>
      </w:r>
      <w:r w:rsidR="00AD56C3">
        <w:t xml:space="preserve"> </w:t>
      </w:r>
      <w:r w:rsidRPr="002F63E4">
        <w:t>in terms of low, medium</w:t>
      </w:r>
      <w:r w:rsidR="008A10E5">
        <w:t>,</w:t>
      </w:r>
      <w:r w:rsidRPr="002F63E4">
        <w:t xml:space="preserve"> and high impact to the grid.</w:t>
      </w:r>
      <w:r w:rsidR="00172F1E">
        <w:t xml:space="preserve">  </w:t>
      </w:r>
      <w:r w:rsidRPr="00C11403" w:rsidR="00C11403">
        <w:t>These impact ratings determine which requirements in NERC Reliability Standards CIP-004 though CIP-013 apply to BES Cyber Systems</w:t>
      </w:r>
      <w:r w:rsidR="00641EEA">
        <w:t>.</w:t>
      </w:r>
      <w:r w:rsidRPr="00C11403" w:rsidR="00C11403">
        <w:t xml:space="preserve"> </w:t>
      </w:r>
      <w:r w:rsidR="00EA55DB">
        <w:t xml:space="preserve"> </w:t>
      </w:r>
      <w:r w:rsidR="009B7440">
        <w:t>Approximately</w:t>
      </w:r>
      <w:r w:rsidRPr="00231CB0" w:rsidR="009B7440">
        <w:t xml:space="preserve"> </w:t>
      </w:r>
      <w:r w:rsidRPr="00231CB0" w:rsidR="00852F99">
        <w:t>15</w:t>
      </w:r>
      <w:r w:rsidR="004A6E3B">
        <w:t>%</w:t>
      </w:r>
      <w:r w:rsidRPr="00231CB0" w:rsidR="00852F99">
        <w:t xml:space="preserve"> of </w:t>
      </w:r>
      <w:r w:rsidR="00852F99">
        <w:t>currently</w:t>
      </w:r>
      <w:r w:rsidR="000C1F7C">
        <w:t xml:space="preserve"> </w:t>
      </w:r>
      <w:r w:rsidR="00852F99">
        <w:t>effective CIP-004 through CIP-011 Reliability Standard</w:t>
      </w:r>
      <w:r w:rsidR="00407C42">
        <w:t>s</w:t>
      </w:r>
      <w:r w:rsidR="00852F99">
        <w:t xml:space="preserve"> </w:t>
      </w:r>
      <w:r w:rsidRPr="00231CB0" w:rsidR="00852F99">
        <w:t>requirements</w:t>
      </w:r>
      <w:r w:rsidR="00852F99">
        <w:t xml:space="preserve"> apply to low impact BES Cyber Systems</w:t>
      </w:r>
      <w:r w:rsidRPr="00231CB0" w:rsidR="00852F99">
        <w:t>.</w:t>
      </w:r>
      <w:r w:rsidR="00EA6F3B">
        <w:rPr>
          <w:rStyle w:val="FootnoteReference"/>
        </w:rPr>
        <w:footnoteReference w:id="44"/>
      </w:r>
      <w:r w:rsidRPr="00231CB0" w:rsidR="00EA6F3B">
        <w:t xml:space="preserve">  </w:t>
      </w:r>
      <w:r w:rsidRPr="00C11403" w:rsidR="00C11403">
        <w:t xml:space="preserve"> </w:t>
      </w:r>
      <w:r w:rsidR="00852F99">
        <w:t xml:space="preserve"> </w:t>
      </w:r>
    </w:p>
    <w:p w:rsidR="0009772E" w:rsidP="007E0BF9" w:rsidRDefault="00AF089D" w14:paraId="3CC4A736" w14:textId="462FAFBF">
      <w:pPr>
        <w:pStyle w:val="FERCNopara"/>
      </w:pPr>
      <w:r w:rsidRPr="00AF089D">
        <w:t>CIP Reliability Standards version 5 became enforceable for high and medium impact BES Cyber Systems on July 1, 2016</w:t>
      </w:r>
      <w:r w:rsidR="00434991">
        <w:t>,</w:t>
      </w:r>
      <w:r w:rsidR="0087415B">
        <w:rPr>
          <w:rStyle w:val="FootnoteReference"/>
        </w:rPr>
        <w:footnoteReference w:id="45"/>
      </w:r>
      <w:r w:rsidRPr="00AF089D">
        <w:t xml:space="preserve"> </w:t>
      </w:r>
      <w:r w:rsidR="00434991">
        <w:t>and t</w:t>
      </w:r>
      <w:r w:rsidRPr="00AF089D" w:rsidR="00434991">
        <w:t>he CIP Reliability Standards applicable to low impact BES Cyber Systems became enforceable on April 1, 2020</w:t>
      </w:r>
      <w:r w:rsidR="00434991">
        <w:t xml:space="preserve">. </w:t>
      </w:r>
      <w:r w:rsidRPr="00AF089D">
        <w:t xml:space="preserve"> In approving the CIP Reliability Standards version 5, the Commission determine</w:t>
      </w:r>
      <w:r w:rsidR="00212226">
        <w:t>d “</w:t>
      </w:r>
      <w:r w:rsidRPr="00AF089D">
        <w:t xml:space="preserve">that categorizing BES Cyber Systems based on their Low, Medium, or High Impact on the reliable operation of the bulk electric system, with all BES Cyber Systems being categorized as at least </w:t>
      </w:r>
      <w:r w:rsidR="00342B29">
        <w:t>L</w:t>
      </w:r>
      <w:r w:rsidRPr="00AF089D">
        <w:t xml:space="preserve">ow </w:t>
      </w:r>
      <w:r w:rsidR="00342B29">
        <w:t>I</w:t>
      </w:r>
      <w:r w:rsidRPr="00AF089D">
        <w:t xml:space="preserve">mpact, offers more comprehensive protection of the bulk electric system” and “that the new cyber security controls improve the security posture of </w:t>
      </w:r>
      <w:r w:rsidRPr="00AF089D">
        <w:lastRenderedPageBreak/>
        <w:t>responsible entities</w:t>
      </w:r>
      <w:r w:rsidR="006102D7">
        <w:t>.</w:t>
      </w:r>
      <w:r w:rsidRPr="00AF089D">
        <w:t>”</w:t>
      </w:r>
      <w:r w:rsidR="006102D7">
        <w:rPr>
          <w:rStyle w:val="FootnoteReference"/>
        </w:rPr>
        <w:footnoteReference w:id="46"/>
      </w:r>
      <w:r w:rsidRPr="00AF089D">
        <w:t xml:space="preserve"> </w:t>
      </w:r>
      <w:r w:rsidR="00377191">
        <w:t xml:space="preserve"> </w:t>
      </w:r>
    </w:p>
    <w:p w:rsidR="007E0BF9" w:rsidRDefault="00EA6F3B" w14:paraId="10B60ABB" w14:textId="4E69FB46">
      <w:pPr>
        <w:pStyle w:val="FERCNopara"/>
      </w:pPr>
      <w:r>
        <w:t xml:space="preserve">Under this approach, a utility </w:t>
      </w:r>
      <w:r w:rsidR="00421719">
        <w:t>c</w:t>
      </w:r>
      <w:r w:rsidR="002F1A30">
        <w:t xml:space="preserve">ould be eligible for </w:t>
      </w:r>
      <w:r>
        <w:t xml:space="preserve">an </w:t>
      </w:r>
      <w:r w:rsidR="00A47B08">
        <w:t>incentive for</w:t>
      </w:r>
      <w:r w:rsidRPr="00AA3CBB" w:rsidR="009B7968">
        <w:t xml:space="preserve"> capital expenditures </w:t>
      </w:r>
      <w:r w:rsidRPr="00F34659" w:rsidR="00F34659">
        <w:t>on BES Cyber Systems</w:t>
      </w:r>
      <w:r w:rsidRPr="00AA3CBB" w:rsidR="009B7968">
        <w:t xml:space="preserve"> </w:t>
      </w:r>
      <w:r w:rsidR="002F1A30">
        <w:t>incurred</w:t>
      </w:r>
      <w:r>
        <w:t xml:space="preserve"> to </w:t>
      </w:r>
      <w:r w:rsidR="00DE7681">
        <w:t xml:space="preserve">apply </w:t>
      </w:r>
      <w:r w:rsidRPr="00AA3CBB" w:rsidR="009B7968">
        <w:t>the CIP Reliability Standards requirements</w:t>
      </w:r>
      <w:r>
        <w:t xml:space="preserve"> </w:t>
      </w:r>
      <w:r w:rsidR="00861108">
        <w:t xml:space="preserve">for higher impact assets </w:t>
      </w:r>
      <w:r w:rsidR="00DE7681">
        <w:t>to</w:t>
      </w:r>
      <w:r w:rsidR="00136593">
        <w:t xml:space="preserve"> low or medium impact assets </w:t>
      </w:r>
      <w:r>
        <w:t>effective at the time of the investment</w:t>
      </w:r>
      <w:r w:rsidRPr="00AA3CBB" w:rsidR="009B7968">
        <w:t>.</w:t>
      </w:r>
      <w:r w:rsidRPr="005B287F" w:rsidR="005B287F">
        <w:rPr>
          <w:rStyle w:val="FootnoteReference"/>
        </w:rPr>
        <w:footnoteReference w:id="47"/>
      </w:r>
      <w:r w:rsidR="002F1A30">
        <w:t xml:space="preserve">  </w:t>
      </w:r>
      <w:r w:rsidR="00A47B08">
        <w:t>By providing this incentive</w:t>
      </w:r>
      <w:r w:rsidR="007E0BF9">
        <w:t xml:space="preserve">, the Commission could </w:t>
      </w:r>
      <w:r w:rsidR="002F1A30">
        <w:t>encourage</w:t>
      </w:r>
      <w:r w:rsidR="007E0BF9">
        <w:t xml:space="preserve"> utilities to increase the number of facilities that are protected by the requirements for </w:t>
      </w:r>
      <w:r w:rsidR="00D72B71">
        <w:t xml:space="preserve">medium </w:t>
      </w:r>
      <w:r w:rsidR="00407C42">
        <w:t xml:space="preserve">and </w:t>
      </w:r>
      <w:r w:rsidR="007E0BF9">
        <w:t>high</w:t>
      </w:r>
      <w:r w:rsidR="00D72B71">
        <w:t xml:space="preserve"> </w:t>
      </w:r>
      <w:r w:rsidR="007E0BF9">
        <w:t>impact BES Cyber System</w:t>
      </w:r>
      <w:r w:rsidR="008B7DAD">
        <w:t>s</w:t>
      </w:r>
      <w:r w:rsidR="009E4202">
        <w:t xml:space="preserve"> therefore improving the </w:t>
      </w:r>
      <w:r w:rsidR="002F1A30">
        <w:t>utility</w:t>
      </w:r>
      <w:r w:rsidR="00FD1627">
        <w:t xml:space="preserve">’s </w:t>
      </w:r>
      <w:r w:rsidR="009E4202">
        <w:t>security postu</w:t>
      </w:r>
      <w:r w:rsidR="005F7CBE">
        <w:t>re</w:t>
      </w:r>
      <w:r w:rsidR="0093729F">
        <w:t>.</w:t>
      </w:r>
      <w:r w:rsidR="002F1A30">
        <w:t xml:space="preserve">  </w:t>
      </w:r>
    </w:p>
    <w:p w:rsidR="009B7968" w:rsidP="00C900EC" w:rsidRDefault="009B7968" w14:paraId="1DCED2E6" w14:textId="5414F04E">
      <w:pPr>
        <w:pStyle w:val="FERCNopara"/>
      </w:pPr>
      <w:r>
        <w:t xml:space="preserve"> </w:t>
      </w:r>
      <w:r w:rsidR="002F1A30">
        <w:t>This s</w:t>
      </w:r>
      <w:r w:rsidR="006461E4">
        <w:t xml:space="preserve">taff </w:t>
      </w:r>
      <w:r w:rsidR="002F1A30">
        <w:t xml:space="preserve">paper </w:t>
      </w:r>
      <w:r w:rsidR="00DE7681">
        <w:t>identifie</w:t>
      </w:r>
      <w:r w:rsidR="002F1A30">
        <w:t>s</w:t>
      </w:r>
      <w:r w:rsidRPr="00AA3CBB">
        <w:t xml:space="preserve"> two </w:t>
      </w:r>
      <w:r w:rsidR="006461E4">
        <w:t>potential</w:t>
      </w:r>
      <w:r w:rsidRPr="00AA3CBB" w:rsidR="006461E4">
        <w:t xml:space="preserve"> </w:t>
      </w:r>
      <w:r w:rsidRPr="00AA3CBB">
        <w:t>methods</w:t>
      </w:r>
      <w:r w:rsidR="006461E4">
        <w:t xml:space="preserve"> the </w:t>
      </w:r>
      <w:r w:rsidR="007E0BF9">
        <w:t>Commission</w:t>
      </w:r>
      <w:r w:rsidR="006461E4">
        <w:t xml:space="preserve"> could </w:t>
      </w:r>
      <w:r w:rsidR="002F1A30">
        <w:t xml:space="preserve">use to determine whether </w:t>
      </w:r>
      <w:r w:rsidR="006461E4">
        <w:t>a utility is</w:t>
      </w:r>
      <w:r w:rsidRPr="00AA3CBB">
        <w:t xml:space="preserve"> </w:t>
      </w:r>
      <w:r w:rsidR="00641EEA">
        <w:t xml:space="preserve">voluntarily </w:t>
      </w:r>
      <w:r w:rsidR="00DE7681">
        <w:t xml:space="preserve">applying </w:t>
      </w:r>
      <w:r w:rsidRPr="00AA3CBB">
        <w:t xml:space="preserve">the requirements of the CIP Reliability Standards </w:t>
      </w:r>
      <w:r w:rsidR="002F1A30">
        <w:t>to additional facilities</w:t>
      </w:r>
      <w:r w:rsidR="00752F3E">
        <w:t>:</w:t>
      </w:r>
      <w:r>
        <w:rPr>
          <w:rStyle w:val="FootnoteReference"/>
        </w:rPr>
        <w:footnoteReference w:id="48"/>
      </w:r>
    </w:p>
    <w:p w:rsidR="00AA3CBB" w:rsidP="00BE5CF0" w:rsidRDefault="00ED501B" w14:paraId="31203055" w14:textId="6D6DEB2B">
      <w:pPr>
        <w:pStyle w:val="FERCNopara"/>
        <w:numPr>
          <w:ilvl w:val="0"/>
          <w:numId w:val="46"/>
        </w:numPr>
        <w:ind w:left="720"/>
      </w:pPr>
      <w:r w:rsidRPr="00BE5CF0">
        <w:rPr>
          <w:b/>
          <w:bCs/>
        </w:rPr>
        <w:t>Med/High Method</w:t>
      </w:r>
      <w:r>
        <w:t xml:space="preserve">:  This method </w:t>
      </w:r>
      <w:r w:rsidR="00861108">
        <w:t xml:space="preserve">would </w:t>
      </w:r>
      <w:r w:rsidR="00CB27AE">
        <w:t xml:space="preserve">involve the </w:t>
      </w:r>
      <w:r w:rsidR="009168D5">
        <w:t>utility</w:t>
      </w:r>
      <w:r>
        <w:t xml:space="preserve"> i</w:t>
      </w:r>
      <w:r w:rsidRPr="00AA3CBB" w:rsidR="00AA3CBB">
        <w:t xml:space="preserve">mplementing medium or high impact CIP </w:t>
      </w:r>
      <w:r w:rsidR="00003AE4">
        <w:t>R</w:t>
      </w:r>
      <w:r w:rsidRPr="00AA3CBB" w:rsidR="00AA3CBB">
        <w:t xml:space="preserve">eliability </w:t>
      </w:r>
      <w:r w:rsidR="00003AE4">
        <w:t>S</w:t>
      </w:r>
      <w:r w:rsidRPr="00AA3CBB" w:rsidR="00AA3CBB">
        <w:t xml:space="preserve">tandards security controls for </w:t>
      </w:r>
      <w:r w:rsidR="007D0079">
        <w:t xml:space="preserve">facilities identified as </w:t>
      </w:r>
      <w:r w:rsidRPr="00AA3CBB" w:rsidR="00AA3CBB">
        <w:t xml:space="preserve">low </w:t>
      </w:r>
      <w:r w:rsidR="008F12FC">
        <w:t xml:space="preserve">or medium </w:t>
      </w:r>
      <w:r w:rsidRPr="00AA3CBB" w:rsidR="00AA3CBB">
        <w:t xml:space="preserve">impact BES </w:t>
      </w:r>
      <w:r w:rsidR="00003AE4">
        <w:t>C</w:t>
      </w:r>
      <w:r w:rsidRPr="00AA3CBB" w:rsidR="00AA3CBB">
        <w:t xml:space="preserve">yber </w:t>
      </w:r>
      <w:r w:rsidR="00003AE4">
        <w:t>S</w:t>
      </w:r>
      <w:r w:rsidRPr="00AA3CBB" w:rsidR="00AA3CBB">
        <w:t>ystems</w:t>
      </w:r>
      <w:r w:rsidR="00E6067E">
        <w:t>.</w:t>
      </w:r>
    </w:p>
    <w:p w:rsidR="006461E4" w:rsidP="005B287F" w:rsidRDefault="006461E4" w14:paraId="76B24BF4" w14:textId="715535C9">
      <w:pPr>
        <w:pStyle w:val="FERCNopara"/>
      </w:pPr>
      <w:r>
        <w:t>Under t</w:t>
      </w:r>
      <w:r w:rsidRPr="00231CB0">
        <w:t>he Med/High Method</w:t>
      </w:r>
      <w:r>
        <w:t xml:space="preserve">, a utility </w:t>
      </w:r>
      <w:r w:rsidR="00F776DC">
        <w:t>seeking</w:t>
      </w:r>
      <w:r>
        <w:t xml:space="preserve"> a cybersecurity incentive for a particular facility that is classified as a </w:t>
      </w:r>
      <w:r w:rsidRPr="00231CB0">
        <w:t xml:space="preserve">low impact BES </w:t>
      </w:r>
      <w:r>
        <w:t>C</w:t>
      </w:r>
      <w:r w:rsidRPr="00231CB0">
        <w:t xml:space="preserve">yber </w:t>
      </w:r>
      <w:r>
        <w:t>S</w:t>
      </w:r>
      <w:r w:rsidRPr="00231CB0">
        <w:t xml:space="preserve">ystem </w:t>
      </w:r>
      <w:r>
        <w:t>would invest in ways to make that facility</w:t>
      </w:r>
      <w:r w:rsidRPr="00231CB0">
        <w:t xml:space="preserve"> </w:t>
      </w:r>
      <w:r>
        <w:t xml:space="preserve">meet </w:t>
      </w:r>
      <w:r w:rsidRPr="00231CB0">
        <w:t xml:space="preserve">all the requirement and sub-requirement protections </w:t>
      </w:r>
      <w:r w:rsidR="00D72B71">
        <w:t xml:space="preserve">applicable to medium </w:t>
      </w:r>
      <w:r w:rsidR="00861108">
        <w:t xml:space="preserve">or </w:t>
      </w:r>
      <w:r w:rsidR="00D72B71">
        <w:t xml:space="preserve">high </w:t>
      </w:r>
      <w:r>
        <w:t>impact BES Cyber Systems</w:t>
      </w:r>
      <w:r w:rsidR="00AA4228">
        <w:t>,</w:t>
      </w:r>
      <w:r w:rsidR="008F12FC">
        <w:t xml:space="preserve"> and </w:t>
      </w:r>
      <w:r w:rsidR="008D7AEB">
        <w:t xml:space="preserve">invest in </w:t>
      </w:r>
      <w:r w:rsidR="008F12FC">
        <w:t xml:space="preserve">a </w:t>
      </w:r>
      <w:r w:rsidR="00AA4228">
        <w:t xml:space="preserve">facility classified as </w:t>
      </w:r>
      <w:r w:rsidR="008D7595">
        <w:t xml:space="preserve">a </w:t>
      </w:r>
      <w:r w:rsidR="008F12FC">
        <w:t>medium impact BES Cyber System to make that facility meet all the requirement and sub-requirement protections applicable to high</w:t>
      </w:r>
      <w:r w:rsidR="00D72B71">
        <w:t xml:space="preserve"> </w:t>
      </w:r>
      <w:r w:rsidR="008F12FC">
        <w:t>impact BES Cyber Systems</w:t>
      </w:r>
      <w:r w:rsidRPr="00231CB0">
        <w:t xml:space="preserve">.  </w:t>
      </w:r>
      <w:r>
        <w:t>The utility c</w:t>
      </w:r>
      <w:r w:rsidR="00D72B71">
        <w:t>ould choose to apply the medium</w:t>
      </w:r>
      <w:r>
        <w:t xml:space="preserve"> and</w:t>
      </w:r>
      <w:r w:rsidR="008F12FC">
        <w:t>/or</w:t>
      </w:r>
      <w:r w:rsidR="00D72B71">
        <w:t xml:space="preserve"> high </w:t>
      </w:r>
      <w:r>
        <w:t xml:space="preserve">impact </w:t>
      </w:r>
      <w:r w:rsidR="00ED60E4">
        <w:t xml:space="preserve">requirements </w:t>
      </w:r>
      <w:r>
        <w:t>to some or all of its low</w:t>
      </w:r>
      <w:r w:rsidRPr="004D490A">
        <w:t xml:space="preserve"> </w:t>
      </w:r>
      <w:r w:rsidR="00E46B81">
        <w:t xml:space="preserve">or medium </w:t>
      </w:r>
      <w:r w:rsidRPr="00231CB0">
        <w:t xml:space="preserve">impact BES </w:t>
      </w:r>
      <w:r>
        <w:t>C</w:t>
      </w:r>
      <w:r w:rsidRPr="00231CB0">
        <w:t xml:space="preserve">yber </w:t>
      </w:r>
      <w:r w:rsidR="00E2054F">
        <w:t>S</w:t>
      </w:r>
      <w:r w:rsidRPr="00231CB0" w:rsidR="00E2054F">
        <w:t>ystem</w:t>
      </w:r>
      <w:r w:rsidR="00E2054F">
        <w:t xml:space="preserve">s </w:t>
      </w:r>
      <w:r>
        <w:t xml:space="preserve">and </w:t>
      </w:r>
      <w:r w:rsidR="008D7AEB">
        <w:t xml:space="preserve">could </w:t>
      </w:r>
      <w:r>
        <w:t xml:space="preserve">receive incentives only for the investments </w:t>
      </w:r>
      <w:r w:rsidR="00D411B5">
        <w:t xml:space="preserve">it made </w:t>
      </w:r>
      <w:r>
        <w:t xml:space="preserve">to apply the more stringent </w:t>
      </w:r>
      <w:r w:rsidR="000B675E">
        <w:t>protections</w:t>
      </w:r>
      <w:r>
        <w:t xml:space="preserve">. </w:t>
      </w:r>
      <w:r w:rsidRPr="00231CB0">
        <w:t xml:space="preserve">  </w:t>
      </w:r>
    </w:p>
    <w:p w:rsidRPr="00AA3CBB" w:rsidR="00F06094" w:rsidP="00BE5CF0" w:rsidRDefault="00ED501B" w14:paraId="05BC2B7F" w14:textId="0C67F48D">
      <w:pPr>
        <w:pStyle w:val="FERCNopara"/>
        <w:numPr>
          <w:ilvl w:val="0"/>
          <w:numId w:val="46"/>
        </w:numPr>
        <w:ind w:left="720"/>
      </w:pPr>
      <w:r w:rsidRPr="00BE5CF0">
        <w:rPr>
          <w:b/>
          <w:bCs/>
        </w:rPr>
        <w:t>Hub-Spoke Method</w:t>
      </w:r>
      <w:r>
        <w:t xml:space="preserve">:  This method </w:t>
      </w:r>
      <w:r w:rsidR="00861108">
        <w:t xml:space="preserve">would </w:t>
      </w:r>
      <w:r w:rsidR="009168D5">
        <w:t>involve</w:t>
      </w:r>
      <w:r w:rsidRPr="00881C91" w:rsidR="00881C91">
        <w:t xml:space="preserve"> the utility</w:t>
      </w:r>
      <w:r w:rsidR="00DE636F">
        <w:t xml:space="preserve"> </w:t>
      </w:r>
      <w:r w:rsidR="008D7AEB">
        <w:t xml:space="preserve">applying </w:t>
      </w:r>
      <w:r w:rsidRPr="00881C91" w:rsidR="00881C91">
        <w:t xml:space="preserve">the CIP Reliability Standards </w:t>
      </w:r>
      <w:r w:rsidR="008D7AEB">
        <w:t xml:space="preserve">at </w:t>
      </w:r>
      <w:r w:rsidRPr="00881C91" w:rsidR="00881C91">
        <w:t xml:space="preserve">locations containing low impact BES </w:t>
      </w:r>
      <w:r w:rsidR="002A51E4">
        <w:t>C</w:t>
      </w:r>
      <w:r w:rsidRPr="00881C91" w:rsidR="00881C91">
        <w:t xml:space="preserve">yber </w:t>
      </w:r>
      <w:r w:rsidR="002A51E4">
        <w:t>S</w:t>
      </w:r>
      <w:r w:rsidRPr="00881C91" w:rsidR="00881C91">
        <w:t>ystems</w:t>
      </w:r>
      <w:r w:rsidR="000D0F8F">
        <w:t xml:space="preserve"> by </w:t>
      </w:r>
      <w:r w:rsidR="000D0F8F">
        <w:lastRenderedPageBreak/>
        <w:t xml:space="preserve">ensuring all external routable </w:t>
      </w:r>
      <w:r w:rsidR="000F3537">
        <w:t>co</w:t>
      </w:r>
      <w:r w:rsidR="008A7353">
        <w:t>nnectivity</w:t>
      </w:r>
      <w:r w:rsidR="008A7353">
        <w:rPr>
          <w:rStyle w:val="FootnoteReference"/>
          <w:bCs/>
        </w:rPr>
        <w:footnoteReference w:id="49"/>
      </w:r>
      <w:r w:rsidR="000D0F8F">
        <w:t xml:space="preserve"> to and from the low impact </w:t>
      </w:r>
      <w:r w:rsidR="0096110E">
        <w:t>system</w:t>
      </w:r>
      <w:r w:rsidR="000D0F8F">
        <w:t xml:space="preserve"> must pass through a high o</w:t>
      </w:r>
      <w:r w:rsidR="00906314">
        <w:t>r</w:t>
      </w:r>
      <w:r w:rsidR="000D0F8F">
        <w:t xml:space="preserve"> medium </w:t>
      </w:r>
      <w:r w:rsidR="00906314">
        <w:t xml:space="preserve">impact </w:t>
      </w:r>
      <w:r w:rsidR="00CD36FB">
        <w:t>BES Cyber System</w:t>
      </w:r>
      <w:r w:rsidR="000D0F8F">
        <w:t>.</w:t>
      </w:r>
      <w:r w:rsidR="001F2565">
        <w:t xml:space="preserve"> </w:t>
      </w:r>
      <w:r w:rsidR="00861108">
        <w:t xml:space="preserve"> </w:t>
      </w:r>
      <w:r w:rsidR="00A86A4A">
        <w:t xml:space="preserve">Specifically, all the cyber communications to and from a low impact </w:t>
      </w:r>
      <w:r w:rsidR="0096110E">
        <w:t>system</w:t>
      </w:r>
      <w:r w:rsidR="00A86A4A">
        <w:t xml:space="preserve"> must come from a medium or high</w:t>
      </w:r>
      <w:r w:rsidR="003702B6">
        <w:t xml:space="preserve"> </w:t>
      </w:r>
      <w:r w:rsidR="00A86A4A">
        <w:t>impact BES Cyber System.  Therefore</w:t>
      </w:r>
      <w:r w:rsidR="00227E9A">
        <w:t>,</w:t>
      </w:r>
      <w:r w:rsidR="00A86A4A">
        <w:t xml:space="preserve"> the cyber communication </w:t>
      </w:r>
      <w:r w:rsidR="00F9151E">
        <w:t xml:space="preserve">would </w:t>
      </w:r>
      <w:r w:rsidR="00A86A4A">
        <w:t>be protected at a higher level before being transmitted to the low impact BES Cyber System.</w:t>
      </w:r>
      <w:r w:rsidRPr="00881C91" w:rsidDel="00A86A4A" w:rsidR="00A86A4A">
        <w:t xml:space="preserve"> </w:t>
      </w:r>
    </w:p>
    <w:p w:rsidRPr="007D3EA1" w:rsidR="00402A64" w:rsidP="003702B6" w:rsidRDefault="00011C7A" w14:paraId="328F182E" w14:textId="543806A9">
      <w:pPr>
        <w:pStyle w:val="FERCNopara"/>
      </w:pPr>
      <w:r>
        <w:t>Low</w:t>
      </w:r>
      <w:r w:rsidR="009168D5">
        <w:t xml:space="preserve"> </w:t>
      </w:r>
      <w:r>
        <w:t>impact BES Cyber Systems employing the</w:t>
      </w:r>
      <w:r w:rsidRPr="00231CB0">
        <w:t xml:space="preserve"> </w:t>
      </w:r>
      <w:r w:rsidRPr="00231CB0" w:rsidR="006461E4">
        <w:t xml:space="preserve">Hub-Spoke Method would </w:t>
      </w:r>
      <w:r w:rsidR="00E975F7">
        <w:t xml:space="preserve">inherit the </w:t>
      </w:r>
      <w:r w:rsidRPr="007D3EA1" w:rsidR="00E975F7">
        <w:t>security benefit of either the medium or high impact controls.</w:t>
      </w:r>
      <w:r w:rsidRPr="007D3EA1" w:rsidR="006461E4">
        <w:rPr>
          <w:rStyle w:val="FootnoteReference"/>
        </w:rPr>
        <w:footnoteReference w:id="50"/>
      </w:r>
      <w:r w:rsidRPr="007D3EA1" w:rsidR="006461E4">
        <w:t xml:space="preserve"> </w:t>
      </w:r>
      <w:r w:rsidRPr="007D3EA1" w:rsidR="00C05E6B">
        <w:t xml:space="preserve">  </w:t>
      </w:r>
    </w:p>
    <w:p w:rsidRPr="006A6B22" w:rsidR="006A6B22" w:rsidP="006A6B22" w:rsidRDefault="006A6B22" w14:paraId="69FDA2AA" w14:textId="08D1B3C9">
      <w:pPr>
        <w:pStyle w:val="FERCNopara"/>
      </w:pPr>
      <w:r w:rsidRPr="007D3EA1">
        <w:t>Utilities that choose to implement the Med/High Method, the Hub-Spoke Method, or a combination of both could receive a rebuttable presumption that the investments provide significant benefits to merit up to a 200-basis point ROE incentive adder for such cybersecurity investments.  Where equipment or software for such upgrades is leased, rather than purchased, utilities could request treatment of such investments as a regulatory asset, rather than expensing the cost, and depreciate such assets over five years.</w:t>
      </w:r>
    </w:p>
    <w:p w:rsidRPr="00231CB0" w:rsidR="00231CB0" w:rsidP="00231CB0" w:rsidRDefault="009A0033" w14:paraId="6A3B8E95" w14:textId="208D18A6">
      <w:pPr>
        <w:pStyle w:val="FERCNopara"/>
      </w:pPr>
      <w:r>
        <w:t xml:space="preserve">Under this </w:t>
      </w:r>
      <w:r w:rsidR="005E0F86">
        <w:t>approach</w:t>
      </w:r>
      <w:r>
        <w:t xml:space="preserve">, </w:t>
      </w:r>
      <w:r w:rsidR="00A6324A">
        <w:t xml:space="preserve">if </w:t>
      </w:r>
      <w:r w:rsidR="008D7AEB">
        <w:t>subsequent to the Commission granting the incentive</w:t>
      </w:r>
      <w:r w:rsidR="00376A8B">
        <w:t>,</w:t>
      </w:r>
      <w:r w:rsidR="00A6324A">
        <w:t xml:space="preserve"> a utility became non-compliant with the </w:t>
      </w:r>
      <w:r>
        <w:t xml:space="preserve">CIP </w:t>
      </w:r>
      <w:r w:rsidR="005E0F86">
        <w:t>Reliability S</w:t>
      </w:r>
      <w:r>
        <w:t>tandards to which they are voluntarily subjecting their facilities</w:t>
      </w:r>
      <w:r w:rsidR="005E5B1B">
        <w:t>,</w:t>
      </w:r>
      <w:r w:rsidR="00A6324A">
        <w:t xml:space="preserve"> the utility</w:t>
      </w:r>
      <w:r w:rsidRPr="00A6324A" w:rsidR="00A6324A">
        <w:t xml:space="preserve"> </w:t>
      </w:r>
      <w:r w:rsidR="00A6324A">
        <w:t>would not be subject to penalties</w:t>
      </w:r>
      <w:r>
        <w:t>.</w:t>
      </w:r>
      <w:r w:rsidR="003702B6">
        <w:t xml:space="preserve"> </w:t>
      </w:r>
      <w:r w:rsidRPr="00AA3CBB">
        <w:t xml:space="preserve"> </w:t>
      </w:r>
      <w:r w:rsidRPr="00AA3CBB" w:rsidR="00F06094">
        <w:t xml:space="preserve">However, </w:t>
      </w:r>
      <w:r>
        <w:t xml:space="preserve">a </w:t>
      </w:r>
      <w:r w:rsidRPr="00AA3CBB" w:rsidR="00F06094">
        <w:t>utilit</w:t>
      </w:r>
      <w:r>
        <w:t>y</w:t>
      </w:r>
      <w:r w:rsidRPr="00AA3CBB" w:rsidR="00F06094">
        <w:t xml:space="preserve"> </w:t>
      </w:r>
      <w:r>
        <w:t>would</w:t>
      </w:r>
      <w:r w:rsidRPr="00AA3CBB">
        <w:t xml:space="preserve"> </w:t>
      </w:r>
      <w:r w:rsidR="00077C60">
        <w:t xml:space="preserve">not be able to collect the incentive for the period of non-compliance and therefore would </w:t>
      </w:r>
      <w:r>
        <w:t xml:space="preserve">need to </w:t>
      </w:r>
      <w:r w:rsidR="00077C60">
        <w:t>demonstrate compliance</w:t>
      </w:r>
      <w:r>
        <w:t xml:space="preserve"> to continue to receive the incentive.  Further, the utility would need to continue to comply with </w:t>
      </w:r>
      <w:r w:rsidR="00077C60">
        <w:t xml:space="preserve">all of the </w:t>
      </w:r>
      <w:r>
        <w:t xml:space="preserve">mandatory NERC obligations </w:t>
      </w:r>
      <w:r w:rsidR="00F06094">
        <w:t xml:space="preserve">for </w:t>
      </w:r>
      <w:r w:rsidR="000B675E">
        <w:t xml:space="preserve">its </w:t>
      </w:r>
      <w:r w:rsidRPr="00AA3CBB" w:rsidR="00F06094">
        <w:t>low impact BES Cyber Systems</w:t>
      </w:r>
      <w:r w:rsidR="009B7968">
        <w:t>.</w:t>
      </w:r>
    </w:p>
    <w:p w:rsidR="00B03572" w:rsidP="00310E09" w:rsidRDefault="00AA3CBB" w14:paraId="67D6348D" w14:textId="0760FD89">
      <w:pPr>
        <w:pStyle w:val="FERCNopara"/>
      </w:pPr>
      <w:r w:rsidRPr="00AA3CBB">
        <w:t xml:space="preserve">Additionally, </w:t>
      </w:r>
      <w:r w:rsidR="00D64A41">
        <w:t>because</w:t>
      </w:r>
      <w:r w:rsidRPr="00AA3CBB">
        <w:t xml:space="preserve"> the </w:t>
      </w:r>
      <w:r w:rsidR="00BA54A0">
        <w:t>criteria</w:t>
      </w:r>
      <w:r w:rsidR="009166AF">
        <w:t xml:space="preserve"> for providing incentives would be tied to </w:t>
      </w:r>
      <w:r w:rsidRPr="00AA3CBB">
        <w:t xml:space="preserve">the CIP </w:t>
      </w:r>
      <w:r w:rsidR="0089397B">
        <w:t xml:space="preserve">Reliability </w:t>
      </w:r>
      <w:r w:rsidRPr="00AA3CBB" w:rsidDel="00A5398B">
        <w:t>S</w:t>
      </w:r>
      <w:r w:rsidRPr="00AA3CBB">
        <w:t>tandard</w:t>
      </w:r>
      <w:r w:rsidR="00A5398B">
        <w:t>s</w:t>
      </w:r>
      <w:r w:rsidRPr="00AA3CBB">
        <w:t xml:space="preserve"> </w:t>
      </w:r>
      <w:r w:rsidR="009166AF">
        <w:t>as they exist at the time of the investment</w:t>
      </w:r>
      <w:r w:rsidR="00D64A41">
        <w:t xml:space="preserve">, </w:t>
      </w:r>
      <w:r w:rsidR="00B6283A">
        <w:t xml:space="preserve">the Commission’s determination of </w:t>
      </w:r>
      <w:r w:rsidR="00707D22">
        <w:t xml:space="preserve">the </w:t>
      </w:r>
      <w:r w:rsidR="009166AF">
        <w:t>type</w:t>
      </w:r>
      <w:r w:rsidR="00707D22">
        <w:t>s</w:t>
      </w:r>
      <w:r w:rsidR="009166AF">
        <w:t xml:space="preserve"> of cybersecurity incentive</w:t>
      </w:r>
      <w:r w:rsidR="00707D22">
        <w:t>s th</w:t>
      </w:r>
      <w:r w:rsidR="00B6283A">
        <w:t xml:space="preserve">at a utility is eligible for will reflect the existing </w:t>
      </w:r>
      <w:r w:rsidR="00484187">
        <w:t>version of</w:t>
      </w:r>
      <w:r w:rsidR="00707D22">
        <w:t xml:space="preserve"> the</w:t>
      </w:r>
      <w:r w:rsidRPr="00AA3CBB">
        <w:t xml:space="preserve"> </w:t>
      </w:r>
      <w:r w:rsidR="002B4420">
        <w:t xml:space="preserve">CIP </w:t>
      </w:r>
      <w:r w:rsidR="00AD1FEB">
        <w:t>Reliability S</w:t>
      </w:r>
      <w:r w:rsidRPr="00AA3CBB">
        <w:t>tandards</w:t>
      </w:r>
      <w:r w:rsidR="00484187">
        <w:t xml:space="preserve"> at the time of the utility’s request for incentives</w:t>
      </w:r>
      <w:r w:rsidR="00707D22">
        <w:t>.</w:t>
      </w:r>
      <w:r w:rsidRPr="00AA3CBB">
        <w:t xml:space="preserve"> </w:t>
      </w:r>
      <w:r w:rsidR="00C102D5">
        <w:t xml:space="preserve"> Staff recognize</w:t>
      </w:r>
      <w:r w:rsidR="00E65759">
        <w:t>s</w:t>
      </w:r>
      <w:r w:rsidR="00C102D5">
        <w:t xml:space="preserve"> that</w:t>
      </w:r>
      <w:r w:rsidR="000B675E">
        <w:t>,</w:t>
      </w:r>
      <w:r w:rsidR="002829B5">
        <w:t xml:space="preserve"> given</w:t>
      </w:r>
      <w:r w:rsidR="00C102D5">
        <w:t xml:space="preserve"> </w:t>
      </w:r>
      <w:r w:rsidR="00DD7B80">
        <w:t>the amount of time it takes</w:t>
      </w:r>
      <w:r w:rsidR="00C102D5">
        <w:t xml:space="preserve"> for NERC </w:t>
      </w:r>
      <w:r w:rsidR="0036725B">
        <w:t xml:space="preserve">to develop a </w:t>
      </w:r>
      <w:r w:rsidR="00C102D5">
        <w:t xml:space="preserve">Reliability Standard </w:t>
      </w:r>
      <w:r w:rsidR="0036725B">
        <w:t>and for the Commission to approve it</w:t>
      </w:r>
      <w:r w:rsidR="00C102D5">
        <w:t xml:space="preserve">, a </w:t>
      </w:r>
      <w:r w:rsidR="0036725B">
        <w:t xml:space="preserve">potential </w:t>
      </w:r>
      <w:r w:rsidR="002B4420">
        <w:t xml:space="preserve">CIP </w:t>
      </w:r>
      <w:r w:rsidR="00C102D5">
        <w:t xml:space="preserve">Reliability Standard that increases the requirements for a low </w:t>
      </w:r>
      <w:r w:rsidR="007F2008">
        <w:t xml:space="preserve">or medium </w:t>
      </w:r>
      <w:r w:rsidR="00C102D5">
        <w:t xml:space="preserve">impact </w:t>
      </w:r>
      <w:r w:rsidR="0096110E">
        <w:t>system</w:t>
      </w:r>
      <w:r w:rsidR="00C102D5">
        <w:t xml:space="preserve"> to those of a medium or high</w:t>
      </w:r>
      <w:r w:rsidR="00D27656">
        <w:t xml:space="preserve"> </w:t>
      </w:r>
      <w:r w:rsidR="00C102D5">
        <w:t xml:space="preserve">impact </w:t>
      </w:r>
      <w:r w:rsidR="0096110E">
        <w:t>system</w:t>
      </w:r>
      <w:r w:rsidR="00C102D5">
        <w:t xml:space="preserve"> may </w:t>
      </w:r>
      <w:r w:rsidR="00DD7B80">
        <w:t xml:space="preserve">take </w:t>
      </w:r>
      <w:r w:rsidR="00C102D5">
        <w:t xml:space="preserve">a year or </w:t>
      </w:r>
      <w:r w:rsidR="00DD7B80">
        <w:t xml:space="preserve">longer to </w:t>
      </w:r>
      <w:r w:rsidR="00C102D5">
        <w:t>becom</w:t>
      </w:r>
      <w:r w:rsidR="00DD7B80">
        <w:t>e</w:t>
      </w:r>
      <w:r w:rsidR="00C102D5">
        <w:t xml:space="preserve"> enforceable.  During this time, </w:t>
      </w:r>
      <w:r w:rsidR="0036725B">
        <w:t xml:space="preserve">staff believes that </w:t>
      </w:r>
      <w:r w:rsidR="00C102D5">
        <w:t xml:space="preserve">a utility </w:t>
      </w:r>
      <w:r w:rsidR="0036725B">
        <w:t>should be able</w:t>
      </w:r>
      <w:r w:rsidR="00C102D5">
        <w:t xml:space="preserve"> to apply for an incentive for volu</w:t>
      </w:r>
      <w:r w:rsidR="007F2008">
        <w:t xml:space="preserve">ntarily </w:t>
      </w:r>
      <w:r w:rsidR="00D86923">
        <w:t xml:space="preserve">applying </w:t>
      </w:r>
      <w:r w:rsidR="007F2008">
        <w:t xml:space="preserve">the </w:t>
      </w:r>
      <w:r w:rsidR="005E07B8">
        <w:t>effective CIP Reliability Standards</w:t>
      </w:r>
      <w:r w:rsidR="00D86923">
        <w:t xml:space="preserve"> to facilities that </w:t>
      </w:r>
      <w:r w:rsidR="00D86923">
        <w:lastRenderedPageBreak/>
        <w:t>are not covered a</w:t>
      </w:r>
      <w:r w:rsidR="006E36F0">
        <w:t>t</w:t>
      </w:r>
      <w:r w:rsidR="00D86923">
        <w:t xml:space="preserve"> the time of the investment</w:t>
      </w:r>
      <w:r w:rsidR="00C102D5">
        <w:t>.</w:t>
      </w:r>
      <w:r w:rsidDel="00484187" w:rsidR="00484187">
        <w:rPr>
          <w:rStyle w:val="FootnoteReference"/>
        </w:rPr>
        <w:t xml:space="preserve"> </w:t>
      </w:r>
      <w:r w:rsidR="00C102D5">
        <w:t xml:space="preserve">  </w:t>
      </w:r>
      <w:r w:rsidR="003A3311">
        <w:tab/>
      </w:r>
    </w:p>
    <w:p w:rsidRPr="001535C9" w:rsidR="00D7593F" w:rsidP="0092708B" w:rsidRDefault="00531EAB" w14:paraId="359C9357" w14:textId="44D4F18C">
      <w:pPr>
        <w:pStyle w:val="Heading3"/>
      </w:pPr>
      <w:r>
        <w:t>Incentives B</w:t>
      </w:r>
      <w:r w:rsidRPr="00F56C0D" w:rsidR="00D7593F">
        <w:t xml:space="preserve">ased on the </w:t>
      </w:r>
      <w:r w:rsidR="00D7593F">
        <w:t>National Institute of Standards and Technology</w:t>
      </w:r>
      <w:r w:rsidRPr="00F56C0D" w:rsidR="00D7593F">
        <w:t xml:space="preserve"> Cybersecurity Framework </w:t>
      </w:r>
    </w:p>
    <w:p w:rsidR="007B6127" w:rsidP="007B6127" w:rsidRDefault="007B6127" w14:paraId="1C48FFDB" w14:textId="1C106CC3">
      <w:pPr>
        <w:pStyle w:val="FERCNopara"/>
      </w:pPr>
      <w:r>
        <w:t>Another approach would be to base the eligibility for incentives on a framework other than the CIP Reliability Standards, specifically the cybersecurity framework developed by NIST (NIST Framework).</w:t>
      </w:r>
      <w:r>
        <w:rPr>
          <w:rStyle w:val="FootnoteReference"/>
        </w:rPr>
        <w:footnoteReference w:id="51"/>
      </w:r>
      <w:r>
        <w:t xml:space="preserve">  This approach would still consider the CIP Reliability Standards as a basis for granting cybersecurity incentives, while allowing utilities to employ alternative approaches to assessing risk under the NIST Framework.  It would also offer the flexibility of non-prescriptive implementation options to encourage utilities to exceed the CIP Reliability Standards.  Also, t</w:t>
      </w:r>
      <w:r>
        <w:rPr>
          <w:rFonts w:eastAsia="Times New Roman"/>
          <w:szCs w:val="26"/>
        </w:rPr>
        <w:t xml:space="preserve">he NIST Framework is based on and updated with cybersecurity best practices and is consistent with other federal cybersecurity risk management initiatives for the 16 U.S. critical infrastructure sectors.  </w:t>
      </w:r>
      <w:r>
        <w:t xml:space="preserve">This approach could allow incentives to be applied to more </w:t>
      </w:r>
      <w:r>
        <w:rPr>
          <w:rFonts w:eastAsia="Times New Roman"/>
          <w:szCs w:val="26"/>
        </w:rPr>
        <w:t>facilities which are beyond the BES Cyber Systems in the CIP Reliability Standards.</w:t>
      </w:r>
      <w:r>
        <w:rPr>
          <w:rStyle w:val="FootnoteReference"/>
          <w:rFonts w:eastAsia="Times New Roman"/>
          <w:szCs w:val="26"/>
        </w:rPr>
        <w:footnoteReference w:id="52"/>
      </w:r>
      <w:r>
        <w:rPr>
          <w:rFonts w:eastAsia="Times New Roman"/>
          <w:szCs w:val="26"/>
        </w:rPr>
        <w:t xml:space="preserve">  </w:t>
      </w:r>
      <w:r>
        <w:rPr>
          <w:rFonts w:eastAsia="Times New Roman"/>
          <w:szCs w:val="24"/>
        </w:rPr>
        <w:t xml:space="preserve">Thus, under this approach, the Commission could utilize the NIST Framework to evaluate whether cybersecurity investments that exceed CIP Reliability Standards are eligible for </w:t>
      </w:r>
      <w:r>
        <w:rPr>
          <w:rFonts w:eastAsia="Times New Roman"/>
          <w:szCs w:val="26"/>
        </w:rPr>
        <w:t>incentives.</w:t>
      </w:r>
      <w:r>
        <w:t xml:space="preserve"> </w:t>
      </w:r>
      <w:r w:rsidR="0030579F">
        <w:t xml:space="preserve"> </w:t>
      </w:r>
      <w:r w:rsidR="0030579F">
        <w:rPr>
          <w:rFonts w:eastAsia="Times New Roman"/>
          <w:szCs w:val="26"/>
        </w:rPr>
        <w:t xml:space="preserve">An open question would be whether eligible facilities include any </w:t>
      </w:r>
      <w:r w:rsidR="0030579F">
        <w:t>asset directly connected to the transmission system, or other assets such as portions of the corporate network that can impact the cybersecurity of these systems.</w:t>
      </w:r>
    </w:p>
    <w:p w:rsidRPr="00820DEE" w:rsidR="00551B7E" w:rsidRDefault="006C346F" w14:paraId="30AF7A84" w14:textId="7AE2E7DD">
      <w:pPr>
        <w:pStyle w:val="FERCNopara"/>
      </w:pPr>
      <w:r>
        <w:t xml:space="preserve">Executive Order </w:t>
      </w:r>
      <w:r w:rsidR="00356921">
        <w:t>No.</w:t>
      </w:r>
      <w:r>
        <w:t xml:space="preserve"> 13636</w:t>
      </w:r>
      <w:r w:rsidR="001A2D51">
        <w:rPr>
          <w:rStyle w:val="FootnoteReference"/>
        </w:rPr>
        <w:footnoteReference w:id="53"/>
      </w:r>
      <w:r w:rsidR="003A46B5">
        <w:t xml:space="preserve"> </w:t>
      </w:r>
      <w:r w:rsidR="0067259A">
        <w:t>required development of</w:t>
      </w:r>
      <w:r w:rsidR="003A46B5">
        <w:t xml:space="preserve"> </w:t>
      </w:r>
      <w:r w:rsidR="006D0796">
        <w:t>t</w:t>
      </w:r>
      <w:r w:rsidR="003A46B5">
        <w:t>he NIST Framework</w:t>
      </w:r>
      <w:r>
        <w:t xml:space="preserve"> to “provide a prioritized, flexible, repeatable, performance-based, and cost-effective approach, including information security measures and controls, to help owners and operators of critical infrastructure identify, assess, and manage cyber risk.”</w:t>
      </w:r>
      <w:r w:rsidR="008B3FB9">
        <w:rPr>
          <w:rStyle w:val="FootnoteReference"/>
        </w:rPr>
        <w:footnoteReference w:id="54"/>
      </w:r>
      <w:r>
        <w:t xml:space="preserve">  </w:t>
      </w:r>
      <w:r w:rsidR="00501E78">
        <w:t xml:space="preserve">In an </w:t>
      </w:r>
      <w:r>
        <w:lastRenderedPageBreak/>
        <w:t xml:space="preserve">August 2019 </w:t>
      </w:r>
      <w:r w:rsidR="00501E78">
        <w:t>report,</w:t>
      </w:r>
      <w:r w:rsidR="001A2D51">
        <w:rPr>
          <w:rStyle w:val="FootnoteReference"/>
        </w:rPr>
        <w:footnoteReference w:id="55"/>
      </w:r>
      <w:r>
        <w:t xml:space="preserve"> </w:t>
      </w:r>
      <w:r w:rsidR="00501E78">
        <w:t xml:space="preserve">the Government Accountability Office </w:t>
      </w:r>
      <w:r>
        <w:t>note</w:t>
      </w:r>
      <w:r w:rsidR="00785920">
        <w:t>d</w:t>
      </w:r>
      <w:r>
        <w:t xml:space="preserve"> that the NIST Framework “provides a set of cybersecurity activities, desired outcomes, and applicable references that are common across all critical infrastructure sectors, including the energy sector” and is a “voluntary, risk-based cybersecurity framework [that] comprises a set of industry standards and best practices to help organizations manage cybersecurity risks.”</w:t>
      </w:r>
      <w:r w:rsidR="008B3FB9">
        <w:rPr>
          <w:rStyle w:val="FootnoteReference"/>
        </w:rPr>
        <w:footnoteReference w:id="56"/>
      </w:r>
      <w:r w:rsidR="00BB45AB">
        <w:t xml:space="preserve">  </w:t>
      </w:r>
      <w:r w:rsidRPr="00820DEE" w:rsidR="00551B7E">
        <w:t xml:space="preserve">The NIST </w:t>
      </w:r>
      <w:r w:rsidRPr="00820DEE" w:rsidR="001517A3">
        <w:t>F</w:t>
      </w:r>
      <w:r w:rsidRPr="00820DEE" w:rsidR="00551B7E">
        <w:t>ramework is based on the categories and subcategories of five overarching cybersecurity functions – Identify, Protect, Detect, Respond</w:t>
      </w:r>
      <w:r w:rsidRPr="00820DEE" w:rsidR="0021694E">
        <w:t>,</w:t>
      </w:r>
      <w:r w:rsidRPr="00820DEE" w:rsidR="00551B7E">
        <w:t xml:space="preserve"> and Recover.  There are </w:t>
      </w:r>
      <w:r w:rsidRPr="00820DEE" w:rsidR="0021694E">
        <w:t>23</w:t>
      </w:r>
      <w:r w:rsidRPr="00820DEE" w:rsidR="00551B7E">
        <w:t xml:space="preserve"> categories within those functions</w:t>
      </w:r>
      <w:r w:rsidR="00E65EC9">
        <w:t xml:space="preserve"> and</w:t>
      </w:r>
      <w:r w:rsidRPr="00820DEE" w:rsidR="00551B7E">
        <w:t xml:space="preserve"> 108 sub-categories</w:t>
      </w:r>
      <w:r w:rsidR="00E65EC9">
        <w:t xml:space="preserve">.  </w:t>
      </w:r>
      <w:r w:rsidR="00030355">
        <w:t>Below, s</w:t>
      </w:r>
      <w:r w:rsidR="00BA18E2">
        <w:t xml:space="preserve">taff </w:t>
      </w:r>
      <w:r w:rsidR="00E65EC9">
        <w:t>identifies</w:t>
      </w:r>
      <w:r w:rsidR="00BA18E2">
        <w:t xml:space="preserve"> </w:t>
      </w:r>
      <w:r w:rsidRPr="00820DEE" w:rsidR="00551B7E">
        <w:t>five distinct</w:t>
      </w:r>
      <w:r w:rsidR="001179F0">
        <w:t xml:space="preserve"> </w:t>
      </w:r>
      <w:r w:rsidR="00D8417F">
        <w:t>types</w:t>
      </w:r>
      <w:r w:rsidRPr="00820DEE" w:rsidR="00551B7E">
        <w:t xml:space="preserve"> of security controls</w:t>
      </w:r>
      <w:r w:rsidR="00BA18E2">
        <w:t xml:space="preserve"> </w:t>
      </w:r>
      <w:r w:rsidR="00E65EC9">
        <w:t>within this structure</w:t>
      </w:r>
      <w:r w:rsidR="004801EC">
        <w:t xml:space="preserve"> that may be considered for incentives</w:t>
      </w:r>
      <w:r w:rsidR="00820DEE">
        <w:t>.</w:t>
      </w:r>
      <w:r w:rsidR="00D324BD">
        <w:rPr>
          <w:rStyle w:val="FootnoteReference"/>
        </w:rPr>
        <w:footnoteReference w:id="57"/>
      </w:r>
      <w:r w:rsidRPr="00820DEE" w:rsidR="00551B7E">
        <w:t xml:space="preserve">  </w:t>
      </w:r>
    </w:p>
    <w:p w:rsidR="00BB45AB" w:rsidP="00DF6AD4" w:rsidRDefault="001517A3" w14:paraId="08A941FC" w14:textId="0C4E3DA5">
      <w:pPr>
        <w:pStyle w:val="FERCNopara"/>
      </w:pPr>
      <w:bookmarkStart w:name="_Hlk40262137" w:id="9"/>
      <w:r>
        <w:t>Under this approach</w:t>
      </w:r>
      <w:r w:rsidR="007210BD">
        <w:t>,</w:t>
      </w:r>
      <w:r>
        <w:t xml:space="preserve"> t</w:t>
      </w:r>
      <w:r w:rsidRPr="00D00495" w:rsidR="00551B7E">
        <w:t xml:space="preserve">he Commission </w:t>
      </w:r>
      <w:r w:rsidR="008B52E1">
        <w:t xml:space="preserve">could </w:t>
      </w:r>
      <w:r w:rsidR="00F83FF2">
        <w:t xml:space="preserve">grant </w:t>
      </w:r>
      <w:r w:rsidRPr="00D00495" w:rsidR="00551B7E">
        <w:t>incen</w:t>
      </w:r>
      <w:r w:rsidRPr="00FD7249" w:rsidR="00551B7E">
        <w:t xml:space="preserve">tives for </w:t>
      </w:r>
      <w:r w:rsidR="00477555">
        <w:t>implementing certain</w:t>
      </w:r>
      <w:r w:rsidRPr="00D00495" w:rsidR="00551B7E">
        <w:t xml:space="preserve"> security controls included in the NIST </w:t>
      </w:r>
      <w:r>
        <w:t>F</w:t>
      </w:r>
      <w:r w:rsidRPr="00D00495" w:rsidR="00551B7E">
        <w:t>ramework</w:t>
      </w:r>
      <w:r w:rsidR="00F83FF2">
        <w:t xml:space="preserve">.  Although </w:t>
      </w:r>
      <w:r w:rsidR="001C068C">
        <w:t>the</w:t>
      </w:r>
      <w:r w:rsidR="00F83FF2">
        <w:t xml:space="preserve"> </w:t>
      </w:r>
      <w:r w:rsidR="00BF6416">
        <w:t xml:space="preserve">NIST </w:t>
      </w:r>
      <w:r w:rsidR="004801EC">
        <w:t>F</w:t>
      </w:r>
      <w:r w:rsidR="00BF6416">
        <w:t>ramework contains</w:t>
      </w:r>
      <w:r w:rsidR="00F83FF2">
        <w:t xml:space="preserve"> </w:t>
      </w:r>
      <w:r w:rsidDel="00D205AA" w:rsidR="00F83FF2">
        <w:t xml:space="preserve">many </w:t>
      </w:r>
      <w:r w:rsidR="00D8417F">
        <w:t>types</w:t>
      </w:r>
      <w:r w:rsidR="00BA18E2">
        <w:t xml:space="preserve"> </w:t>
      </w:r>
      <w:r w:rsidR="00F83FF2">
        <w:t>of security controls,</w:t>
      </w:r>
      <w:r w:rsidR="00BF6416">
        <w:t xml:space="preserve"> </w:t>
      </w:r>
      <w:r w:rsidR="00421719">
        <w:t>the Commission could consider</w:t>
      </w:r>
      <w:r w:rsidR="00BF6416">
        <w:t xml:space="preserve"> limiting </w:t>
      </w:r>
      <w:r w:rsidR="0094699E">
        <w:t xml:space="preserve">eligibility for </w:t>
      </w:r>
      <w:r w:rsidR="00BF6416">
        <w:t xml:space="preserve">incentives to </w:t>
      </w:r>
      <w:r w:rsidR="00D205AA">
        <w:t xml:space="preserve">the </w:t>
      </w:r>
      <w:r w:rsidR="004801EC">
        <w:t>types</w:t>
      </w:r>
      <w:r w:rsidR="00BF6416">
        <w:t xml:space="preserve"> of controls that </w:t>
      </w:r>
      <w:r w:rsidR="00564550">
        <w:t xml:space="preserve">appear </w:t>
      </w:r>
      <w:r w:rsidR="00BF6416">
        <w:t xml:space="preserve">most likely to provide a </w:t>
      </w:r>
      <w:r w:rsidR="00AE66E9">
        <w:t>s</w:t>
      </w:r>
      <w:r w:rsidR="00AE5CB4">
        <w:t>ignifican</w:t>
      </w:r>
      <w:r w:rsidR="00AE66E9">
        <w:t xml:space="preserve">t </w:t>
      </w:r>
      <w:r w:rsidR="00BF6416">
        <w:t>benefit to</w:t>
      </w:r>
      <w:r w:rsidRPr="00FD7249" w:rsidR="00551B7E">
        <w:t xml:space="preserve"> the cybersecurity of </w:t>
      </w:r>
      <w:r w:rsidR="00495ABC">
        <w:t xml:space="preserve">FERC-jurisdictional </w:t>
      </w:r>
      <w:r w:rsidRPr="00FD7249" w:rsidR="00551B7E">
        <w:t>transmission</w:t>
      </w:r>
      <w:r w:rsidR="00495ABC">
        <w:t xml:space="preserve"> facilities</w:t>
      </w:r>
      <w:r w:rsidR="0018004C">
        <w:t>,</w:t>
      </w:r>
      <w:r w:rsidR="00BB45AB">
        <w:t xml:space="preserve"> not just the BES</w:t>
      </w:r>
      <w:r w:rsidRPr="001F305A" w:rsidR="00551B7E">
        <w:t>.</w:t>
      </w:r>
      <w:r>
        <w:t xml:space="preserve"> </w:t>
      </w:r>
      <w:r w:rsidRPr="00D00495" w:rsidR="00551B7E">
        <w:t> </w:t>
      </w:r>
      <w:bookmarkEnd w:id="9"/>
      <w:r w:rsidRPr="00D00495" w:rsidR="00551B7E">
        <w:t>These</w:t>
      </w:r>
      <w:r w:rsidRPr="00D00495" w:rsidDel="004801EC" w:rsidR="00551B7E">
        <w:t xml:space="preserve"> </w:t>
      </w:r>
      <w:r w:rsidR="002B187C">
        <w:t xml:space="preserve">five </w:t>
      </w:r>
      <w:r w:rsidR="00D8417F">
        <w:t>types</w:t>
      </w:r>
      <w:r w:rsidR="002B187C">
        <w:t xml:space="preserve"> of controls represent the majority of security controls included in the NIST Framework and </w:t>
      </w:r>
      <w:r w:rsidR="004801EC">
        <w:t>include</w:t>
      </w:r>
      <w:r w:rsidRPr="00D00495" w:rsidR="00551B7E">
        <w:t xml:space="preserve"> the following: </w:t>
      </w:r>
      <w:r>
        <w:t xml:space="preserve"> </w:t>
      </w:r>
      <w:r w:rsidR="004801EC">
        <w:t xml:space="preserve">(1) </w:t>
      </w:r>
      <w:r w:rsidRPr="00D00495" w:rsidR="00551B7E">
        <w:t>automated and continuous monitoring</w:t>
      </w:r>
      <w:r w:rsidR="002936F4">
        <w:t>;</w:t>
      </w:r>
      <w:r w:rsidRPr="00D00495" w:rsidR="00551B7E">
        <w:t xml:space="preserve"> </w:t>
      </w:r>
      <w:r w:rsidR="004801EC">
        <w:t xml:space="preserve">(2) </w:t>
      </w:r>
      <w:r w:rsidRPr="00D00495" w:rsidR="00551B7E">
        <w:t>access control</w:t>
      </w:r>
      <w:r w:rsidR="002936F4">
        <w:t>;</w:t>
      </w:r>
      <w:r w:rsidRPr="00D00495" w:rsidR="00551B7E">
        <w:t xml:space="preserve"> </w:t>
      </w:r>
      <w:r w:rsidR="004801EC">
        <w:t xml:space="preserve">(3) </w:t>
      </w:r>
      <w:r w:rsidRPr="00D00495" w:rsidR="00551B7E">
        <w:t>data protection</w:t>
      </w:r>
      <w:r w:rsidR="002936F4">
        <w:t>;</w:t>
      </w:r>
      <w:r w:rsidRPr="00D00495" w:rsidR="00551B7E">
        <w:t xml:space="preserve"> </w:t>
      </w:r>
      <w:r w:rsidR="004801EC">
        <w:t xml:space="preserve">(4) </w:t>
      </w:r>
      <w:r w:rsidRPr="00D00495" w:rsidR="00551B7E">
        <w:t>incident response</w:t>
      </w:r>
      <w:r w:rsidR="002936F4">
        <w:t>;</w:t>
      </w:r>
      <w:r w:rsidRPr="00D00495" w:rsidR="00551B7E">
        <w:t xml:space="preserve"> and </w:t>
      </w:r>
      <w:r w:rsidR="004801EC">
        <w:t xml:space="preserve">(5) </w:t>
      </w:r>
      <w:r w:rsidRPr="00D00495" w:rsidR="00551B7E">
        <w:t>physical security</w:t>
      </w:r>
      <w:r w:rsidR="002B187C">
        <w:t xml:space="preserve"> of </w:t>
      </w:r>
      <w:r w:rsidR="003429C0">
        <w:t>cyber systems</w:t>
      </w:r>
      <w:r w:rsidRPr="00D00495" w:rsidR="00551B7E">
        <w:t>.</w:t>
      </w:r>
      <w:r w:rsidR="00ED143B">
        <w:rPr>
          <w:rStyle w:val="FootnoteReference"/>
          <w:szCs w:val="26"/>
        </w:rPr>
        <w:footnoteReference w:id="58"/>
      </w:r>
      <w:r w:rsidRPr="00551B7E" w:rsidR="00551B7E">
        <w:t xml:space="preserve">  </w:t>
      </w:r>
      <w:r w:rsidR="0094699E">
        <w:t xml:space="preserve">Given the continuous </w:t>
      </w:r>
      <w:r w:rsidR="00FF7DE0">
        <w:t>and rapid changes</w:t>
      </w:r>
      <w:r w:rsidR="008B52E1">
        <w:t xml:space="preserve"> of </w:t>
      </w:r>
      <w:r w:rsidR="0094699E">
        <w:t>cybersecurity</w:t>
      </w:r>
      <w:r w:rsidR="008B52E1">
        <w:t xml:space="preserve"> risks</w:t>
      </w:r>
      <w:r w:rsidR="0094699E">
        <w:t xml:space="preserve">, the Commission may need to periodically update the </w:t>
      </w:r>
      <w:r w:rsidR="004801EC">
        <w:t>types</w:t>
      </w:r>
      <w:r w:rsidR="0094699E">
        <w:t xml:space="preserve"> of security controls eligible for </w:t>
      </w:r>
      <w:r w:rsidR="000D21BB">
        <w:t>incentives.</w:t>
      </w:r>
      <w:r w:rsidRPr="00D00495" w:rsidR="00551B7E">
        <w:t xml:space="preserve">  </w:t>
      </w:r>
      <w:r w:rsidR="003E7CCF">
        <w:t xml:space="preserve">As discussed below, </w:t>
      </w:r>
      <w:r w:rsidR="00BB45AB">
        <w:t>utilities</w:t>
      </w:r>
      <w:r w:rsidR="008B52E1">
        <w:t xml:space="preserve"> seeking an incentive under this approach </w:t>
      </w:r>
      <w:r w:rsidR="00BB45AB">
        <w:t>would need to</w:t>
      </w:r>
      <w:r w:rsidR="008B52E1">
        <w:t xml:space="preserve"> </w:t>
      </w:r>
      <w:r w:rsidRPr="00D00495" w:rsidR="00551B7E">
        <w:t xml:space="preserve">show </w:t>
      </w:r>
      <w:r>
        <w:t xml:space="preserve">how </w:t>
      </w:r>
      <w:r w:rsidR="003B6647">
        <w:t xml:space="preserve">a cybersecurity </w:t>
      </w:r>
      <w:r w:rsidR="008B52E1">
        <w:t>investment</w:t>
      </w:r>
      <w:r w:rsidR="003B6647">
        <w:t>, e.g.,</w:t>
      </w:r>
      <w:r w:rsidR="008B52E1">
        <w:t xml:space="preserve"> in</w:t>
      </w:r>
      <w:r w:rsidR="007228CD">
        <w:t xml:space="preserve"> </w:t>
      </w:r>
      <w:r w:rsidRPr="00D00495" w:rsidR="00551B7E">
        <w:t>physical components, software, licensing for cyber</w:t>
      </w:r>
      <w:r w:rsidRPr="00FD7249" w:rsidR="00551B7E">
        <w:t xml:space="preserve">security enhancements as well as operational costs such as contracts with security providers, third party incident responders, and third party </w:t>
      </w:r>
      <w:r>
        <w:t>s</w:t>
      </w:r>
      <w:r w:rsidRPr="00D00495" w:rsidR="00551B7E">
        <w:t xml:space="preserve">ecurity </w:t>
      </w:r>
      <w:r>
        <w:t>o</w:t>
      </w:r>
      <w:r w:rsidRPr="00D00495" w:rsidR="00551B7E">
        <w:t xml:space="preserve">perations </w:t>
      </w:r>
      <w:r>
        <w:t>c</w:t>
      </w:r>
      <w:r w:rsidRPr="00D00495" w:rsidR="00551B7E">
        <w:t>enters</w:t>
      </w:r>
      <w:r w:rsidR="003B6647">
        <w:t>,</w:t>
      </w:r>
      <w:r w:rsidRPr="00551B7E" w:rsidR="00551B7E">
        <w:t xml:space="preserve"> </w:t>
      </w:r>
      <w:r w:rsidR="000F29D2">
        <w:t>allow</w:t>
      </w:r>
      <w:r w:rsidR="00BB45AB">
        <w:t>s</w:t>
      </w:r>
      <w:r w:rsidR="000F29D2">
        <w:t xml:space="preserve"> the </w:t>
      </w:r>
      <w:r w:rsidR="00BB45AB">
        <w:t>utility</w:t>
      </w:r>
      <w:r w:rsidR="000F29D2">
        <w:t xml:space="preserve"> to </w:t>
      </w:r>
      <w:r w:rsidRPr="00551B7E" w:rsidR="00551B7E">
        <w:t>meet NIST Framework</w:t>
      </w:r>
      <w:r w:rsidR="003B6647">
        <w:t xml:space="preserve"> security controls</w:t>
      </w:r>
      <w:r w:rsidR="00D45625">
        <w:t>, as identified above,</w:t>
      </w:r>
      <w:r w:rsidRPr="00551B7E" w:rsidR="00551B7E">
        <w:t xml:space="preserve"> and </w:t>
      </w:r>
      <w:r w:rsidR="00BB45AB">
        <w:t xml:space="preserve">also </w:t>
      </w:r>
      <w:r w:rsidRPr="00551B7E" w:rsidR="00551B7E">
        <w:t xml:space="preserve">how the </w:t>
      </w:r>
      <w:r w:rsidR="00BB45AB">
        <w:t xml:space="preserve">cybersecurity </w:t>
      </w:r>
      <w:r w:rsidRPr="00551B7E" w:rsidR="00551B7E">
        <w:t xml:space="preserve">investment would </w:t>
      </w:r>
      <w:r w:rsidR="005B18D5">
        <w:t xml:space="preserve">exceed </w:t>
      </w:r>
      <w:r w:rsidR="005B18D5">
        <w:lastRenderedPageBreak/>
        <w:t xml:space="preserve">the requirements of the </w:t>
      </w:r>
      <w:r w:rsidRPr="00551B7E" w:rsidR="00551B7E">
        <w:t xml:space="preserve">CIP Reliability </w:t>
      </w:r>
      <w:r w:rsidRPr="0099690D" w:rsidR="00551B7E">
        <w:t>Standards</w:t>
      </w:r>
      <w:r w:rsidRPr="00202621" w:rsidR="00551B7E">
        <w:t>.</w:t>
      </w:r>
      <w:bookmarkStart w:name="_Hlk40267616" w:id="10"/>
      <w:r w:rsidR="002F1DC1">
        <w:tab/>
      </w:r>
    </w:p>
    <w:p w:rsidR="00551B7E" w:rsidP="00DF6AD4" w:rsidRDefault="00551B7E" w14:paraId="0151D15D" w14:textId="3FA4CD5E">
      <w:pPr>
        <w:pStyle w:val="FERCNopara"/>
        <w:rPr>
          <w:szCs w:val="26"/>
        </w:rPr>
      </w:pPr>
      <w:r>
        <w:t>An</w:t>
      </w:r>
      <w:r w:rsidRPr="005C02D0">
        <w:t xml:space="preserve"> </w:t>
      </w:r>
      <w:r w:rsidR="003236FD">
        <w:t xml:space="preserve">installation of a dynamic asset management program to improve a utility’s </w:t>
      </w:r>
      <w:r w:rsidRPr="005C02D0" w:rsidR="003236FD">
        <w:t>ability to quickly detect and address new or previously unknown equipment on its network</w:t>
      </w:r>
      <w:r w:rsidR="003236FD">
        <w:t xml:space="preserve"> is an</w:t>
      </w:r>
      <w:r w:rsidRPr="005C02D0" w:rsidR="003236FD">
        <w:t xml:space="preserve"> </w:t>
      </w:r>
      <w:r w:rsidRPr="005C02D0">
        <w:t>example</w:t>
      </w:r>
      <w:r>
        <w:t xml:space="preserve"> of </w:t>
      </w:r>
      <w:r w:rsidR="00BB45AB">
        <w:t>a</w:t>
      </w:r>
      <w:r w:rsidR="003236FD">
        <w:t xml:space="preserve"> cybersecurity investment </w:t>
      </w:r>
      <w:r>
        <w:t xml:space="preserve">that </w:t>
      </w:r>
      <w:r w:rsidR="003236FD">
        <w:t>may</w:t>
      </w:r>
      <w:r>
        <w:t xml:space="preserve"> be eligible</w:t>
      </w:r>
      <w:r w:rsidR="003E7CCF">
        <w:t xml:space="preserve"> for an incentive</w:t>
      </w:r>
      <w:r w:rsidRPr="003E7CCF" w:rsidR="003E7CCF">
        <w:t xml:space="preserve"> </w:t>
      </w:r>
      <w:r w:rsidR="003E7CCF">
        <w:t>under the</w:t>
      </w:r>
      <w:r w:rsidRPr="005C02D0" w:rsidR="003E7CCF">
        <w:t xml:space="preserve"> automated and continuous monitoring </w:t>
      </w:r>
      <w:r w:rsidR="00E12664">
        <w:t xml:space="preserve">security control </w:t>
      </w:r>
      <w:r w:rsidR="00D45625">
        <w:t>type</w:t>
      </w:r>
      <w:r w:rsidR="003236FD">
        <w:t>.</w:t>
      </w:r>
      <w:r w:rsidR="001C068C">
        <w:rPr>
          <w:rStyle w:val="FootnoteReference"/>
        </w:rPr>
        <w:footnoteReference w:id="59"/>
      </w:r>
      <w:r w:rsidRPr="005C02D0">
        <w:t xml:space="preserve">  Unknown and unattended equipment can present significant vulnerabilities and threats to both the </w:t>
      </w:r>
      <w:r w:rsidR="00D45625">
        <w:t>i</w:t>
      </w:r>
      <w:r w:rsidR="00530611">
        <w:t xml:space="preserve">nformation </w:t>
      </w:r>
      <w:r w:rsidR="00D45625">
        <w:t>t</w:t>
      </w:r>
      <w:r w:rsidR="00530611">
        <w:t>echnology</w:t>
      </w:r>
      <w:r w:rsidRPr="005C02D0">
        <w:t xml:space="preserve"> and </w:t>
      </w:r>
      <w:r w:rsidR="00D45625">
        <w:t>o</w:t>
      </w:r>
      <w:r w:rsidR="006432AF">
        <w:t xml:space="preserve">perational </w:t>
      </w:r>
      <w:r w:rsidR="00D45625">
        <w:t>t</w:t>
      </w:r>
      <w:r w:rsidR="006432AF">
        <w:t>echnology</w:t>
      </w:r>
      <w:r w:rsidRPr="005C02D0">
        <w:t xml:space="preserve"> </w:t>
      </w:r>
      <w:r>
        <w:t>n</w:t>
      </w:r>
      <w:r w:rsidRPr="005C02D0">
        <w:t>etworks. </w:t>
      </w:r>
      <w:r w:rsidR="006432AF">
        <w:t xml:space="preserve"> </w:t>
      </w:r>
      <w:r w:rsidRPr="005C02D0">
        <w:t xml:space="preserve">Implementing a process that automatically and continuously scans the current inventory of hardware and software across both the </w:t>
      </w:r>
      <w:r w:rsidR="00D45625">
        <w:t>i</w:t>
      </w:r>
      <w:r w:rsidR="006432AF">
        <w:t xml:space="preserve">nformation </w:t>
      </w:r>
      <w:r w:rsidR="00D45625">
        <w:t>t</w:t>
      </w:r>
      <w:r w:rsidR="006432AF">
        <w:t>echnology</w:t>
      </w:r>
      <w:r w:rsidRPr="005C02D0" w:rsidR="006432AF">
        <w:t xml:space="preserve"> and </w:t>
      </w:r>
      <w:r w:rsidR="00D45625">
        <w:t>o</w:t>
      </w:r>
      <w:r w:rsidR="006432AF">
        <w:t xml:space="preserve">perational </w:t>
      </w:r>
      <w:r w:rsidR="00D45625">
        <w:t>t</w:t>
      </w:r>
      <w:r w:rsidR="006432AF">
        <w:t>echnology</w:t>
      </w:r>
      <w:r w:rsidRPr="005C02D0" w:rsidR="006432AF">
        <w:t xml:space="preserve"> </w:t>
      </w:r>
      <w:r w:rsidR="006432AF">
        <w:t>n</w:t>
      </w:r>
      <w:r w:rsidRPr="005C02D0" w:rsidR="006432AF">
        <w:t>etworks</w:t>
      </w:r>
      <w:r>
        <w:t xml:space="preserve"> </w:t>
      </w:r>
      <w:r w:rsidR="00A57B27">
        <w:t xml:space="preserve">can </w:t>
      </w:r>
      <w:r>
        <w:t xml:space="preserve">identify and block any unauthorized </w:t>
      </w:r>
      <w:r w:rsidR="003236FD">
        <w:t>access</w:t>
      </w:r>
      <w:r>
        <w:t>.  This</w:t>
      </w:r>
      <w:r w:rsidRPr="005C02D0">
        <w:t xml:space="preserve"> is an enhancement that is not currently covered by the CIP </w:t>
      </w:r>
      <w:r w:rsidR="00E4228F">
        <w:t>Reliability S</w:t>
      </w:r>
      <w:r w:rsidRPr="005C02D0">
        <w:t xml:space="preserve">tandards but is recommended by the NIST Framework and </w:t>
      </w:r>
      <w:r>
        <w:t>c</w:t>
      </w:r>
      <w:r w:rsidRPr="005C02D0">
        <w:t xml:space="preserve">ould </w:t>
      </w:r>
      <w:r w:rsidR="00E4228F">
        <w:t xml:space="preserve">offer </w:t>
      </w:r>
      <w:r w:rsidRPr="005C02D0">
        <w:t xml:space="preserve">cybersecurity </w:t>
      </w:r>
      <w:r w:rsidR="00E4228F">
        <w:t xml:space="preserve">benefits to the </w:t>
      </w:r>
      <w:r w:rsidR="00DF5754">
        <w:t>transmission</w:t>
      </w:r>
      <w:r w:rsidR="00E46A74">
        <w:t xml:space="preserve"> system</w:t>
      </w:r>
      <w:r w:rsidRPr="005C02D0">
        <w:t>.   </w:t>
      </w:r>
      <w:r w:rsidR="008011C4">
        <w:t xml:space="preserve"> </w:t>
      </w:r>
    </w:p>
    <w:p w:rsidRPr="004974C3" w:rsidR="001D154A" w:rsidP="003236FD" w:rsidRDefault="00551B7E" w14:paraId="689DCE04" w14:textId="54FC8B8C">
      <w:pPr>
        <w:pStyle w:val="FERCNopara"/>
      </w:pPr>
      <w:r w:rsidRPr="005C02D0">
        <w:t xml:space="preserve">Another example that may </w:t>
      </w:r>
      <w:r>
        <w:t xml:space="preserve">be </w:t>
      </w:r>
      <w:r w:rsidRPr="005C02D0">
        <w:t xml:space="preserve">applicable under the </w:t>
      </w:r>
      <w:r w:rsidR="00E12664">
        <w:t xml:space="preserve">identified </w:t>
      </w:r>
      <w:r w:rsidRPr="005C02D0">
        <w:t xml:space="preserve">NIST Framework </w:t>
      </w:r>
      <w:r w:rsidR="00E12664">
        <w:t>security control</w:t>
      </w:r>
      <w:r w:rsidRPr="005C02D0">
        <w:t xml:space="preserve"> </w:t>
      </w:r>
      <w:r w:rsidR="00D45625">
        <w:t>type</w:t>
      </w:r>
      <w:r w:rsidR="006338E3">
        <w:t xml:space="preserve"> </w:t>
      </w:r>
      <w:r w:rsidR="00E2054F">
        <w:t>of automated</w:t>
      </w:r>
      <w:r w:rsidR="006338E3">
        <w:t xml:space="preserve"> and continuous monitoring </w:t>
      </w:r>
      <w:r w:rsidRPr="005C02D0">
        <w:t xml:space="preserve">would be implementation of a </w:t>
      </w:r>
      <w:r w:rsidR="006338E3">
        <w:t xml:space="preserve">dynamic file analysis program or a </w:t>
      </w:r>
      <w:r w:rsidRPr="005C02D0">
        <w:t>“sandbox</w:t>
      </w:r>
      <w:r w:rsidR="003236FD">
        <w:t>.</w:t>
      </w:r>
      <w:r w:rsidR="006338E3">
        <w:t>”</w:t>
      </w:r>
      <w:r w:rsidR="00DF5754">
        <w:rPr>
          <w:rStyle w:val="FootnoteReference"/>
        </w:rPr>
        <w:footnoteReference w:id="60"/>
      </w:r>
      <w:r w:rsidR="006338E3">
        <w:t xml:space="preserve">  A sandbox</w:t>
      </w:r>
      <w:r w:rsidRPr="005C02D0">
        <w:t xml:space="preserve"> can be described as an advanced malware detection environment </w:t>
      </w:r>
      <w:r w:rsidR="006338E3">
        <w:t>for</w:t>
      </w:r>
      <w:r w:rsidRPr="005C02D0">
        <w:t xml:space="preserve"> the corporate email system.  Any attachment or weblink is stripped from the email and dropped into the sandbox.  In simple terms, a sandbox is an isolated environment that mimics the end-user operating environment.  Any malicious code deployed in the sandbox will be activated when placed there</w:t>
      </w:r>
      <w:r w:rsidR="000540CF">
        <w:t>,</w:t>
      </w:r>
      <w:r w:rsidRPr="005C02D0">
        <w:t xml:space="preserve"> but it will be isolated from the </w:t>
      </w:r>
      <w:r w:rsidR="00D45625">
        <w:t>i</w:t>
      </w:r>
      <w:r w:rsidR="005575FF">
        <w:t xml:space="preserve">nformation </w:t>
      </w:r>
      <w:r w:rsidR="00D45625">
        <w:t>t</w:t>
      </w:r>
      <w:r w:rsidR="005575FF">
        <w:t>echnology</w:t>
      </w:r>
      <w:r w:rsidRPr="005C02D0" w:rsidR="005575FF">
        <w:t xml:space="preserve"> and </w:t>
      </w:r>
      <w:r w:rsidR="00D45625">
        <w:t>o</w:t>
      </w:r>
      <w:r w:rsidR="005575FF">
        <w:t xml:space="preserve">perational </w:t>
      </w:r>
      <w:r w:rsidR="00D45625">
        <w:t>t</w:t>
      </w:r>
      <w:r w:rsidR="005575FF">
        <w:t>echnology</w:t>
      </w:r>
      <w:r w:rsidRPr="005C02D0" w:rsidR="005575FF">
        <w:t xml:space="preserve"> </w:t>
      </w:r>
      <w:r w:rsidR="005575FF">
        <w:t>n</w:t>
      </w:r>
      <w:r w:rsidRPr="005C02D0" w:rsidR="005575FF">
        <w:t>etworks</w:t>
      </w:r>
      <w:r w:rsidR="000540CF">
        <w:t>,</w:t>
      </w:r>
      <w:r w:rsidRPr="005C02D0">
        <w:t xml:space="preserve"> thereby protecting the networks while alerting the </w:t>
      </w:r>
      <w:r w:rsidR="007E3D53">
        <w:t>utility</w:t>
      </w:r>
      <w:r w:rsidRPr="005C02D0">
        <w:t xml:space="preserve"> to the threat.  The deployment of sandboxes enhances the ability of a </w:t>
      </w:r>
      <w:r w:rsidR="00861475">
        <w:t>utility</w:t>
      </w:r>
      <w:r w:rsidRPr="005C02D0">
        <w:t xml:space="preserve"> to detect and prevent the </w:t>
      </w:r>
      <w:r w:rsidRPr="005C02D0">
        <w:lastRenderedPageBreak/>
        <w:t xml:space="preserve">delivery of malicious code, disrupt social engineering attacks on users, test software for dangerous behavior, and perform post-incident forensic triage and analysis. </w:t>
      </w:r>
      <w:r w:rsidR="00861475">
        <w:t xml:space="preserve"> </w:t>
      </w:r>
      <w:r w:rsidRPr="005C02D0">
        <w:t>Putting this added layer of protection in</w:t>
      </w:r>
      <w:r w:rsidR="00861475">
        <w:t xml:space="preserve"> </w:t>
      </w:r>
      <w:r w:rsidRPr="005C02D0">
        <w:t xml:space="preserve">place is an enhancement that is not </w:t>
      </w:r>
      <w:r>
        <w:t>required</w:t>
      </w:r>
      <w:r w:rsidRPr="005C02D0">
        <w:t xml:space="preserve"> by the CIP </w:t>
      </w:r>
      <w:r w:rsidR="00D935DF">
        <w:t>Reliability S</w:t>
      </w:r>
      <w:r w:rsidRPr="005C02D0">
        <w:t>tandards but is recommended by the NIST Framework and</w:t>
      </w:r>
      <w:r w:rsidR="00AE5CB4">
        <w:t xml:space="preserve"> c</w:t>
      </w:r>
      <w:r w:rsidRPr="005C02D0">
        <w:t xml:space="preserve">ould </w:t>
      </w:r>
      <w:r w:rsidR="00D935DF">
        <w:t>offer</w:t>
      </w:r>
      <w:r w:rsidRPr="005C02D0">
        <w:t xml:space="preserve"> cybersecurity </w:t>
      </w:r>
      <w:r w:rsidR="00D935DF">
        <w:t xml:space="preserve">benefits to the </w:t>
      </w:r>
      <w:r w:rsidR="003429C0">
        <w:t>transmission</w:t>
      </w:r>
      <w:r w:rsidR="00E46A74">
        <w:t xml:space="preserve"> system</w:t>
      </w:r>
      <w:r w:rsidRPr="005C02D0">
        <w:t xml:space="preserve">.  </w:t>
      </w:r>
      <w:bookmarkEnd w:id="10"/>
    </w:p>
    <w:p w:rsidR="0041106A" w:rsidP="0041106A" w:rsidRDefault="0041106A" w14:paraId="3B138E96" w14:textId="3C0D2E12">
      <w:pPr>
        <w:pStyle w:val="FERCNopara"/>
      </w:pPr>
      <w:r>
        <w:t>Under this approach, a utility could be eligible for an incentive if it demonstrates</w:t>
      </w:r>
      <w:r w:rsidRPr="009837B0" w:rsidR="006338E3">
        <w:t xml:space="preserve"> </w:t>
      </w:r>
      <w:r w:rsidRPr="002D2B24" w:rsidR="00ED143B">
        <w:t xml:space="preserve">that </w:t>
      </w:r>
      <w:r w:rsidRPr="002D2B24">
        <w:t xml:space="preserve">its </w:t>
      </w:r>
      <w:r>
        <w:t xml:space="preserve">cybersecurity </w:t>
      </w:r>
      <w:r w:rsidRPr="0070663E">
        <w:t xml:space="preserve">investment </w:t>
      </w:r>
      <w:r w:rsidRPr="000073B8" w:rsidR="00ED143B">
        <w:t xml:space="preserve">is consistent with </w:t>
      </w:r>
      <w:r w:rsidRPr="000073B8" w:rsidR="006338E3">
        <w:t xml:space="preserve">the </w:t>
      </w:r>
      <w:r w:rsidR="00D45625">
        <w:t xml:space="preserve">five </w:t>
      </w:r>
      <w:r w:rsidR="005643F8">
        <w:t>type</w:t>
      </w:r>
      <w:r w:rsidR="00D45625">
        <w:t>s</w:t>
      </w:r>
      <w:r w:rsidR="005643F8">
        <w:t xml:space="preserve"> of </w:t>
      </w:r>
      <w:r w:rsidRPr="000073B8" w:rsidR="006338E3">
        <w:t>NIST Framework</w:t>
      </w:r>
      <w:r w:rsidR="005643F8">
        <w:t xml:space="preserve"> </w:t>
      </w:r>
      <w:r w:rsidR="00D45625">
        <w:t>control</w:t>
      </w:r>
      <w:r w:rsidR="006F0AE2">
        <w:t>s identified in this paper</w:t>
      </w:r>
      <w:r w:rsidRPr="000073B8" w:rsidR="006338E3">
        <w:t>, exceed</w:t>
      </w:r>
      <w:r w:rsidRPr="009837B0" w:rsidR="003A1683">
        <w:t xml:space="preserve">s </w:t>
      </w:r>
      <w:r w:rsidRPr="002D2B24" w:rsidR="006338E3">
        <w:t>the</w:t>
      </w:r>
      <w:r w:rsidRPr="002D2B24" w:rsidR="003A1683">
        <w:t xml:space="preserve"> requirements</w:t>
      </w:r>
      <w:r w:rsidRPr="002D2B24" w:rsidR="006338E3">
        <w:t xml:space="preserve"> of the CIP Reliability Standards, and </w:t>
      </w:r>
      <w:r w:rsidRPr="002D2B24" w:rsidR="003A1683">
        <w:t xml:space="preserve">provides </w:t>
      </w:r>
      <w:r w:rsidRPr="002D2B24" w:rsidR="00FA2F03">
        <w:t>s</w:t>
      </w:r>
      <w:r w:rsidR="00CB51E9">
        <w:t>ignificant</w:t>
      </w:r>
      <w:r w:rsidRPr="00EE25F0" w:rsidR="003A1683">
        <w:t xml:space="preserve"> </w:t>
      </w:r>
      <w:r w:rsidRPr="00EE25F0" w:rsidR="006338E3">
        <w:t xml:space="preserve">cybersecurity benefits to </w:t>
      </w:r>
      <w:r w:rsidRPr="00EE25F0" w:rsidR="003A1683">
        <w:t>Commission-jurisdictional transmission facilities</w:t>
      </w:r>
      <w:r w:rsidRPr="00EE25F0" w:rsidR="006338E3">
        <w:t xml:space="preserve">. </w:t>
      </w:r>
      <w:r>
        <w:t xml:space="preserve"> </w:t>
      </w:r>
      <w:r w:rsidRPr="0070663E" w:rsidR="00901E32">
        <w:t xml:space="preserve">While the administrative burden associated with this approach </w:t>
      </w:r>
      <w:r>
        <w:t>is not expected to</w:t>
      </w:r>
      <w:r w:rsidRPr="000073B8" w:rsidR="00901E32">
        <w:t xml:space="preserve"> be prohibitive, the Commission could also consider establish</w:t>
      </w:r>
      <w:r w:rsidRPr="000073B8" w:rsidR="006648AE">
        <w:t>ing</w:t>
      </w:r>
      <w:r w:rsidRPr="000073B8" w:rsidR="00901E32">
        <w:t xml:space="preserve"> </w:t>
      </w:r>
      <w:r w:rsidRPr="004974C3" w:rsidR="00901E32">
        <w:t xml:space="preserve">a rebuttable presumption of </w:t>
      </w:r>
      <w:r w:rsidR="00FA2F03">
        <w:t>s</w:t>
      </w:r>
      <w:r w:rsidR="00CB51E9">
        <w:t>ignificant</w:t>
      </w:r>
      <w:r w:rsidR="00FA2F03">
        <w:t xml:space="preserve"> </w:t>
      </w:r>
      <w:r w:rsidR="00901E32">
        <w:t>benefits for certain types of investments</w:t>
      </w:r>
      <w:r w:rsidRPr="004974C3" w:rsidR="00901E32">
        <w:t xml:space="preserve"> that follow the NIST Framework</w:t>
      </w:r>
      <w:r w:rsidR="00901E32">
        <w:t xml:space="preserve"> to streamline the application process. </w:t>
      </w:r>
      <w:r w:rsidRPr="0070663E" w:rsidR="00901E32">
        <w:t xml:space="preserve"> </w:t>
      </w:r>
    </w:p>
    <w:p w:rsidRPr="004974C3" w:rsidR="0041106A" w:rsidP="003050B3" w:rsidRDefault="0041106A" w14:paraId="45E95981" w14:textId="5AA956B1">
      <w:pPr>
        <w:pStyle w:val="FERCNopara"/>
      </w:pPr>
      <w:r>
        <w:t xml:space="preserve">Finally, as the Commission evaluates incentive applications, it will need to </w:t>
      </w:r>
      <w:r w:rsidRPr="002D2B24" w:rsidR="00901E32">
        <w:t>remain cognizant of</w:t>
      </w:r>
      <w:r w:rsidRPr="002D2B24" w:rsidR="001D154A">
        <w:t xml:space="preserve"> ongoing changes to </w:t>
      </w:r>
      <w:r w:rsidRPr="002D2B24" w:rsidDel="007B4CDA" w:rsidR="001D154A">
        <w:t xml:space="preserve">the CIP Reliability Standards, </w:t>
      </w:r>
      <w:r w:rsidRPr="002D2B24" w:rsidR="001D154A">
        <w:t xml:space="preserve">the NIST Framework, or underlying referenced security controls.  </w:t>
      </w:r>
    </w:p>
    <w:p w:rsidRPr="008354F9" w:rsidR="008354F9" w:rsidRDefault="008354F9" w14:paraId="3D80DBE8" w14:textId="77777777">
      <w:pPr>
        <w:pStyle w:val="Heading2"/>
      </w:pPr>
      <w:r w:rsidRPr="008354F9">
        <w:t>Application Process</w:t>
      </w:r>
    </w:p>
    <w:p w:rsidR="00473A45" w:rsidP="008C0AB7" w:rsidRDefault="00702FEC" w14:paraId="0E44DEEF" w14:textId="754C2758">
      <w:pPr>
        <w:pStyle w:val="FERCNopara"/>
      </w:pPr>
      <w:r>
        <w:t xml:space="preserve">To </w:t>
      </w:r>
      <w:r w:rsidR="00355C99">
        <w:t>obtain</w:t>
      </w:r>
      <w:r>
        <w:t xml:space="preserve"> </w:t>
      </w:r>
      <w:r w:rsidR="00E71B1E">
        <w:t xml:space="preserve">a cybersecurity incentive, </w:t>
      </w:r>
      <w:r w:rsidR="00164114">
        <w:t>a</w:t>
      </w:r>
      <w:r w:rsidR="000E64CA">
        <w:t xml:space="preserve"> utility in its application</w:t>
      </w:r>
      <w:r w:rsidR="00164114">
        <w:t xml:space="preserve"> </w:t>
      </w:r>
      <w:r w:rsidR="00E71B1E">
        <w:t xml:space="preserve">would need </w:t>
      </w:r>
      <w:r w:rsidR="00531EAB">
        <w:t xml:space="preserve">to provide </w:t>
      </w:r>
      <w:r w:rsidR="00E71B1E">
        <w:t xml:space="preserve">sufficient information </w:t>
      </w:r>
      <w:r w:rsidR="00164114">
        <w:t xml:space="preserve">for the Commission </w:t>
      </w:r>
      <w:r w:rsidR="00E71B1E">
        <w:t xml:space="preserve">to determine </w:t>
      </w:r>
      <w:r w:rsidR="001531FF">
        <w:t>whether</w:t>
      </w:r>
      <w:r w:rsidR="00E71B1E">
        <w:t xml:space="preserve"> the investment merits </w:t>
      </w:r>
      <w:r w:rsidR="0081456E">
        <w:t xml:space="preserve">an </w:t>
      </w:r>
      <w:r w:rsidR="00E71B1E">
        <w:t xml:space="preserve">incentive.  </w:t>
      </w:r>
      <w:r w:rsidR="001531FF">
        <w:t xml:space="preserve">Given </w:t>
      </w:r>
      <w:r w:rsidR="00E7381E">
        <w:t>the</w:t>
      </w:r>
      <w:r w:rsidR="001531FF">
        <w:t xml:space="preserve"> highly technical nature of cybersecurity, security considerations associated with cybersecurity matters, and the differences between cybersecurity investments and other more capital</w:t>
      </w:r>
      <w:r w:rsidR="00260DCA">
        <w:t>-</w:t>
      </w:r>
      <w:r w:rsidR="001531FF">
        <w:t xml:space="preserve">intensive investments that generally receive incentive rates, applications for cybersecurity </w:t>
      </w:r>
      <w:r w:rsidR="009A2A39">
        <w:t>incentives</w:t>
      </w:r>
      <w:r w:rsidR="001531FF">
        <w:t xml:space="preserve"> and the Commission’s process for evaluating such applications would likely be substantial</w:t>
      </w:r>
      <w:r w:rsidR="00EC6285">
        <w:t>ly</w:t>
      </w:r>
      <w:r w:rsidR="001531FF">
        <w:t xml:space="preserve"> different than </w:t>
      </w:r>
      <w:r w:rsidR="00164114">
        <w:t xml:space="preserve">the </w:t>
      </w:r>
      <w:r w:rsidR="000E64CA">
        <w:t xml:space="preserve">processes the </w:t>
      </w:r>
      <w:r w:rsidR="00164114">
        <w:t xml:space="preserve">Commission </w:t>
      </w:r>
      <w:r w:rsidR="000E64CA">
        <w:t>uses to</w:t>
      </w:r>
      <w:r w:rsidR="00164114">
        <w:t xml:space="preserve"> </w:t>
      </w:r>
      <w:r w:rsidR="00355C99">
        <w:t>evaluat</w:t>
      </w:r>
      <w:r w:rsidR="000E64CA">
        <w:t>e</w:t>
      </w:r>
      <w:r w:rsidR="00355C99">
        <w:t xml:space="preserve"> </w:t>
      </w:r>
      <w:r w:rsidR="009A2A39">
        <w:t xml:space="preserve">other </w:t>
      </w:r>
      <w:r w:rsidR="000E64CA">
        <w:t xml:space="preserve">requests for </w:t>
      </w:r>
      <w:r w:rsidR="00164114">
        <w:t>transmission incentives</w:t>
      </w:r>
      <w:r w:rsidR="001531FF">
        <w:t xml:space="preserve">. </w:t>
      </w:r>
      <w:r w:rsidR="006D4BB6">
        <w:t xml:space="preserve"> </w:t>
      </w:r>
      <w:r w:rsidR="001531FF">
        <w:t xml:space="preserve">Below, </w:t>
      </w:r>
      <w:r w:rsidR="00BA1EF6">
        <w:t xml:space="preserve">this </w:t>
      </w:r>
      <w:r w:rsidR="001531FF">
        <w:t xml:space="preserve">staff </w:t>
      </w:r>
      <w:r w:rsidR="00BA1EF6">
        <w:t xml:space="preserve">paper </w:t>
      </w:r>
      <w:r w:rsidR="00A569A8">
        <w:t>proposes</w:t>
      </w:r>
      <w:r w:rsidR="001531FF">
        <w:t xml:space="preserve"> elements that </w:t>
      </w:r>
      <w:r w:rsidR="0081456E">
        <w:t xml:space="preserve">may </w:t>
      </w:r>
      <w:r w:rsidR="001531FF">
        <w:t xml:space="preserve">need to be included in any application </w:t>
      </w:r>
      <w:r w:rsidR="00A569A8">
        <w:t xml:space="preserve">for incentives by a utility </w:t>
      </w:r>
      <w:r w:rsidR="001531FF">
        <w:t xml:space="preserve">for cybersecurity </w:t>
      </w:r>
      <w:r w:rsidR="00A569A8">
        <w:t>investments</w:t>
      </w:r>
      <w:r w:rsidR="001531FF">
        <w:t xml:space="preserve"> under either approach </w:t>
      </w:r>
      <w:r w:rsidR="00A569A8">
        <w:t xml:space="preserve">discussed </w:t>
      </w:r>
      <w:r w:rsidR="001531FF">
        <w:t xml:space="preserve">above. </w:t>
      </w:r>
      <w:r w:rsidR="00355C99">
        <w:t xml:space="preserve"> </w:t>
      </w:r>
    </w:p>
    <w:p w:rsidRPr="00E81464" w:rsidR="00E81464" w:rsidP="00531EAB" w:rsidRDefault="00531EAB" w14:paraId="38D13B49" w14:textId="56E308FD">
      <w:pPr>
        <w:pStyle w:val="Heading3"/>
      </w:pPr>
      <w:r>
        <w:t>Incentives B</w:t>
      </w:r>
      <w:r w:rsidR="00FD026E">
        <w:t xml:space="preserve">ased on </w:t>
      </w:r>
      <w:r w:rsidR="000160F2">
        <w:t>Applying</w:t>
      </w:r>
      <w:r w:rsidR="00FD026E">
        <w:t xml:space="preserve"> the CIP Reliability Standards</w:t>
      </w:r>
      <w:r w:rsidR="000160F2">
        <w:t xml:space="preserve"> to Additional Facilities</w:t>
      </w:r>
    </w:p>
    <w:p w:rsidR="006235A4" w:rsidP="000C190C" w:rsidRDefault="008A10D5" w14:paraId="6FC417CC" w14:textId="7137232B">
      <w:pPr>
        <w:pStyle w:val="FERCparanumber"/>
        <w:numPr>
          <w:ilvl w:val="0"/>
          <w:numId w:val="0"/>
        </w:numPr>
        <w:ind w:firstLine="720"/>
      </w:pPr>
      <w:r w:rsidRPr="008A10D5">
        <w:t xml:space="preserve">The incentive application </w:t>
      </w:r>
      <w:r w:rsidR="00A569A8">
        <w:t>w</w:t>
      </w:r>
      <w:r w:rsidRPr="008A10D5">
        <w:t xml:space="preserve">ould include a description of the cybersecurity investments, the CIP Reliability Standards requirements that were voluntarily </w:t>
      </w:r>
      <w:r w:rsidR="00164114">
        <w:t>applied to facilities not covered by the requirements</w:t>
      </w:r>
      <w:r w:rsidRPr="008A10D5">
        <w:t xml:space="preserve"> and where </w:t>
      </w:r>
      <w:r w:rsidR="000C190C">
        <w:t>(</w:t>
      </w:r>
      <w:r w:rsidRPr="008A10D5">
        <w:t>if it is not applied across the whole CIP environment</w:t>
      </w:r>
      <w:r w:rsidR="000C190C">
        <w:t>)</w:t>
      </w:r>
      <w:r w:rsidRPr="008A10D5">
        <w:t>, anticipated completion date, and anticipated cost.</w:t>
      </w:r>
      <w:r w:rsidRPr="00CC2A88">
        <w:rPr>
          <w:rStyle w:val="FootnoteReference"/>
        </w:rPr>
        <w:t xml:space="preserve"> </w:t>
      </w:r>
      <w:r w:rsidR="00CC2A88">
        <w:rPr>
          <w:rStyle w:val="FootnoteReference"/>
        </w:rPr>
        <w:footnoteReference w:id="61"/>
      </w:r>
      <w:r w:rsidRPr="008A10D5">
        <w:t xml:space="preserve">  </w:t>
      </w:r>
      <w:r w:rsidR="00A569A8">
        <w:t>B</w:t>
      </w:r>
      <w:r>
        <w:t xml:space="preserve">ecause </w:t>
      </w:r>
      <w:r w:rsidR="000C190C">
        <w:t>the</w:t>
      </w:r>
      <w:r>
        <w:t xml:space="preserve"> </w:t>
      </w:r>
      <w:r>
        <w:lastRenderedPageBreak/>
        <w:t xml:space="preserve">Med/High and Hub-Spoke </w:t>
      </w:r>
      <w:r w:rsidR="00E7381E">
        <w:t>Methods</w:t>
      </w:r>
      <w:r>
        <w:t xml:space="preserve"> </w:t>
      </w:r>
      <w:r w:rsidR="009E2A9A">
        <w:t xml:space="preserve">are based on the CIP </w:t>
      </w:r>
      <w:r w:rsidR="003107B0">
        <w:t>Reliability S</w:t>
      </w:r>
      <w:r w:rsidR="009E2A9A">
        <w:t>tandards that have already been approved by the Commission,</w:t>
      </w:r>
      <w:r>
        <w:t xml:space="preserve"> </w:t>
      </w:r>
      <w:r w:rsidR="00E7381E">
        <w:t xml:space="preserve">an </w:t>
      </w:r>
      <w:r w:rsidRPr="008A10D5">
        <w:t>applica</w:t>
      </w:r>
      <w:r w:rsidR="00E7381E">
        <w:t>nt</w:t>
      </w:r>
      <w:r w:rsidRPr="008A10D5">
        <w:t xml:space="preserve"> would not need to describe how such investments improve cybersecurity or are specifically </w:t>
      </w:r>
      <w:r w:rsidR="00A569A8">
        <w:t>tailored</w:t>
      </w:r>
      <w:r w:rsidRPr="008A10D5">
        <w:t xml:space="preserve"> for the utility</w:t>
      </w:r>
      <w:r w:rsidR="00393B96">
        <w:t>,</w:t>
      </w:r>
      <w:r w:rsidR="00AC7CDB">
        <w:t xml:space="preserve"> but </w:t>
      </w:r>
      <w:r w:rsidR="00393B96">
        <w:t xml:space="preserve">rather </w:t>
      </w:r>
      <w:r w:rsidR="00AC7CDB">
        <w:t xml:space="preserve">an applicant would need to </w:t>
      </w:r>
      <w:r w:rsidR="00393B96">
        <w:t>demonstrate</w:t>
      </w:r>
      <w:r w:rsidR="00AC7CDB">
        <w:t xml:space="preserve"> that the low impact </w:t>
      </w:r>
      <w:r w:rsidR="0096110E">
        <w:t>systems</w:t>
      </w:r>
      <w:r w:rsidR="00AC7CDB">
        <w:t xml:space="preserve"> fully comply with the CIP Reliability Standard requirements for medium or high </w:t>
      </w:r>
      <w:r w:rsidR="00A569A8">
        <w:t xml:space="preserve">impact </w:t>
      </w:r>
      <w:r w:rsidR="0096110E">
        <w:t>systems</w:t>
      </w:r>
      <w:r w:rsidR="00030990">
        <w:t xml:space="preserve">, and medium impact </w:t>
      </w:r>
      <w:r w:rsidR="0096110E">
        <w:t>systems</w:t>
      </w:r>
      <w:r w:rsidR="00030990">
        <w:t xml:space="preserve"> fully comply with requirements for high impact </w:t>
      </w:r>
      <w:r w:rsidR="0096110E">
        <w:t>systems</w:t>
      </w:r>
      <w:r w:rsidRPr="008A10D5">
        <w:t xml:space="preserve">. </w:t>
      </w:r>
      <w:r w:rsidR="00CA428F">
        <w:t xml:space="preserve"> </w:t>
      </w:r>
      <w:r w:rsidR="00155C44">
        <w:t xml:space="preserve">Under this approach, </w:t>
      </w:r>
      <w:r w:rsidR="0006096C">
        <w:t xml:space="preserve">a specific showing of benefits would not be necessary for each filing because both the Med/High and Hub-Spoke Methods would result in a significant increase </w:t>
      </w:r>
      <w:r w:rsidR="006648AE">
        <w:t xml:space="preserve">in the </w:t>
      </w:r>
      <w:r w:rsidR="0006096C">
        <w:t>required security controls.</w:t>
      </w:r>
      <w:r w:rsidRPr="008A10D5">
        <w:t xml:space="preserve"> </w:t>
      </w:r>
      <w:r w:rsidR="00CA428F">
        <w:t xml:space="preserve"> </w:t>
      </w:r>
      <w:r w:rsidR="0006096C">
        <w:t xml:space="preserve">Specifically, </w:t>
      </w:r>
      <w:r w:rsidR="009B7440">
        <w:t>approximately</w:t>
      </w:r>
      <w:r w:rsidRPr="002D2B24" w:rsidR="009B7440">
        <w:t xml:space="preserve"> </w:t>
      </w:r>
      <w:r w:rsidRPr="002D2B24" w:rsidR="002D2B24">
        <w:t>15% of currently effective CIP-004 through CIP-011 Reliability Standards requirements apply to low impact BES Cyber Systems.  By increasing the BES Cyber System protections for low impact to medium or high impact</w:t>
      </w:r>
      <w:r w:rsidR="00210025">
        <w:t>,</w:t>
      </w:r>
      <w:r w:rsidRPr="002D2B24" w:rsidR="002D2B24">
        <w:t xml:space="preserve"> BES Cyber Systems will increase the protections by several magnitudes</w:t>
      </w:r>
      <w:r w:rsidR="00331714">
        <w:t xml:space="preserve">.  </w:t>
      </w:r>
      <w:r w:rsidR="00CA428F">
        <w:t xml:space="preserve">Thus, </w:t>
      </w:r>
      <w:r w:rsidR="003C4CA0">
        <w:t>a</w:t>
      </w:r>
      <w:r w:rsidR="00A569A8">
        <w:t xml:space="preserve"> utility</w:t>
      </w:r>
      <w:r w:rsidR="003C4CA0">
        <w:t xml:space="preserve"> </w:t>
      </w:r>
      <w:r w:rsidR="00CA428F">
        <w:t xml:space="preserve">that </w:t>
      </w:r>
      <w:r w:rsidR="00030990">
        <w:t>makes these showings will be</w:t>
      </w:r>
      <w:r w:rsidR="003C4CA0">
        <w:t xml:space="preserve"> </w:t>
      </w:r>
      <w:r w:rsidR="00CA428F">
        <w:t>presume</w:t>
      </w:r>
      <w:r w:rsidR="003C4CA0">
        <w:t>d</w:t>
      </w:r>
      <w:r w:rsidR="00CA428F">
        <w:t xml:space="preserve"> </w:t>
      </w:r>
      <w:r w:rsidR="003C4CA0">
        <w:t xml:space="preserve">to </w:t>
      </w:r>
      <w:r w:rsidR="00A43F79">
        <w:t>be eligible for the incentive</w:t>
      </w:r>
      <w:r w:rsidR="00DE0123">
        <w:t>.</w:t>
      </w:r>
      <w:r w:rsidR="00CA428F">
        <w:t xml:space="preserve"> </w:t>
      </w:r>
      <w:r w:rsidRPr="008A10D5">
        <w:t xml:space="preserve"> </w:t>
      </w:r>
      <w:r w:rsidR="00FD2057">
        <w:t xml:space="preserve"> </w:t>
      </w:r>
      <w:r w:rsidR="005670F5">
        <w:t xml:space="preserve"> </w:t>
      </w:r>
    </w:p>
    <w:p w:rsidRPr="009362C6" w:rsidR="00E81464" w:rsidP="000C190C" w:rsidRDefault="00E81464" w14:paraId="2C1ECF0D" w14:textId="55411152">
      <w:pPr>
        <w:pStyle w:val="Heading3"/>
      </w:pPr>
      <w:r>
        <w:t xml:space="preserve">Incentives </w:t>
      </w:r>
      <w:r w:rsidR="00BA690C">
        <w:t xml:space="preserve">Based </w:t>
      </w:r>
      <w:r>
        <w:t>on the NIST</w:t>
      </w:r>
      <w:r w:rsidRPr="00752F3E">
        <w:t xml:space="preserve"> Framework</w:t>
      </w:r>
    </w:p>
    <w:p w:rsidR="001D154A" w:rsidP="001D154A" w:rsidRDefault="001D154A" w14:paraId="406BAEF0" w14:textId="666A0922">
      <w:pPr>
        <w:pStyle w:val="FERCparanumber"/>
        <w:numPr>
          <w:ilvl w:val="0"/>
          <w:numId w:val="0"/>
        </w:numPr>
        <w:ind w:firstLine="720"/>
      </w:pPr>
      <w:r w:rsidRPr="008A10D5">
        <w:t>The</w:t>
      </w:r>
      <w:r w:rsidR="00423028">
        <w:t xml:space="preserve"> utility’s request for</w:t>
      </w:r>
      <w:r w:rsidRPr="008A10D5">
        <w:t xml:space="preserve"> incentive</w:t>
      </w:r>
      <w:r w:rsidR="00423028">
        <w:t>s for cybersecurity investment would</w:t>
      </w:r>
      <w:r w:rsidRPr="008A10D5">
        <w:t xml:space="preserve"> include a description of the cybersecurity investments</w:t>
      </w:r>
      <w:r w:rsidR="002F1BD4">
        <w:t>;</w:t>
      </w:r>
      <w:r w:rsidRPr="008A10D5">
        <w:t xml:space="preserve"> </w:t>
      </w:r>
      <w:r>
        <w:t>how they me</w:t>
      </w:r>
      <w:r w:rsidR="003C4CA0">
        <w:t>e</w:t>
      </w:r>
      <w:r>
        <w:t xml:space="preserve">t the </w:t>
      </w:r>
      <w:r w:rsidR="006F0AE2">
        <w:t xml:space="preserve">five </w:t>
      </w:r>
      <w:r w:rsidR="005643F8">
        <w:t>type</w:t>
      </w:r>
      <w:r w:rsidR="006F0AE2">
        <w:t>s</w:t>
      </w:r>
      <w:r w:rsidR="005643F8">
        <w:t xml:space="preserve"> of </w:t>
      </w:r>
      <w:r>
        <w:t xml:space="preserve">NIST Framework </w:t>
      </w:r>
      <w:r w:rsidR="006F0AE2">
        <w:t>controls identified in this paper</w:t>
      </w:r>
      <w:r w:rsidR="00F91011">
        <w:t>;</w:t>
      </w:r>
      <w:r>
        <w:t xml:space="preserve"> how they </w:t>
      </w:r>
      <w:r w:rsidR="0006096C">
        <w:t xml:space="preserve">resulted in </w:t>
      </w:r>
      <w:r w:rsidR="002F7B3F">
        <w:t xml:space="preserve">significant </w:t>
      </w:r>
      <w:r>
        <w:t xml:space="preserve">cybersecurity </w:t>
      </w:r>
      <w:r w:rsidR="0006096C">
        <w:t>benefits for Commission-jurisdictional transmission facilities</w:t>
      </w:r>
      <w:r w:rsidR="002F1BD4">
        <w:t>;</w:t>
      </w:r>
      <w:r>
        <w:t xml:space="preserve"> how they exceed </w:t>
      </w:r>
      <w:r w:rsidRPr="008A10D5">
        <w:t>the CIP Reliability Standards requirements</w:t>
      </w:r>
      <w:r w:rsidR="002F1BD4">
        <w:t>,</w:t>
      </w:r>
      <w:r w:rsidRPr="008A10D5">
        <w:t xml:space="preserve"> </w:t>
      </w:r>
      <w:r>
        <w:t xml:space="preserve">including whether they addressed any </w:t>
      </w:r>
      <w:r w:rsidR="003C4CA0">
        <w:t>differences</w:t>
      </w:r>
      <w:r w:rsidR="002F1BD4">
        <w:t>;</w:t>
      </w:r>
      <w:r>
        <w:t xml:space="preserve"> </w:t>
      </w:r>
      <w:r w:rsidRPr="008A10D5">
        <w:t>anticipated completion</w:t>
      </w:r>
      <w:r w:rsidR="003C4CA0">
        <w:t xml:space="preserve"> date of </w:t>
      </w:r>
      <w:r w:rsidR="007E3D53">
        <w:t>the investment</w:t>
      </w:r>
      <w:r w:rsidR="002F1BD4">
        <w:t>;</w:t>
      </w:r>
      <w:r w:rsidRPr="008A10D5">
        <w:t xml:space="preserve"> and anticipated cost.  </w:t>
      </w:r>
    </w:p>
    <w:p w:rsidRPr="00791467" w:rsidR="008354F9" w:rsidP="008354F9" w:rsidRDefault="00C130A4" w14:paraId="14D6844F" w14:textId="77777777">
      <w:pPr>
        <w:pStyle w:val="Heading2"/>
      </w:pPr>
      <w:r>
        <w:t>Magnitude of the Incentive(s)</w:t>
      </w:r>
    </w:p>
    <w:p w:rsidR="00355525" w:rsidP="00622C0C" w:rsidRDefault="00423028" w14:paraId="09583E6C" w14:textId="707089E1">
      <w:pPr>
        <w:pStyle w:val="FERCNopara"/>
      </w:pPr>
      <w:r>
        <w:t xml:space="preserve">Utilities could be eligible for </w:t>
      </w:r>
      <w:r w:rsidR="00153658">
        <w:t xml:space="preserve">up to </w:t>
      </w:r>
      <w:r w:rsidR="00A16EAD">
        <w:t>2</w:t>
      </w:r>
      <w:r w:rsidR="00F9058F">
        <w:t>00 basis points of ROE incentive</w:t>
      </w:r>
      <w:r>
        <w:t xml:space="preserve"> for cybersecurity investments</w:t>
      </w:r>
      <w:r w:rsidR="00F9058F">
        <w:t xml:space="preserve">.  </w:t>
      </w:r>
      <w:r w:rsidR="00A14C96">
        <w:t xml:space="preserve">This amount </w:t>
      </w:r>
      <w:r>
        <w:t>c</w:t>
      </w:r>
      <w:r w:rsidR="007D5A1C">
        <w:t xml:space="preserve">ould </w:t>
      </w:r>
      <w:r w:rsidR="00F9058F">
        <w:t>incent additional cybersecurity investment</w:t>
      </w:r>
      <w:r w:rsidR="008E78B5">
        <w:t>s</w:t>
      </w:r>
      <w:r w:rsidR="00F9058F">
        <w:t xml:space="preserve"> </w:t>
      </w:r>
      <w:r w:rsidR="00A14C96">
        <w:t>without being unduly burdensome for ratepayers.</w:t>
      </w:r>
      <w:r w:rsidR="0026104A">
        <w:t xml:space="preserve"> </w:t>
      </w:r>
      <w:r w:rsidR="00AE61D4">
        <w:t xml:space="preserve"> </w:t>
      </w:r>
      <w:r w:rsidR="008C6870">
        <w:t xml:space="preserve">While this would be higher than the project specific-ROE incentives proposed in the Transmission Incentives NOPR, incentives in the context of cybersecurity are distinguishable because the investments contemplated here are significantly smaller than most transmission projects and are recovered over a shorter time horizon. </w:t>
      </w:r>
      <w:r w:rsidR="00AE61D4">
        <w:t xml:space="preserve"> </w:t>
      </w:r>
      <w:r w:rsidR="008C6870">
        <w:t xml:space="preserve">Moreover, all </w:t>
      </w:r>
      <w:r>
        <w:t xml:space="preserve">ROE incentives for </w:t>
      </w:r>
      <w:r w:rsidR="008C6870">
        <w:t xml:space="preserve">cybersecurity </w:t>
      </w:r>
      <w:r>
        <w:t>investment</w:t>
      </w:r>
      <w:r w:rsidR="008C6870">
        <w:t xml:space="preserve"> </w:t>
      </w:r>
      <w:r>
        <w:t>c</w:t>
      </w:r>
      <w:r w:rsidR="008C6870">
        <w:t xml:space="preserve">ould be subject to a sunset date </w:t>
      </w:r>
      <w:r>
        <w:t xml:space="preserve">to </w:t>
      </w:r>
      <w:r w:rsidR="008C6870">
        <w:t xml:space="preserve">further reduce the potential impact to ratepayers. </w:t>
      </w:r>
    </w:p>
    <w:p w:rsidRPr="00AC6A14" w:rsidR="008354F9" w:rsidP="00355525" w:rsidRDefault="008354F9" w14:paraId="0474DA00" w14:textId="65C9CA06">
      <w:pPr>
        <w:pStyle w:val="Heading2"/>
      </w:pPr>
      <w:r w:rsidRPr="00AC6A14">
        <w:t>Sunset/Modificatio</w:t>
      </w:r>
      <w:r w:rsidRPr="00AC6A14" w:rsidR="00C130A4">
        <w:t>n Provision of the Incentive(s)</w:t>
      </w:r>
    </w:p>
    <w:p w:rsidRPr="004744AD" w:rsidR="00B30B98" w:rsidP="00D6479C" w:rsidRDefault="004A19A8" w14:paraId="6DD44BD2" w14:textId="28667407">
      <w:pPr>
        <w:pStyle w:val="FERCNopara"/>
      </w:pPr>
      <w:r w:rsidRPr="004744AD">
        <w:t xml:space="preserve">Given the </w:t>
      </w:r>
      <w:r w:rsidRPr="004744AD" w:rsidR="00CE2662">
        <w:t>quickly</w:t>
      </w:r>
      <w:r w:rsidRPr="004744AD">
        <w:t xml:space="preserve"> evolving nature of cybersecurity threat</w:t>
      </w:r>
      <w:r w:rsidRPr="004744AD" w:rsidR="00390B20">
        <w:t>s</w:t>
      </w:r>
      <w:r w:rsidRPr="004744AD">
        <w:t xml:space="preserve"> and best practices, it may be appropriate to </w:t>
      </w:r>
      <w:r w:rsidRPr="004744AD" w:rsidR="00CE2662">
        <w:t>require that applicants include a sunset date for</w:t>
      </w:r>
      <w:r w:rsidRPr="004744AD">
        <w:t xml:space="preserve"> all cybersecurity incentives.  </w:t>
      </w:r>
      <w:r w:rsidRPr="00155C44" w:rsidR="00155C44">
        <w:t xml:space="preserve">In light of these factors, this paper proposes </w:t>
      </w:r>
      <w:r w:rsidR="00F32E00">
        <w:t>that incentivized</w:t>
      </w:r>
      <w:r w:rsidRPr="00155C44" w:rsidR="00155C44">
        <w:t xml:space="preserve"> cybersecurity </w:t>
      </w:r>
      <w:r w:rsidRPr="00155C44" w:rsidR="00155C44">
        <w:lastRenderedPageBreak/>
        <w:t xml:space="preserve">investments should have a sunset date of no more than three to five years.  </w:t>
      </w:r>
      <w:r w:rsidRPr="004744AD">
        <w:t xml:space="preserve">While </w:t>
      </w:r>
      <w:r w:rsidRPr="004744AD" w:rsidR="00CE2662">
        <w:t xml:space="preserve">requiring a sunset date </w:t>
      </w:r>
      <w:r w:rsidRPr="004744AD">
        <w:t xml:space="preserve">would </w:t>
      </w:r>
      <w:r w:rsidRPr="004744AD" w:rsidR="00CE2662">
        <w:t>stand in contrast to the Commission’s treatment of incentives for other investments</w:t>
      </w:r>
      <w:r w:rsidRPr="004744AD">
        <w:t xml:space="preserve">, </w:t>
      </w:r>
      <w:r w:rsidRPr="004744AD" w:rsidR="00CE2662">
        <w:t xml:space="preserve">there are significant differences between cybersecurity investments and other incentives </w:t>
      </w:r>
      <w:r w:rsidRPr="004744AD" w:rsidR="00C31117">
        <w:t xml:space="preserve">that </w:t>
      </w:r>
      <w:r w:rsidRPr="004744AD" w:rsidR="00CE2662">
        <w:t>the Commission has granted.  For example, investments in high</w:t>
      </w:r>
      <w:r w:rsidRPr="004744AD" w:rsidR="00AC6A14">
        <w:t xml:space="preserve"> </w:t>
      </w:r>
      <w:r w:rsidRPr="004744AD" w:rsidR="00CE2662">
        <w:t xml:space="preserve">voltage transmission lines are extremely capital intensive and </w:t>
      </w:r>
      <w:r w:rsidRPr="004744AD" w:rsidR="00C31117">
        <w:t xml:space="preserve">are </w:t>
      </w:r>
      <w:r w:rsidRPr="004744AD" w:rsidR="00CE2662">
        <w:t>generally expected to produce benefits over a long</w:t>
      </w:r>
      <w:r w:rsidR="00423028">
        <w:t>-</w:t>
      </w:r>
      <w:r w:rsidRPr="004744AD" w:rsidR="00CE2662">
        <w:t xml:space="preserve">time horizon.  </w:t>
      </w:r>
      <w:r w:rsidR="00423028">
        <w:t xml:space="preserve">On the other </w:t>
      </w:r>
      <w:r w:rsidR="008E6C25">
        <w:t>hand,</w:t>
      </w:r>
      <w:r w:rsidRPr="004744AD" w:rsidR="00CE2662">
        <w:t xml:space="preserve"> </w:t>
      </w:r>
      <w:r w:rsidR="00E71E4A">
        <w:t>because of</w:t>
      </w:r>
      <w:r w:rsidRPr="004744AD" w:rsidR="00CE2662">
        <w:t xml:space="preserve"> the rapidly changing cybersecurity environment, cybersecurity investments can become obsolete or provide </w:t>
      </w:r>
      <w:r w:rsidRPr="004744AD" w:rsidR="00B30B98">
        <w:t xml:space="preserve">significantly reduced value in a comparatively short time. </w:t>
      </w:r>
      <w:r w:rsidRPr="004744AD" w:rsidR="00390B20">
        <w:t xml:space="preserve"> </w:t>
      </w:r>
      <w:r w:rsidRPr="004744AD" w:rsidR="00B30B98">
        <w:t xml:space="preserve">Moreover, continued evolution of the mandatory reliability standards may result in certain practices that were once voluntary becoming mandatory. </w:t>
      </w:r>
      <w:r w:rsidRPr="004744AD" w:rsidR="00EC6285">
        <w:t xml:space="preserve"> </w:t>
      </w:r>
      <w:r w:rsidRPr="004744AD" w:rsidR="00B30B98">
        <w:t xml:space="preserve"> </w:t>
      </w:r>
    </w:p>
    <w:p w:rsidR="00DE62F8" w:rsidP="00155C44" w:rsidRDefault="008E6C25" w14:paraId="12A81F3E" w14:textId="1B22033D">
      <w:pPr>
        <w:pStyle w:val="FERCparanumber"/>
        <w:numPr>
          <w:ilvl w:val="0"/>
          <w:numId w:val="0"/>
        </w:numPr>
        <w:ind w:firstLine="720"/>
      </w:pPr>
      <w:r>
        <w:t xml:space="preserve">There is a </w:t>
      </w:r>
      <w:r w:rsidRPr="004744AD" w:rsidR="00B30B98">
        <w:t xml:space="preserve">possibility </w:t>
      </w:r>
      <w:r>
        <w:t>that</w:t>
      </w:r>
      <w:r w:rsidRPr="004744AD" w:rsidR="00B30B98">
        <w:t xml:space="preserve"> certain </w:t>
      </w:r>
      <w:r>
        <w:t xml:space="preserve">cybersecurity </w:t>
      </w:r>
      <w:r w:rsidRPr="004744AD" w:rsidR="00B30B98">
        <w:t xml:space="preserve">practices </w:t>
      </w:r>
      <w:r>
        <w:t xml:space="preserve">may </w:t>
      </w:r>
      <w:r w:rsidRPr="004744AD" w:rsidR="00B30B98">
        <w:t>becom</w:t>
      </w:r>
      <w:r>
        <w:t>e</w:t>
      </w:r>
      <w:r w:rsidRPr="004744AD" w:rsidR="00B30B98">
        <w:t xml:space="preserve"> mandatory </w:t>
      </w:r>
      <w:r w:rsidRPr="004744AD" w:rsidR="00E6309B">
        <w:t>before an incentive’s sunset date</w:t>
      </w:r>
      <w:r w:rsidR="005A64BA">
        <w:t xml:space="preserve">.  </w:t>
      </w:r>
      <w:r w:rsidR="00155C44">
        <w:t xml:space="preserve">Given this possibility, </w:t>
      </w:r>
      <w:r w:rsidR="005A64BA">
        <w:t>the</w:t>
      </w:r>
      <w:r w:rsidR="00421719">
        <w:t xml:space="preserve"> Commission could consider allowing</w:t>
      </w:r>
      <w:r w:rsidRPr="004744AD" w:rsidR="00E6309B">
        <w:t xml:space="preserve"> </w:t>
      </w:r>
      <w:r w:rsidRPr="004744AD" w:rsidR="00B30B98">
        <w:t>r</w:t>
      </w:r>
      <w:r w:rsidRPr="004744AD" w:rsidR="0083597E">
        <w:t xml:space="preserve">ecipients of such incentives </w:t>
      </w:r>
      <w:r w:rsidR="00E64EF6">
        <w:t>to</w:t>
      </w:r>
      <w:r w:rsidRPr="004744AD" w:rsidR="0083597E">
        <w:t xml:space="preserve"> </w:t>
      </w:r>
      <w:r w:rsidRPr="004744AD" w:rsidR="00E6309B">
        <w:t>retain the authorized</w:t>
      </w:r>
      <w:r w:rsidRPr="004744AD" w:rsidR="0083597E">
        <w:t xml:space="preserve"> incentive treatments for the specific investments </w:t>
      </w:r>
      <w:r w:rsidRPr="004744AD" w:rsidR="00E6309B">
        <w:t>until</w:t>
      </w:r>
      <w:r w:rsidR="004744AD">
        <w:t xml:space="preserve"> the earlier of</w:t>
      </w:r>
      <w:r w:rsidRPr="004744AD" w:rsidR="00E6309B">
        <w:t xml:space="preserve"> the sunset date</w:t>
      </w:r>
      <w:r w:rsidR="004744AD">
        <w:t xml:space="preserve"> or the date when</w:t>
      </w:r>
      <w:r w:rsidRPr="004744AD" w:rsidR="0083597E">
        <w:t xml:space="preserve"> such investments subsequently become mandatory.  </w:t>
      </w:r>
      <w:r w:rsidRPr="00155C44" w:rsidR="00155C44">
        <w:t>In addition, there may also be a situation where NERC is either exploring or actively developing a new CIP Reliability Standard but has not yet received final Commission approval.  Staff seeks comment on whether there is a point in this process at which the Commission should no longer grant incentives for investments covered by the possible standard</w:t>
      </w:r>
      <w:r w:rsidRPr="004744AD" w:rsidR="0083597E">
        <w:t>.</w:t>
      </w:r>
      <w:r w:rsidRPr="00335EE2" w:rsidR="00705BE3">
        <w:t xml:space="preserve">  </w:t>
      </w:r>
      <w:r w:rsidR="001864C0">
        <w:t xml:space="preserve"> </w:t>
      </w:r>
    </w:p>
    <w:p w:rsidR="001E73B0" w:rsidP="001E73B0" w:rsidRDefault="001E73B0" w14:paraId="0ADC97A8" w14:textId="7148B19F">
      <w:pPr>
        <w:pStyle w:val="Heading2"/>
      </w:pPr>
      <w:r w:rsidRPr="008354F9">
        <w:t xml:space="preserve">Information Confidentiality </w:t>
      </w:r>
    </w:p>
    <w:p w:rsidR="001E73B0" w:rsidP="001E73B0" w:rsidRDefault="00B66D6E" w14:paraId="7343D91D" w14:textId="6361240B">
      <w:pPr>
        <w:spacing w:after="240"/>
        <w:ind w:firstLine="720"/>
      </w:pPr>
      <w:r w:rsidRPr="00B66D6E">
        <w:t>In order to demonstrate eligibility for cybersecurity incentives applicants need to provide detailed information, as discussed above.  Depending on the detail provided in applications</w:t>
      </w:r>
      <w:r w:rsidR="002936F4">
        <w:t>,</w:t>
      </w:r>
      <w:r w:rsidRPr="00B66D6E">
        <w:t xml:space="preserve"> this information may be sensitive or otherwise confidential and applicants may want to limit disclosure of this information to third parties.  </w:t>
      </w:r>
      <w:r w:rsidR="001E73B0">
        <w:t>The cybersecurity incentives policy must balance the needs of confidentiality of cybersecurity systems and protocols and the need for transparency in rates when awarding incentive rates to utilities for cybersecurity investments.  The Commission balances these considerations through its confidential</w:t>
      </w:r>
      <w:r w:rsidR="001E73B0">
        <w:rPr>
          <w:rStyle w:val="FootnoteReference"/>
        </w:rPr>
        <w:footnoteReference w:id="62"/>
      </w:r>
      <w:r w:rsidR="001E73B0">
        <w:t xml:space="preserve"> and Critical Energy/Electric Infrastructure Information (CEII) filing </w:t>
      </w:r>
      <w:r w:rsidR="001E73B0">
        <w:lastRenderedPageBreak/>
        <w:t>regulations.</w:t>
      </w:r>
      <w:r w:rsidR="001E73B0">
        <w:rPr>
          <w:rStyle w:val="FootnoteReference"/>
        </w:rPr>
        <w:footnoteReference w:id="63"/>
      </w:r>
      <w:r w:rsidR="001E73B0">
        <w:t xml:space="preserve">  </w:t>
      </w:r>
      <w:r w:rsidRPr="00BD70F6" w:rsidR="001E73B0">
        <w:t xml:space="preserve">These regulations recognize that intervenors in a Commission proceeding to which a right of intervention exists, such as </w:t>
      </w:r>
      <w:r w:rsidR="001E73B0">
        <w:t>a proceeding establishing incentive rates</w:t>
      </w:r>
      <w:r w:rsidRPr="00BD70F6" w:rsidR="001E73B0">
        <w:t>, may need access to information that the applicant believes should be withheld from disclosure to the general public</w:t>
      </w:r>
      <w:r w:rsidR="001E73B0">
        <w:t>,</w:t>
      </w:r>
      <w:r w:rsidRPr="00BD70F6" w:rsidR="001E73B0">
        <w:t xml:space="preserve"> in order to participate effectively in the proceeding.  Therefore, the Commission’s regulations provide for any person who is a participant in a proceeding or has filed a motion to intervene or notice of intervention to make a written request to the filer for a copy of the complete, non-public version of the document. </w:t>
      </w:r>
      <w:r w:rsidR="00AE61D4">
        <w:t xml:space="preserve"> </w:t>
      </w:r>
      <w:r w:rsidR="001E73B0">
        <w:t xml:space="preserve">Accordingly, </w:t>
      </w:r>
      <w:r w:rsidR="001976AC">
        <w:t xml:space="preserve">if </w:t>
      </w:r>
      <w:r w:rsidR="00B4358F">
        <w:t xml:space="preserve">utilities </w:t>
      </w:r>
      <w:r w:rsidR="001976AC">
        <w:t>are concerned that the information contained in an</w:t>
      </w:r>
      <w:r w:rsidR="001E73B0">
        <w:t xml:space="preserve"> application for incentives </w:t>
      </w:r>
      <w:r w:rsidR="001976AC">
        <w:t>could lead to the disclosure of confidential information or CEII related to their cybersecurity systems</w:t>
      </w:r>
      <w:r w:rsidR="000A337A">
        <w:t>, an applicant</w:t>
      </w:r>
      <w:r w:rsidR="001E73B0">
        <w:t xml:space="preserve"> could file </w:t>
      </w:r>
      <w:r w:rsidR="000A337A">
        <w:t>its application</w:t>
      </w:r>
      <w:r w:rsidR="001E73B0">
        <w:t xml:space="preserve"> pursuant to these </w:t>
      </w:r>
      <w:r w:rsidR="000A337A">
        <w:t>procedures</w:t>
      </w:r>
      <w:r w:rsidR="00AE61D4">
        <w:t>.  However, as discussed above</w:t>
      </w:r>
      <w:r w:rsidR="007E2F13">
        <w:t xml:space="preserve">, </w:t>
      </w:r>
      <w:r w:rsidR="00AE61D4">
        <w:t xml:space="preserve">this </w:t>
      </w:r>
      <w:r w:rsidR="00650711">
        <w:t>c</w:t>
      </w:r>
      <w:r w:rsidR="007E2F13">
        <w:t xml:space="preserve">ould allow for intervenors to access the confidential information or CEII contained in the application after the </w:t>
      </w:r>
      <w:r w:rsidR="00FF5AC2">
        <w:t>signing of a protective agreement with the applicant</w:t>
      </w:r>
      <w:r w:rsidR="001E73B0">
        <w:t>.</w:t>
      </w:r>
      <w:r w:rsidR="00650711">
        <w:rPr>
          <w:rStyle w:val="FootnoteReference"/>
        </w:rPr>
        <w:footnoteReference w:id="64"/>
      </w:r>
      <w:r w:rsidRPr="00BD70F6" w:rsidR="00650711">
        <w:t xml:space="preserve"> </w:t>
      </w:r>
    </w:p>
    <w:p w:rsidRPr="008354F9" w:rsidR="008354F9" w:rsidP="005F0303" w:rsidRDefault="00721D57" w14:paraId="1B2925AA" w14:textId="77777777">
      <w:pPr>
        <w:pStyle w:val="Heading2"/>
      </w:pPr>
      <w:r>
        <w:t xml:space="preserve">Potential Reporting Requirements </w:t>
      </w:r>
    </w:p>
    <w:p w:rsidR="00037156" w:rsidP="00037156" w:rsidRDefault="00997A34" w14:paraId="6CECB6D0" w14:textId="653C0282">
      <w:pPr>
        <w:pStyle w:val="FERCNopara"/>
      </w:pPr>
      <w:r>
        <w:t xml:space="preserve">Given the unique nature of cybersecurity requirements, additional reporting requirements for cybersecurity incentives </w:t>
      </w:r>
      <w:r w:rsidR="006A74C5">
        <w:t>will be</w:t>
      </w:r>
      <w:r>
        <w:t xml:space="preserve"> needed in addition to those required under FERC Form No. 730.  </w:t>
      </w:r>
      <w:r w:rsidR="00721D57">
        <w:t xml:space="preserve">In the </w:t>
      </w:r>
      <w:r w:rsidR="006A74C5">
        <w:t xml:space="preserve">Transmission </w:t>
      </w:r>
      <w:r w:rsidR="00721D57">
        <w:t xml:space="preserve">Incentives NOPR, the Commission </w:t>
      </w:r>
      <w:r>
        <w:t xml:space="preserve">proposed to </w:t>
      </w:r>
      <w:r w:rsidR="00721D57">
        <w:t xml:space="preserve">require that utilities </w:t>
      </w:r>
      <w:r w:rsidR="005E759E">
        <w:t>continue to</w:t>
      </w:r>
      <w:r w:rsidR="00721D57">
        <w:t xml:space="preserve"> provide certain</w:t>
      </w:r>
      <w:r w:rsidRPr="00721D57" w:rsidR="00721D57">
        <w:t xml:space="preserve"> data, projections, and related information</w:t>
      </w:r>
      <w:r w:rsidR="00721D57">
        <w:t xml:space="preserve"> t</w:t>
      </w:r>
      <w:r w:rsidRPr="00721D57" w:rsidR="00721D57">
        <w:t>o ensure that existing incentives are successfully meeting the objectives of FPA section 219.</w:t>
      </w:r>
      <w:r w:rsidR="00721D57">
        <w:rPr>
          <w:rStyle w:val="FootnoteReference"/>
        </w:rPr>
        <w:footnoteReference w:id="65"/>
      </w:r>
      <w:r w:rsidRPr="00721D57" w:rsidR="00721D57">
        <w:t xml:space="preserve"> </w:t>
      </w:r>
      <w:r w:rsidR="00721D57">
        <w:t xml:space="preserve"> </w:t>
      </w:r>
      <w:r w:rsidR="006A74C5">
        <w:t xml:space="preserve">It is expected </w:t>
      </w:r>
      <w:r w:rsidR="00721D57">
        <w:t>that the reporting requirements for</w:t>
      </w:r>
      <w:r w:rsidRPr="00E9605D" w:rsidR="00E9605D">
        <w:t xml:space="preserve"> cybersecurity investments </w:t>
      </w:r>
      <w:r w:rsidR="002E6052">
        <w:t xml:space="preserve">would </w:t>
      </w:r>
      <w:r w:rsidR="00721D57">
        <w:t xml:space="preserve">likely </w:t>
      </w:r>
      <w:r w:rsidRPr="00E9605D" w:rsidR="00E9605D">
        <w:t xml:space="preserve">differ from those of traditional transmission investments.  </w:t>
      </w:r>
      <w:r w:rsidR="005E759E">
        <w:t xml:space="preserve"> </w:t>
      </w:r>
      <w:r w:rsidR="00721D57">
        <w:t xml:space="preserve">One approach </w:t>
      </w:r>
      <w:r w:rsidR="002E6052">
        <w:t xml:space="preserve">to reporting </w:t>
      </w:r>
      <w:r w:rsidR="00721D57">
        <w:t xml:space="preserve">would be to </w:t>
      </w:r>
      <w:r w:rsidR="00FD34FD">
        <w:t xml:space="preserve">require </w:t>
      </w:r>
      <w:r w:rsidR="00721D57">
        <w:t>a utility that receives a cybersecurity incentive to file an</w:t>
      </w:r>
      <w:r w:rsidRPr="00E9605D" w:rsidR="00E9605D">
        <w:t xml:space="preserve"> annual informational filing and </w:t>
      </w:r>
      <w:r w:rsidR="00721D57">
        <w:t>be subject to</w:t>
      </w:r>
      <w:r w:rsidRPr="00E9605D" w:rsidR="00E9605D">
        <w:t xml:space="preserve"> audits.  </w:t>
      </w:r>
    </w:p>
    <w:p w:rsidRPr="00175C9D" w:rsidR="0072499E" w:rsidP="0072499E" w:rsidRDefault="00037156" w14:paraId="664C53C4" w14:textId="0B991E9E">
      <w:pPr>
        <w:pStyle w:val="FERCNopara"/>
      </w:pPr>
      <w:r>
        <w:t>J</w:t>
      </w:r>
      <w:r w:rsidR="00F9058F">
        <w:t>ust as the Commission has proposed increased informational reporting for transmission investments for incentive recipients through Form No. 7</w:t>
      </w:r>
      <w:r w:rsidR="00A04F03">
        <w:t>3</w:t>
      </w:r>
      <w:r w:rsidR="00F9058F">
        <w:t xml:space="preserve">0, it </w:t>
      </w:r>
      <w:r w:rsidR="006A74C5">
        <w:t xml:space="preserve">will be </w:t>
      </w:r>
      <w:r w:rsidR="00F9058F">
        <w:lastRenderedPageBreak/>
        <w:t xml:space="preserve">important for recipients to describe the nature and cost of cybersecurity investments.  </w:t>
      </w:r>
      <w:r w:rsidR="00454F00">
        <w:t>S</w:t>
      </w:r>
      <w:r w:rsidR="00F9058F">
        <w:t>uch informational filings should be through separate filings than the Form No. 7</w:t>
      </w:r>
      <w:r w:rsidR="00A04F03">
        <w:t>3</w:t>
      </w:r>
      <w:r w:rsidR="00F9058F">
        <w:t xml:space="preserve">0, given the greater confidentiality considerations.  Recipients </w:t>
      </w:r>
      <w:r w:rsidR="002E6052">
        <w:t>of cybersecurity incentives w</w:t>
      </w:r>
      <w:r w:rsidR="00F9058F">
        <w:t xml:space="preserve">ould </w:t>
      </w:r>
      <w:r w:rsidR="002E6052">
        <w:t xml:space="preserve">be required to </w:t>
      </w:r>
      <w:r w:rsidR="00F9058F">
        <w:t xml:space="preserve">make annual filings detailing </w:t>
      </w:r>
      <w:r w:rsidR="00FD34FD">
        <w:t xml:space="preserve">the </w:t>
      </w:r>
      <w:r w:rsidR="00F9058F">
        <w:t xml:space="preserve">specific investments </w:t>
      </w:r>
      <w:r w:rsidR="00FD34FD">
        <w:t xml:space="preserve">that </w:t>
      </w:r>
      <w:r w:rsidR="00F9058F">
        <w:t xml:space="preserve">were made </w:t>
      </w:r>
      <w:r w:rsidR="00FD34FD">
        <w:t>pursuant to the Commission’s approval</w:t>
      </w:r>
      <w:r w:rsidR="00F9058F">
        <w:t xml:space="preserve"> and what FERC account </w:t>
      </w:r>
      <w:r w:rsidRPr="00C130A4" w:rsidR="00F9058F">
        <w:t xml:space="preserve">they fall into.  </w:t>
      </w:r>
      <w:r w:rsidRPr="00C130A4" w:rsidR="0072499E">
        <w:t>In such filings, the applicant would attest to</w:t>
      </w:r>
      <w:r w:rsidR="00A30C92">
        <w:t xml:space="preserve"> the</w:t>
      </w:r>
      <w:r w:rsidRPr="00C130A4" w:rsidR="0072499E">
        <w:t xml:space="preserve"> </w:t>
      </w:r>
      <w:r w:rsidR="007059E0">
        <w:t>project</w:t>
      </w:r>
      <w:r w:rsidR="002E6052">
        <w:t>’</w:t>
      </w:r>
      <w:r w:rsidR="007059E0">
        <w:t>s</w:t>
      </w:r>
      <w:r w:rsidRPr="00C130A4" w:rsidR="0072499E">
        <w:t xml:space="preserve"> completion</w:t>
      </w:r>
      <w:r w:rsidR="00FD34FD">
        <w:t xml:space="preserve"> </w:t>
      </w:r>
      <w:r w:rsidR="007059E0">
        <w:t xml:space="preserve">and entering into </w:t>
      </w:r>
      <w:r w:rsidRPr="00A30C92" w:rsidR="007059E0">
        <w:t>service</w:t>
      </w:r>
      <w:r w:rsidRPr="00A30C92" w:rsidR="0072499E">
        <w:t>, provide</w:t>
      </w:r>
      <w:r w:rsidRPr="00C130A4" w:rsidR="0072499E">
        <w:t xml:space="preserve"> the actual cost for the project, and </w:t>
      </w:r>
      <w:r w:rsidR="00247446">
        <w:t>submit</w:t>
      </w:r>
      <w:r w:rsidRPr="00C130A4" w:rsidR="0072499E">
        <w:t xml:space="preserve"> quantifiable metrics to support that the expected enhanced cybersecurity benefits were realized.</w:t>
      </w:r>
      <w:r w:rsidRPr="00534B0E" w:rsidR="00534B0E">
        <w:t xml:space="preserve">  </w:t>
      </w:r>
      <w:r w:rsidRPr="00A30C92" w:rsidR="00534B0E">
        <w:t xml:space="preserve">In addition to providing equivalence in reporting requirements between cybersecurity investments and other </w:t>
      </w:r>
      <w:r w:rsidR="002E6052">
        <w:t xml:space="preserve">transmission </w:t>
      </w:r>
      <w:r w:rsidRPr="00A30C92" w:rsidR="00534B0E">
        <w:t xml:space="preserve">investments that receive incentives, the reporting requirements </w:t>
      </w:r>
      <w:r w:rsidR="002E6052">
        <w:t xml:space="preserve">would </w:t>
      </w:r>
      <w:r w:rsidRPr="00A30C92" w:rsidR="00534B0E">
        <w:t>address issues specific to cybersecurity investments.  First, cybersecurity investments are not observable such that it is not readily apparent if and when such investments are completed and serving customers</w:t>
      </w:r>
      <w:r w:rsidR="0021743D">
        <w:t>,</w:t>
      </w:r>
      <w:r w:rsidRPr="00A30C92" w:rsidR="00534B0E">
        <w:t xml:space="preserve"> making additional </w:t>
      </w:r>
      <w:r w:rsidR="00FD34FD">
        <w:t xml:space="preserve">reporting </w:t>
      </w:r>
      <w:r w:rsidRPr="00B4358F" w:rsidR="00534B0E">
        <w:t>requirements important to confirming their completion.  Second, certain cybersecurity investments may require utilities to undertake subsequent actions or make expenditures to maintain the status for which they receive incentives.  Annual reports enable utilities to demonstrate such actions or expenditures.</w:t>
      </w:r>
    </w:p>
    <w:p w:rsidR="00F9058F" w:rsidP="005E33C6" w:rsidRDefault="008A1432" w14:paraId="5920C0F3" w14:textId="08F0A03C">
      <w:pPr>
        <w:pStyle w:val="FERCNopara"/>
      </w:pPr>
      <w:r>
        <w:t xml:space="preserve">For incentives where </w:t>
      </w:r>
      <w:r w:rsidR="00F9058F">
        <w:t xml:space="preserve">the Commission allows capitalization of expenses into regulatory assets, </w:t>
      </w:r>
      <w:r w:rsidR="00A64A0E">
        <w:t xml:space="preserve">annual informational filings should describe </w:t>
      </w:r>
      <w:r w:rsidR="00F9058F">
        <w:t xml:space="preserve">such expenses in substantial detail to </w:t>
      </w:r>
      <w:r w:rsidR="00A64A0E">
        <w:t>demonstrate</w:t>
      </w:r>
      <w:r w:rsidR="00F9058F">
        <w:t xml:space="preserve"> that they are for expenses related to upgrades and not for ongoing services including system maintenance, surveillance, and other labor costs.  The Commission </w:t>
      </w:r>
      <w:r w:rsidR="00F7367C">
        <w:t xml:space="preserve">could </w:t>
      </w:r>
      <w:r w:rsidR="00F9058F">
        <w:t xml:space="preserve">provide additional guidance in the future on the specific line items and informational requirements of such forms.  </w:t>
      </w:r>
      <w:r w:rsidR="00F7367C">
        <w:t>Generally, s</w:t>
      </w:r>
      <w:r w:rsidR="00F9058F">
        <w:t>uch filings w</w:t>
      </w:r>
      <w:r w:rsidR="00F7367C">
        <w:t>ould</w:t>
      </w:r>
      <w:r w:rsidR="00F9058F">
        <w:t xml:space="preserve"> be subject to protective agreements given their sensitive information.  </w:t>
      </w:r>
    </w:p>
    <w:p w:rsidRPr="008354F9" w:rsidR="00220474" w:rsidP="006A74C5" w:rsidRDefault="005E759E" w14:paraId="4C68372C" w14:textId="6B4D26F3">
      <w:pPr>
        <w:pStyle w:val="FERCNopara"/>
      </w:pPr>
      <w:r>
        <w:t xml:space="preserve">Entities receiving incentives may also be subject to audit by the Commission’s Office of </w:t>
      </w:r>
      <w:r w:rsidR="00F9058F">
        <w:t>Enforcement</w:t>
      </w:r>
      <w:r>
        <w:t>.  Commission staff in the Office of Enforcement routinely conduct audits of accounting practices, such as FERC Form No. 1 annual filings to provide reasonable assurance that entities are in compliance with relevant Commission regulations and orders.</w:t>
      </w:r>
      <w:r w:rsidR="00F9058F">
        <w:t xml:space="preserve">  </w:t>
      </w:r>
      <w:r>
        <w:t>In the context of cybersecurity incentives,</w:t>
      </w:r>
      <w:r w:rsidR="00F9058F">
        <w:t xml:space="preserve"> </w:t>
      </w:r>
      <w:r>
        <w:t>a</w:t>
      </w:r>
      <w:r w:rsidR="00672EF0">
        <w:t>ccounting a</w:t>
      </w:r>
      <w:r w:rsidR="00F9058F">
        <w:t xml:space="preserve">udits </w:t>
      </w:r>
      <w:r>
        <w:t>could</w:t>
      </w:r>
      <w:r w:rsidR="00F9058F">
        <w:t xml:space="preserve"> focus </w:t>
      </w:r>
      <w:r w:rsidR="005670F5">
        <w:t>on</w:t>
      </w:r>
      <w:r w:rsidR="00F9058F">
        <w:t xml:space="preserve"> whether utilities are </w:t>
      </w:r>
      <w:r w:rsidR="00727DA0">
        <w:t>appropriate</w:t>
      </w:r>
      <w:r w:rsidR="001D2DBE">
        <w:t xml:space="preserve">ly deferring </w:t>
      </w:r>
      <w:r w:rsidR="00F9058F">
        <w:t>only eligible expenses</w:t>
      </w:r>
      <w:r w:rsidR="00A64A0E">
        <w:t xml:space="preserve"> for either the </w:t>
      </w:r>
      <w:r w:rsidR="006B0434">
        <w:t>CIP</w:t>
      </w:r>
      <w:r w:rsidR="00222077">
        <w:t xml:space="preserve"> </w:t>
      </w:r>
      <w:r w:rsidR="006B0434">
        <w:t>Reliability Standards or NIST Framework approaches</w:t>
      </w:r>
      <w:r w:rsidR="00F9058F">
        <w:t xml:space="preserve">.  </w:t>
      </w:r>
      <w:r w:rsidR="00672EF0">
        <w:t>Further</w:t>
      </w:r>
      <w:r>
        <w:t>,</w:t>
      </w:r>
      <w:r w:rsidR="00672EF0">
        <w:t xml:space="preserve"> oversight </w:t>
      </w:r>
      <w:r>
        <w:t>audits can confirm</w:t>
      </w:r>
      <w:r w:rsidR="00672EF0">
        <w:t xml:space="preserve"> not only </w:t>
      </w:r>
      <w:r w:rsidR="008A1432">
        <w:t xml:space="preserve">that </w:t>
      </w:r>
      <w:r w:rsidR="00672EF0">
        <w:t xml:space="preserve">investments </w:t>
      </w:r>
      <w:r w:rsidR="008A1432">
        <w:t xml:space="preserve">are actually made </w:t>
      </w:r>
      <w:r w:rsidR="00672EF0">
        <w:t xml:space="preserve">but </w:t>
      </w:r>
      <w:r w:rsidR="008A1432">
        <w:t xml:space="preserve">that </w:t>
      </w:r>
      <w:r w:rsidR="00672EF0">
        <w:t xml:space="preserve">the </w:t>
      </w:r>
      <w:r w:rsidR="008A1432">
        <w:t xml:space="preserve">utility is operating its </w:t>
      </w:r>
      <w:r w:rsidR="00672EF0">
        <w:t xml:space="preserve">system </w:t>
      </w:r>
      <w:r w:rsidR="008A1432">
        <w:t>and taking</w:t>
      </w:r>
      <w:r w:rsidR="00672EF0">
        <w:t xml:space="preserve"> other actions that are required for cybersecurity investments to be effective.</w:t>
      </w:r>
      <w:r w:rsidR="00F9058F">
        <w:t xml:space="preserve"> </w:t>
      </w:r>
      <w:r w:rsidR="00E9605D">
        <w:t xml:space="preserve"> Alternatively, approved third parties could conduct such audits, although, in that case, the Commission would need to develop protocols to ensure that such audits are impartial and accurate.</w:t>
      </w:r>
    </w:p>
    <w:p w:rsidRPr="00491C38" w:rsidR="008354F9" w:rsidP="00574E65" w:rsidRDefault="000157A4" w14:paraId="51687A03" w14:textId="36F1ADA1">
      <w:pPr>
        <w:pStyle w:val="Heading1"/>
      </w:pPr>
      <w:r>
        <w:t>Request for Comments</w:t>
      </w:r>
    </w:p>
    <w:p w:rsidR="006A6079" w:rsidP="00A76C11" w:rsidRDefault="006A74C5" w14:paraId="481F8DA4" w14:textId="5730119B">
      <w:pPr>
        <w:pStyle w:val="FERCNopara"/>
      </w:pPr>
      <w:r>
        <w:t xml:space="preserve">This staff paper </w:t>
      </w:r>
      <w:r w:rsidR="00A65C50">
        <w:t xml:space="preserve">identifies issues for the Commission’s consideration as it further evaluates providing </w:t>
      </w:r>
      <w:r w:rsidRPr="006A74C5">
        <w:t>incentives to utilities for cybersecurity investments</w:t>
      </w:r>
      <w:r>
        <w:t xml:space="preserve"> based on </w:t>
      </w:r>
      <w:r w:rsidR="00FA2508">
        <w:t xml:space="preserve">staff’s </w:t>
      </w:r>
      <w:r w:rsidR="00FA2508">
        <w:lastRenderedPageBreak/>
        <w:t>outreach and expertise</w:t>
      </w:r>
      <w:r>
        <w:t xml:space="preserve">.  This staff paper also </w:t>
      </w:r>
      <w:r w:rsidR="00FA2508">
        <w:t>set</w:t>
      </w:r>
      <w:r>
        <w:t>s</w:t>
      </w:r>
      <w:r w:rsidR="00FA2508">
        <w:t xml:space="preserve"> forth two potential approaches </w:t>
      </w:r>
      <w:r>
        <w:t xml:space="preserve">the Commission could use to evaluate whether certain </w:t>
      </w:r>
      <w:r w:rsidR="00FA2508">
        <w:t>cybersecurity investments</w:t>
      </w:r>
      <w:r>
        <w:t xml:space="preserve"> qualify for transmission incentives</w:t>
      </w:r>
      <w:r w:rsidR="00FA2508">
        <w:t xml:space="preserve">.  </w:t>
      </w:r>
      <w:r>
        <w:t>Interested parties are invited to file comments on the matters addressed in this staff paper, the questions below</w:t>
      </w:r>
      <w:r w:rsidR="008966BE">
        <w:t>,</w:t>
      </w:r>
      <w:r>
        <w:t xml:space="preserve"> and any </w:t>
      </w:r>
      <w:r w:rsidR="00FA2508">
        <w:t xml:space="preserve">additional </w:t>
      </w:r>
      <w:r>
        <w:t xml:space="preserve">approaches </w:t>
      </w:r>
      <w:r w:rsidR="00FA2508">
        <w:t>for structuring an incentive for cybersecurity investments</w:t>
      </w:r>
      <w:r>
        <w:t xml:space="preserve"> </w:t>
      </w:r>
      <w:r w:rsidR="00FA2508">
        <w:t xml:space="preserve">not explored in this </w:t>
      </w:r>
      <w:r w:rsidR="009857FA">
        <w:t xml:space="preserve">staff </w:t>
      </w:r>
      <w:r w:rsidR="00FA2508">
        <w:t>paper.</w:t>
      </w:r>
      <w:r>
        <w:t xml:space="preserve">  Comments are due </w:t>
      </w:r>
      <w:r w:rsidR="00E723F9">
        <w:t>within 60 days of the issuance of this paper and reply comments within 75 days of the issuance of this paper.</w:t>
      </w:r>
    </w:p>
    <w:p w:rsidRPr="00D43071" w:rsidR="00BD4663" w:rsidP="00BD4663" w:rsidRDefault="00BD4663" w14:paraId="432F4114" w14:textId="672FAFAE">
      <w:pPr>
        <w:pStyle w:val="FERCNopara"/>
        <w:numPr>
          <w:ilvl w:val="0"/>
          <w:numId w:val="44"/>
        </w:numPr>
        <w:rPr>
          <w:iCs/>
        </w:rPr>
      </w:pPr>
      <w:bookmarkStart w:name="_Hlk40446350" w:id="11"/>
      <w:r>
        <w:rPr>
          <w:iCs/>
        </w:rPr>
        <w:t xml:space="preserve">Should the Commission consider adopting one or both of the CIP Reliability Standards and NIST Framework approaches?  Describe any other possible approach in </w:t>
      </w:r>
      <w:r w:rsidRPr="00D43071">
        <w:rPr>
          <w:iCs/>
        </w:rPr>
        <w:t xml:space="preserve">detail.  </w:t>
      </w:r>
    </w:p>
    <w:p w:rsidR="008D0691" w:rsidP="00B74DCB" w:rsidRDefault="006E33EA" w14:paraId="02DFF486" w14:textId="3858C7E3">
      <w:pPr>
        <w:pStyle w:val="FERCNopara"/>
        <w:numPr>
          <w:ilvl w:val="0"/>
          <w:numId w:val="44"/>
        </w:numPr>
        <w:rPr>
          <w:iCs/>
        </w:rPr>
      </w:pPr>
      <w:r>
        <w:rPr>
          <w:iCs/>
        </w:rPr>
        <w:t>Are the</w:t>
      </w:r>
      <w:r w:rsidRPr="00AF089D">
        <w:rPr>
          <w:iCs/>
        </w:rPr>
        <w:t xml:space="preserve"> </w:t>
      </w:r>
      <w:r w:rsidR="003D2397">
        <w:rPr>
          <w:iCs/>
        </w:rPr>
        <w:t>methods</w:t>
      </w:r>
      <w:r w:rsidRPr="00AF089D">
        <w:rPr>
          <w:iCs/>
        </w:rPr>
        <w:t xml:space="preserve"> </w:t>
      </w:r>
      <w:r w:rsidR="008D0691">
        <w:rPr>
          <w:iCs/>
        </w:rPr>
        <w:t>for</w:t>
      </w:r>
      <w:r w:rsidR="003D2397">
        <w:rPr>
          <w:iCs/>
        </w:rPr>
        <w:t xml:space="preserve"> granting</w:t>
      </w:r>
      <w:r w:rsidR="008D0691">
        <w:rPr>
          <w:iCs/>
        </w:rPr>
        <w:t xml:space="preserve"> incentives based on the CIP Reliability Standards</w:t>
      </w:r>
      <w:r w:rsidRPr="00AF089D">
        <w:rPr>
          <w:iCs/>
        </w:rPr>
        <w:t xml:space="preserve"> </w:t>
      </w:r>
      <w:r>
        <w:rPr>
          <w:iCs/>
        </w:rPr>
        <w:t>(Med/High and Hub-Spoke Method</w:t>
      </w:r>
      <w:r w:rsidR="003506D1">
        <w:rPr>
          <w:iCs/>
        </w:rPr>
        <w:t>)</w:t>
      </w:r>
      <w:r>
        <w:rPr>
          <w:iCs/>
        </w:rPr>
        <w:t xml:space="preserve"> adequate?  What </w:t>
      </w:r>
      <w:r w:rsidR="009857FA">
        <w:rPr>
          <w:iCs/>
        </w:rPr>
        <w:t xml:space="preserve">steps </w:t>
      </w:r>
      <w:r>
        <w:rPr>
          <w:iCs/>
        </w:rPr>
        <w:t xml:space="preserve">should the Commission </w:t>
      </w:r>
      <w:r w:rsidR="009857FA">
        <w:rPr>
          <w:iCs/>
        </w:rPr>
        <w:t xml:space="preserve">consider taking </w:t>
      </w:r>
      <w:r>
        <w:rPr>
          <w:iCs/>
        </w:rPr>
        <w:t>to ensure the</w:t>
      </w:r>
      <w:r w:rsidR="000A30CD">
        <w:rPr>
          <w:iCs/>
        </w:rPr>
        <w:t xml:space="preserve"> incentive eligibility and corresponding application evaluation process</w:t>
      </w:r>
      <w:r w:rsidR="002B1B4C">
        <w:rPr>
          <w:iCs/>
        </w:rPr>
        <w:t>es</w:t>
      </w:r>
      <w:r w:rsidR="000A30CD">
        <w:rPr>
          <w:iCs/>
        </w:rPr>
        <w:t xml:space="preserve"> are</w:t>
      </w:r>
      <w:r>
        <w:rPr>
          <w:iCs/>
        </w:rPr>
        <w:t xml:space="preserve"> clear and fair?</w:t>
      </w:r>
      <w:r w:rsidRPr="008D0691" w:rsidR="008D0691">
        <w:rPr>
          <w:iCs/>
        </w:rPr>
        <w:t xml:space="preserve"> </w:t>
      </w:r>
      <w:r w:rsidR="008D0691">
        <w:rPr>
          <w:iCs/>
        </w:rPr>
        <w:t xml:space="preserve"> What </w:t>
      </w:r>
      <w:r w:rsidRPr="00AF089D" w:rsidR="008D0691">
        <w:rPr>
          <w:iCs/>
        </w:rPr>
        <w:t xml:space="preserve">other </w:t>
      </w:r>
      <w:r w:rsidR="009857FA">
        <w:rPr>
          <w:iCs/>
        </w:rPr>
        <w:t xml:space="preserve">types of cybersecurity investment </w:t>
      </w:r>
      <w:r w:rsidR="008D0691">
        <w:rPr>
          <w:iCs/>
        </w:rPr>
        <w:t xml:space="preserve">based on the CIP Reliability Standards </w:t>
      </w:r>
      <w:r w:rsidRPr="00AF089D" w:rsidR="008D0691">
        <w:rPr>
          <w:iCs/>
        </w:rPr>
        <w:t>should be eligible for</w:t>
      </w:r>
      <w:r w:rsidR="008D0691">
        <w:rPr>
          <w:iCs/>
        </w:rPr>
        <w:t xml:space="preserve"> the incentive?</w:t>
      </w:r>
      <w:r w:rsidRPr="00AF089D" w:rsidR="008D0691">
        <w:rPr>
          <w:iCs/>
        </w:rPr>
        <w:t xml:space="preserve"> </w:t>
      </w:r>
      <w:r w:rsidR="008D0691">
        <w:rPr>
          <w:iCs/>
        </w:rPr>
        <w:t xml:space="preserve"> Describe in detail </w:t>
      </w:r>
      <w:r w:rsidR="003506D1">
        <w:rPr>
          <w:iCs/>
        </w:rPr>
        <w:t>the</w:t>
      </w:r>
      <w:r w:rsidR="009857FA">
        <w:rPr>
          <w:iCs/>
        </w:rPr>
        <w:t xml:space="preserve"> other types of cybersecurity investment</w:t>
      </w:r>
      <w:r w:rsidR="008D0691">
        <w:rPr>
          <w:iCs/>
        </w:rPr>
        <w:t xml:space="preserve"> </w:t>
      </w:r>
      <w:r w:rsidR="003506D1">
        <w:rPr>
          <w:iCs/>
        </w:rPr>
        <w:t xml:space="preserve">based on the CIP Reliability Standards and how they </w:t>
      </w:r>
      <w:r w:rsidR="009857FA">
        <w:rPr>
          <w:iCs/>
        </w:rPr>
        <w:t xml:space="preserve">would </w:t>
      </w:r>
      <w:r w:rsidR="008D0691">
        <w:rPr>
          <w:iCs/>
        </w:rPr>
        <w:t xml:space="preserve">enhance </w:t>
      </w:r>
      <w:r w:rsidR="00A05F31">
        <w:rPr>
          <w:iCs/>
        </w:rPr>
        <w:t>cybersecurity</w:t>
      </w:r>
      <w:r w:rsidR="008D0691">
        <w:rPr>
          <w:iCs/>
        </w:rPr>
        <w:t>.</w:t>
      </w:r>
    </w:p>
    <w:bookmarkEnd w:id="11"/>
    <w:p w:rsidR="00367FE9" w:rsidP="00B74DCB" w:rsidRDefault="00367FE9" w14:paraId="41759A67" w14:textId="32547FB5">
      <w:pPr>
        <w:pStyle w:val="FERCNopara"/>
        <w:numPr>
          <w:ilvl w:val="0"/>
          <w:numId w:val="44"/>
        </w:numPr>
        <w:rPr>
          <w:iCs/>
        </w:rPr>
      </w:pPr>
      <w:r w:rsidRPr="00AF089D">
        <w:rPr>
          <w:iCs/>
        </w:rPr>
        <w:t xml:space="preserve">Should the Commission provide a rebuttable presumption of the reasonableness and thus </w:t>
      </w:r>
      <w:r>
        <w:rPr>
          <w:iCs/>
        </w:rPr>
        <w:t xml:space="preserve">the </w:t>
      </w:r>
      <w:r w:rsidRPr="00AF089D">
        <w:rPr>
          <w:iCs/>
        </w:rPr>
        <w:t>applicability of incentives for some or all investments</w:t>
      </w:r>
      <w:r>
        <w:rPr>
          <w:iCs/>
        </w:rPr>
        <w:t xml:space="preserve"> in either the Med/High or the Hub-Spoke Method</w:t>
      </w:r>
      <w:r w:rsidRPr="00AF089D">
        <w:rPr>
          <w:iCs/>
        </w:rPr>
        <w:t>?</w:t>
      </w:r>
    </w:p>
    <w:p w:rsidR="002A29EE" w:rsidP="00B74DCB" w:rsidRDefault="00155C44" w14:paraId="7B23298D" w14:textId="05621C15">
      <w:pPr>
        <w:pStyle w:val="FERCNopara"/>
        <w:numPr>
          <w:ilvl w:val="0"/>
          <w:numId w:val="44"/>
        </w:numPr>
        <w:rPr>
          <w:iCs/>
        </w:rPr>
      </w:pPr>
      <w:r>
        <w:rPr>
          <w:iCs/>
        </w:rPr>
        <w:t>Is the proposed approach</w:t>
      </w:r>
      <w:r w:rsidRPr="00AF089D" w:rsidR="00A86D34">
        <w:rPr>
          <w:iCs/>
        </w:rPr>
        <w:t xml:space="preserve"> </w:t>
      </w:r>
      <w:r w:rsidR="00A86D34">
        <w:rPr>
          <w:iCs/>
        </w:rPr>
        <w:t>for granting incentives based on the NIST Framework adequate?  What steps should the Commission consider taking to ensure the incentive eligibility and corresponding application evaluation process</w:t>
      </w:r>
      <w:r w:rsidR="002B1B4C">
        <w:rPr>
          <w:iCs/>
        </w:rPr>
        <w:t>es</w:t>
      </w:r>
      <w:r w:rsidR="00A86D34">
        <w:rPr>
          <w:iCs/>
        </w:rPr>
        <w:t xml:space="preserve"> are clear and fair?</w:t>
      </w:r>
      <w:r w:rsidRPr="008D0691" w:rsidR="00A86D34">
        <w:rPr>
          <w:iCs/>
        </w:rPr>
        <w:t xml:space="preserve"> </w:t>
      </w:r>
      <w:r w:rsidR="00A86D34">
        <w:rPr>
          <w:iCs/>
        </w:rPr>
        <w:t xml:space="preserve"> </w:t>
      </w:r>
      <w:r>
        <w:rPr>
          <w:iCs/>
        </w:rPr>
        <w:t xml:space="preserve">What type of incentive would encourage cybersecurity improvements based on the NIST Framework?  Should the incentives be available to incremental cybersecurity measures applied to both </w:t>
      </w:r>
      <w:r w:rsidRPr="00852238" w:rsidR="00852238">
        <w:rPr>
          <w:iCs/>
        </w:rPr>
        <w:t>operational technology</w:t>
      </w:r>
      <w:r>
        <w:rPr>
          <w:iCs/>
        </w:rPr>
        <w:t xml:space="preserve"> and corporate network </w:t>
      </w:r>
      <w:r w:rsidR="00A23BC8">
        <w:rPr>
          <w:iCs/>
        </w:rPr>
        <w:t>information technology</w:t>
      </w:r>
      <w:r>
        <w:rPr>
          <w:iCs/>
        </w:rPr>
        <w:t xml:space="preserve"> systems?</w:t>
      </w:r>
      <w:r w:rsidR="00CE0FA2">
        <w:rPr>
          <w:iCs/>
        </w:rPr>
        <w:t xml:space="preserve">  </w:t>
      </w:r>
    </w:p>
    <w:p w:rsidR="00CF3980" w:rsidP="00B74DCB" w:rsidRDefault="00A86D34" w14:paraId="48EEA384" w14:textId="102BCB4E">
      <w:pPr>
        <w:pStyle w:val="FERCNopara"/>
        <w:numPr>
          <w:ilvl w:val="0"/>
          <w:numId w:val="44"/>
        </w:numPr>
        <w:rPr>
          <w:iCs/>
        </w:rPr>
      </w:pPr>
      <w:r>
        <w:rPr>
          <w:iCs/>
        </w:rPr>
        <w:t>W</w:t>
      </w:r>
      <w:r w:rsidR="00CF3980">
        <w:rPr>
          <w:iCs/>
        </w:rPr>
        <w:t xml:space="preserve">hich components of the NIST Framework </w:t>
      </w:r>
      <w:r w:rsidR="00C25335">
        <w:rPr>
          <w:iCs/>
        </w:rPr>
        <w:t>should be considered</w:t>
      </w:r>
      <w:r w:rsidR="00CF3980">
        <w:rPr>
          <w:iCs/>
        </w:rPr>
        <w:t xml:space="preserve"> for an incentive?  What type of guidance should the Commission provide on which components of the NIST Framework merit incentive?</w:t>
      </w:r>
      <w:r w:rsidRPr="009A4B4E" w:rsidR="009A4B4E">
        <w:rPr>
          <w:iCs/>
        </w:rPr>
        <w:t xml:space="preserve"> </w:t>
      </w:r>
      <w:r w:rsidR="009A4B4E">
        <w:rPr>
          <w:iCs/>
        </w:rPr>
        <w:t xml:space="preserve"> How might an entity demonstrate </w:t>
      </w:r>
      <w:r w:rsidR="00C63C20">
        <w:rPr>
          <w:iCs/>
        </w:rPr>
        <w:t>the</w:t>
      </w:r>
      <w:r w:rsidR="009A4B4E">
        <w:rPr>
          <w:iCs/>
        </w:rPr>
        <w:t xml:space="preserve"> cybersecurity expenditures </w:t>
      </w:r>
      <w:r w:rsidR="00C63C20">
        <w:rPr>
          <w:iCs/>
        </w:rPr>
        <w:t xml:space="preserve">that </w:t>
      </w:r>
      <w:r w:rsidR="009A4B4E">
        <w:rPr>
          <w:iCs/>
        </w:rPr>
        <w:t>qualify under the NIST Framework?</w:t>
      </w:r>
      <w:r w:rsidR="00EB0798">
        <w:rPr>
          <w:iCs/>
        </w:rPr>
        <w:t xml:space="preserve">  </w:t>
      </w:r>
    </w:p>
    <w:p w:rsidRPr="00CF3980" w:rsidR="00736D8A" w:rsidP="00D43071" w:rsidRDefault="00736D8A" w14:paraId="28990FD6" w14:textId="255EBF9A">
      <w:pPr>
        <w:pStyle w:val="FERCNopara"/>
        <w:numPr>
          <w:ilvl w:val="0"/>
          <w:numId w:val="44"/>
        </w:numPr>
        <w:rPr>
          <w:iCs/>
        </w:rPr>
      </w:pPr>
      <w:r w:rsidRPr="00D43071">
        <w:rPr>
          <w:iCs/>
        </w:rPr>
        <w:t xml:space="preserve">Recognizing that </w:t>
      </w:r>
      <w:r w:rsidRPr="00D43071" w:rsidR="006A74C5">
        <w:rPr>
          <w:iCs/>
        </w:rPr>
        <w:t xml:space="preserve">FPA </w:t>
      </w:r>
      <w:r w:rsidRPr="00D43071">
        <w:rPr>
          <w:iCs/>
        </w:rPr>
        <w:t xml:space="preserve">section 219 applies incentives to </w:t>
      </w:r>
      <w:r w:rsidRPr="00D43071" w:rsidR="00D653C5">
        <w:rPr>
          <w:iCs/>
        </w:rPr>
        <w:t xml:space="preserve">investments </w:t>
      </w:r>
      <w:r w:rsidRPr="00D43071" w:rsidR="009872B4">
        <w:rPr>
          <w:iCs/>
        </w:rPr>
        <w:t>for the transmission of electric energy in interstate commerce that result in certain benefits</w:t>
      </w:r>
      <w:r w:rsidRPr="00D43071">
        <w:rPr>
          <w:iCs/>
        </w:rPr>
        <w:t xml:space="preserve">, </w:t>
      </w:r>
      <w:r w:rsidRPr="00D43071" w:rsidR="000D0259">
        <w:rPr>
          <w:iCs/>
        </w:rPr>
        <w:t xml:space="preserve">to </w:t>
      </w:r>
      <w:r w:rsidRPr="00D43071">
        <w:rPr>
          <w:iCs/>
        </w:rPr>
        <w:t>what</w:t>
      </w:r>
      <w:r w:rsidRPr="00D43071" w:rsidR="000D0259">
        <w:rPr>
          <w:iCs/>
        </w:rPr>
        <w:t xml:space="preserve"> extent </w:t>
      </w:r>
      <w:r w:rsidRPr="00D43071" w:rsidR="00D653C5">
        <w:rPr>
          <w:iCs/>
        </w:rPr>
        <w:t xml:space="preserve">can investments in other systems </w:t>
      </w:r>
      <w:r w:rsidRPr="00D43071" w:rsidR="00D653C5">
        <w:t>directly connected to the transmission system, or other assets such as portions of the corporate network that can impact the cybersecurity of these systems</w:t>
      </w:r>
      <w:r w:rsidRPr="00D43071" w:rsidDel="00D653C5" w:rsidR="00D653C5">
        <w:rPr>
          <w:iCs/>
        </w:rPr>
        <w:t xml:space="preserve"> </w:t>
      </w:r>
      <w:r w:rsidRPr="00D43071" w:rsidR="00D653C5">
        <w:rPr>
          <w:iCs/>
        </w:rPr>
        <w:t>qualify</w:t>
      </w:r>
      <w:r w:rsidRPr="00D43071">
        <w:rPr>
          <w:iCs/>
        </w:rPr>
        <w:t xml:space="preserve"> </w:t>
      </w:r>
      <w:r w:rsidRPr="00D43071" w:rsidR="009872B4">
        <w:rPr>
          <w:iCs/>
        </w:rPr>
        <w:t>for incentives</w:t>
      </w:r>
      <w:r w:rsidRPr="00D43071" w:rsidR="000D0259">
        <w:rPr>
          <w:iCs/>
        </w:rPr>
        <w:t>?</w:t>
      </w:r>
      <w:r w:rsidR="000D0259">
        <w:rPr>
          <w:iCs/>
        </w:rPr>
        <w:t xml:space="preserve"> </w:t>
      </w:r>
      <w:r>
        <w:rPr>
          <w:iCs/>
        </w:rPr>
        <w:t xml:space="preserve"> Where </w:t>
      </w:r>
      <w:r>
        <w:rPr>
          <w:iCs/>
        </w:rPr>
        <w:lastRenderedPageBreak/>
        <w:t>investments are enterprise-wide</w:t>
      </w:r>
      <w:r w:rsidR="00873F02">
        <w:rPr>
          <w:iCs/>
        </w:rPr>
        <w:t xml:space="preserve"> and not transmission-specific</w:t>
      </w:r>
      <w:r>
        <w:rPr>
          <w:iCs/>
        </w:rPr>
        <w:t>,</w:t>
      </w:r>
      <w:r w:rsidR="000D0259">
        <w:rPr>
          <w:iCs/>
        </w:rPr>
        <w:t xml:space="preserve"> would providing an incentive on the portion allocated to transmission provide a material incentive</w:t>
      </w:r>
      <w:r w:rsidR="00D752A9">
        <w:rPr>
          <w:iCs/>
        </w:rPr>
        <w:t>?</w:t>
      </w:r>
      <w:r w:rsidR="00BE593A">
        <w:rPr>
          <w:iCs/>
        </w:rPr>
        <w:t xml:space="preserve"> </w:t>
      </w:r>
    </w:p>
    <w:p w:rsidRPr="00CF3980" w:rsidR="00D752A9" w:rsidP="00945448" w:rsidRDefault="00D752A9" w14:paraId="62CDC0D8" w14:textId="00E5EA62">
      <w:pPr>
        <w:pStyle w:val="FERCNopara"/>
        <w:numPr>
          <w:ilvl w:val="0"/>
          <w:numId w:val="44"/>
        </w:numPr>
        <w:rPr>
          <w:iCs/>
        </w:rPr>
      </w:pPr>
      <w:r>
        <w:rPr>
          <w:iCs/>
        </w:rPr>
        <w:t>Is a 200-basis point project-specific ROE adder enough to mater</w:t>
      </w:r>
      <w:r w:rsidR="00975477">
        <w:rPr>
          <w:iCs/>
        </w:rPr>
        <w:t>ially</w:t>
      </w:r>
      <w:r>
        <w:rPr>
          <w:iCs/>
        </w:rPr>
        <w:t xml:space="preserve"> incent cybersecurity investments</w:t>
      </w:r>
      <w:r w:rsidR="00FD6AFA">
        <w:rPr>
          <w:iCs/>
        </w:rPr>
        <w:t xml:space="preserve"> </w:t>
      </w:r>
      <w:r w:rsidR="005B18D5">
        <w:rPr>
          <w:iCs/>
        </w:rPr>
        <w:t>that exceed the requirements of the</w:t>
      </w:r>
      <w:r w:rsidR="00FD6AFA">
        <w:rPr>
          <w:iCs/>
        </w:rPr>
        <w:t xml:space="preserve"> CIP </w:t>
      </w:r>
      <w:r w:rsidR="005B18D5">
        <w:rPr>
          <w:iCs/>
        </w:rPr>
        <w:t>Reliability S</w:t>
      </w:r>
      <w:r w:rsidR="00FD6AFA">
        <w:rPr>
          <w:iCs/>
        </w:rPr>
        <w:t>tandards</w:t>
      </w:r>
      <w:r>
        <w:rPr>
          <w:iCs/>
        </w:rPr>
        <w:t xml:space="preserve">?  </w:t>
      </w:r>
      <w:r w:rsidR="00FD6AFA">
        <w:rPr>
          <w:iCs/>
        </w:rPr>
        <w:t xml:space="preserve">If not, </w:t>
      </w:r>
      <w:r w:rsidR="002F446E">
        <w:rPr>
          <w:iCs/>
        </w:rPr>
        <w:t>what size</w:t>
      </w:r>
      <w:r w:rsidR="00FD6AFA">
        <w:rPr>
          <w:iCs/>
        </w:rPr>
        <w:t xml:space="preserve"> basis point ROE incentive adder would be adequate to incentivize such cybersecurity investments? </w:t>
      </w:r>
      <w:r w:rsidR="002F446E">
        <w:rPr>
          <w:iCs/>
        </w:rPr>
        <w:t xml:space="preserve"> </w:t>
      </w:r>
      <w:r>
        <w:rPr>
          <w:iCs/>
        </w:rPr>
        <w:t xml:space="preserve">If </w:t>
      </w:r>
      <w:r w:rsidR="00FD6AFA">
        <w:rPr>
          <w:iCs/>
        </w:rPr>
        <w:t xml:space="preserve">project-specific ROE adders are </w:t>
      </w:r>
      <w:r w:rsidR="000D0259">
        <w:rPr>
          <w:iCs/>
        </w:rPr>
        <w:t>not</w:t>
      </w:r>
      <w:r w:rsidR="00FD6AFA">
        <w:rPr>
          <w:iCs/>
        </w:rPr>
        <w:t xml:space="preserve"> sufficient</w:t>
      </w:r>
      <w:r w:rsidR="000D0259">
        <w:rPr>
          <w:iCs/>
        </w:rPr>
        <w:t>, are there other approaches that the Commission could take with respect to ROE adders that would incent the desired cybersecurity investments?</w:t>
      </w:r>
      <w:r w:rsidR="00AA05D7">
        <w:rPr>
          <w:iCs/>
        </w:rPr>
        <w:t xml:space="preserve"> </w:t>
      </w:r>
    </w:p>
    <w:p w:rsidRPr="00175EF0" w:rsidR="00BD36AE" w:rsidP="00945448" w:rsidRDefault="006B2102" w14:paraId="55367831" w14:textId="215C9A0C">
      <w:pPr>
        <w:pStyle w:val="FERCNopara"/>
        <w:numPr>
          <w:ilvl w:val="0"/>
          <w:numId w:val="44"/>
        </w:numPr>
        <w:rPr>
          <w:iCs/>
        </w:rPr>
      </w:pPr>
      <w:r w:rsidRPr="00175EF0">
        <w:rPr>
          <w:iCs/>
        </w:rPr>
        <w:t>What</w:t>
      </w:r>
      <w:r w:rsidRPr="00175EF0" w:rsidR="00877EEE">
        <w:rPr>
          <w:iCs/>
        </w:rPr>
        <w:t>, if any,</w:t>
      </w:r>
      <w:r w:rsidRPr="00175EF0" w:rsidR="00AF089D">
        <w:rPr>
          <w:iCs/>
        </w:rPr>
        <w:t xml:space="preserve"> guidance </w:t>
      </w:r>
      <w:r w:rsidRPr="00175EF0">
        <w:rPr>
          <w:iCs/>
        </w:rPr>
        <w:t>should the Commission provide</w:t>
      </w:r>
      <w:r w:rsidRPr="00175EF0" w:rsidR="00CA2472">
        <w:rPr>
          <w:iCs/>
        </w:rPr>
        <w:t xml:space="preserve"> </w:t>
      </w:r>
      <w:r w:rsidRPr="00175EF0" w:rsidR="00AF089D">
        <w:rPr>
          <w:iCs/>
        </w:rPr>
        <w:t xml:space="preserve">on </w:t>
      </w:r>
      <w:r w:rsidRPr="00175EF0" w:rsidR="003202E0">
        <w:rPr>
          <w:iCs/>
        </w:rPr>
        <w:t>how to structure</w:t>
      </w:r>
      <w:r w:rsidRPr="00175EF0" w:rsidR="00AF089D">
        <w:rPr>
          <w:iCs/>
        </w:rPr>
        <w:t xml:space="preserve"> an application for</w:t>
      </w:r>
      <w:r w:rsidRPr="00175EF0" w:rsidR="003202E0">
        <w:rPr>
          <w:iCs/>
        </w:rPr>
        <w:t xml:space="preserve"> cybersecurity</w:t>
      </w:r>
      <w:r w:rsidRPr="00175EF0" w:rsidR="00AF089D">
        <w:rPr>
          <w:iCs/>
        </w:rPr>
        <w:t xml:space="preserve"> incentive</w:t>
      </w:r>
      <w:r w:rsidRPr="00175EF0" w:rsidR="003202E0">
        <w:rPr>
          <w:iCs/>
        </w:rPr>
        <w:t>s</w:t>
      </w:r>
      <w:r w:rsidRPr="00175EF0" w:rsidR="00365EB5">
        <w:rPr>
          <w:iCs/>
        </w:rPr>
        <w:t xml:space="preserve">?  </w:t>
      </w:r>
      <w:r w:rsidRPr="00175EF0" w:rsidR="005B0FDA">
        <w:rPr>
          <w:iCs/>
        </w:rPr>
        <w:t>Describe in detail what criteria the Commission</w:t>
      </w:r>
      <w:r w:rsidRPr="00175EF0" w:rsidR="00242473">
        <w:rPr>
          <w:iCs/>
        </w:rPr>
        <w:t xml:space="preserve"> </w:t>
      </w:r>
      <w:r w:rsidRPr="00175EF0" w:rsidR="009262C7">
        <w:rPr>
          <w:iCs/>
        </w:rPr>
        <w:t>c</w:t>
      </w:r>
      <w:r w:rsidRPr="00175EF0" w:rsidR="00242473">
        <w:rPr>
          <w:iCs/>
        </w:rPr>
        <w:t>ould</w:t>
      </w:r>
      <w:r w:rsidRPr="00175EF0" w:rsidR="005B0FDA">
        <w:rPr>
          <w:iCs/>
        </w:rPr>
        <w:t xml:space="preserve"> use when evaluating a</w:t>
      </w:r>
      <w:r w:rsidRPr="00175EF0" w:rsidR="003202E0">
        <w:rPr>
          <w:iCs/>
        </w:rPr>
        <w:t>n application</w:t>
      </w:r>
      <w:r w:rsidRPr="00175EF0" w:rsidR="005B0FDA">
        <w:rPr>
          <w:iCs/>
        </w:rPr>
        <w:t xml:space="preserve"> </w:t>
      </w:r>
      <w:r w:rsidRPr="00175EF0" w:rsidR="003202E0">
        <w:rPr>
          <w:iCs/>
        </w:rPr>
        <w:t xml:space="preserve">for cybersecurity </w:t>
      </w:r>
      <w:r w:rsidRPr="00175EF0" w:rsidR="005B0FDA">
        <w:rPr>
          <w:iCs/>
        </w:rPr>
        <w:t>incentive</w:t>
      </w:r>
      <w:r w:rsidRPr="00175EF0" w:rsidR="003202E0">
        <w:rPr>
          <w:iCs/>
        </w:rPr>
        <w:t>s</w:t>
      </w:r>
      <w:r w:rsidRPr="00175EF0" w:rsidR="005B0FDA">
        <w:rPr>
          <w:iCs/>
        </w:rPr>
        <w:t>.</w:t>
      </w:r>
      <w:r w:rsidRPr="00175EF0" w:rsidR="00BD36AE">
        <w:rPr>
          <w:iCs/>
        </w:rPr>
        <w:t xml:space="preserve"> </w:t>
      </w:r>
    </w:p>
    <w:p w:rsidR="00AF089D" w:rsidP="00945448" w:rsidRDefault="00BD36AE" w14:paraId="700EC7BC" w14:textId="754776CF">
      <w:pPr>
        <w:pStyle w:val="FERCNopara"/>
        <w:numPr>
          <w:ilvl w:val="0"/>
          <w:numId w:val="44"/>
        </w:numPr>
        <w:rPr>
          <w:iCs/>
        </w:rPr>
      </w:pPr>
      <w:r>
        <w:rPr>
          <w:iCs/>
        </w:rPr>
        <w:t xml:space="preserve">Would the documentation requirements of the two </w:t>
      </w:r>
      <w:r w:rsidR="003202E0">
        <w:rPr>
          <w:iCs/>
        </w:rPr>
        <w:t>approaches</w:t>
      </w:r>
      <w:r>
        <w:rPr>
          <w:iCs/>
        </w:rPr>
        <w:t xml:space="preserve"> </w:t>
      </w:r>
      <w:r w:rsidR="002359A2">
        <w:rPr>
          <w:iCs/>
        </w:rPr>
        <w:t xml:space="preserve">described above </w:t>
      </w:r>
      <w:r>
        <w:rPr>
          <w:iCs/>
        </w:rPr>
        <w:t xml:space="preserve">require disclosure of confidential information or CEII or would applicants be able to make the suggested showings without disclosing confidential information or CEII?  If so, </w:t>
      </w:r>
      <w:r w:rsidR="003515AC">
        <w:rPr>
          <w:iCs/>
        </w:rPr>
        <w:t xml:space="preserve">would </w:t>
      </w:r>
      <w:r>
        <w:rPr>
          <w:iCs/>
        </w:rPr>
        <w:t>the requirement to provide this information subject to disclosure to intervenors under a protective agreement discourage applications for cybersecurity incentives?</w:t>
      </w:r>
    </w:p>
    <w:p w:rsidRPr="00AF089D" w:rsidR="00601829" w:rsidP="003564B9" w:rsidRDefault="00DD6710" w14:paraId="69E0775A" w14:textId="42D19B1D">
      <w:pPr>
        <w:pStyle w:val="FERCNopara"/>
        <w:numPr>
          <w:ilvl w:val="0"/>
          <w:numId w:val="44"/>
        </w:numPr>
        <w:rPr>
          <w:iCs/>
        </w:rPr>
      </w:pPr>
      <w:r>
        <w:rPr>
          <w:iCs/>
        </w:rPr>
        <w:t xml:space="preserve">How </w:t>
      </w:r>
      <w:r w:rsidR="00877EEE">
        <w:rPr>
          <w:iCs/>
        </w:rPr>
        <w:t>can</w:t>
      </w:r>
      <w:r w:rsidR="001650B7">
        <w:rPr>
          <w:iCs/>
        </w:rPr>
        <w:t xml:space="preserve"> the Commission </w:t>
      </w:r>
      <w:r w:rsidR="00242473">
        <w:rPr>
          <w:iCs/>
        </w:rPr>
        <w:t>verify</w:t>
      </w:r>
      <w:r w:rsidR="001650B7">
        <w:rPr>
          <w:iCs/>
        </w:rPr>
        <w:t xml:space="preserve"> that actions associated with the incentive are </w:t>
      </w:r>
      <w:r w:rsidR="00242473">
        <w:rPr>
          <w:iCs/>
        </w:rPr>
        <w:t>complete</w:t>
      </w:r>
      <w:r w:rsidR="001650B7">
        <w:rPr>
          <w:iCs/>
        </w:rPr>
        <w:t xml:space="preserve"> and maintain</w:t>
      </w:r>
      <w:r w:rsidR="003E2A8F">
        <w:rPr>
          <w:iCs/>
        </w:rPr>
        <w:t>ed</w:t>
      </w:r>
      <w:r w:rsidR="001650B7">
        <w:rPr>
          <w:iCs/>
        </w:rPr>
        <w:t>?</w:t>
      </w:r>
      <w:r w:rsidR="00242473">
        <w:rPr>
          <w:iCs/>
        </w:rPr>
        <w:t xml:space="preserve"> </w:t>
      </w:r>
      <w:r w:rsidR="001650B7">
        <w:rPr>
          <w:iCs/>
        </w:rPr>
        <w:t xml:space="preserve"> </w:t>
      </w:r>
      <w:r>
        <w:rPr>
          <w:iCs/>
        </w:rPr>
        <w:t xml:space="preserve">Should the applicant be required to submit a compliance filing once the work is completed or after an internal certification process or audit is completed?  </w:t>
      </w:r>
      <w:r w:rsidR="001650B7">
        <w:rPr>
          <w:iCs/>
        </w:rPr>
        <w:t xml:space="preserve">If a third-party </w:t>
      </w:r>
      <w:r>
        <w:rPr>
          <w:iCs/>
        </w:rPr>
        <w:t>auditor</w:t>
      </w:r>
      <w:r w:rsidR="001650B7">
        <w:rPr>
          <w:iCs/>
        </w:rPr>
        <w:t xml:space="preserve"> is chosen, what criteria should the third-party have to </w:t>
      </w:r>
      <w:r w:rsidR="00242473">
        <w:rPr>
          <w:iCs/>
        </w:rPr>
        <w:t xml:space="preserve">use to </w:t>
      </w:r>
      <w:r w:rsidR="001650B7">
        <w:rPr>
          <w:iCs/>
        </w:rPr>
        <w:t>ensure proper verification?</w:t>
      </w:r>
      <w:r>
        <w:rPr>
          <w:iCs/>
        </w:rPr>
        <w:t xml:space="preserve">  </w:t>
      </w:r>
    </w:p>
    <w:p w:rsidRPr="00AF089D" w:rsidR="00DE7FE3" w:rsidP="003564B9" w:rsidRDefault="00877EEE" w14:paraId="0EBB8C9C" w14:textId="2047607A">
      <w:pPr>
        <w:pStyle w:val="FERCNopara"/>
        <w:numPr>
          <w:ilvl w:val="0"/>
          <w:numId w:val="44"/>
        </w:numPr>
        <w:rPr>
          <w:iCs/>
        </w:rPr>
      </w:pPr>
      <w:r>
        <w:rPr>
          <w:iCs/>
        </w:rPr>
        <w:t xml:space="preserve">Given the </w:t>
      </w:r>
      <w:r w:rsidRPr="0070228B">
        <w:t>rapidly changing cybersecurity environment</w:t>
      </w:r>
      <w:r w:rsidRPr="00787179" w:rsidR="00EC7549">
        <w:rPr>
          <w:iCs/>
        </w:rPr>
        <w:t xml:space="preserve">, </w:t>
      </w:r>
      <w:r w:rsidRPr="009262C7" w:rsidR="00EC7549">
        <w:rPr>
          <w:iCs/>
        </w:rPr>
        <w:t>should the Commission adopt</w:t>
      </w:r>
      <w:r w:rsidR="00EC7549">
        <w:t xml:space="preserve"> a sunset date of three to five years for certain incentivized cybersecurity investments?</w:t>
      </w:r>
      <w:r w:rsidRPr="009262C7" w:rsidR="00EC7549">
        <w:rPr>
          <w:iCs/>
        </w:rPr>
        <w:t xml:space="preserve">  </w:t>
      </w:r>
      <w:r w:rsidR="00EC7549">
        <w:t>A</w:t>
      </w:r>
      <w:r w:rsidRPr="00531EAB" w:rsidR="00EC7549">
        <w:t xml:space="preserve">t what point in the timeline between NERC announcing that it is exploring a new standard and final Commission approval, </w:t>
      </w:r>
      <w:r w:rsidR="00EC7549">
        <w:t>should the Commission no longer</w:t>
      </w:r>
      <w:r w:rsidRPr="00531EAB" w:rsidR="00EC7549">
        <w:t xml:space="preserve"> accept new applications for incentives for such investments</w:t>
      </w:r>
      <w:r w:rsidR="00EC7549">
        <w:t>?</w:t>
      </w:r>
    </w:p>
    <w:p w:rsidRPr="00AF089D" w:rsidR="002359A2" w:rsidP="00DC2A2E" w:rsidRDefault="002359A2" w14:paraId="6E8F81A5" w14:textId="77777777">
      <w:pPr>
        <w:pStyle w:val="FERCNopara"/>
        <w:ind w:left="720" w:firstLine="0"/>
        <w:rPr>
          <w:iCs/>
        </w:rPr>
      </w:pPr>
    </w:p>
    <w:p w:rsidR="007E3E3B" w:rsidRDefault="007E3E3B" w14:paraId="1E3A1133" w14:textId="0D9A120F">
      <w:pPr>
        <w:widowControl/>
        <w:spacing w:after="160" w:line="259" w:lineRule="auto"/>
      </w:pPr>
      <w:r>
        <w:br w:type="page"/>
      </w:r>
    </w:p>
    <w:p w:rsidRPr="007E3E3B" w:rsidR="007E3E3B" w:rsidP="00AD779A" w:rsidRDefault="007E3E3B" w14:paraId="3D1CF988" w14:textId="77777777">
      <w:pPr>
        <w:pStyle w:val="Heading1"/>
        <w:numPr>
          <w:ilvl w:val="0"/>
          <w:numId w:val="0"/>
        </w:numPr>
        <w:ind w:left="720" w:hanging="720"/>
      </w:pPr>
      <w:r w:rsidRPr="007E3E3B">
        <w:lastRenderedPageBreak/>
        <w:t>Appendix – CIP Reliability Standards Impact-Level Summary</w:t>
      </w:r>
    </w:p>
    <w:p w:rsidRPr="007E3E3B" w:rsidR="007E3E3B" w:rsidP="007E3E3B" w:rsidRDefault="007E3E3B" w14:paraId="1B9DBABD" w14:textId="0663050D">
      <w:pPr>
        <w:widowControl/>
        <w:spacing w:after="160" w:line="259" w:lineRule="auto"/>
        <w:rPr>
          <w:iCs/>
        </w:rPr>
      </w:pPr>
      <w:r w:rsidRPr="007E3E3B">
        <w:rPr>
          <w:iCs/>
        </w:rPr>
        <w:t xml:space="preserve">The following table includes a summary of the relevant </w:t>
      </w:r>
      <w:r w:rsidRPr="007E3E3B" w:rsidR="00E2054F">
        <w:rPr>
          <w:iCs/>
        </w:rPr>
        <w:t>currently effective</w:t>
      </w:r>
      <w:r w:rsidRPr="007E3E3B">
        <w:rPr>
          <w:iCs/>
        </w:rPr>
        <w:t xml:space="preserve"> CIP Reliability Standards </w:t>
      </w:r>
      <w:r w:rsidR="008C5E66">
        <w:rPr>
          <w:iCs/>
        </w:rPr>
        <w:t xml:space="preserve">requirements </w:t>
      </w:r>
      <w:r w:rsidRPr="007E3E3B">
        <w:rPr>
          <w:iCs/>
        </w:rPr>
        <w:t xml:space="preserve">and their associated impact levels.  The Hub-Spoke Method applied to low impact BES Cyber Systems would inherit the security benefit of either the medium or high impact controls.  </w:t>
      </w:r>
      <w:r w:rsidRPr="00B02791" w:rsidR="00B02791">
        <w:rPr>
          <w:iCs/>
        </w:rPr>
        <w:t xml:space="preserve">While a </w:t>
      </w:r>
      <w:r w:rsidR="008C5E66">
        <w:rPr>
          <w:iCs/>
        </w:rPr>
        <w:t>requirement</w:t>
      </w:r>
      <w:r w:rsidRPr="00B02791" w:rsidR="00B02791">
        <w:rPr>
          <w:iCs/>
        </w:rPr>
        <w:t xml:space="preserve"> might apply to BES Cyber Systems of both medium and high impact </w:t>
      </w:r>
      <w:r w:rsidR="008C5E66">
        <w:rPr>
          <w:iCs/>
        </w:rPr>
        <w:t>systems</w:t>
      </w:r>
      <w:r w:rsidRPr="00B02791" w:rsidR="00B02791">
        <w:rPr>
          <w:iCs/>
        </w:rPr>
        <w:t xml:space="preserve">, the specific sub-requirements under each </w:t>
      </w:r>
      <w:r w:rsidR="00E1665B">
        <w:rPr>
          <w:iCs/>
        </w:rPr>
        <w:t>standard</w:t>
      </w:r>
      <w:r w:rsidRPr="00B02791" w:rsidR="00B02791">
        <w:rPr>
          <w:iCs/>
        </w:rPr>
        <w:t xml:space="preserve"> may not apply to both medium and high impact </w:t>
      </w:r>
      <w:r w:rsidR="00456228">
        <w:rPr>
          <w:iCs/>
        </w:rPr>
        <w:t>systems</w:t>
      </w:r>
      <w:r w:rsidR="00B02791">
        <w:rPr>
          <w:iCs/>
        </w:rPr>
        <w:t>.</w:t>
      </w:r>
    </w:p>
    <w:p w:rsidRPr="007E3E3B" w:rsidR="007E3E3B" w:rsidP="007E3E3B" w:rsidRDefault="007E3E3B" w14:paraId="0D11A075" w14:textId="77777777">
      <w:pPr>
        <w:widowControl/>
        <w:spacing w:after="160" w:line="259" w:lineRule="auto"/>
        <w:rPr>
          <w:iCs/>
        </w:rPr>
      </w:pPr>
    </w:p>
    <w:tbl>
      <w:tblPr>
        <w:tblStyle w:val="TableGrid"/>
        <w:tblW w:w="5000" w:type="pct"/>
        <w:tblLayout w:type="fixed"/>
        <w:tblLook w:val="04A0" w:firstRow="1" w:lastRow="0" w:firstColumn="1" w:lastColumn="0" w:noHBand="0" w:noVBand="1"/>
      </w:tblPr>
      <w:tblGrid>
        <w:gridCol w:w="1434"/>
        <w:gridCol w:w="812"/>
        <w:gridCol w:w="3779"/>
        <w:gridCol w:w="1081"/>
        <w:gridCol w:w="1169"/>
        <w:gridCol w:w="1075"/>
      </w:tblGrid>
      <w:tr w:rsidRPr="007E3E3B" w:rsidR="007E3E3B" w:rsidTr="009B5F82" w14:paraId="12A06FBF" w14:textId="77777777">
        <w:trPr>
          <w:trHeight w:val="602"/>
          <w:tblHeader/>
        </w:trPr>
        <w:tc>
          <w:tcPr>
            <w:tcW w:w="767" w:type="pct"/>
            <w:shd w:val="clear" w:color="auto" w:fill="9CC2E5" w:themeFill="accent1" w:themeFillTint="99"/>
            <w:noWrap/>
            <w:hideMark/>
          </w:tcPr>
          <w:p w:rsidRPr="007E3E3B" w:rsidR="007E3E3B" w:rsidP="007E3E3B" w:rsidRDefault="007E3E3B" w14:paraId="78455A07" w14:textId="77777777">
            <w:pPr>
              <w:widowControl/>
              <w:spacing w:after="160" w:line="259" w:lineRule="auto"/>
              <w:rPr>
                <w:b/>
                <w:bCs/>
              </w:rPr>
            </w:pPr>
            <w:r w:rsidRPr="007E3E3B">
              <w:rPr>
                <w:b/>
                <w:bCs/>
              </w:rPr>
              <w:t>Standard</w:t>
            </w:r>
          </w:p>
        </w:tc>
        <w:tc>
          <w:tcPr>
            <w:tcW w:w="434" w:type="pct"/>
            <w:shd w:val="clear" w:color="auto" w:fill="9CC2E5" w:themeFill="accent1" w:themeFillTint="99"/>
            <w:noWrap/>
            <w:hideMark/>
          </w:tcPr>
          <w:p w:rsidRPr="007E3E3B" w:rsidR="007E3E3B" w:rsidP="007E3E3B" w:rsidRDefault="007E3E3B" w14:paraId="179BC138" w14:textId="77777777">
            <w:pPr>
              <w:widowControl/>
              <w:spacing w:after="160" w:line="259" w:lineRule="auto"/>
              <w:rPr>
                <w:b/>
                <w:bCs/>
              </w:rPr>
            </w:pPr>
            <w:r w:rsidRPr="007E3E3B">
              <w:rPr>
                <w:b/>
                <w:bCs/>
              </w:rPr>
              <w:t>Req</w:t>
            </w:r>
          </w:p>
        </w:tc>
        <w:tc>
          <w:tcPr>
            <w:tcW w:w="2021" w:type="pct"/>
            <w:shd w:val="clear" w:color="auto" w:fill="9CC2E5" w:themeFill="accent1" w:themeFillTint="99"/>
            <w:noWrap/>
            <w:hideMark/>
          </w:tcPr>
          <w:p w:rsidRPr="007E3E3B" w:rsidR="007E3E3B" w:rsidP="007E3E3B" w:rsidRDefault="007E3E3B" w14:paraId="4D5052CA" w14:textId="77777777">
            <w:pPr>
              <w:widowControl/>
              <w:spacing w:after="160" w:line="259" w:lineRule="auto"/>
              <w:rPr>
                <w:b/>
                <w:bCs/>
              </w:rPr>
            </w:pPr>
            <w:r w:rsidRPr="007E3E3B">
              <w:rPr>
                <w:b/>
                <w:bCs/>
              </w:rPr>
              <w:t>Description</w:t>
            </w:r>
          </w:p>
        </w:tc>
        <w:tc>
          <w:tcPr>
            <w:tcW w:w="578" w:type="pct"/>
            <w:shd w:val="clear" w:color="auto" w:fill="9CC2E5" w:themeFill="accent1" w:themeFillTint="99"/>
            <w:noWrap/>
            <w:hideMark/>
          </w:tcPr>
          <w:p w:rsidRPr="007E3E3B" w:rsidR="007E3E3B" w:rsidP="007E3E3B" w:rsidRDefault="007E3E3B" w14:paraId="1D84FA3C" w14:textId="77777777">
            <w:pPr>
              <w:widowControl/>
              <w:spacing w:after="160" w:line="259" w:lineRule="auto"/>
              <w:rPr>
                <w:b/>
                <w:bCs/>
              </w:rPr>
            </w:pPr>
            <w:r w:rsidRPr="007E3E3B">
              <w:rPr>
                <w:b/>
                <w:bCs/>
              </w:rPr>
              <w:t>Low</w:t>
            </w:r>
          </w:p>
        </w:tc>
        <w:tc>
          <w:tcPr>
            <w:tcW w:w="625" w:type="pct"/>
            <w:shd w:val="clear" w:color="auto" w:fill="9CC2E5" w:themeFill="accent1" w:themeFillTint="99"/>
            <w:noWrap/>
            <w:hideMark/>
          </w:tcPr>
          <w:p w:rsidRPr="007E3E3B" w:rsidR="007E3E3B" w:rsidP="007E3E3B" w:rsidRDefault="007E3E3B" w14:paraId="11808406" w14:textId="1BC10776">
            <w:pPr>
              <w:widowControl/>
              <w:spacing w:after="160" w:line="259" w:lineRule="auto"/>
              <w:rPr>
                <w:b/>
                <w:bCs/>
              </w:rPr>
            </w:pPr>
            <w:r w:rsidRPr="007E3E3B">
              <w:rPr>
                <w:b/>
                <w:bCs/>
              </w:rPr>
              <w:t>Medium</w:t>
            </w:r>
          </w:p>
        </w:tc>
        <w:tc>
          <w:tcPr>
            <w:tcW w:w="575" w:type="pct"/>
            <w:shd w:val="clear" w:color="auto" w:fill="9CC2E5" w:themeFill="accent1" w:themeFillTint="99"/>
            <w:noWrap/>
            <w:hideMark/>
          </w:tcPr>
          <w:p w:rsidRPr="007E3E3B" w:rsidR="007E3E3B" w:rsidP="007E3E3B" w:rsidRDefault="007E3E3B" w14:paraId="0A55A4D0" w14:textId="77777777">
            <w:pPr>
              <w:widowControl/>
              <w:spacing w:after="160" w:line="259" w:lineRule="auto"/>
              <w:rPr>
                <w:b/>
                <w:bCs/>
              </w:rPr>
            </w:pPr>
            <w:r w:rsidRPr="007E3E3B">
              <w:rPr>
                <w:b/>
                <w:bCs/>
              </w:rPr>
              <w:t>High</w:t>
            </w:r>
          </w:p>
        </w:tc>
      </w:tr>
      <w:tr w:rsidRPr="007E3E3B" w:rsidR="007E3E3B" w:rsidTr="009B5F82" w14:paraId="1CE7FA9D" w14:textId="77777777">
        <w:trPr>
          <w:trHeight w:val="288"/>
        </w:trPr>
        <w:tc>
          <w:tcPr>
            <w:tcW w:w="767" w:type="pct"/>
            <w:shd w:val="clear" w:color="auto" w:fill="auto"/>
            <w:noWrap/>
            <w:hideMark/>
          </w:tcPr>
          <w:p w:rsidRPr="007E3E3B" w:rsidR="007E3E3B" w:rsidP="007E3E3B" w:rsidRDefault="007E3E3B" w14:paraId="2FEB9DFF" w14:textId="77777777">
            <w:pPr>
              <w:widowControl/>
              <w:spacing w:after="160" w:line="259" w:lineRule="auto"/>
            </w:pPr>
            <w:r w:rsidRPr="007E3E3B">
              <w:t>CIP-002-5.1a</w:t>
            </w:r>
          </w:p>
        </w:tc>
        <w:tc>
          <w:tcPr>
            <w:tcW w:w="434" w:type="pct"/>
            <w:shd w:val="clear" w:color="auto" w:fill="auto"/>
            <w:noWrap/>
            <w:hideMark/>
          </w:tcPr>
          <w:p w:rsidRPr="007E3E3B" w:rsidR="007E3E3B" w:rsidP="007E3E3B" w:rsidRDefault="007E3E3B" w14:paraId="7D190E88" w14:textId="77777777">
            <w:pPr>
              <w:widowControl/>
              <w:spacing w:after="160" w:line="259" w:lineRule="auto"/>
            </w:pPr>
            <w:r w:rsidRPr="007E3E3B">
              <w:t>R1</w:t>
            </w:r>
          </w:p>
        </w:tc>
        <w:tc>
          <w:tcPr>
            <w:tcW w:w="2021" w:type="pct"/>
            <w:shd w:val="clear" w:color="auto" w:fill="auto"/>
            <w:noWrap/>
            <w:hideMark/>
          </w:tcPr>
          <w:p w:rsidRPr="007E3E3B" w:rsidR="007E3E3B" w:rsidP="007E3E3B" w:rsidRDefault="007E3E3B" w14:paraId="454F81E0" w14:textId="77777777">
            <w:pPr>
              <w:widowControl/>
              <w:spacing w:after="160" w:line="259" w:lineRule="auto"/>
            </w:pPr>
            <w:r w:rsidRPr="007E3E3B">
              <w:t>Identify BES Cyber Systems</w:t>
            </w:r>
          </w:p>
        </w:tc>
        <w:tc>
          <w:tcPr>
            <w:tcW w:w="578" w:type="pct"/>
            <w:shd w:val="clear" w:color="auto" w:fill="auto"/>
            <w:noWrap/>
            <w:hideMark/>
          </w:tcPr>
          <w:p w:rsidRPr="007E3E3B" w:rsidR="007E3E3B" w:rsidP="00683427" w:rsidRDefault="007E3E3B" w14:paraId="16363BA1" w14:textId="77777777">
            <w:pPr>
              <w:widowControl/>
              <w:spacing w:after="160" w:line="259" w:lineRule="auto"/>
              <w:jc w:val="center"/>
            </w:pPr>
            <w:r w:rsidRPr="007E3E3B">
              <w:t>X</w:t>
            </w:r>
          </w:p>
        </w:tc>
        <w:tc>
          <w:tcPr>
            <w:tcW w:w="625" w:type="pct"/>
            <w:shd w:val="clear" w:color="auto" w:fill="auto"/>
            <w:noWrap/>
            <w:hideMark/>
          </w:tcPr>
          <w:p w:rsidRPr="007E3E3B" w:rsidR="007E3E3B" w:rsidP="00683427" w:rsidRDefault="007E3E3B" w14:paraId="399A4D61"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6F975D6C" w14:textId="77777777">
            <w:pPr>
              <w:widowControl/>
              <w:spacing w:after="160" w:line="259" w:lineRule="auto"/>
              <w:jc w:val="center"/>
            </w:pPr>
            <w:r w:rsidRPr="007E3E3B">
              <w:t>X</w:t>
            </w:r>
          </w:p>
        </w:tc>
      </w:tr>
      <w:tr w:rsidRPr="007E3E3B" w:rsidR="007E3E3B" w:rsidTr="009B5F82" w14:paraId="7768B583" w14:textId="77777777">
        <w:trPr>
          <w:trHeight w:val="288"/>
        </w:trPr>
        <w:tc>
          <w:tcPr>
            <w:tcW w:w="767" w:type="pct"/>
            <w:shd w:val="clear" w:color="auto" w:fill="auto"/>
            <w:noWrap/>
            <w:hideMark/>
          </w:tcPr>
          <w:p w:rsidRPr="007E3E3B" w:rsidR="007E3E3B" w:rsidP="007E3E3B" w:rsidRDefault="007E3E3B" w14:paraId="0A860E9D" w14:textId="77777777">
            <w:pPr>
              <w:widowControl/>
              <w:spacing w:after="160" w:line="259" w:lineRule="auto"/>
            </w:pPr>
            <w:r w:rsidRPr="007E3E3B">
              <w:t>CIP-002-5.1a</w:t>
            </w:r>
          </w:p>
        </w:tc>
        <w:tc>
          <w:tcPr>
            <w:tcW w:w="434" w:type="pct"/>
            <w:shd w:val="clear" w:color="auto" w:fill="auto"/>
            <w:noWrap/>
            <w:hideMark/>
          </w:tcPr>
          <w:p w:rsidRPr="007E3E3B" w:rsidR="007E3E3B" w:rsidP="007E3E3B" w:rsidRDefault="007E3E3B" w14:paraId="53EB4BA4" w14:textId="77777777">
            <w:pPr>
              <w:widowControl/>
              <w:spacing w:after="160" w:line="259" w:lineRule="auto"/>
            </w:pPr>
            <w:r w:rsidRPr="007E3E3B">
              <w:t>R2</w:t>
            </w:r>
          </w:p>
        </w:tc>
        <w:tc>
          <w:tcPr>
            <w:tcW w:w="2021" w:type="pct"/>
            <w:shd w:val="clear" w:color="auto" w:fill="auto"/>
            <w:noWrap/>
            <w:hideMark/>
          </w:tcPr>
          <w:p w:rsidRPr="007E3E3B" w:rsidR="007E3E3B" w:rsidP="007E3E3B" w:rsidRDefault="007E3E3B" w14:paraId="04C1ABAC" w14:textId="77777777">
            <w:pPr>
              <w:widowControl/>
              <w:spacing w:after="160" w:line="259" w:lineRule="auto"/>
            </w:pPr>
            <w:r w:rsidRPr="007E3E3B">
              <w:t>15 Month Review of R1</w:t>
            </w:r>
          </w:p>
        </w:tc>
        <w:tc>
          <w:tcPr>
            <w:tcW w:w="578" w:type="pct"/>
            <w:shd w:val="clear" w:color="auto" w:fill="auto"/>
            <w:noWrap/>
            <w:hideMark/>
          </w:tcPr>
          <w:p w:rsidRPr="007E3E3B" w:rsidR="007E3E3B" w:rsidP="00683427" w:rsidRDefault="007E3E3B" w14:paraId="14E397D7" w14:textId="77777777">
            <w:pPr>
              <w:widowControl/>
              <w:spacing w:after="160" w:line="259" w:lineRule="auto"/>
              <w:jc w:val="center"/>
            </w:pPr>
            <w:r w:rsidRPr="007E3E3B">
              <w:t>X</w:t>
            </w:r>
          </w:p>
        </w:tc>
        <w:tc>
          <w:tcPr>
            <w:tcW w:w="625" w:type="pct"/>
            <w:shd w:val="clear" w:color="auto" w:fill="auto"/>
            <w:noWrap/>
            <w:hideMark/>
          </w:tcPr>
          <w:p w:rsidRPr="007E3E3B" w:rsidR="007E3E3B" w:rsidP="00683427" w:rsidRDefault="007E3E3B" w14:paraId="7A44C8FA"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3BDF0FAA" w14:textId="77777777">
            <w:pPr>
              <w:widowControl/>
              <w:spacing w:after="160" w:line="259" w:lineRule="auto"/>
              <w:jc w:val="center"/>
            </w:pPr>
            <w:r w:rsidRPr="007E3E3B">
              <w:t>X</w:t>
            </w:r>
          </w:p>
        </w:tc>
      </w:tr>
      <w:tr w:rsidRPr="007E3E3B" w:rsidR="007E3E3B" w:rsidTr="009B5F82" w14:paraId="6D6E9C31" w14:textId="77777777">
        <w:trPr>
          <w:trHeight w:val="288"/>
        </w:trPr>
        <w:tc>
          <w:tcPr>
            <w:tcW w:w="767" w:type="pct"/>
            <w:shd w:val="clear" w:color="auto" w:fill="auto"/>
            <w:noWrap/>
            <w:hideMark/>
          </w:tcPr>
          <w:p w:rsidRPr="007E3E3B" w:rsidR="007E3E3B" w:rsidP="007E3E3B" w:rsidRDefault="007E3E3B" w14:paraId="07084ABE" w14:textId="77777777">
            <w:pPr>
              <w:widowControl/>
              <w:spacing w:after="160" w:line="259" w:lineRule="auto"/>
            </w:pPr>
            <w:r w:rsidRPr="007E3E3B">
              <w:t>CIP-003-8</w:t>
            </w:r>
          </w:p>
        </w:tc>
        <w:tc>
          <w:tcPr>
            <w:tcW w:w="434" w:type="pct"/>
            <w:shd w:val="clear" w:color="auto" w:fill="auto"/>
            <w:noWrap/>
            <w:hideMark/>
          </w:tcPr>
          <w:p w:rsidRPr="007E3E3B" w:rsidR="007E3E3B" w:rsidP="007E3E3B" w:rsidRDefault="007E3E3B" w14:paraId="64282114" w14:textId="77777777">
            <w:pPr>
              <w:widowControl/>
              <w:spacing w:after="160" w:line="259" w:lineRule="auto"/>
            </w:pPr>
            <w:r w:rsidRPr="007E3E3B">
              <w:t>R1</w:t>
            </w:r>
          </w:p>
        </w:tc>
        <w:tc>
          <w:tcPr>
            <w:tcW w:w="2021" w:type="pct"/>
            <w:shd w:val="clear" w:color="auto" w:fill="auto"/>
            <w:noWrap/>
            <w:hideMark/>
          </w:tcPr>
          <w:p w:rsidRPr="007E3E3B" w:rsidR="007E3E3B" w:rsidP="007E3E3B" w:rsidRDefault="007E3E3B" w14:paraId="7289F619" w14:textId="77777777">
            <w:pPr>
              <w:widowControl/>
              <w:spacing w:after="160" w:line="259" w:lineRule="auto"/>
            </w:pPr>
            <w:r w:rsidRPr="007E3E3B">
              <w:t>CIP Policies with Sr. CIP Manager sign off</w:t>
            </w:r>
          </w:p>
        </w:tc>
        <w:tc>
          <w:tcPr>
            <w:tcW w:w="578" w:type="pct"/>
            <w:shd w:val="clear" w:color="auto" w:fill="auto"/>
            <w:noWrap/>
            <w:hideMark/>
          </w:tcPr>
          <w:p w:rsidRPr="007E3E3B" w:rsidR="007E3E3B" w:rsidP="00683427" w:rsidRDefault="007E3E3B" w14:paraId="31B30442" w14:textId="77777777">
            <w:pPr>
              <w:widowControl/>
              <w:spacing w:after="160" w:line="259" w:lineRule="auto"/>
              <w:jc w:val="center"/>
            </w:pPr>
            <w:r w:rsidRPr="007E3E3B">
              <w:t>X</w:t>
            </w:r>
          </w:p>
        </w:tc>
        <w:tc>
          <w:tcPr>
            <w:tcW w:w="625" w:type="pct"/>
            <w:shd w:val="clear" w:color="auto" w:fill="auto"/>
            <w:noWrap/>
            <w:hideMark/>
          </w:tcPr>
          <w:p w:rsidRPr="007E3E3B" w:rsidR="007E3E3B" w:rsidP="00683427" w:rsidRDefault="007E3E3B" w14:paraId="3BB73676"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7EB12893" w14:textId="77777777">
            <w:pPr>
              <w:widowControl/>
              <w:spacing w:after="160" w:line="259" w:lineRule="auto"/>
              <w:jc w:val="center"/>
            </w:pPr>
            <w:r w:rsidRPr="007E3E3B">
              <w:t>X</w:t>
            </w:r>
          </w:p>
        </w:tc>
      </w:tr>
      <w:tr w:rsidRPr="007E3E3B" w:rsidR="007E3E3B" w:rsidTr="009B5F82" w14:paraId="1F2FE8AC" w14:textId="77777777">
        <w:trPr>
          <w:trHeight w:val="288"/>
        </w:trPr>
        <w:tc>
          <w:tcPr>
            <w:tcW w:w="767" w:type="pct"/>
            <w:shd w:val="clear" w:color="auto" w:fill="auto"/>
            <w:noWrap/>
            <w:hideMark/>
          </w:tcPr>
          <w:p w:rsidRPr="007E3E3B" w:rsidR="007E3E3B" w:rsidP="007E3E3B" w:rsidRDefault="007E3E3B" w14:paraId="476AE954" w14:textId="77777777">
            <w:pPr>
              <w:widowControl/>
              <w:spacing w:after="160" w:line="259" w:lineRule="auto"/>
            </w:pPr>
            <w:r w:rsidRPr="007E3E3B">
              <w:t>CIP-003-8</w:t>
            </w:r>
          </w:p>
        </w:tc>
        <w:tc>
          <w:tcPr>
            <w:tcW w:w="434" w:type="pct"/>
            <w:shd w:val="clear" w:color="auto" w:fill="auto"/>
            <w:noWrap/>
            <w:hideMark/>
          </w:tcPr>
          <w:p w:rsidRPr="007E3E3B" w:rsidR="007E3E3B" w:rsidP="007E3E3B" w:rsidRDefault="007E3E3B" w14:paraId="6B861A26" w14:textId="77777777">
            <w:pPr>
              <w:widowControl/>
              <w:spacing w:after="160" w:line="259" w:lineRule="auto"/>
            </w:pPr>
            <w:r w:rsidRPr="007E3E3B">
              <w:t>R2</w:t>
            </w:r>
          </w:p>
        </w:tc>
        <w:tc>
          <w:tcPr>
            <w:tcW w:w="2021" w:type="pct"/>
            <w:shd w:val="clear" w:color="auto" w:fill="auto"/>
            <w:noWrap/>
            <w:hideMark/>
          </w:tcPr>
          <w:p w:rsidRPr="007E3E3B" w:rsidR="007E3E3B" w:rsidP="007E3E3B" w:rsidRDefault="007E3E3B" w14:paraId="12A60D75" w14:textId="77777777">
            <w:pPr>
              <w:widowControl/>
              <w:spacing w:after="160" w:line="259" w:lineRule="auto"/>
            </w:pPr>
            <w:r w:rsidRPr="007E3E3B">
              <w:t>Low Impact BES Cyber Systems</w:t>
            </w:r>
          </w:p>
        </w:tc>
        <w:tc>
          <w:tcPr>
            <w:tcW w:w="578" w:type="pct"/>
            <w:shd w:val="clear" w:color="auto" w:fill="auto"/>
            <w:noWrap/>
            <w:hideMark/>
          </w:tcPr>
          <w:p w:rsidRPr="007E3E3B" w:rsidR="007E3E3B" w:rsidP="00683427" w:rsidRDefault="007E3E3B" w14:paraId="075EF97B" w14:textId="77777777">
            <w:pPr>
              <w:widowControl/>
              <w:spacing w:after="160" w:line="259" w:lineRule="auto"/>
              <w:jc w:val="center"/>
            </w:pPr>
            <w:r w:rsidRPr="007E3E3B">
              <w:t>X</w:t>
            </w:r>
          </w:p>
        </w:tc>
        <w:tc>
          <w:tcPr>
            <w:tcW w:w="625" w:type="pct"/>
            <w:shd w:val="clear" w:color="auto" w:fill="auto"/>
            <w:noWrap/>
            <w:hideMark/>
          </w:tcPr>
          <w:p w:rsidRPr="007E3E3B" w:rsidR="007E3E3B" w:rsidP="00683427" w:rsidRDefault="007E3E3B" w14:paraId="61958B18" w14:textId="45ADCA70">
            <w:pPr>
              <w:widowControl/>
              <w:spacing w:after="160" w:line="259" w:lineRule="auto"/>
              <w:jc w:val="center"/>
            </w:pPr>
          </w:p>
        </w:tc>
        <w:tc>
          <w:tcPr>
            <w:tcW w:w="575" w:type="pct"/>
            <w:shd w:val="clear" w:color="auto" w:fill="auto"/>
            <w:hideMark/>
          </w:tcPr>
          <w:p w:rsidRPr="007E3E3B" w:rsidR="007E3E3B" w:rsidP="00683427" w:rsidRDefault="007E3E3B" w14:paraId="41060663" w14:textId="373C025B">
            <w:pPr>
              <w:widowControl/>
              <w:spacing w:after="160" w:line="259" w:lineRule="auto"/>
              <w:jc w:val="center"/>
            </w:pPr>
          </w:p>
        </w:tc>
      </w:tr>
      <w:tr w:rsidRPr="007E3E3B" w:rsidR="007E3E3B" w:rsidTr="009B5F82" w14:paraId="1730E34F" w14:textId="77777777">
        <w:trPr>
          <w:trHeight w:val="288"/>
        </w:trPr>
        <w:tc>
          <w:tcPr>
            <w:tcW w:w="767" w:type="pct"/>
            <w:shd w:val="clear" w:color="auto" w:fill="auto"/>
            <w:noWrap/>
            <w:hideMark/>
          </w:tcPr>
          <w:p w:rsidRPr="007E3E3B" w:rsidR="007E3E3B" w:rsidP="007E3E3B" w:rsidRDefault="007E3E3B" w14:paraId="0BFDC6C2" w14:textId="77777777">
            <w:pPr>
              <w:widowControl/>
              <w:spacing w:after="160" w:line="259" w:lineRule="auto"/>
            </w:pPr>
            <w:r w:rsidRPr="007E3E3B">
              <w:t>CIP-003-8</w:t>
            </w:r>
          </w:p>
        </w:tc>
        <w:tc>
          <w:tcPr>
            <w:tcW w:w="434" w:type="pct"/>
            <w:shd w:val="clear" w:color="auto" w:fill="auto"/>
            <w:noWrap/>
            <w:hideMark/>
          </w:tcPr>
          <w:p w:rsidRPr="007E3E3B" w:rsidR="007E3E3B" w:rsidP="007E3E3B" w:rsidRDefault="007E3E3B" w14:paraId="21BEC3C4" w14:textId="77777777">
            <w:pPr>
              <w:widowControl/>
              <w:spacing w:after="160" w:line="259" w:lineRule="auto"/>
            </w:pPr>
            <w:r w:rsidRPr="007E3E3B">
              <w:t>R3</w:t>
            </w:r>
          </w:p>
        </w:tc>
        <w:tc>
          <w:tcPr>
            <w:tcW w:w="2021" w:type="pct"/>
            <w:shd w:val="clear" w:color="auto" w:fill="auto"/>
            <w:noWrap/>
            <w:hideMark/>
          </w:tcPr>
          <w:p w:rsidRPr="007E3E3B" w:rsidR="007E3E3B" w:rsidP="007E3E3B" w:rsidRDefault="007E3E3B" w14:paraId="2E68EE07" w14:textId="77777777">
            <w:pPr>
              <w:widowControl/>
              <w:spacing w:after="160" w:line="259" w:lineRule="auto"/>
            </w:pPr>
            <w:r w:rsidRPr="007E3E3B">
              <w:t>Identify a Sr. CIP Manager</w:t>
            </w:r>
          </w:p>
        </w:tc>
        <w:tc>
          <w:tcPr>
            <w:tcW w:w="578" w:type="pct"/>
            <w:shd w:val="clear" w:color="auto" w:fill="auto"/>
            <w:noWrap/>
            <w:hideMark/>
          </w:tcPr>
          <w:p w:rsidRPr="007E3E3B" w:rsidR="007E3E3B" w:rsidP="00683427" w:rsidRDefault="007E3E3B" w14:paraId="0A804263" w14:textId="77777777">
            <w:pPr>
              <w:widowControl/>
              <w:spacing w:after="160" w:line="259" w:lineRule="auto"/>
              <w:jc w:val="center"/>
            </w:pPr>
            <w:r w:rsidRPr="007E3E3B">
              <w:t>X</w:t>
            </w:r>
          </w:p>
        </w:tc>
        <w:tc>
          <w:tcPr>
            <w:tcW w:w="625" w:type="pct"/>
            <w:shd w:val="clear" w:color="auto" w:fill="auto"/>
            <w:noWrap/>
            <w:hideMark/>
          </w:tcPr>
          <w:p w:rsidRPr="007E3E3B" w:rsidR="007E3E3B" w:rsidP="00683427" w:rsidRDefault="007E3E3B" w14:paraId="757F7A26"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367DE7C3" w14:textId="77777777">
            <w:pPr>
              <w:widowControl/>
              <w:spacing w:after="160" w:line="259" w:lineRule="auto"/>
              <w:jc w:val="center"/>
            </w:pPr>
            <w:r w:rsidRPr="007E3E3B">
              <w:t>X</w:t>
            </w:r>
          </w:p>
        </w:tc>
      </w:tr>
      <w:tr w:rsidRPr="007E3E3B" w:rsidR="007E3E3B" w:rsidTr="009B5F82" w14:paraId="5EAFE9BF" w14:textId="77777777">
        <w:trPr>
          <w:trHeight w:val="288"/>
        </w:trPr>
        <w:tc>
          <w:tcPr>
            <w:tcW w:w="767" w:type="pct"/>
            <w:shd w:val="clear" w:color="auto" w:fill="auto"/>
            <w:noWrap/>
            <w:hideMark/>
          </w:tcPr>
          <w:p w:rsidRPr="007E3E3B" w:rsidR="007E3E3B" w:rsidP="007E3E3B" w:rsidRDefault="007E3E3B" w14:paraId="498CFB68" w14:textId="77777777">
            <w:pPr>
              <w:widowControl/>
              <w:spacing w:after="160" w:line="259" w:lineRule="auto"/>
            </w:pPr>
            <w:r w:rsidRPr="007E3E3B">
              <w:t>CIP-003-8</w:t>
            </w:r>
          </w:p>
        </w:tc>
        <w:tc>
          <w:tcPr>
            <w:tcW w:w="434" w:type="pct"/>
            <w:shd w:val="clear" w:color="auto" w:fill="auto"/>
            <w:noWrap/>
            <w:hideMark/>
          </w:tcPr>
          <w:p w:rsidRPr="007E3E3B" w:rsidR="007E3E3B" w:rsidP="007E3E3B" w:rsidRDefault="007E3E3B" w14:paraId="409596FA" w14:textId="77777777">
            <w:pPr>
              <w:widowControl/>
              <w:spacing w:after="160" w:line="259" w:lineRule="auto"/>
            </w:pPr>
            <w:r w:rsidRPr="007E3E3B">
              <w:t>R4</w:t>
            </w:r>
          </w:p>
        </w:tc>
        <w:tc>
          <w:tcPr>
            <w:tcW w:w="2021" w:type="pct"/>
            <w:shd w:val="clear" w:color="auto" w:fill="auto"/>
            <w:noWrap/>
            <w:hideMark/>
          </w:tcPr>
          <w:p w:rsidRPr="007E3E3B" w:rsidR="007E3E3B" w:rsidP="007E3E3B" w:rsidRDefault="007E3E3B" w14:paraId="45CDD8A0" w14:textId="77777777">
            <w:pPr>
              <w:widowControl/>
              <w:spacing w:after="160" w:line="259" w:lineRule="auto"/>
            </w:pPr>
            <w:r w:rsidRPr="007E3E3B">
              <w:t>Delegations of authority by Sr. CIP Manager</w:t>
            </w:r>
          </w:p>
        </w:tc>
        <w:tc>
          <w:tcPr>
            <w:tcW w:w="578" w:type="pct"/>
            <w:shd w:val="clear" w:color="auto" w:fill="auto"/>
            <w:noWrap/>
            <w:hideMark/>
          </w:tcPr>
          <w:p w:rsidRPr="007E3E3B" w:rsidR="007E3E3B" w:rsidP="00683427" w:rsidRDefault="007E3E3B" w14:paraId="04FC49DF" w14:textId="77777777">
            <w:pPr>
              <w:widowControl/>
              <w:spacing w:after="160" w:line="259" w:lineRule="auto"/>
              <w:jc w:val="center"/>
            </w:pPr>
            <w:r w:rsidRPr="007E3E3B">
              <w:t>X</w:t>
            </w:r>
          </w:p>
        </w:tc>
        <w:tc>
          <w:tcPr>
            <w:tcW w:w="625" w:type="pct"/>
            <w:shd w:val="clear" w:color="auto" w:fill="auto"/>
            <w:noWrap/>
            <w:hideMark/>
          </w:tcPr>
          <w:p w:rsidRPr="007E3E3B" w:rsidR="007E3E3B" w:rsidP="00683427" w:rsidRDefault="007E3E3B" w14:paraId="5DAA9806"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7496F7DE" w14:textId="77777777">
            <w:pPr>
              <w:widowControl/>
              <w:spacing w:after="160" w:line="259" w:lineRule="auto"/>
              <w:jc w:val="center"/>
            </w:pPr>
            <w:r w:rsidRPr="007E3E3B">
              <w:t>X</w:t>
            </w:r>
          </w:p>
        </w:tc>
      </w:tr>
      <w:tr w:rsidRPr="007E3E3B" w:rsidR="007E3E3B" w:rsidTr="009B5F82" w14:paraId="46470BD8" w14:textId="77777777">
        <w:trPr>
          <w:trHeight w:val="288"/>
        </w:trPr>
        <w:tc>
          <w:tcPr>
            <w:tcW w:w="767" w:type="pct"/>
            <w:noWrap/>
            <w:hideMark/>
          </w:tcPr>
          <w:p w:rsidRPr="007E3E3B" w:rsidR="007E3E3B" w:rsidP="007E3E3B" w:rsidRDefault="007E3E3B" w14:paraId="1DA72605" w14:textId="77777777">
            <w:pPr>
              <w:widowControl/>
              <w:spacing w:after="160" w:line="259" w:lineRule="auto"/>
            </w:pPr>
            <w:r w:rsidRPr="007E3E3B">
              <w:t>CIP-004-6</w:t>
            </w:r>
          </w:p>
        </w:tc>
        <w:tc>
          <w:tcPr>
            <w:tcW w:w="434" w:type="pct"/>
            <w:noWrap/>
            <w:hideMark/>
          </w:tcPr>
          <w:p w:rsidRPr="007E3E3B" w:rsidR="007E3E3B" w:rsidP="007E3E3B" w:rsidRDefault="007E3E3B" w14:paraId="306A5B4B" w14:textId="77777777">
            <w:pPr>
              <w:widowControl/>
              <w:spacing w:after="160" w:line="259" w:lineRule="auto"/>
            </w:pPr>
            <w:r w:rsidRPr="007E3E3B">
              <w:t>R1</w:t>
            </w:r>
          </w:p>
        </w:tc>
        <w:tc>
          <w:tcPr>
            <w:tcW w:w="2021" w:type="pct"/>
            <w:noWrap/>
            <w:hideMark/>
          </w:tcPr>
          <w:p w:rsidRPr="007E3E3B" w:rsidR="007E3E3B" w:rsidP="007E3E3B" w:rsidRDefault="007E3E3B" w14:paraId="7B3D1F0A" w14:textId="77777777">
            <w:pPr>
              <w:widowControl/>
              <w:spacing w:after="160" w:line="259" w:lineRule="auto"/>
            </w:pPr>
            <w:r w:rsidRPr="007E3E3B">
              <w:t>Security Awareness Program</w:t>
            </w:r>
          </w:p>
        </w:tc>
        <w:tc>
          <w:tcPr>
            <w:tcW w:w="578" w:type="pct"/>
            <w:noWrap/>
            <w:hideMark/>
          </w:tcPr>
          <w:p w:rsidRPr="007E3E3B" w:rsidR="007E3E3B" w:rsidP="00683427" w:rsidRDefault="007E3E3B" w14:paraId="72DCB7D1" w14:textId="77777777">
            <w:pPr>
              <w:widowControl/>
              <w:spacing w:after="160" w:line="259" w:lineRule="auto"/>
              <w:jc w:val="center"/>
            </w:pPr>
          </w:p>
        </w:tc>
        <w:tc>
          <w:tcPr>
            <w:tcW w:w="625" w:type="pct"/>
            <w:noWrap/>
            <w:hideMark/>
          </w:tcPr>
          <w:p w:rsidRPr="007E3E3B" w:rsidR="007E3E3B" w:rsidP="00683427" w:rsidRDefault="007E3E3B" w14:paraId="1884D06D" w14:textId="77777777">
            <w:pPr>
              <w:widowControl/>
              <w:spacing w:after="160" w:line="259" w:lineRule="auto"/>
              <w:jc w:val="center"/>
            </w:pPr>
            <w:r w:rsidRPr="007E3E3B">
              <w:t>X</w:t>
            </w:r>
          </w:p>
        </w:tc>
        <w:tc>
          <w:tcPr>
            <w:tcW w:w="575" w:type="pct"/>
            <w:hideMark/>
          </w:tcPr>
          <w:p w:rsidRPr="007E3E3B" w:rsidR="007E3E3B" w:rsidP="00683427" w:rsidRDefault="007E3E3B" w14:paraId="3A3CB70C" w14:textId="77777777">
            <w:pPr>
              <w:widowControl/>
              <w:spacing w:after="160" w:line="259" w:lineRule="auto"/>
              <w:jc w:val="center"/>
            </w:pPr>
            <w:r w:rsidRPr="007E3E3B">
              <w:t>X</w:t>
            </w:r>
          </w:p>
        </w:tc>
      </w:tr>
      <w:tr w:rsidRPr="007E3E3B" w:rsidR="007E3E3B" w:rsidTr="009B5F82" w14:paraId="45112081" w14:textId="77777777">
        <w:trPr>
          <w:trHeight w:val="288"/>
        </w:trPr>
        <w:tc>
          <w:tcPr>
            <w:tcW w:w="767" w:type="pct"/>
            <w:noWrap/>
            <w:hideMark/>
          </w:tcPr>
          <w:p w:rsidRPr="007E3E3B" w:rsidR="007E3E3B" w:rsidP="007E3E3B" w:rsidRDefault="007E3E3B" w14:paraId="2E9E380F" w14:textId="77777777">
            <w:pPr>
              <w:widowControl/>
              <w:spacing w:after="160" w:line="259" w:lineRule="auto"/>
            </w:pPr>
            <w:r w:rsidRPr="007E3E3B">
              <w:t>CIP-004-6</w:t>
            </w:r>
          </w:p>
        </w:tc>
        <w:tc>
          <w:tcPr>
            <w:tcW w:w="434" w:type="pct"/>
            <w:noWrap/>
            <w:hideMark/>
          </w:tcPr>
          <w:p w:rsidRPr="007E3E3B" w:rsidR="007E3E3B" w:rsidP="007E3E3B" w:rsidRDefault="007E3E3B" w14:paraId="06D96215" w14:textId="77777777">
            <w:pPr>
              <w:widowControl/>
              <w:spacing w:after="160" w:line="259" w:lineRule="auto"/>
            </w:pPr>
            <w:r w:rsidRPr="007E3E3B">
              <w:t>R2</w:t>
            </w:r>
          </w:p>
        </w:tc>
        <w:tc>
          <w:tcPr>
            <w:tcW w:w="2021" w:type="pct"/>
            <w:noWrap/>
            <w:hideMark/>
          </w:tcPr>
          <w:p w:rsidRPr="007E3E3B" w:rsidR="007E3E3B" w:rsidP="007E3E3B" w:rsidRDefault="007E3E3B" w14:paraId="5C946FCE" w14:textId="77777777">
            <w:pPr>
              <w:widowControl/>
              <w:spacing w:after="160" w:line="259" w:lineRule="auto"/>
            </w:pPr>
            <w:r w:rsidRPr="007E3E3B">
              <w:t>Cyber Security Training Program</w:t>
            </w:r>
          </w:p>
        </w:tc>
        <w:tc>
          <w:tcPr>
            <w:tcW w:w="578" w:type="pct"/>
            <w:noWrap/>
            <w:hideMark/>
          </w:tcPr>
          <w:p w:rsidRPr="007E3E3B" w:rsidR="007E3E3B" w:rsidP="00683427" w:rsidRDefault="007E3E3B" w14:paraId="45922A2C" w14:textId="77777777">
            <w:pPr>
              <w:widowControl/>
              <w:spacing w:after="160" w:line="259" w:lineRule="auto"/>
              <w:jc w:val="center"/>
            </w:pPr>
          </w:p>
        </w:tc>
        <w:tc>
          <w:tcPr>
            <w:tcW w:w="625" w:type="pct"/>
            <w:noWrap/>
            <w:hideMark/>
          </w:tcPr>
          <w:p w:rsidRPr="007E3E3B" w:rsidR="007E3E3B" w:rsidP="00683427" w:rsidRDefault="007E3E3B" w14:paraId="1368A8E3" w14:textId="77777777">
            <w:pPr>
              <w:widowControl/>
              <w:spacing w:after="160" w:line="259" w:lineRule="auto"/>
              <w:jc w:val="center"/>
            </w:pPr>
            <w:r w:rsidRPr="007E3E3B">
              <w:t>X</w:t>
            </w:r>
          </w:p>
        </w:tc>
        <w:tc>
          <w:tcPr>
            <w:tcW w:w="575" w:type="pct"/>
            <w:hideMark/>
          </w:tcPr>
          <w:p w:rsidRPr="007E3E3B" w:rsidR="007E3E3B" w:rsidP="00683427" w:rsidRDefault="007E3E3B" w14:paraId="3123CA35" w14:textId="77777777">
            <w:pPr>
              <w:widowControl/>
              <w:spacing w:after="160" w:line="259" w:lineRule="auto"/>
              <w:jc w:val="center"/>
            </w:pPr>
            <w:r w:rsidRPr="007E3E3B">
              <w:t>X</w:t>
            </w:r>
          </w:p>
        </w:tc>
      </w:tr>
      <w:tr w:rsidRPr="007E3E3B" w:rsidR="007E3E3B" w:rsidTr="009B5F82" w14:paraId="72F9E44B" w14:textId="77777777">
        <w:trPr>
          <w:trHeight w:val="288"/>
        </w:trPr>
        <w:tc>
          <w:tcPr>
            <w:tcW w:w="767" w:type="pct"/>
            <w:noWrap/>
            <w:hideMark/>
          </w:tcPr>
          <w:p w:rsidRPr="007E3E3B" w:rsidR="007E3E3B" w:rsidP="007E3E3B" w:rsidRDefault="007E3E3B" w14:paraId="3D18D91E" w14:textId="77777777">
            <w:pPr>
              <w:widowControl/>
              <w:spacing w:after="160" w:line="259" w:lineRule="auto"/>
            </w:pPr>
            <w:r w:rsidRPr="007E3E3B">
              <w:t>CIP-004-6</w:t>
            </w:r>
          </w:p>
        </w:tc>
        <w:tc>
          <w:tcPr>
            <w:tcW w:w="434" w:type="pct"/>
            <w:noWrap/>
            <w:hideMark/>
          </w:tcPr>
          <w:p w:rsidRPr="007E3E3B" w:rsidR="007E3E3B" w:rsidP="007E3E3B" w:rsidRDefault="007E3E3B" w14:paraId="7D4E2F15" w14:textId="77777777">
            <w:pPr>
              <w:widowControl/>
              <w:spacing w:after="160" w:line="259" w:lineRule="auto"/>
            </w:pPr>
            <w:r w:rsidRPr="007E3E3B">
              <w:t>R3</w:t>
            </w:r>
          </w:p>
        </w:tc>
        <w:tc>
          <w:tcPr>
            <w:tcW w:w="2021" w:type="pct"/>
            <w:noWrap/>
            <w:hideMark/>
          </w:tcPr>
          <w:p w:rsidRPr="007E3E3B" w:rsidR="007E3E3B" w:rsidP="007E3E3B" w:rsidRDefault="007E3E3B" w14:paraId="3B713B01" w14:textId="77777777">
            <w:pPr>
              <w:widowControl/>
              <w:spacing w:after="160" w:line="259" w:lineRule="auto"/>
            </w:pPr>
            <w:r w:rsidRPr="007E3E3B">
              <w:t>Personnel Risk Assessment Program</w:t>
            </w:r>
          </w:p>
        </w:tc>
        <w:tc>
          <w:tcPr>
            <w:tcW w:w="578" w:type="pct"/>
            <w:noWrap/>
            <w:hideMark/>
          </w:tcPr>
          <w:p w:rsidRPr="007E3E3B" w:rsidR="007E3E3B" w:rsidP="00683427" w:rsidRDefault="007E3E3B" w14:paraId="01F1714E" w14:textId="77777777">
            <w:pPr>
              <w:widowControl/>
              <w:spacing w:after="160" w:line="259" w:lineRule="auto"/>
              <w:jc w:val="center"/>
            </w:pPr>
          </w:p>
        </w:tc>
        <w:tc>
          <w:tcPr>
            <w:tcW w:w="625" w:type="pct"/>
            <w:noWrap/>
            <w:hideMark/>
          </w:tcPr>
          <w:p w:rsidRPr="007E3E3B" w:rsidR="007E3E3B" w:rsidP="00683427" w:rsidRDefault="007E3E3B" w14:paraId="26946BF1" w14:textId="77777777">
            <w:pPr>
              <w:widowControl/>
              <w:spacing w:after="160" w:line="259" w:lineRule="auto"/>
              <w:jc w:val="center"/>
            </w:pPr>
            <w:r w:rsidRPr="007E3E3B">
              <w:t>X</w:t>
            </w:r>
          </w:p>
        </w:tc>
        <w:tc>
          <w:tcPr>
            <w:tcW w:w="575" w:type="pct"/>
            <w:hideMark/>
          </w:tcPr>
          <w:p w:rsidRPr="007E3E3B" w:rsidR="007E3E3B" w:rsidP="00683427" w:rsidRDefault="007E3E3B" w14:paraId="26FDD5A5" w14:textId="77777777">
            <w:pPr>
              <w:widowControl/>
              <w:spacing w:after="160" w:line="259" w:lineRule="auto"/>
              <w:jc w:val="center"/>
            </w:pPr>
            <w:r w:rsidRPr="007E3E3B">
              <w:t>X</w:t>
            </w:r>
          </w:p>
        </w:tc>
      </w:tr>
      <w:tr w:rsidRPr="007E3E3B" w:rsidR="007E3E3B" w:rsidTr="009B5F82" w14:paraId="6CF29BC8" w14:textId="77777777">
        <w:trPr>
          <w:trHeight w:val="288"/>
        </w:trPr>
        <w:tc>
          <w:tcPr>
            <w:tcW w:w="767" w:type="pct"/>
            <w:noWrap/>
            <w:hideMark/>
          </w:tcPr>
          <w:p w:rsidRPr="007E3E3B" w:rsidR="007E3E3B" w:rsidP="007E3E3B" w:rsidRDefault="007E3E3B" w14:paraId="77B80AC7" w14:textId="77777777">
            <w:pPr>
              <w:widowControl/>
              <w:spacing w:after="160" w:line="259" w:lineRule="auto"/>
            </w:pPr>
            <w:r w:rsidRPr="007E3E3B">
              <w:t>CIP-004-6</w:t>
            </w:r>
          </w:p>
        </w:tc>
        <w:tc>
          <w:tcPr>
            <w:tcW w:w="434" w:type="pct"/>
            <w:noWrap/>
            <w:hideMark/>
          </w:tcPr>
          <w:p w:rsidRPr="007E3E3B" w:rsidR="007E3E3B" w:rsidP="007E3E3B" w:rsidRDefault="007E3E3B" w14:paraId="6A82661B" w14:textId="77777777">
            <w:pPr>
              <w:widowControl/>
              <w:spacing w:after="160" w:line="259" w:lineRule="auto"/>
            </w:pPr>
            <w:r w:rsidRPr="007E3E3B">
              <w:t>R4</w:t>
            </w:r>
          </w:p>
        </w:tc>
        <w:tc>
          <w:tcPr>
            <w:tcW w:w="2021" w:type="pct"/>
            <w:noWrap/>
            <w:hideMark/>
          </w:tcPr>
          <w:p w:rsidRPr="007E3E3B" w:rsidR="007E3E3B" w:rsidP="007E3E3B" w:rsidRDefault="007E3E3B" w14:paraId="279416B7" w14:textId="77777777">
            <w:pPr>
              <w:widowControl/>
              <w:spacing w:after="160" w:line="259" w:lineRule="auto"/>
            </w:pPr>
            <w:r w:rsidRPr="007E3E3B">
              <w:t>Access Management Program (of BES Cyber Systems)</w:t>
            </w:r>
          </w:p>
        </w:tc>
        <w:tc>
          <w:tcPr>
            <w:tcW w:w="578" w:type="pct"/>
            <w:noWrap/>
            <w:hideMark/>
          </w:tcPr>
          <w:p w:rsidRPr="007E3E3B" w:rsidR="007E3E3B" w:rsidP="00683427" w:rsidRDefault="007E3E3B" w14:paraId="77383C73" w14:textId="77777777">
            <w:pPr>
              <w:widowControl/>
              <w:spacing w:after="160" w:line="259" w:lineRule="auto"/>
              <w:jc w:val="center"/>
            </w:pPr>
          </w:p>
        </w:tc>
        <w:tc>
          <w:tcPr>
            <w:tcW w:w="625" w:type="pct"/>
            <w:noWrap/>
            <w:hideMark/>
          </w:tcPr>
          <w:p w:rsidRPr="007E3E3B" w:rsidR="007E3E3B" w:rsidP="00683427" w:rsidRDefault="007E3E3B" w14:paraId="4373FD0A" w14:textId="77777777">
            <w:pPr>
              <w:widowControl/>
              <w:spacing w:after="160" w:line="259" w:lineRule="auto"/>
              <w:jc w:val="center"/>
            </w:pPr>
            <w:r w:rsidRPr="007E3E3B">
              <w:t>X</w:t>
            </w:r>
          </w:p>
        </w:tc>
        <w:tc>
          <w:tcPr>
            <w:tcW w:w="575" w:type="pct"/>
            <w:hideMark/>
          </w:tcPr>
          <w:p w:rsidRPr="007E3E3B" w:rsidR="007E3E3B" w:rsidP="00683427" w:rsidRDefault="007E3E3B" w14:paraId="53BF4CD0" w14:textId="77777777">
            <w:pPr>
              <w:widowControl/>
              <w:spacing w:after="160" w:line="259" w:lineRule="auto"/>
              <w:jc w:val="center"/>
            </w:pPr>
            <w:r w:rsidRPr="007E3E3B">
              <w:t>X</w:t>
            </w:r>
          </w:p>
        </w:tc>
      </w:tr>
      <w:tr w:rsidRPr="007E3E3B" w:rsidR="007E3E3B" w:rsidTr="009B5F82" w14:paraId="26F4CD88" w14:textId="77777777">
        <w:trPr>
          <w:trHeight w:val="288"/>
        </w:trPr>
        <w:tc>
          <w:tcPr>
            <w:tcW w:w="767" w:type="pct"/>
            <w:noWrap/>
            <w:hideMark/>
          </w:tcPr>
          <w:p w:rsidRPr="007E3E3B" w:rsidR="007E3E3B" w:rsidP="007E3E3B" w:rsidRDefault="007E3E3B" w14:paraId="324F27CA" w14:textId="77777777">
            <w:pPr>
              <w:widowControl/>
              <w:spacing w:after="160" w:line="259" w:lineRule="auto"/>
            </w:pPr>
            <w:r w:rsidRPr="007E3E3B">
              <w:t>CIP-004-6</w:t>
            </w:r>
          </w:p>
        </w:tc>
        <w:tc>
          <w:tcPr>
            <w:tcW w:w="434" w:type="pct"/>
            <w:noWrap/>
            <w:hideMark/>
          </w:tcPr>
          <w:p w:rsidRPr="007E3E3B" w:rsidR="007E3E3B" w:rsidP="007E3E3B" w:rsidRDefault="007E3E3B" w14:paraId="21B64C06" w14:textId="77777777">
            <w:pPr>
              <w:widowControl/>
              <w:spacing w:after="160" w:line="259" w:lineRule="auto"/>
            </w:pPr>
            <w:r w:rsidRPr="007E3E3B">
              <w:t>R5</w:t>
            </w:r>
          </w:p>
        </w:tc>
        <w:tc>
          <w:tcPr>
            <w:tcW w:w="2021" w:type="pct"/>
            <w:noWrap/>
            <w:hideMark/>
          </w:tcPr>
          <w:p w:rsidRPr="007E3E3B" w:rsidR="007E3E3B" w:rsidP="007E3E3B" w:rsidRDefault="007E3E3B" w14:paraId="698F3B46" w14:textId="77777777">
            <w:pPr>
              <w:widowControl/>
              <w:spacing w:after="160" w:line="259" w:lineRule="auto"/>
            </w:pPr>
            <w:r w:rsidRPr="007E3E3B">
              <w:t>Access Revocation Program (of BES Cyber Systems)</w:t>
            </w:r>
          </w:p>
        </w:tc>
        <w:tc>
          <w:tcPr>
            <w:tcW w:w="578" w:type="pct"/>
            <w:noWrap/>
            <w:hideMark/>
          </w:tcPr>
          <w:p w:rsidRPr="007E3E3B" w:rsidR="007E3E3B" w:rsidP="00683427" w:rsidRDefault="007E3E3B" w14:paraId="36E1D601" w14:textId="77777777">
            <w:pPr>
              <w:widowControl/>
              <w:spacing w:after="160" w:line="259" w:lineRule="auto"/>
              <w:jc w:val="center"/>
            </w:pPr>
          </w:p>
        </w:tc>
        <w:tc>
          <w:tcPr>
            <w:tcW w:w="625" w:type="pct"/>
            <w:hideMark/>
          </w:tcPr>
          <w:p w:rsidRPr="007E3E3B" w:rsidR="007E3E3B" w:rsidP="00683427" w:rsidRDefault="007E3E3B" w14:paraId="10DBBB95" w14:textId="77777777">
            <w:pPr>
              <w:widowControl/>
              <w:spacing w:after="160" w:line="259" w:lineRule="auto"/>
              <w:jc w:val="center"/>
            </w:pPr>
            <w:r w:rsidRPr="007E3E3B">
              <w:t>X</w:t>
            </w:r>
          </w:p>
        </w:tc>
        <w:tc>
          <w:tcPr>
            <w:tcW w:w="575" w:type="pct"/>
            <w:hideMark/>
          </w:tcPr>
          <w:p w:rsidRPr="007E3E3B" w:rsidR="007E3E3B" w:rsidP="00683427" w:rsidRDefault="007E3E3B" w14:paraId="58B80716" w14:textId="77777777">
            <w:pPr>
              <w:widowControl/>
              <w:spacing w:after="160" w:line="259" w:lineRule="auto"/>
              <w:jc w:val="center"/>
            </w:pPr>
            <w:r w:rsidRPr="007E3E3B">
              <w:t>X</w:t>
            </w:r>
          </w:p>
        </w:tc>
      </w:tr>
      <w:tr w:rsidRPr="007E3E3B" w:rsidR="007E3E3B" w:rsidTr="009B5F82" w14:paraId="3F14F335" w14:textId="77777777">
        <w:trPr>
          <w:trHeight w:val="288"/>
        </w:trPr>
        <w:tc>
          <w:tcPr>
            <w:tcW w:w="767" w:type="pct"/>
            <w:shd w:val="clear" w:color="auto" w:fill="auto"/>
            <w:noWrap/>
            <w:hideMark/>
          </w:tcPr>
          <w:p w:rsidRPr="007E3E3B" w:rsidR="007E3E3B" w:rsidP="007E3E3B" w:rsidRDefault="007E3E3B" w14:paraId="187D9B86" w14:textId="73D3FB7A">
            <w:pPr>
              <w:widowControl/>
              <w:spacing w:after="160" w:line="259" w:lineRule="auto"/>
            </w:pPr>
            <w:r w:rsidRPr="007E3E3B">
              <w:t>CIP-005-6</w:t>
            </w:r>
          </w:p>
        </w:tc>
        <w:tc>
          <w:tcPr>
            <w:tcW w:w="434" w:type="pct"/>
            <w:shd w:val="clear" w:color="auto" w:fill="auto"/>
            <w:noWrap/>
            <w:hideMark/>
          </w:tcPr>
          <w:p w:rsidRPr="007E3E3B" w:rsidR="007E3E3B" w:rsidP="007E3E3B" w:rsidRDefault="007E3E3B" w14:paraId="25C4113D" w14:textId="77777777">
            <w:pPr>
              <w:widowControl/>
              <w:spacing w:after="160" w:line="259" w:lineRule="auto"/>
            </w:pPr>
            <w:r w:rsidRPr="007E3E3B">
              <w:t>R1</w:t>
            </w:r>
          </w:p>
        </w:tc>
        <w:tc>
          <w:tcPr>
            <w:tcW w:w="2021" w:type="pct"/>
            <w:shd w:val="clear" w:color="auto" w:fill="auto"/>
            <w:noWrap/>
            <w:hideMark/>
          </w:tcPr>
          <w:p w:rsidRPr="007E3E3B" w:rsidR="007E3E3B" w:rsidP="007E3E3B" w:rsidRDefault="007E3E3B" w14:paraId="6DD6156B" w14:textId="77777777">
            <w:pPr>
              <w:widowControl/>
              <w:spacing w:after="160" w:line="259" w:lineRule="auto"/>
            </w:pPr>
            <w:r w:rsidRPr="007E3E3B">
              <w:t>Electronic Security Perimeter (i.e., firewalls, etc.)</w:t>
            </w:r>
          </w:p>
        </w:tc>
        <w:tc>
          <w:tcPr>
            <w:tcW w:w="578" w:type="pct"/>
            <w:shd w:val="clear" w:color="auto" w:fill="auto"/>
            <w:noWrap/>
            <w:hideMark/>
          </w:tcPr>
          <w:p w:rsidRPr="007E3E3B" w:rsidR="007E3E3B" w:rsidP="00683427" w:rsidRDefault="007E3E3B" w14:paraId="490095EB" w14:textId="77777777">
            <w:pPr>
              <w:widowControl/>
              <w:spacing w:after="160" w:line="259" w:lineRule="auto"/>
              <w:jc w:val="center"/>
            </w:pPr>
          </w:p>
        </w:tc>
        <w:tc>
          <w:tcPr>
            <w:tcW w:w="625" w:type="pct"/>
            <w:shd w:val="clear" w:color="auto" w:fill="auto"/>
            <w:hideMark/>
          </w:tcPr>
          <w:p w:rsidRPr="007E3E3B" w:rsidR="007E3E3B" w:rsidP="00683427" w:rsidRDefault="007E3E3B" w14:paraId="36842F83"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081F97F3" w14:textId="77777777">
            <w:pPr>
              <w:widowControl/>
              <w:spacing w:after="160" w:line="259" w:lineRule="auto"/>
              <w:jc w:val="center"/>
            </w:pPr>
            <w:r w:rsidRPr="007E3E3B">
              <w:t>X</w:t>
            </w:r>
          </w:p>
        </w:tc>
      </w:tr>
      <w:tr w:rsidRPr="007E3E3B" w:rsidR="007E3E3B" w:rsidTr="009B5F82" w14:paraId="166427EE" w14:textId="77777777">
        <w:trPr>
          <w:trHeight w:val="288"/>
        </w:trPr>
        <w:tc>
          <w:tcPr>
            <w:tcW w:w="767" w:type="pct"/>
            <w:noWrap/>
            <w:hideMark/>
          </w:tcPr>
          <w:p w:rsidRPr="007E3E3B" w:rsidR="007E3E3B" w:rsidP="007E3E3B" w:rsidRDefault="007E3E3B" w14:paraId="21C31F5B" w14:textId="77777777">
            <w:pPr>
              <w:widowControl/>
              <w:spacing w:after="160" w:line="259" w:lineRule="auto"/>
            </w:pPr>
            <w:r w:rsidRPr="007E3E3B">
              <w:lastRenderedPageBreak/>
              <w:t>CIP-005-6</w:t>
            </w:r>
          </w:p>
        </w:tc>
        <w:tc>
          <w:tcPr>
            <w:tcW w:w="434" w:type="pct"/>
            <w:noWrap/>
            <w:hideMark/>
          </w:tcPr>
          <w:p w:rsidRPr="007E3E3B" w:rsidR="007E3E3B" w:rsidP="007E3E3B" w:rsidRDefault="007E3E3B" w14:paraId="5596BD80" w14:textId="77777777">
            <w:pPr>
              <w:widowControl/>
              <w:spacing w:after="160" w:line="259" w:lineRule="auto"/>
            </w:pPr>
            <w:r w:rsidRPr="007E3E3B">
              <w:t>R2</w:t>
            </w:r>
          </w:p>
        </w:tc>
        <w:tc>
          <w:tcPr>
            <w:tcW w:w="2021" w:type="pct"/>
            <w:noWrap/>
            <w:hideMark/>
          </w:tcPr>
          <w:p w:rsidRPr="007E3E3B" w:rsidR="007E3E3B" w:rsidP="007E3E3B" w:rsidRDefault="007E3E3B" w14:paraId="12F0B05E" w14:textId="77777777">
            <w:pPr>
              <w:widowControl/>
              <w:spacing w:after="160" w:line="259" w:lineRule="auto"/>
            </w:pPr>
            <w:r w:rsidRPr="007E3E3B">
              <w:t>Interactive Remote Access Management</w:t>
            </w:r>
          </w:p>
        </w:tc>
        <w:tc>
          <w:tcPr>
            <w:tcW w:w="578" w:type="pct"/>
            <w:noWrap/>
            <w:hideMark/>
          </w:tcPr>
          <w:p w:rsidRPr="007E3E3B" w:rsidR="007E3E3B" w:rsidP="00683427" w:rsidRDefault="007E3E3B" w14:paraId="36AAC9F6" w14:textId="77777777">
            <w:pPr>
              <w:widowControl/>
              <w:spacing w:after="160" w:line="259" w:lineRule="auto"/>
              <w:jc w:val="center"/>
            </w:pPr>
          </w:p>
        </w:tc>
        <w:tc>
          <w:tcPr>
            <w:tcW w:w="625" w:type="pct"/>
            <w:noWrap/>
            <w:hideMark/>
          </w:tcPr>
          <w:p w:rsidRPr="007E3E3B" w:rsidR="007E3E3B" w:rsidP="00683427" w:rsidRDefault="007E3E3B" w14:paraId="5112A49A" w14:textId="77777777">
            <w:pPr>
              <w:widowControl/>
              <w:spacing w:after="160" w:line="259" w:lineRule="auto"/>
              <w:jc w:val="center"/>
            </w:pPr>
            <w:r w:rsidRPr="007E3E3B">
              <w:t>X</w:t>
            </w:r>
          </w:p>
        </w:tc>
        <w:tc>
          <w:tcPr>
            <w:tcW w:w="575" w:type="pct"/>
            <w:hideMark/>
          </w:tcPr>
          <w:p w:rsidRPr="007E3E3B" w:rsidR="007E3E3B" w:rsidP="00683427" w:rsidRDefault="007E3E3B" w14:paraId="534197AA" w14:textId="77777777">
            <w:pPr>
              <w:widowControl/>
              <w:spacing w:after="160" w:line="259" w:lineRule="auto"/>
              <w:jc w:val="center"/>
            </w:pPr>
            <w:r w:rsidRPr="007E3E3B">
              <w:t>X</w:t>
            </w:r>
          </w:p>
        </w:tc>
      </w:tr>
      <w:tr w:rsidRPr="007E3E3B" w:rsidR="007E3E3B" w:rsidTr="009B5F82" w14:paraId="2C22EC95" w14:textId="77777777">
        <w:trPr>
          <w:trHeight w:val="288"/>
        </w:trPr>
        <w:tc>
          <w:tcPr>
            <w:tcW w:w="767" w:type="pct"/>
            <w:noWrap/>
            <w:hideMark/>
          </w:tcPr>
          <w:p w:rsidRPr="007E3E3B" w:rsidR="007E3E3B" w:rsidP="007E3E3B" w:rsidRDefault="007E3E3B" w14:paraId="1B5CA0C4" w14:textId="77777777">
            <w:pPr>
              <w:widowControl/>
              <w:spacing w:after="160" w:line="259" w:lineRule="auto"/>
            </w:pPr>
            <w:r w:rsidRPr="007E3E3B">
              <w:t>CIP-006-6</w:t>
            </w:r>
          </w:p>
        </w:tc>
        <w:tc>
          <w:tcPr>
            <w:tcW w:w="434" w:type="pct"/>
            <w:noWrap/>
            <w:hideMark/>
          </w:tcPr>
          <w:p w:rsidRPr="007E3E3B" w:rsidR="007E3E3B" w:rsidP="007E3E3B" w:rsidRDefault="007E3E3B" w14:paraId="4B9047BC" w14:textId="77777777">
            <w:pPr>
              <w:widowControl/>
              <w:spacing w:after="160" w:line="259" w:lineRule="auto"/>
            </w:pPr>
            <w:r w:rsidRPr="007E3E3B">
              <w:t>R1</w:t>
            </w:r>
          </w:p>
        </w:tc>
        <w:tc>
          <w:tcPr>
            <w:tcW w:w="2021" w:type="pct"/>
            <w:noWrap/>
            <w:hideMark/>
          </w:tcPr>
          <w:p w:rsidRPr="007E3E3B" w:rsidR="007E3E3B" w:rsidP="007E3E3B" w:rsidRDefault="007E3E3B" w14:paraId="791CCA8A" w14:textId="77777777">
            <w:pPr>
              <w:widowControl/>
              <w:spacing w:after="160" w:line="259" w:lineRule="auto"/>
            </w:pPr>
            <w:r w:rsidRPr="007E3E3B">
              <w:t>Physical Security Plan</w:t>
            </w:r>
          </w:p>
        </w:tc>
        <w:tc>
          <w:tcPr>
            <w:tcW w:w="578" w:type="pct"/>
            <w:noWrap/>
            <w:hideMark/>
          </w:tcPr>
          <w:p w:rsidRPr="007E3E3B" w:rsidR="007E3E3B" w:rsidP="00683427" w:rsidRDefault="007E3E3B" w14:paraId="609308C4" w14:textId="77777777">
            <w:pPr>
              <w:widowControl/>
              <w:spacing w:after="160" w:line="259" w:lineRule="auto"/>
              <w:jc w:val="center"/>
            </w:pPr>
          </w:p>
        </w:tc>
        <w:tc>
          <w:tcPr>
            <w:tcW w:w="625" w:type="pct"/>
            <w:hideMark/>
          </w:tcPr>
          <w:p w:rsidRPr="007E3E3B" w:rsidR="007E3E3B" w:rsidP="00683427" w:rsidRDefault="007E3E3B" w14:paraId="03C43221" w14:textId="77777777">
            <w:pPr>
              <w:widowControl/>
              <w:spacing w:after="160" w:line="259" w:lineRule="auto"/>
              <w:jc w:val="center"/>
            </w:pPr>
            <w:r w:rsidRPr="007E3E3B">
              <w:t>X</w:t>
            </w:r>
          </w:p>
        </w:tc>
        <w:tc>
          <w:tcPr>
            <w:tcW w:w="575" w:type="pct"/>
            <w:hideMark/>
          </w:tcPr>
          <w:p w:rsidRPr="007E3E3B" w:rsidR="007E3E3B" w:rsidP="00683427" w:rsidRDefault="007E3E3B" w14:paraId="18C3D72F" w14:textId="77777777">
            <w:pPr>
              <w:widowControl/>
              <w:spacing w:after="160" w:line="259" w:lineRule="auto"/>
              <w:jc w:val="center"/>
            </w:pPr>
            <w:r w:rsidRPr="007E3E3B">
              <w:t>X</w:t>
            </w:r>
          </w:p>
        </w:tc>
      </w:tr>
      <w:tr w:rsidRPr="007E3E3B" w:rsidR="007E3E3B" w:rsidTr="009B5F82" w14:paraId="0EFC1B72" w14:textId="77777777">
        <w:trPr>
          <w:trHeight w:val="288"/>
        </w:trPr>
        <w:tc>
          <w:tcPr>
            <w:tcW w:w="767" w:type="pct"/>
            <w:noWrap/>
            <w:hideMark/>
          </w:tcPr>
          <w:p w:rsidRPr="007E3E3B" w:rsidR="007E3E3B" w:rsidP="007E3E3B" w:rsidRDefault="007E3E3B" w14:paraId="52DAE70B" w14:textId="77777777">
            <w:pPr>
              <w:widowControl/>
              <w:spacing w:after="160" w:line="259" w:lineRule="auto"/>
            </w:pPr>
            <w:r w:rsidRPr="007E3E3B">
              <w:t>CIP-006-6</w:t>
            </w:r>
          </w:p>
        </w:tc>
        <w:tc>
          <w:tcPr>
            <w:tcW w:w="434" w:type="pct"/>
            <w:noWrap/>
            <w:hideMark/>
          </w:tcPr>
          <w:p w:rsidRPr="007E3E3B" w:rsidR="007E3E3B" w:rsidP="007E3E3B" w:rsidRDefault="007E3E3B" w14:paraId="32DE85CF" w14:textId="77777777">
            <w:pPr>
              <w:widowControl/>
              <w:spacing w:after="160" w:line="259" w:lineRule="auto"/>
            </w:pPr>
            <w:r w:rsidRPr="007E3E3B">
              <w:t>R2</w:t>
            </w:r>
          </w:p>
        </w:tc>
        <w:tc>
          <w:tcPr>
            <w:tcW w:w="2021" w:type="pct"/>
            <w:noWrap/>
            <w:hideMark/>
          </w:tcPr>
          <w:p w:rsidRPr="007E3E3B" w:rsidR="007E3E3B" w:rsidP="007E3E3B" w:rsidRDefault="007E3E3B" w14:paraId="1DC036DC" w14:textId="77777777">
            <w:pPr>
              <w:widowControl/>
              <w:spacing w:after="160" w:line="259" w:lineRule="auto"/>
            </w:pPr>
            <w:r w:rsidRPr="007E3E3B">
              <w:t>Visitor Control Program</w:t>
            </w:r>
          </w:p>
        </w:tc>
        <w:tc>
          <w:tcPr>
            <w:tcW w:w="578" w:type="pct"/>
            <w:noWrap/>
            <w:hideMark/>
          </w:tcPr>
          <w:p w:rsidRPr="007E3E3B" w:rsidR="007E3E3B" w:rsidP="00683427" w:rsidRDefault="007E3E3B" w14:paraId="72055589" w14:textId="77777777">
            <w:pPr>
              <w:widowControl/>
              <w:spacing w:after="160" w:line="259" w:lineRule="auto"/>
              <w:jc w:val="center"/>
            </w:pPr>
          </w:p>
        </w:tc>
        <w:tc>
          <w:tcPr>
            <w:tcW w:w="625" w:type="pct"/>
            <w:noWrap/>
            <w:hideMark/>
          </w:tcPr>
          <w:p w:rsidRPr="007E3E3B" w:rsidR="007E3E3B" w:rsidP="00683427" w:rsidRDefault="007E3E3B" w14:paraId="51AF4AC6" w14:textId="77777777">
            <w:pPr>
              <w:widowControl/>
              <w:spacing w:after="160" w:line="259" w:lineRule="auto"/>
              <w:jc w:val="center"/>
            </w:pPr>
            <w:r w:rsidRPr="007E3E3B">
              <w:t>X</w:t>
            </w:r>
          </w:p>
        </w:tc>
        <w:tc>
          <w:tcPr>
            <w:tcW w:w="575" w:type="pct"/>
            <w:hideMark/>
          </w:tcPr>
          <w:p w:rsidRPr="007E3E3B" w:rsidR="007E3E3B" w:rsidP="00683427" w:rsidRDefault="007E3E3B" w14:paraId="4CD47E3F" w14:textId="77777777">
            <w:pPr>
              <w:widowControl/>
              <w:spacing w:after="160" w:line="259" w:lineRule="auto"/>
              <w:jc w:val="center"/>
            </w:pPr>
            <w:r w:rsidRPr="007E3E3B">
              <w:t>X</w:t>
            </w:r>
          </w:p>
        </w:tc>
      </w:tr>
      <w:tr w:rsidRPr="007E3E3B" w:rsidR="007E3E3B" w:rsidTr="009B5F82" w14:paraId="72888AAA" w14:textId="77777777">
        <w:trPr>
          <w:trHeight w:val="288"/>
        </w:trPr>
        <w:tc>
          <w:tcPr>
            <w:tcW w:w="767" w:type="pct"/>
            <w:noWrap/>
            <w:hideMark/>
          </w:tcPr>
          <w:p w:rsidRPr="007E3E3B" w:rsidR="007E3E3B" w:rsidP="007E3E3B" w:rsidRDefault="007E3E3B" w14:paraId="78B58EBF" w14:textId="77777777">
            <w:pPr>
              <w:widowControl/>
              <w:spacing w:after="160" w:line="259" w:lineRule="auto"/>
            </w:pPr>
            <w:r w:rsidRPr="007E3E3B">
              <w:t>CIP-006-6</w:t>
            </w:r>
          </w:p>
        </w:tc>
        <w:tc>
          <w:tcPr>
            <w:tcW w:w="434" w:type="pct"/>
            <w:noWrap/>
            <w:hideMark/>
          </w:tcPr>
          <w:p w:rsidRPr="007E3E3B" w:rsidR="007E3E3B" w:rsidP="007E3E3B" w:rsidRDefault="007E3E3B" w14:paraId="68322747" w14:textId="77777777">
            <w:pPr>
              <w:widowControl/>
              <w:spacing w:after="160" w:line="259" w:lineRule="auto"/>
            </w:pPr>
            <w:r w:rsidRPr="007E3E3B">
              <w:t>R3</w:t>
            </w:r>
          </w:p>
        </w:tc>
        <w:tc>
          <w:tcPr>
            <w:tcW w:w="2021" w:type="pct"/>
            <w:noWrap/>
            <w:hideMark/>
          </w:tcPr>
          <w:p w:rsidRPr="007E3E3B" w:rsidR="007E3E3B" w:rsidP="007E3E3B" w:rsidRDefault="007E3E3B" w14:paraId="6719AC3A" w14:textId="77777777">
            <w:pPr>
              <w:widowControl/>
              <w:spacing w:after="160" w:line="259" w:lineRule="auto"/>
            </w:pPr>
            <w:r w:rsidRPr="007E3E3B">
              <w:t>Physical Access Control Maintenance and Testing</w:t>
            </w:r>
          </w:p>
        </w:tc>
        <w:tc>
          <w:tcPr>
            <w:tcW w:w="578" w:type="pct"/>
            <w:noWrap/>
            <w:hideMark/>
          </w:tcPr>
          <w:p w:rsidRPr="007E3E3B" w:rsidR="007E3E3B" w:rsidP="00683427" w:rsidRDefault="007E3E3B" w14:paraId="5EF11A50" w14:textId="77777777">
            <w:pPr>
              <w:widowControl/>
              <w:spacing w:after="160" w:line="259" w:lineRule="auto"/>
              <w:jc w:val="center"/>
            </w:pPr>
          </w:p>
        </w:tc>
        <w:tc>
          <w:tcPr>
            <w:tcW w:w="625" w:type="pct"/>
            <w:noWrap/>
            <w:hideMark/>
          </w:tcPr>
          <w:p w:rsidRPr="007E3E3B" w:rsidR="007E3E3B" w:rsidP="00683427" w:rsidRDefault="007E3E3B" w14:paraId="628B68D2" w14:textId="77777777">
            <w:pPr>
              <w:widowControl/>
              <w:spacing w:after="160" w:line="259" w:lineRule="auto"/>
              <w:jc w:val="center"/>
            </w:pPr>
            <w:r w:rsidRPr="007E3E3B">
              <w:t>X</w:t>
            </w:r>
          </w:p>
        </w:tc>
        <w:tc>
          <w:tcPr>
            <w:tcW w:w="575" w:type="pct"/>
            <w:hideMark/>
          </w:tcPr>
          <w:p w:rsidRPr="007E3E3B" w:rsidR="007E3E3B" w:rsidP="00683427" w:rsidRDefault="007E3E3B" w14:paraId="19412080" w14:textId="77777777">
            <w:pPr>
              <w:widowControl/>
              <w:spacing w:after="160" w:line="259" w:lineRule="auto"/>
              <w:jc w:val="center"/>
            </w:pPr>
            <w:r w:rsidRPr="007E3E3B">
              <w:t>X</w:t>
            </w:r>
          </w:p>
        </w:tc>
      </w:tr>
      <w:tr w:rsidRPr="007E3E3B" w:rsidR="007E3E3B" w:rsidTr="009B5F82" w14:paraId="00C6B52E" w14:textId="77777777">
        <w:trPr>
          <w:trHeight w:val="288"/>
        </w:trPr>
        <w:tc>
          <w:tcPr>
            <w:tcW w:w="767" w:type="pct"/>
            <w:noWrap/>
            <w:hideMark/>
          </w:tcPr>
          <w:p w:rsidRPr="007E3E3B" w:rsidR="007E3E3B" w:rsidP="007E3E3B" w:rsidRDefault="007E3E3B" w14:paraId="7B3C967D" w14:textId="77777777">
            <w:pPr>
              <w:widowControl/>
              <w:spacing w:after="160" w:line="259" w:lineRule="auto"/>
            </w:pPr>
            <w:r w:rsidRPr="007E3E3B">
              <w:t>CIP-007-6</w:t>
            </w:r>
          </w:p>
        </w:tc>
        <w:tc>
          <w:tcPr>
            <w:tcW w:w="434" w:type="pct"/>
            <w:noWrap/>
            <w:hideMark/>
          </w:tcPr>
          <w:p w:rsidRPr="007E3E3B" w:rsidR="007E3E3B" w:rsidP="007E3E3B" w:rsidRDefault="007E3E3B" w14:paraId="5E6627A1" w14:textId="77777777">
            <w:pPr>
              <w:widowControl/>
              <w:spacing w:after="160" w:line="259" w:lineRule="auto"/>
            </w:pPr>
            <w:r w:rsidRPr="007E3E3B">
              <w:t>R1</w:t>
            </w:r>
          </w:p>
        </w:tc>
        <w:tc>
          <w:tcPr>
            <w:tcW w:w="2021" w:type="pct"/>
            <w:noWrap/>
            <w:hideMark/>
          </w:tcPr>
          <w:p w:rsidRPr="007E3E3B" w:rsidR="007E3E3B" w:rsidP="007E3E3B" w:rsidRDefault="007E3E3B" w14:paraId="100B2CD3" w14:textId="77777777">
            <w:pPr>
              <w:widowControl/>
              <w:spacing w:after="160" w:line="259" w:lineRule="auto"/>
            </w:pPr>
            <w:r w:rsidRPr="007E3E3B">
              <w:t>Ports and Services</w:t>
            </w:r>
          </w:p>
        </w:tc>
        <w:tc>
          <w:tcPr>
            <w:tcW w:w="578" w:type="pct"/>
            <w:noWrap/>
            <w:hideMark/>
          </w:tcPr>
          <w:p w:rsidRPr="007E3E3B" w:rsidR="007E3E3B" w:rsidP="00683427" w:rsidRDefault="007E3E3B" w14:paraId="17C34C42" w14:textId="77777777">
            <w:pPr>
              <w:widowControl/>
              <w:spacing w:after="160" w:line="259" w:lineRule="auto"/>
              <w:jc w:val="center"/>
            </w:pPr>
          </w:p>
        </w:tc>
        <w:tc>
          <w:tcPr>
            <w:tcW w:w="625" w:type="pct"/>
            <w:hideMark/>
          </w:tcPr>
          <w:p w:rsidRPr="007E3E3B" w:rsidR="007E3E3B" w:rsidP="00683427" w:rsidRDefault="007E3E3B" w14:paraId="3A513CE5" w14:textId="77777777">
            <w:pPr>
              <w:widowControl/>
              <w:spacing w:after="160" w:line="259" w:lineRule="auto"/>
              <w:jc w:val="center"/>
            </w:pPr>
            <w:r w:rsidRPr="007E3E3B">
              <w:t>X</w:t>
            </w:r>
          </w:p>
        </w:tc>
        <w:tc>
          <w:tcPr>
            <w:tcW w:w="575" w:type="pct"/>
            <w:hideMark/>
          </w:tcPr>
          <w:p w:rsidRPr="007E3E3B" w:rsidR="007E3E3B" w:rsidP="00683427" w:rsidRDefault="007E3E3B" w14:paraId="5999EA84" w14:textId="77777777">
            <w:pPr>
              <w:widowControl/>
              <w:spacing w:after="160" w:line="259" w:lineRule="auto"/>
              <w:jc w:val="center"/>
            </w:pPr>
            <w:r w:rsidRPr="007E3E3B">
              <w:t>X</w:t>
            </w:r>
          </w:p>
        </w:tc>
      </w:tr>
      <w:tr w:rsidRPr="007E3E3B" w:rsidR="007E3E3B" w:rsidTr="009B5F82" w14:paraId="1B9CAFAD" w14:textId="77777777">
        <w:trPr>
          <w:trHeight w:val="288"/>
        </w:trPr>
        <w:tc>
          <w:tcPr>
            <w:tcW w:w="767" w:type="pct"/>
            <w:noWrap/>
            <w:hideMark/>
          </w:tcPr>
          <w:p w:rsidRPr="007E3E3B" w:rsidR="007E3E3B" w:rsidP="007E3E3B" w:rsidRDefault="007E3E3B" w14:paraId="6221566A" w14:textId="77777777">
            <w:pPr>
              <w:widowControl/>
              <w:spacing w:after="160" w:line="259" w:lineRule="auto"/>
            </w:pPr>
            <w:r w:rsidRPr="007E3E3B">
              <w:t>CIP-007-6</w:t>
            </w:r>
          </w:p>
        </w:tc>
        <w:tc>
          <w:tcPr>
            <w:tcW w:w="434" w:type="pct"/>
            <w:noWrap/>
            <w:hideMark/>
          </w:tcPr>
          <w:p w:rsidRPr="007E3E3B" w:rsidR="007E3E3B" w:rsidP="007E3E3B" w:rsidRDefault="007E3E3B" w14:paraId="33FCFCE6" w14:textId="77777777">
            <w:pPr>
              <w:widowControl/>
              <w:spacing w:after="160" w:line="259" w:lineRule="auto"/>
            </w:pPr>
            <w:r w:rsidRPr="007E3E3B">
              <w:t>R2</w:t>
            </w:r>
          </w:p>
        </w:tc>
        <w:tc>
          <w:tcPr>
            <w:tcW w:w="2021" w:type="pct"/>
            <w:noWrap/>
            <w:hideMark/>
          </w:tcPr>
          <w:p w:rsidRPr="007E3E3B" w:rsidR="007E3E3B" w:rsidP="007E3E3B" w:rsidRDefault="007E3E3B" w14:paraId="0B7EC113" w14:textId="77777777">
            <w:pPr>
              <w:widowControl/>
              <w:spacing w:after="160" w:line="259" w:lineRule="auto"/>
            </w:pPr>
            <w:r w:rsidRPr="007E3E3B">
              <w:t>Security Patch Management</w:t>
            </w:r>
          </w:p>
        </w:tc>
        <w:tc>
          <w:tcPr>
            <w:tcW w:w="578" w:type="pct"/>
            <w:noWrap/>
            <w:hideMark/>
          </w:tcPr>
          <w:p w:rsidRPr="007E3E3B" w:rsidR="007E3E3B" w:rsidP="00683427" w:rsidRDefault="007E3E3B" w14:paraId="18C1AE40" w14:textId="77777777">
            <w:pPr>
              <w:widowControl/>
              <w:spacing w:after="160" w:line="259" w:lineRule="auto"/>
              <w:jc w:val="center"/>
            </w:pPr>
          </w:p>
        </w:tc>
        <w:tc>
          <w:tcPr>
            <w:tcW w:w="625" w:type="pct"/>
            <w:noWrap/>
            <w:hideMark/>
          </w:tcPr>
          <w:p w:rsidRPr="007E3E3B" w:rsidR="007E3E3B" w:rsidP="00683427" w:rsidRDefault="007E3E3B" w14:paraId="59469781" w14:textId="77777777">
            <w:pPr>
              <w:widowControl/>
              <w:spacing w:after="160" w:line="259" w:lineRule="auto"/>
              <w:jc w:val="center"/>
            </w:pPr>
            <w:r w:rsidRPr="007E3E3B">
              <w:t>X</w:t>
            </w:r>
          </w:p>
        </w:tc>
        <w:tc>
          <w:tcPr>
            <w:tcW w:w="575" w:type="pct"/>
            <w:hideMark/>
          </w:tcPr>
          <w:p w:rsidRPr="007E3E3B" w:rsidR="007E3E3B" w:rsidP="00683427" w:rsidRDefault="007E3E3B" w14:paraId="042F09EE" w14:textId="77777777">
            <w:pPr>
              <w:widowControl/>
              <w:spacing w:after="160" w:line="259" w:lineRule="auto"/>
              <w:jc w:val="center"/>
            </w:pPr>
            <w:r w:rsidRPr="007E3E3B">
              <w:t>X</w:t>
            </w:r>
          </w:p>
        </w:tc>
      </w:tr>
      <w:tr w:rsidRPr="007E3E3B" w:rsidR="007E3E3B" w:rsidTr="009B5F82" w14:paraId="22C3B9C9" w14:textId="77777777">
        <w:trPr>
          <w:trHeight w:val="288"/>
        </w:trPr>
        <w:tc>
          <w:tcPr>
            <w:tcW w:w="767" w:type="pct"/>
            <w:noWrap/>
            <w:hideMark/>
          </w:tcPr>
          <w:p w:rsidRPr="007E3E3B" w:rsidR="007E3E3B" w:rsidP="007E3E3B" w:rsidRDefault="007E3E3B" w14:paraId="650C4CDF" w14:textId="77777777">
            <w:pPr>
              <w:widowControl/>
              <w:spacing w:after="160" w:line="259" w:lineRule="auto"/>
            </w:pPr>
            <w:r w:rsidRPr="007E3E3B">
              <w:t>CIP-007-6</w:t>
            </w:r>
          </w:p>
        </w:tc>
        <w:tc>
          <w:tcPr>
            <w:tcW w:w="434" w:type="pct"/>
            <w:noWrap/>
            <w:hideMark/>
          </w:tcPr>
          <w:p w:rsidRPr="007E3E3B" w:rsidR="007E3E3B" w:rsidP="007E3E3B" w:rsidRDefault="007E3E3B" w14:paraId="23EDFCBA" w14:textId="77777777">
            <w:pPr>
              <w:widowControl/>
              <w:spacing w:after="160" w:line="259" w:lineRule="auto"/>
            </w:pPr>
            <w:r w:rsidRPr="007E3E3B">
              <w:t>R3</w:t>
            </w:r>
          </w:p>
        </w:tc>
        <w:tc>
          <w:tcPr>
            <w:tcW w:w="2021" w:type="pct"/>
            <w:noWrap/>
            <w:hideMark/>
          </w:tcPr>
          <w:p w:rsidRPr="007E3E3B" w:rsidR="007E3E3B" w:rsidP="007E3E3B" w:rsidRDefault="007E3E3B" w14:paraId="7C052CC1" w14:textId="77777777">
            <w:pPr>
              <w:widowControl/>
              <w:spacing w:after="160" w:line="259" w:lineRule="auto"/>
            </w:pPr>
            <w:r w:rsidRPr="007E3E3B">
              <w:t>Malicious Code Prevention</w:t>
            </w:r>
          </w:p>
        </w:tc>
        <w:tc>
          <w:tcPr>
            <w:tcW w:w="578" w:type="pct"/>
            <w:noWrap/>
            <w:hideMark/>
          </w:tcPr>
          <w:p w:rsidRPr="007E3E3B" w:rsidR="007E3E3B" w:rsidP="00683427" w:rsidRDefault="007E3E3B" w14:paraId="6D92E95D" w14:textId="77777777">
            <w:pPr>
              <w:widowControl/>
              <w:spacing w:after="160" w:line="259" w:lineRule="auto"/>
              <w:jc w:val="center"/>
            </w:pPr>
          </w:p>
        </w:tc>
        <w:tc>
          <w:tcPr>
            <w:tcW w:w="625" w:type="pct"/>
            <w:hideMark/>
          </w:tcPr>
          <w:p w:rsidRPr="007E3E3B" w:rsidR="007E3E3B" w:rsidP="00683427" w:rsidRDefault="007E3E3B" w14:paraId="380F7B5D" w14:textId="77777777">
            <w:pPr>
              <w:widowControl/>
              <w:spacing w:after="160" w:line="259" w:lineRule="auto"/>
              <w:jc w:val="center"/>
            </w:pPr>
            <w:r w:rsidRPr="007E3E3B">
              <w:t>X</w:t>
            </w:r>
          </w:p>
        </w:tc>
        <w:tc>
          <w:tcPr>
            <w:tcW w:w="575" w:type="pct"/>
            <w:hideMark/>
          </w:tcPr>
          <w:p w:rsidRPr="007E3E3B" w:rsidR="007E3E3B" w:rsidP="00683427" w:rsidRDefault="007E3E3B" w14:paraId="44FC6BE3" w14:textId="77777777">
            <w:pPr>
              <w:widowControl/>
              <w:spacing w:after="160" w:line="259" w:lineRule="auto"/>
              <w:jc w:val="center"/>
            </w:pPr>
            <w:r w:rsidRPr="007E3E3B">
              <w:t>X</w:t>
            </w:r>
          </w:p>
        </w:tc>
      </w:tr>
      <w:tr w:rsidRPr="007E3E3B" w:rsidR="007E3E3B" w:rsidTr="009B5F82" w14:paraId="78890791" w14:textId="77777777">
        <w:trPr>
          <w:trHeight w:val="288"/>
        </w:trPr>
        <w:tc>
          <w:tcPr>
            <w:tcW w:w="767" w:type="pct"/>
            <w:shd w:val="clear" w:color="auto" w:fill="auto"/>
            <w:noWrap/>
            <w:hideMark/>
          </w:tcPr>
          <w:p w:rsidRPr="007E3E3B" w:rsidR="007E3E3B" w:rsidP="007E3E3B" w:rsidRDefault="007E3E3B" w14:paraId="49BB1116" w14:textId="77777777">
            <w:pPr>
              <w:widowControl/>
              <w:spacing w:after="160" w:line="259" w:lineRule="auto"/>
            </w:pPr>
            <w:r w:rsidRPr="007E3E3B">
              <w:t>CIP-007-6</w:t>
            </w:r>
          </w:p>
        </w:tc>
        <w:tc>
          <w:tcPr>
            <w:tcW w:w="434" w:type="pct"/>
            <w:shd w:val="clear" w:color="auto" w:fill="auto"/>
            <w:noWrap/>
            <w:hideMark/>
          </w:tcPr>
          <w:p w:rsidRPr="007E3E3B" w:rsidR="007E3E3B" w:rsidP="007E3E3B" w:rsidRDefault="007E3E3B" w14:paraId="288B5442" w14:textId="77777777">
            <w:pPr>
              <w:widowControl/>
              <w:spacing w:after="160" w:line="259" w:lineRule="auto"/>
            </w:pPr>
            <w:r w:rsidRPr="007E3E3B">
              <w:t>R4</w:t>
            </w:r>
          </w:p>
        </w:tc>
        <w:tc>
          <w:tcPr>
            <w:tcW w:w="2021" w:type="pct"/>
            <w:shd w:val="clear" w:color="auto" w:fill="auto"/>
            <w:noWrap/>
            <w:hideMark/>
          </w:tcPr>
          <w:p w:rsidRPr="007E3E3B" w:rsidR="007E3E3B" w:rsidP="007E3E3B" w:rsidRDefault="007E3E3B" w14:paraId="042C2499" w14:textId="77777777">
            <w:pPr>
              <w:widowControl/>
              <w:spacing w:after="160" w:line="259" w:lineRule="auto"/>
            </w:pPr>
            <w:r w:rsidRPr="007E3E3B">
              <w:t>Security Event Monitoring</w:t>
            </w:r>
          </w:p>
        </w:tc>
        <w:tc>
          <w:tcPr>
            <w:tcW w:w="578" w:type="pct"/>
            <w:shd w:val="clear" w:color="auto" w:fill="auto"/>
            <w:noWrap/>
            <w:hideMark/>
          </w:tcPr>
          <w:p w:rsidRPr="007E3E3B" w:rsidR="007E3E3B" w:rsidP="00683427" w:rsidRDefault="007E3E3B" w14:paraId="2C84B309" w14:textId="77777777">
            <w:pPr>
              <w:widowControl/>
              <w:spacing w:after="160" w:line="259" w:lineRule="auto"/>
              <w:jc w:val="center"/>
            </w:pPr>
          </w:p>
        </w:tc>
        <w:tc>
          <w:tcPr>
            <w:tcW w:w="625" w:type="pct"/>
            <w:shd w:val="clear" w:color="auto" w:fill="auto"/>
            <w:hideMark/>
          </w:tcPr>
          <w:p w:rsidRPr="007E3E3B" w:rsidR="007E3E3B" w:rsidP="00683427" w:rsidRDefault="007E3E3B" w14:paraId="79D5359C" w14:textId="77777777">
            <w:pPr>
              <w:widowControl/>
              <w:spacing w:after="160" w:line="259" w:lineRule="auto"/>
              <w:jc w:val="center"/>
            </w:pPr>
            <w:r w:rsidRPr="007E3E3B">
              <w:t>X</w:t>
            </w:r>
          </w:p>
        </w:tc>
        <w:tc>
          <w:tcPr>
            <w:tcW w:w="575" w:type="pct"/>
            <w:shd w:val="clear" w:color="auto" w:fill="auto"/>
            <w:hideMark/>
          </w:tcPr>
          <w:p w:rsidRPr="007E3E3B" w:rsidR="007E3E3B" w:rsidP="00683427" w:rsidRDefault="007E3E3B" w14:paraId="03769D9B" w14:textId="77777777">
            <w:pPr>
              <w:widowControl/>
              <w:spacing w:after="160" w:line="259" w:lineRule="auto"/>
              <w:jc w:val="center"/>
            </w:pPr>
            <w:r w:rsidRPr="007E3E3B">
              <w:t>X</w:t>
            </w:r>
          </w:p>
        </w:tc>
      </w:tr>
      <w:tr w:rsidRPr="007E3E3B" w:rsidR="007E3E3B" w:rsidTr="009B5F82" w14:paraId="5558477B" w14:textId="77777777">
        <w:trPr>
          <w:trHeight w:val="288"/>
        </w:trPr>
        <w:tc>
          <w:tcPr>
            <w:tcW w:w="767" w:type="pct"/>
            <w:noWrap/>
            <w:hideMark/>
          </w:tcPr>
          <w:p w:rsidRPr="007E3E3B" w:rsidR="007E3E3B" w:rsidP="007E3E3B" w:rsidRDefault="007E3E3B" w14:paraId="3BF431B9" w14:textId="77777777">
            <w:pPr>
              <w:widowControl/>
              <w:spacing w:after="160" w:line="259" w:lineRule="auto"/>
            </w:pPr>
            <w:r w:rsidRPr="007E3E3B">
              <w:t>CIP-007-6</w:t>
            </w:r>
          </w:p>
        </w:tc>
        <w:tc>
          <w:tcPr>
            <w:tcW w:w="434" w:type="pct"/>
            <w:noWrap/>
            <w:hideMark/>
          </w:tcPr>
          <w:p w:rsidRPr="007E3E3B" w:rsidR="007E3E3B" w:rsidP="007E3E3B" w:rsidRDefault="007E3E3B" w14:paraId="22245D5A" w14:textId="77777777">
            <w:pPr>
              <w:widowControl/>
              <w:spacing w:after="160" w:line="259" w:lineRule="auto"/>
            </w:pPr>
            <w:r w:rsidRPr="007E3E3B">
              <w:t>R5</w:t>
            </w:r>
          </w:p>
        </w:tc>
        <w:tc>
          <w:tcPr>
            <w:tcW w:w="2021" w:type="pct"/>
            <w:noWrap/>
            <w:hideMark/>
          </w:tcPr>
          <w:p w:rsidRPr="007E3E3B" w:rsidR="007E3E3B" w:rsidP="007E3E3B" w:rsidRDefault="007E3E3B" w14:paraId="681E02AF" w14:textId="77777777">
            <w:pPr>
              <w:widowControl/>
              <w:spacing w:after="160" w:line="259" w:lineRule="auto"/>
            </w:pPr>
            <w:r w:rsidRPr="007E3E3B">
              <w:t>System Access Control</w:t>
            </w:r>
          </w:p>
        </w:tc>
        <w:tc>
          <w:tcPr>
            <w:tcW w:w="578" w:type="pct"/>
            <w:noWrap/>
            <w:hideMark/>
          </w:tcPr>
          <w:p w:rsidRPr="007E3E3B" w:rsidR="007E3E3B" w:rsidP="00683427" w:rsidRDefault="007E3E3B" w14:paraId="6259EE3B" w14:textId="77777777">
            <w:pPr>
              <w:widowControl/>
              <w:spacing w:after="160" w:line="259" w:lineRule="auto"/>
              <w:jc w:val="center"/>
            </w:pPr>
          </w:p>
        </w:tc>
        <w:tc>
          <w:tcPr>
            <w:tcW w:w="625" w:type="pct"/>
            <w:hideMark/>
          </w:tcPr>
          <w:p w:rsidRPr="007E3E3B" w:rsidR="007E3E3B" w:rsidP="00683427" w:rsidRDefault="007E3E3B" w14:paraId="2F153489" w14:textId="77777777">
            <w:pPr>
              <w:widowControl/>
              <w:spacing w:after="160" w:line="259" w:lineRule="auto"/>
              <w:jc w:val="center"/>
            </w:pPr>
            <w:r w:rsidRPr="007E3E3B">
              <w:t>X</w:t>
            </w:r>
          </w:p>
        </w:tc>
        <w:tc>
          <w:tcPr>
            <w:tcW w:w="575" w:type="pct"/>
            <w:hideMark/>
          </w:tcPr>
          <w:p w:rsidRPr="007E3E3B" w:rsidR="007E3E3B" w:rsidP="00683427" w:rsidRDefault="007E3E3B" w14:paraId="5B8D4336" w14:textId="77777777">
            <w:pPr>
              <w:widowControl/>
              <w:spacing w:after="160" w:line="259" w:lineRule="auto"/>
              <w:jc w:val="center"/>
            </w:pPr>
            <w:r w:rsidRPr="007E3E3B">
              <w:t>X</w:t>
            </w:r>
          </w:p>
        </w:tc>
      </w:tr>
      <w:tr w:rsidRPr="007E3E3B" w:rsidR="007E3E3B" w:rsidTr="009B5F82" w14:paraId="43B0EA60" w14:textId="77777777">
        <w:trPr>
          <w:trHeight w:val="288"/>
        </w:trPr>
        <w:tc>
          <w:tcPr>
            <w:tcW w:w="767" w:type="pct"/>
            <w:noWrap/>
            <w:hideMark/>
          </w:tcPr>
          <w:p w:rsidRPr="007E3E3B" w:rsidR="007E3E3B" w:rsidP="007E3E3B" w:rsidRDefault="007E3E3B" w14:paraId="36BB23DC" w14:textId="77777777">
            <w:pPr>
              <w:widowControl/>
              <w:spacing w:after="160" w:line="259" w:lineRule="auto"/>
            </w:pPr>
            <w:r w:rsidRPr="007E3E3B">
              <w:t>CIP-008-6</w:t>
            </w:r>
          </w:p>
        </w:tc>
        <w:tc>
          <w:tcPr>
            <w:tcW w:w="434" w:type="pct"/>
            <w:noWrap/>
            <w:hideMark/>
          </w:tcPr>
          <w:p w:rsidRPr="007E3E3B" w:rsidR="007E3E3B" w:rsidP="007E3E3B" w:rsidRDefault="007E3E3B" w14:paraId="445B7129" w14:textId="77777777">
            <w:pPr>
              <w:widowControl/>
              <w:spacing w:after="160" w:line="259" w:lineRule="auto"/>
            </w:pPr>
            <w:r w:rsidRPr="007E3E3B">
              <w:t>R1</w:t>
            </w:r>
          </w:p>
        </w:tc>
        <w:tc>
          <w:tcPr>
            <w:tcW w:w="2021" w:type="pct"/>
            <w:noWrap/>
            <w:hideMark/>
          </w:tcPr>
          <w:p w:rsidRPr="007E3E3B" w:rsidR="007E3E3B" w:rsidP="007E3E3B" w:rsidRDefault="007E3E3B" w14:paraId="0310FB41" w14:textId="77777777">
            <w:pPr>
              <w:widowControl/>
              <w:spacing w:after="160" w:line="259" w:lineRule="auto"/>
            </w:pPr>
            <w:r w:rsidRPr="007E3E3B">
              <w:t>Incident Response Plan</w:t>
            </w:r>
          </w:p>
        </w:tc>
        <w:tc>
          <w:tcPr>
            <w:tcW w:w="578" w:type="pct"/>
            <w:noWrap/>
            <w:hideMark/>
          </w:tcPr>
          <w:p w:rsidRPr="007E3E3B" w:rsidR="007E3E3B" w:rsidP="00683427" w:rsidRDefault="007E3E3B" w14:paraId="3D83996C" w14:textId="77777777">
            <w:pPr>
              <w:widowControl/>
              <w:spacing w:after="160" w:line="259" w:lineRule="auto"/>
              <w:jc w:val="center"/>
            </w:pPr>
          </w:p>
        </w:tc>
        <w:tc>
          <w:tcPr>
            <w:tcW w:w="625" w:type="pct"/>
            <w:noWrap/>
            <w:hideMark/>
          </w:tcPr>
          <w:p w:rsidRPr="007E3E3B" w:rsidR="007E3E3B" w:rsidP="00683427" w:rsidRDefault="007E3E3B" w14:paraId="7CA18F89" w14:textId="77777777">
            <w:pPr>
              <w:widowControl/>
              <w:spacing w:after="160" w:line="259" w:lineRule="auto"/>
              <w:jc w:val="center"/>
            </w:pPr>
            <w:r w:rsidRPr="007E3E3B">
              <w:t>X</w:t>
            </w:r>
          </w:p>
        </w:tc>
        <w:tc>
          <w:tcPr>
            <w:tcW w:w="575" w:type="pct"/>
            <w:hideMark/>
          </w:tcPr>
          <w:p w:rsidRPr="007E3E3B" w:rsidR="007E3E3B" w:rsidP="00683427" w:rsidRDefault="007E3E3B" w14:paraId="5D0C80AA" w14:textId="77777777">
            <w:pPr>
              <w:widowControl/>
              <w:spacing w:after="160" w:line="259" w:lineRule="auto"/>
              <w:jc w:val="center"/>
            </w:pPr>
            <w:r w:rsidRPr="007E3E3B">
              <w:t>X</w:t>
            </w:r>
          </w:p>
        </w:tc>
      </w:tr>
      <w:tr w:rsidRPr="007E3E3B" w:rsidR="007E3E3B" w:rsidTr="009B5F82" w14:paraId="6F7ECFE4" w14:textId="77777777">
        <w:trPr>
          <w:trHeight w:val="288"/>
        </w:trPr>
        <w:tc>
          <w:tcPr>
            <w:tcW w:w="767" w:type="pct"/>
            <w:noWrap/>
            <w:hideMark/>
          </w:tcPr>
          <w:p w:rsidRPr="007E3E3B" w:rsidR="007E3E3B" w:rsidP="007E3E3B" w:rsidRDefault="007E3E3B" w14:paraId="751C3EF0" w14:textId="77777777">
            <w:pPr>
              <w:widowControl/>
              <w:spacing w:after="160" w:line="259" w:lineRule="auto"/>
            </w:pPr>
            <w:r w:rsidRPr="007E3E3B">
              <w:t>CIP-008-6</w:t>
            </w:r>
          </w:p>
        </w:tc>
        <w:tc>
          <w:tcPr>
            <w:tcW w:w="434" w:type="pct"/>
            <w:noWrap/>
            <w:hideMark/>
          </w:tcPr>
          <w:p w:rsidRPr="007E3E3B" w:rsidR="007E3E3B" w:rsidP="007E3E3B" w:rsidRDefault="007E3E3B" w14:paraId="57A763C3" w14:textId="77777777">
            <w:pPr>
              <w:widowControl/>
              <w:spacing w:after="160" w:line="259" w:lineRule="auto"/>
            </w:pPr>
            <w:r w:rsidRPr="007E3E3B">
              <w:t>R2</w:t>
            </w:r>
          </w:p>
        </w:tc>
        <w:tc>
          <w:tcPr>
            <w:tcW w:w="2021" w:type="pct"/>
            <w:noWrap/>
            <w:hideMark/>
          </w:tcPr>
          <w:p w:rsidRPr="007E3E3B" w:rsidR="007E3E3B" w:rsidP="007E3E3B" w:rsidRDefault="007E3E3B" w14:paraId="4BAB234E" w14:textId="77777777">
            <w:pPr>
              <w:widowControl/>
              <w:spacing w:after="160" w:line="259" w:lineRule="auto"/>
            </w:pPr>
            <w:r w:rsidRPr="007E3E3B">
              <w:t>Incident Response Implementation and Testing</w:t>
            </w:r>
          </w:p>
        </w:tc>
        <w:tc>
          <w:tcPr>
            <w:tcW w:w="578" w:type="pct"/>
            <w:noWrap/>
            <w:hideMark/>
          </w:tcPr>
          <w:p w:rsidRPr="007E3E3B" w:rsidR="007E3E3B" w:rsidP="00683427" w:rsidRDefault="007E3E3B" w14:paraId="7F763DA6" w14:textId="77777777">
            <w:pPr>
              <w:widowControl/>
              <w:spacing w:after="160" w:line="259" w:lineRule="auto"/>
              <w:jc w:val="center"/>
            </w:pPr>
          </w:p>
        </w:tc>
        <w:tc>
          <w:tcPr>
            <w:tcW w:w="625" w:type="pct"/>
            <w:noWrap/>
            <w:hideMark/>
          </w:tcPr>
          <w:p w:rsidRPr="007E3E3B" w:rsidR="007E3E3B" w:rsidP="00683427" w:rsidRDefault="007E3E3B" w14:paraId="76281318" w14:textId="77777777">
            <w:pPr>
              <w:widowControl/>
              <w:spacing w:after="160" w:line="259" w:lineRule="auto"/>
              <w:jc w:val="center"/>
            </w:pPr>
            <w:r w:rsidRPr="007E3E3B">
              <w:t>X</w:t>
            </w:r>
          </w:p>
        </w:tc>
        <w:tc>
          <w:tcPr>
            <w:tcW w:w="575" w:type="pct"/>
            <w:hideMark/>
          </w:tcPr>
          <w:p w:rsidRPr="007E3E3B" w:rsidR="007E3E3B" w:rsidP="00683427" w:rsidRDefault="007E3E3B" w14:paraId="7A71816B" w14:textId="77777777">
            <w:pPr>
              <w:widowControl/>
              <w:spacing w:after="160" w:line="259" w:lineRule="auto"/>
              <w:jc w:val="center"/>
            </w:pPr>
            <w:r w:rsidRPr="007E3E3B">
              <w:t>X</w:t>
            </w:r>
          </w:p>
        </w:tc>
      </w:tr>
      <w:tr w:rsidRPr="007E3E3B" w:rsidR="007E3E3B" w:rsidTr="009B5F82" w14:paraId="3CD4D328" w14:textId="77777777">
        <w:trPr>
          <w:trHeight w:val="288"/>
        </w:trPr>
        <w:tc>
          <w:tcPr>
            <w:tcW w:w="767" w:type="pct"/>
            <w:noWrap/>
            <w:hideMark/>
          </w:tcPr>
          <w:p w:rsidRPr="007E3E3B" w:rsidR="007E3E3B" w:rsidP="007E3E3B" w:rsidRDefault="007E3E3B" w14:paraId="6EFA5EED" w14:textId="77777777">
            <w:pPr>
              <w:widowControl/>
              <w:spacing w:after="160" w:line="259" w:lineRule="auto"/>
            </w:pPr>
            <w:r w:rsidRPr="007E3E3B">
              <w:t>CIP-008-6</w:t>
            </w:r>
          </w:p>
        </w:tc>
        <w:tc>
          <w:tcPr>
            <w:tcW w:w="434" w:type="pct"/>
            <w:noWrap/>
            <w:hideMark/>
          </w:tcPr>
          <w:p w:rsidRPr="007E3E3B" w:rsidR="007E3E3B" w:rsidP="007E3E3B" w:rsidRDefault="007E3E3B" w14:paraId="1618A91B" w14:textId="77777777">
            <w:pPr>
              <w:widowControl/>
              <w:spacing w:after="160" w:line="259" w:lineRule="auto"/>
            </w:pPr>
            <w:r w:rsidRPr="007E3E3B">
              <w:t>R3</w:t>
            </w:r>
          </w:p>
        </w:tc>
        <w:tc>
          <w:tcPr>
            <w:tcW w:w="2021" w:type="pct"/>
            <w:noWrap/>
            <w:hideMark/>
          </w:tcPr>
          <w:p w:rsidRPr="007E3E3B" w:rsidR="007E3E3B" w:rsidP="007E3E3B" w:rsidRDefault="007E3E3B" w14:paraId="4B1C1FCA" w14:textId="77777777">
            <w:pPr>
              <w:widowControl/>
              <w:spacing w:after="160" w:line="259" w:lineRule="auto"/>
            </w:pPr>
            <w:r w:rsidRPr="007E3E3B">
              <w:t>Incident Response Plan Review &amp; Update</w:t>
            </w:r>
          </w:p>
        </w:tc>
        <w:tc>
          <w:tcPr>
            <w:tcW w:w="578" w:type="pct"/>
            <w:noWrap/>
            <w:hideMark/>
          </w:tcPr>
          <w:p w:rsidRPr="007E3E3B" w:rsidR="007E3E3B" w:rsidP="00683427" w:rsidRDefault="007E3E3B" w14:paraId="10FC5DF4" w14:textId="77777777">
            <w:pPr>
              <w:widowControl/>
              <w:spacing w:after="160" w:line="259" w:lineRule="auto"/>
              <w:jc w:val="center"/>
            </w:pPr>
          </w:p>
        </w:tc>
        <w:tc>
          <w:tcPr>
            <w:tcW w:w="625" w:type="pct"/>
            <w:noWrap/>
            <w:hideMark/>
          </w:tcPr>
          <w:p w:rsidRPr="007E3E3B" w:rsidR="007E3E3B" w:rsidP="00683427" w:rsidRDefault="007E3E3B" w14:paraId="3CAD1DC0" w14:textId="77777777">
            <w:pPr>
              <w:widowControl/>
              <w:spacing w:after="160" w:line="259" w:lineRule="auto"/>
              <w:jc w:val="center"/>
            </w:pPr>
            <w:r w:rsidRPr="007E3E3B">
              <w:t>X</w:t>
            </w:r>
          </w:p>
        </w:tc>
        <w:tc>
          <w:tcPr>
            <w:tcW w:w="575" w:type="pct"/>
            <w:hideMark/>
          </w:tcPr>
          <w:p w:rsidRPr="007E3E3B" w:rsidR="007E3E3B" w:rsidP="00683427" w:rsidRDefault="007E3E3B" w14:paraId="585B2CDC" w14:textId="77777777">
            <w:pPr>
              <w:widowControl/>
              <w:spacing w:after="160" w:line="259" w:lineRule="auto"/>
              <w:jc w:val="center"/>
            </w:pPr>
            <w:r w:rsidRPr="007E3E3B">
              <w:t>X</w:t>
            </w:r>
          </w:p>
        </w:tc>
      </w:tr>
      <w:tr w:rsidRPr="007E3E3B" w:rsidR="007E3E3B" w:rsidTr="009B5F82" w14:paraId="2A1347C2" w14:textId="77777777">
        <w:trPr>
          <w:trHeight w:val="288"/>
        </w:trPr>
        <w:tc>
          <w:tcPr>
            <w:tcW w:w="767" w:type="pct"/>
            <w:noWrap/>
            <w:hideMark/>
          </w:tcPr>
          <w:p w:rsidRPr="007E3E3B" w:rsidR="007E3E3B" w:rsidP="007E3E3B" w:rsidRDefault="007E3E3B" w14:paraId="4BB57A33" w14:textId="77777777">
            <w:pPr>
              <w:widowControl/>
              <w:spacing w:after="160" w:line="259" w:lineRule="auto"/>
            </w:pPr>
            <w:r w:rsidRPr="007E3E3B">
              <w:t>CIP-008-6</w:t>
            </w:r>
          </w:p>
        </w:tc>
        <w:tc>
          <w:tcPr>
            <w:tcW w:w="434" w:type="pct"/>
            <w:noWrap/>
            <w:hideMark/>
          </w:tcPr>
          <w:p w:rsidRPr="007E3E3B" w:rsidR="007E3E3B" w:rsidP="007E3E3B" w:rsidRDefault="007E3E3B" w14:paraId="0C1DDA1C" w14:textId="77777777">
            <w:pPr>
              <w:widowControl/>
              <w:spacing w:after="160" w:line="259" w:lineRule="auto"/>
            </w:pPr>
            <w:r w:rsidRPr="007E3E3B">
              <w:t>R4</w:t>
            </w:r>
          </w:p>
        </w:tc>
        <w:tc>
          <w:tcPr>
            <w:tcW w:w="2021" w:type="pct"/>
            <w:noWrap/>
            <w:hideMark/>
          </w:tcPr>
          <w:p w:rsidRPr="007E3E3B" w:rsidR="007E3E3B" w:rsidP="007E3E3B" w:rsidRDefault="007E3E3B" w14:paraId="70452701" w14:textId="77777777">
            <w:pPr>
              <w:widowControl/>
              <w:spacing w:after="160" w:line="259" w:lineRule="auto"/>
            </w:pPr>
            <w:r w:rsidRPr="007E3E3B">
              <w:t>Notifications and Reporting for Cyber Security Incidents</w:t>
            </w:r>
          </w:p>
        </w:tc>
        <w:tc>
          <w:tcPr>
            <w:tcW w:w="578" w:type="pct"/>
            <w:noWrap/>
            <w:hideMark/>
          </w:tcPr>
          <w:p w:rsidRPr="007E3E3B" w:rsidR="007E3E3B" w:rsidP="00683427" w:rsidRDefault="007E3E3B" w14:paraId="27F65277" w14:textId="77777777">
            <w:pPr>
              <w:widowControl/>
              <w:spacing w:after="160" w:line="259" w:lineRule="auto"/>
              <w:jc w:val="center"/>
            </w:pPr>
          </w:p>
        </w:tc>
        <w:tc>
          <w:tcPr>
            <w:tcW w:w="625" w:type="pct"/>
            <w:noWrap/>
            <w:hideMark/>
          </w:tcPr>
          <w:p w:rsidRPr="007E3E3B" w:rsidR="007E3E3B" w:rsidP="00683427" w:rsidRDefault="007E3E3B" w14:paraId="2FC677DF" w14:textId="77777777">
            <w:pPr>
              <w:widowControl/>
              <w:spacing w:after="160" w:line="259" w:lineRule="auto"/>
              <w:jc w:val="center"/>
            </w:pPr>
            <w:r w:rsidRPr="007E3E3B">
              <w:t>X</w:t>
            </w:r>
          </w:p>
        </w:tc>
        <w:tc>
          <w:tcPr>
            <w:tcW w:w="575" w:type="pct"/>
            <w:hideMark/>
          </w:tcPr>
          <w:p w:rsidRPr="007E3E3B" w:rsidR="007E3E3B" w:rsidP="00683427" w:rsidRDefault="007E3E3B" w14:paraId="6BF17B47" w14:textId="77777777">
            <w:pPr>
              <w:widowControl/>
              <w:spacing w:after="160" w:line="259" w:lineRule="auto"/>
              <w:jc w:val="center"/>
            </w:pPr>
            <w:r w:rsidRPr="007E3E3B">
              <w:t>X</w:t>
            </w:r>
          </w:p>
        </w:tc>
      </w:tr>
      <w:tr w:rsidRPr="007E3E3B" w:rsidR="007E3E3B" w:rsidTr="009B5F82" w14:paraId="1DD46B38" w14:textId="77777777">
        <w:trPr>
          <w:trHeight w:val="288"/>
        </w:trPr>
        <w:tc>
          <w:tcPr>
            <w:tcW w:w="767" w:type="pct"/>
            <w:noWrap/>
            <w:hideMark/>
          </w:tcPr>
          <w:p w:rsidRPr="007E3E3B" w:rsidR="007E3E3B" w:rsidP="007E3E3B" w:rsidRDefault="007E3E3B" w14:paraId="40B4A5C8" w14:textId="77777777">
            <w:pPr>
              <w:widowControl/>
              <w:spacing w:after="160" w:line="259" w:lineRule="auto"/>
            </w:pPr>
            <w:r w:rsidRPr="007E3E3B">
              <w:t>CIP-009-6</w:t>
            </w:r>
          </w:p>
        </w:tc>
        <w:tc>
          <w:tcPr>
            <w:tcW w:w="434" w:type="pct"/>
            <w:noWrap/>
            <w:hideMark/>
          </w:tcPr>
          <w:p w:rsidRPr="007E3E3B" w:rsidR="007E3E3B" w:rsidP="007E3E3B" w:rsidRDefault="007E3E3B" w14:paraId="6D48CE5C" w14:textId="77777777">
            <w:pPr>
              <w:widowControl/>
              <w:spacing w:after="160" w:line="259" w:lineRule="auto"/>
            </w:pPr>
            <w:r w:rsidRPr="007E3E3B">
              <w:t>R1</w:t>
            </w:r>
          </w:p>
        </w:tc>
        <w:tc>
          <w:tcPr>
            <w:tcW w:w="2021" w:type="pct"/>
            <w:noWrap/>
            <w:hideMark/>
          </w:tcPr>
          <w:p w:rsidRPr="007E3E3B" w:rsidR="007E3E3B" w:rsidP="007E3E3B" w:rsidRDefault="007E3E3B" w14:paraId="1D217E0F" w14:textId="77777777">
            <w:pPr>
              <w:widowControl/>
              <w:spacing w:after="160" w:line="259" w:lineRule="auto"/>
            </w:pPr>
            <w:r w:rsidRPr="007E3E3B">
              <w:t>Recovery Plan</w:t>
            </w:r>
          </w:p>
        </w:tc>
        <w:tc>
          <w:tcPr>
            <w:tcW w:w="578" w:type="pct"/>
            <w:noWrap/>
            <w:hideMark/>
          </w:tcPr>
          <w:p w:rsidRPr="007E3E3B" w:rsidR="007E3E3B" w:rsidP="00683427" w:rsidRDefault="007E3E3B" w14:paraId="28EDC8D0" w14:textId="77777777">
            <w:pPr>
              <w:widowControl/>
              <w:spacing w:after="160" w:line="259" w:lineRule="auto"/>
              <w:jc w:val="center"/>
            </w:pPr>
          </w:p>
        </w:tc>
        <w:tc>
          <w:tcPr>
            <w:tcW w:w="625" w:type="pct"/>
            <w:hideMark/>
          </w:tcPr>
          <w:p w:rsidRPr="007E3E3B" w:rsidR="007E3E3B" w:rsidP="00683427" w:rsidRDefault="007E3E3B" w14:paraId="453D925A" w14:textId="77777777">
            <w:pPr>
              <w:widowControl/>
              <w:spacing w:after="160" w:line="259" w:lineRule="auto"/>
              <w:jc w:val="center"/>
            </w:pPr>
            <w:r w:rsidRPr="007E3E3B">
              <w:t>X</w:t>
            </w:r>
          </w:p>
        </w:tc>
        <w:tc>
          <w:tcPr>
            <w:tcW w:w="575" w:type="pct"/>
            <w:noWrap/>
            <w:hideMark/>
          </w:tcPr>
          <w:p w:rsidRPr="007E3E3B" w:rsidR="007E3E3B" w:rsidP="00683427" w:rsidRDefault="007E3E3B" w14:paraId="662468C6" w14:textId="77777777">
            <w:pPr>
              <w:widowControl/>
              <w:spacing w:after="160" w:line="259" w:lineRule="auto"/>
              <w:jc w:val="center"/>
            </w:pPr>
          </w:p>
        </w:tc>
      </w:tr>
      <w:tr w:rsidRPr="007E3E3B" w:rsidR="007E3E3B" w:rsidTr="009B5F82" w14:paraId="082C7F16" w14:textId="77777777">
        <w:trPr>
          <w:trHeight w:val="288"/>
        </w:trPr>
        <w:tc>
          <w:tcPr>
            <w:tcW w:w="767" w:type="pct"/>
            <w:noWrap/>
            <w:hideMark/>
          </w:tcPr>
          <w:p w:rsidRPr="007E3E3B" w:rsidR="007E3E3B" w:rsidP="007E3E3B" w:rsidRDefault="007E3E3B" w14:paraId="7921FD69" w14:textId="77777777">
            <w:pPr>
              <w:widowControl/>
              <w:spacing w:after="160" w:line="259" w:lineRule="auto"/>
            </w:pPr>
            <w:r w:rsidRPr="007E3E3B">
              <w:t>CIP-009-6</w:t>
            </w:r>
          </w:p>
        </w:tc>
        <w:tc>
          <w:tcPr>
            <w:tcW w:w="434" w:type="pct"/>
            <w:noWrap/>
            <w:hideMark/>
          </w:tcPr>
          <w:p w:rsidRPr="007E3E3B" w:rsidR="007E3E3B" w:rsidP="007E3E3B" w:rsidRDefault="007E3E3B" w14:paraId="28039C95" w14:textId="77777777">
            <w:pPr>
              <w:widowControl/>
              <w:spacing w:after="160" w:line="259" w:lineRule="auto"/>
            </w:pPr>
            <w:r w:rsidRPr="007E3E3B">
              <w:t>R2</w:t>
            </w:r>
          </w:p>
        </w:tc>
        <w:tc>
          <w:tcPr>
            <w:tcW w:w="2021" w:type="pct"/>
            <w:noWrap/>
            <w:hideMark/>
          </w:tcPr>
          <w:p w:rsidRPr="007E3E3B" w:rsidR="007E3E3B" w:rsidP="007E3E3B" w:rsidRDefault="007E3E3B" w14:paraId="2D9AC849" w14:textId="77777777">
            <w:pPr>
              <w:widowControl/>
              <w:spacing w:after="160" w:line="259" w:lineRule="auto"/>
            </w:pPr>
            <w:r w:rsidRPr="007E3E3B">
              <w:t>Recovery Plan Implementation and Testing</w:t>
            </w:r>
          </w:p>
        </w:tc>
        <w:tc>
          <w:tcPr>
            <w:tcW w:w="578" w:type="pct"/>
            <w:noWrap/>
            <w:hideMark/>
          </w:tcPr>
          <w:p w:rsidRPr="007E3E3B" w:rsidR="007E3E3B" w:rsidP="00683427" w:rsidRDefault="007E3E3B" w14:paraId="26026F4A" w14:textId="77777777">
            <w:pPr>
              <w:widowControl/>
              <w:spacing w:after="160" w:line="259" w:lineRule="auto"/>
              <w:jc w:val="center"/>
            </w:pPr>
          </w:p>
        </w:tc>
        <w:tc>
          <w:tcPr>
            <w:tcW w:w="625" w:type="pct"/>
            <w:hideMark/>
          </w:tcPr>
          <w:p w:rsidRPr="007E3E3B" w:rsidR="007E3E3B" w:rsidP="00683427" w:rsidRDefault="007E3E3B" w14:paraId="46742A65" w14:textId="77777777">
            <w:pPr>
              <w:widowControl/>
              <w:spacing w:after="160" w:line="259" w:lineRule="auto"/>
              <w:jc w:val="center"/>
            </w:pPr>
            <w:r w:rsidRPr="007E3E3B">
              <w:t>X</w:t>
            </w:r>
          </w:p>
        </w:tc>
        <w:tc>
          <w:tcPr>
            <w:tcW w:w="575" w:type="pct"/>
            <w:hideMark/>
          </w:tcPr>
          <w:p w:rsidRPr="007E3E3B" w:rsidR="007E3E3B" w:rsidP="00683427" w:rsidRDefault="007E3E3B" w14:paraId="718B4D97" w14:textId="77777777">
            <w:pPr>
              <w:widowControl/>
              <w:spacing w:after="160" w:line="259" w:lineRule="auto"/>
              <w:jc w:val="center"/>
            </w:pPr>
            <w:r w:rsidRPr="007E3E3B">
              <w:t>X</w:t>
            </w:r>
          </w:p>
        </w:tc>
      </w:tr>
      <w:tr w:rsidRPr="007E3E3B" w:rsidR="007E3E3B" w:rsidTr="009B5F82" w14:paraId="24AD05A0" w14:textId="77777777">
        <w:trPr>
          <w:trHeight w:val="288"/>
        </w:trPr>
        <w:tc>
          <w:tcPr>
            <w:tcW w:w="767" w:type="pct"/>
            <w:noWrap/>
            <w:hideMark/>
          </w:tcPr>
          <w:p w:rsidRPr="007E3E3B" w:rsidR="007E3E3B" w:rsidP="007E3E3B" w:rsidRDefault="007E3E3B" w14:paraId="2E1431C1" w14:textId="77777777">
            <w:pPr>
              <w:widowControl/>
              <w:spacing w:after="160" w:line="259" w:lineRule="auto"/>
            </w:pPr>
            <w:r w:rsidRPr="007E3E3B">
              <w:t>CIP-009-6</w:t>
            </w:r>
          </w:p>
        </w:tc>
        <w:tc>
          <w:tcPr>
            <w:tcW w:w="434" w:type="pct"/>
            <w:noWrap/>
            <w:hideMark/>
          </w:tcPr>
          <w:p w:rsidRPr="007E3E3B" w:rsidR="007E3E3B" w:rsidP="007E3E3B" w:rsidRDefault="007E3E3B" w14:paraId="57C58CE2" w14:textId="77777777">
            <w:pPr>
              <w:widowControl/>
              <w:spacing w:after="160" w:line="259" w:lineRule="auto"/>
            </w:pPr>
            <w:r w:rsidRPr="007E3E3B">
              <w:t>R3</w:t>
            </w:r>
          </w:p>
        </w:tc>
        <w:tc>
          <w:tcPr>
            <w:tcW w:w="2021" w:type="pct"/>
            <w:noWrap/>
            <w:hideMark/>
          </w:tcPr>
          <w:p w:rsidRPr="007E3E3B" w:rsidR="007E3E3B" w:rsidP="007E3E3B" w:rsidRDefault="007E3E3B" w14:paraId="50BA96CA" w14:textId="77777777">
            <w:pPr>
              <w:widowControl/>
              <w:spacing w:after="160" w:line="259" w:lineRule="auto"/>
            </w:pPr>
            <w:r w:rsidRPr="007E3E3B">
              <w:t>Recovery Plan Review &amp; Update</w:t>
            </w:r>
          </w:p>
        </w:tc>
        <w:tc>
          <w:tcPr>
            <w:tcW w:w="578" w:type="pct"/>
            <w:noWrap/>
            <w:hideMark/>
          </w:tcPr>
          <w:p w:rsidRPr="007E3E3B" w:rsidR="007E3E3B" w:rsidP="00683427" w:rsidRDefault="007E3E3B" w14:paraId="2137914F" w14:textId="77777777">
            <w:pPr>
              <w:widowControl/>
              <w:spacing w:after="160" w:line="259" w:lineRule="auto"/>
              <w:jc w:val="center"/>
            </w:pPr>
          </w:p>
        </w:tc>
        <w:tc>
          <w:tcPr>
            <w:tcW w:w="625" w:type="pct"/>
            <w:noWrap/>
            <w:hideMark/>
          </w:tcPr>
          <w:p w:rsidRPr="007E3E3B" w:rsidR="007E3E3B" w:rsidP="00683427" w:rsidRDefault="007E3E3B" w14:paraId="6BCE59F0" w14:textId="77777777">
            <w:pPr>
              <w:widowControl/>
              <w:spacing w:after="160" w:line="259" w:lineRule="auto"/>
              <w:jc w:val="center"/>
            </w:pPr>
            <w:r w:rsidRPr="007E3E3B">
              <w:t>X</w:t>
            </w:r>
          </w:p>
        </w:tc>
        <w:tc>
          <w:tcPr>
            <w:tcW w:w="575" w:type="pct"/>
            <w:hideMark/>
          </w:tcPr>
          <w:p w:rsidRPr="007E3E3B" w:rsidR="007E3E3B" w:rsidP="00683427" w:rsidRDefault="007E3E3B" w14:paraId="665D4F03" w14:textId="77777777">
            <w:pPr>
              <w:widowControl/>
              <w:spacing w:after="160" w:line="259" w:lineRule="auto"/>
              <w:jc w:val="center"/>
            </w:pPr>
            <w:r w:rsidRPr="007E3E3B">
              <w:t>X</w:t>
            </w:r>
          </w:p>
        </w:tc>
      </w:tr>
      <w:tr w:rsidRPr="007E3E3B" w:rsidR="007E3E3B" w:rsidTr="009B5F82" w14:paraId="1CC2F416" w14:textId="77777777">
        <w:trPr>
          <w:trHeight w:val="288"/>
        </w:trPr>
        <w:tc>
          <w:tcPr>
            <w:tcW w:w="767" w:type="pct"/>
            <w:noWrap/>
            <w:hideMark/>
          </w:tcPr>
          <w:p w:rsidRPr="007E3E3B" w:rsidR="007E3E3B" w:rsidP="007E3E3B" w:rsidRDefault="007E3E3B" w14:paraId="1CBD954E" w14:textId="77777777">
            <w:pPr>
              <w:widowControl/>
              <w:spacing w:after="160" w:line="259" w:lineRule="auto"/>
            </w:pPr>
            <w:r w:rsidRPr="007E3E3B">
              <w:t>CIP-010-3</w:t>
            </w:r>
          </w:p>
        </w:tc>
        <w:tc>
          <w:tcPr>
            <w:tcW w:w="434" w:type="pct"/>
            <w:noWrap/>
            <w:hideMark/>
          </w:tcPr>
          <w:p w:rsidRPr="007E3E3B" w:rsidR="007E3E3B" w:rsidP="007E3E3B" w:rsidRDefault="007E3E3B" w14:paraId="3015A46F" w14:textId="77777777">
            <w:pPr>
              <w:widowControl/>
              <w:spacing w:after="160" w:line="259" w:lineRule="auto"/>
            </w:pPr>
            <w:r w:rsidRPr="007E3E3B">
              <w:t>R1</w:t>
            </w:r>
          </w:p>
        </w:tc>
        <w:tc>
          <w:tcPr>
            <w:tcW w:w="2021" w:type="pct"/>
            <w:noWrap/>
            <w:hideMark/>
          </w:tcPr>
          <w:p w:rsidRPr="007E3E3B" w:rsidR="007E3E3B" w:rsidP="007E3E3B" w:rsidRDefault="007E3E3B" w14:paraId="4951FAA9" w14:textId="77777777">
            <w:pPr>
              <w:widowControl/>
              <w:spacing w:after="160" w:line="259" w:lineRule="auto"/>
            </w:pPr>
            <w:r w:rsidRPr="007E3E3B">
              <w:t>Configuration Change Management</w:t>
            </w:r>
          </w:p>
        </w:tc>
        <w:tc>
          <w:tcPr>
            <w:tcW w:w="578" w:type="pct"/>
            <w:noWrap/>
            <w:hideMark/>
          </w:tcPr>
          <w:p w:rsidRPr="007E3E3B" w:rsidR="007E3E3B" w:rsidP="00683427" w:rsidRDefault="007E3E3B" w14:paraId="6909F20B" w14:textId="77777777">
            <w:pPr>
              <w:widowControl/>
              <w:spacing w:after="160" w:line="259" w:lineRule="auto"/>
              <w:jc w:val="center"/>
            </w:pPr>
          </w:p>
        </w:tc>
        <w:tc>
          <w:tcPr>
            <w:tcW w:w="625" w:type="pct"/>
            <w:hideMark/>
          </w:tcPr>
          <w:p w:rsidRPr="007E3E3B" w:rsidR="007E3E3B" w:rsidP="00683427" w:rsidRDefault="007E3E3B" w14:paraId="3D97893B" w14:textId="77777777">
            <w:pPr>
              <w:widowControl/>
              <w:spacing w:after="160" w:line="259" w:lineRule="auto"/>
              <w:jc w:val="center"/>
            </w:pPr>
            <w:r w:rsidRPr="007E3E3B">
              <w:t>X</w:t>
            </w:r>
          </w:p>
        </w:tc>
        <w:tc>
          <w:tcPr>
            <w:tcW w:w="575" w:type="pct"/>
            <w:hideMark/>
          </w:tcPr>
          <w:p w:rsidRPr="007E3E3B" w:rsidR="007E3E3B" w:rsidP="00683427" w:rsidRDefault="007E3E3B" w14:paraId="79787239" w14:textId="77777777">
            <w:pPr>
              <w:widowControl/>
              <w:spacing w:after="160" w:line="259" w:lineRule="auto"/>
              <w:jc w:val="center"/>
            </w:pPr>
            <w:r w:rsidRPr="007E3E3B">
              <w:t>X</w:t>
            </w:r>
          </w:p>
        </w:tc>
      </w:tr>
      <w:tr w:rsidRPr="007E3E3B" w:rsidR="007E3E3B" w:rsidTr="009B5F82" w14:paraId="78976C1A" w14:textId="77777777">
        <w:trPr>
          <w:trHeight w:val="288"/>
        </w:trPr>
        <w:tc>
          <w:tcPr>
            <w:tcW w:w="767" w:type="pct"/>
            <w:noWrap/>
            <w:hideMark/>
          </w:tcPr>
          <w:p w:rsidRPr="007E3E3B" w:rsidR="007E3E3B" w:rsidP="007E3E3B" w:rsidRDefault="007E3E3B" w14:paraId="7E1AC1BC" w14:textId="77777777">
            <w:pPr>
              <w:widowControl/>
              <w:spacing w:after="160" w:line="259" w:lineRule="auto"/>
            </w:pPr>
            <w:r w:rsidRPr="007E3E3B">
              <w:t>CIP-010-3</w:t>
            </w:r>
          </w:p>
        </w:tc>
        <w:tc>
          <w:tcPr>
            <w:tcW w:w="434" w:type="pct"/>
            <w:noWrap/>
            <w:hideMark/>
          </w:tcPr>
          <w:p w:rsidRPr="007E3E3B" w:rsidR="007E3E3B" w:rsidP="007E3E3B" w:rsidRDefault="007E3E3B" w14:paraId="63875004" w14:textId="77777777">
            <w:pPr>
              <w:widowControl/>
              <w:spacing w:after="160" w:line="259" w:lineRule="auto"/>
            </w:pPr>
            <w:r w:rsidRPr="007E3E3B">
              <w:t>R2</w:t>
            </w:r>
          </w:p>
        </w:tc>
        <w:tc>
          <w:tcPr>
            <w:tcW w:w="2021" w:type="pct"/>
            <w:noWrap/>
            <w:hideMark/>
          </w:tcPr>
          <w:p w:rsidRPr="007E3E3B" w:rsidR="007E3E3B" w:rsidP="007E3E3B" w:rsidRDefault="007E3E3B" w14:paraId="59159A12" w14:textId="77777777">
            <w:pPr>
              <w:widowControl/>
              <w:spacing w:after="160" w:line="259" w:lineRule="auto"/>
            </w:pPr>
            <w:r w:rsidRPr="007E3E3B">
              <w:t>Configuration Monitoring</w:t>
            </w:r>
          </w:p>
        </w:tc>
        <w:tc>
          <w:tcPr>
            <w:tcW w:w="578" w:type="pct"/>
            <w:noWrap/>
            <w:hideMark/>
          </w:tcPr>
          <w:p w:rsidRPr="007E3E3B" w:rsidR="007E3E3B" w:rsidP="00683427" w:rsidRDefault="007E3E3B" w14:paraId="2CC47E9B" w14:textId="77777777">
            <w:pPr>
              <w:widowControl/>
              <w:spacing w:after="160" w:line="259" w:lineRule="auto"/>
              <w:jc w:val="center"/>
            </w:pPr>
          </w:p>
        </w:tc>
        <w:tc>
          <w:tcPr>
            <w:tcW w:w="625" w:type="pct"/>
            <w:noWrap/>
            <w:hideMark/>
          </w:tcPr>
          <w:p w:rsidRPr="007E3E3B" w:rsidR="007E3E3B" w:rsidP="00683427" w:rsidRDefault="007E3E3B" w14:paraId="0939C087" w14:textId="77777777">
            <w:pPr>
              <w:widowControl/>
              <w:spacing w:after="160" w:line="259" w:lineRule="auto"/>
              <w:jc w:val="center"/>
            </w:pPr>
          </w:p>
        </w:tc>
        <w:tc>
          <w:tcPr>
            <w:tcW w:w="575" w:type="pct"/>
            <w:hideMark/>
          </w:tcPr>
          <w:p w:rsidRPr="007E3E3B" w:rsidR="007E3E3B" w:rsidP="00683427" w:rsidRDefault="007E3E3B" w14:paraId="079BA1B6" w14:textId="77777777">
            <w:pPr>
              <w:widowControl/>
              <w:spacing w:after="160" w:line="259" w:lineRule="auto"/>
              <w:jc w:val="center"/>
            </w:pPr>
            <w:r w:rsidRPr="007E3E3B">
              <w:t>X</w:t>
            </w:r>
          </w:p>
        </w:tc>
      </w:tr>
      <w:tr w:rsidRPr="007E3E3B" w:rsidR="007E3E3B" w:rsidTr="009B5F82" w14:paraId="2AC864DC" w14:textId="77777777">
        <w:trPr>
          <w:trHeight w:val="288"/>
        </w:trPr>
        <w:tc>
          <w:tcPr>
            <w:tcW w:w="767" w:type="pct"/>
            <w:noWrap/>
            <w:hideMark/>
          </w:tcPr>
          <w:p w:rsidRPr="007E3E3B" w:rsidR="007E3E3B" w:rsidP="007E3E3B" w:rsidRDefault="007E3E3B" w14:paraId="641B08FF" w14:textId="77777777">
            <w:pPr>
              <w:widowControl/>
              <w:spacing w:after="160" w:line="259" w:lineRule="auto"/>
            </w:pPr>
            <w:r w:rsidRPr="007E3E3B">
              <w:t>CIP-010-3</w:t>
            </w:r>
          </w:p>
        </w:tc>
        <w:tc>
          <w:tcPr>
            <w:tcW w:w="434" w:type="pct"/>
            <w:noWrap/>
            <w:hideMark/>
          </w:tcPr>
          <w:p w:rsidRPr="007E3E3B" w:rsidR="007E3E3B" w:rsidP="007E3E3B" w:rsidRDefault="007E3E3B" w14:paraId="7C34F9AC" w14:textId="77777777">
            <w:pPr>
              <w:widowControl/>
              <w:spacing w:after="160" w:line="259" w:lineRule="auto"/>
            </w:pPr>
            <w:r w:rsidRPr="007E3E3B">
              <w:t>R3</w:t>
            </w:r>
          </w:p>
        </w:tc>
        <w:tc>
          <w:tcPr>
            <w:tcW w:w="2021" w:type="pct"/>
            <w:noWrap/>
            <w:hideMark/>
          </w:tcPr>
          <w:p w:rsidRPr="007E3E3B" w:rsidR="007E3E3B" w:rsidP="007E3E3B" w:rsidRDefault="007E3E3B" w14:paraId="175B2FED" w14:textId="77777777">
            <w:pPr>
              <w:widowControl/>
              <w:spacing w:after="160" w:line="259" w:lineRule="auto"/>
            </w:pPr>
            <w:r w:rsidRPr="007E3E3B">
              <w:t>Vulnerability Assessments</w:t>
            </w:r>
          </w:p>
        </w:tc>
        <w:tc>
          <w:tcPr>
            <w:tcW w:w="578" w:type="pct"/>
            <w:noWrap/>
            <w:hideMark/>
          </w:tcPr>
          <w:p w:rsidRPr="007E3E3B" w:rsidR="007E3E3B" w:rsidP="00683427" w:rsidRDefault="007E3E3B" w14:paraId="204A5511" w14:textId="77777777">
            <w:pPr>
              <w:widowControl/>
              <w:spacing w:after="160" w:line="259" w:lineRule="auto"/>
              <w:jc w:val="center"/>
            </w:pPr>
          </w:p>
        </w:tc>
        <w:tc>
          <w:tcPr>
            <w:tcW w:w="625" w:type="pct"/>
            <w:hideMark/>
          </w:tcPr>
          <w:p w:rsidRPr="007E3E3B" w:rsidR="007E3E3B" w:rsidP="00683427" w:rsidRDefault="007E3E3B" w14:paraId="5EAE28F8" w14:textId="77777777">
            <w:pPr>
              <w:widowControl/>
              <w:spacing w:after="160" w:line="259" w:lineRule="auto"/>
              <w:jc w:val="center"/>
            </w:pPr>
            <w:r w:rsidRPr="007E3E3B">
              <w:t>X</w:t>
            </w:r>
          </w:p>
        </w:tc>
        <w:tc>
          <w:tcPr>
            <w:tcW w:w="575" w:type="pct"/>
            <w:hideMark/>
          </w:tcPr>
          <w:p w:rsidRPr="007E3E3B" w:rsidR="007E3E3B" w:rsidP="00683427" w:rsidRDefault="007E3E3B" w14:paraId="5A6689FC" w14:textId="77777777">
            <w:pPr>
              <w:widowControl/>
              <w:spacing w:after="160" w:line="259" w:lineRule="auto"/>
              <w:jc w:val="center"/>
            </w:pPr>
            <w:r w:rsidRPr="007E3E3B">
              <w:t>X</w:t>
            </w:r>
          </w:p>
        </w:tc>
      </w:tr>
      <w:tr w:rsidRPr="007E3E3B" w:rsidR="007E3E3B" w:rsidTr="009B5F82" w14:paraId="6F8E6744" w14:textId="77777777">
        <w:trPr>
          <w:trHeight w:val="576"/>
        </w:trPr>
        <w:tc>
          <w:tcPr>
            <w:tcW w:w="767" w:type="pct"/>
            <w:noWrap/>
            <w:hideMark/>
          </w:tcPr>
          <w:p w:rsidRPr="007E3E3B" w:rsidR="007E3E3B" w:rsidP="007E3E3B" w:rsidRDefault="007E3E3B" w14:paraId="64D21D5E" w14:textId="77777777">
            <w:pPr>
              <w:widowControl/>
              <w:spacing w:after="160" w:line="259" w:lineRule="auto"/>
            </w:pPr>
            <w:r w:rsidRPr="007E3E3B">
              <w:lastRenderedPageBreak/>
              <w:t>CIP-010-3</w:t>
            </w:r>
          </w:p>
        </w:tc>
        <w:tc>
          <w:tcPr>
            <w:tcW w:w="434" w:type="pct"/>
            <w:noWrap/>
            <w:hideMark/>
          </w:tcPr>
          <w:p w:rsidRPr="007E3E3B" w:rsidR="007E3E3B" w:rsidP="007E3E3B" w:rsidRDefault="007E3E3B" w14:paraId="6BBD89FE" w14:textId="77777777">
            <w:pPr>
              <w:widowControl/>
              <w:spacing w:after="160" w:line="259" w:lineRule="auto"/>
            </w:pPr>
            <w:r w:rsidRPr="007E3E3B">
              <w:t>R4</w:t>
            </w:r>
          </w:p>
        </w:tc>
        <w:tc>
          <w:tcPr>
            <w:tcW w:w="2021" w:type="pct"/>
            <w:hideMark/>
          </w:tcPr>
          <w:p w:rsidRPr="007E3E3B" w:rsidR="007E3E3B" w:rsidP="007E3E3B" w:rsidRDefault="007E3E3B" w14:paraId="6163D639" w14:textId="77777777">
            <w:pPr>
              <w:widowControl/>
              <w:spacing w:after="160" w:line="259" w:lineRule="auto"/>
            </w:pPr>
            <w:r w:rsidRPr="007E3E3B">
              <w:t>Transient Cyber Assets and Removable Media</w:t>
            </w:r>
          </w:p>
        </w:tc>
        <w:tc>
          <w:tcPr>
            <w:tcW w:w="578" w:type="pct"/>
            <w:noWrap/>
            <w:hideMark/>
          </w:tcPr>
          <w:p w:rsidRPr="007E3E3B" w:rsidR="007E3E3B" w:rsidP="00683427" w:rsidRDefault="007E3E3B" w14:paraId="4E1E39C6" w14:textId="77777777">
            <w:pPr>
              <w:widowControl/>
              <w:spacing w:after="160" w:line="259" w:lineRule="auto"/>
              <w:jc w:val="center"/>
            </w:pPr>
          </w:p>
        </w:tc>
        <w:tc>
          <w:tcPr>
            <w:tcW w:w="625" w:type="pct"/>
            <w:hideMark/>
          </w:tcPr>
          <w:p w:rsidRPr="007E3E3B" w:rsidR="007E3E3B" w:rsidP="00683427" w:rsidRDefault="007E3E3B" w14:paraId="789B3E70" w14:textId="77777777">
            <w:pPr>
              <w:widowControl/>
              <w:spacing w:after="160" w:line="259" w:lineRule="auto"/>
              <w:jc w:val="center"/>
            </w:pPr>
            <w:r w:rsidRPr="007E3E3B">
              <w:t>X</w:t>
            </w:r>
          </w:p>
        </w:tc>
        <w:tc>
          <w:tcPr>
            <w:tcW w:w="575" w:type="pct"/>
            <w:hideMark/>
          </w:tcPr>
          <w:p w:rsidRPr="007E3E3B" w:rsidR="007E3E3B" w:rsidP="00683427" w:rsidRDefault="007E3E3B" w14:paraId="76B742E6" w14:textId="77777777">
            <w:pPr>
              <w:widowControl/>
              <w:spacing w:after="160" w:line="259" w:lineRule="auto"/>
              <w:jc w:val="center"/>
            </w:pPr>
            <w:r w:rsidRPr="007E3E3B">
              <w:t>X</w:t>
            </w:r>
          </w:p>
        </w:tc>
      </w:tr>
      <w:tr w:rsidRPr="007E3E3B" w:rsidR="007E3E3B" w:rsidTr="009B5F82" w14:paraId="263B728E" w14:textId="77777777">
        <w:trPr>
          <w:trHeight w:val="288"/>
        </w:trPr>
        <w:tc>
          <w:tcPr>
            <w:tcW w:w="767" w:type="pct"/>
            <w:noWrap/>
            <w:hideMark/>
          </w:tcPr>
          <w:p w:rsidRPr="007E3E3B" w:rsidR="007E3E3B" w:rsidP="007E3E3B" w:rsidRDefault="007E3E3B" w14:paraId="451C8354" w14:textId="77777777">
            <w:pPr>
              <w:widowControl/>
              <w:spacing w:after="160" w:line="259" w:lineRule="auto"/>
            </w:pPr>
            <w:r w:rsidRPr="007E3E3B">
              <w:t>CIP-011-2</w:t>
            </w:r>
          </w:p>
        </w:tc>
        <w:tc>
          <w:tcPr>
            <w:tcW w:w="434" w:type="pct"/>
            <w:noWrap/>
            <w:hideMark/>
          </w:tcPr>
          <w:p w:rsidRPr="007E3E3B" w:rsidR="007E3E3B" w:rsidP="007E3E3B" w:rsidRDefault="007E3E3B" w14:paraId="71E70F72" w14:textId="77777777">
            <w:pPr>
              <w:widowControl/>
              <w:spacing w:after="160" w:line="259" w:lineRule="auto"/>
            </w:pPr>
            <w:r w:rsidRPr="007E3E3B">
              <w:t>R1</w:t>
            </w:r>
          </w:p>
        </w:tc>
        <w:tc>
          <w:tcPr>
            <w:tcW w:w="2021" w:type="pct"/>
            <w:noWrap/>
            <w:hideMark/>
          </w:tcPr>
          <w:p w:rsidRPr="007E3E3B" w:rsidR="007E3E3B" w:rsidP="007E3E3B" w:rsidRDefault="007E3E3B" w14:paraId="484871C3" w14:textId="77777777">
            <w:pPr>
              <w:widowControl/>
              <w:spacing w:after="160" w:line="259" w:lineRule="auto"/>
            </w:pPr>
            <w:r w:rsidRPr="007E3E3B">
              <w:t>Information Protection</w:t>
            </w:r>
          </w:p>
        </w:tc>
        <w:tc>
          <w:tcPr>
            <w:tcW w:w="578" w:type="pct"/>
            <w:noWrap/>
            <w:hideMark/>
          </w:tcPr>
          <w:p w:rsidRPr="007E3E3B" w:rsidR="007E3E3B" w:rsidP="00683427" w:rsidRDefault="007E3E3B" w14:paraId="1E412EAB" w14:textId="77777777">
            <w:pPr>
              <w:widowControl/>
              <w:spacing w:after="160" w:line="259" w:lineRule="auto"/>
              <w:jc w:val="center"/>
            </w:pPr>
          </w:p>
        </w:tc>
        <w:tc>
          <w:tcPr>
            <w:tcW w:w="625" w:type="pct"/>
            <w:hideMark/>
          </w:tcPr>
          <w:p w:rsidRPr="007E3E3B" w:rsidR="007E3E3B" w:rsidP="00683427" w:rsidRDefault="007E3E3B" w14:paraId="45A80E05" w14:textId="77777777">
            <w:pPr>
              <w:widowControl/>
              <w:spacing w:after="160" w:line="259" w:lineRule="auto"/>
              <w:jc w:val="center"/>
            </w:pPr>
            <w:r w:rsidRPr="007E3E3B">
              <w:t>X</w:t>
            </w:r>
          </w:p>
        </w:tc>
        <w:tc>
          <w:tcPr>
            <w:tcW w:w="575" w:type="pct"/>
            <w:hideMark/>
          </w:tcPr>
          <w:p w:rsidRPr="007E3E3B" w:rsidR="007E3E3B" w:rsidP="00683427" w:rsidRDefault="007E3E3B" w14:paraId="5B2E9C9F" w14:textId="77777777">
            <w:pPr>
              <w:widowControl/>
              <w:spacing w:after="160" w:line="259" w:lineRule="auto"/>
              <w:jc w:val="center"/>
            </w:pPr>
            <w:r w:rsidRPr="007E3E3B">
              <w:t>X</w:t>
            </w:r>
          </w:p>
        </w:tc>
      </w:tr>
      <w:tr w:rsidRPr="007E3E3B" w:rsidR="007E3E3B" w:rsidTr="009B5F82" w14:paraId="6B254CA2" w14:textId="77777777">
        <w:trPr>
          <w:trHeight w:val="288"/>
        </w:trPr>
        <w:tc>
          <w:tcPr>
            <w:tcW w:w="767" w:type="pct"/>
            <w:noWrap/>
            <w:hideMark/>
          </w:tcPr>
          <w:p w:rsidRPr="007E3E3B" w:rsidR="007E3E3B" w:rsidP="007E3E3B" w:rsidRDefault="007E3E3B" w14:paraId="51A66F8D" w14:textId="77777777">
            <w:pPr>
              <w:widowControl/>
              <w:spacing w:after="160" w:line="259" w:lineRule="auto"/>
            </w:pPr>
            <w:r w:rsidRPr="007E3E3B">
              <w:t>CIP-011-2</w:t>
            </w:r>
          </w:p>
        </w:tc>
        <w:tc>
          <w:tcPr>
            <w:tcW w:w="434" w:type="pct"/>
            <w:noWrap/>
            <w:hideMark/>
          </w:tcPr>
          <w:p w:rsidRPr="007E3E3B" w:rsidR="007E3E3B" w:rsidP="007E3E3B" w:rsidRDefault="007E3E3B" w14:paraId="79125660" w14:textId="77777777">
            <w:pPr>
              <w:widowControl/>
              <w:spacing w:after="160" w:line="259" w:lineRule="auto"/>
            </w:pPr>
            <w:r w:rsidRPr="007E3E3B">
              <w:t>R2</w:t>
            </w:r>
          </w:p>
        </w:tc>
        <w:tc>
          <w:tcPr>
            <w:tcW w:w="2021" w:type="pct"/>
            <w:noWrap/>
            <w:hideMark/>
          </w:tcPr>
          <w:p w:rsidRPr="007E3E3B" w:rsidR="007E3E3B" w:rsidP="007E3E3B" w:rsidRDefault="007E3E3B" w14:paraId="4F889F21" w14:textId="77777777">
            <w:pPr>
              <w:widowControl/>
              <w:spacing w:after="160" w:line="259" w:lineRule="auto"/>
            </w:pPr>
            <w:r w:rsidRPr="007E3E3B">
              <w:t>BES Cyber Asset Reuse and Disposal</w:t>
            </w:r>
          </w:p>
        </w:tc>
        <w:tc>
          <w:tcPr>
            <w:tcW w:w="578" w:type="pct"/>
            <w:noWrap/>
            <w:hideMark/>
          </w:tcPr>
          <w:p w:rsidRPr="007E3E3B" w:rsidR="007E3E3B" w:rsidP="007E3E3B" w:rsidRDefault="007E3E3B" w14:paraId="474D9160" w14:textId="77777777">
            <w:pPr>
              <w:widowControl/>
              <w:spacing w:after="160" w:line="259" w:lineRule="auto"/>
            </w:pPr>
          </w:p>
        </w:tc>
        <w:tc>
          <w:tcPr>
            <w:tcW w:w="625" w:type="pct"/>
            <w:hideMark/>
          </w:tcPr>
          <w:p w:rsidRPr="007E3E3B" w:rsidR="007E3E3B" w:rsidP="00683427" w:rsidRDefault="007E3E3B" w14:paraId="05CEE84B" w14:textId="77777777">
            <w:pPr>
              <w:widowControl/>
              <w:spacing w:after="160" w:line="259" w:lineRule="auto"/>
              <w:jc w:val="center"/>
            </w:pPr>
            <w:r w:rsidRPr="007E3E3B">
              <w:t>X</w:t>
            </w:r>
          </w:p>
        </w:tc>
        <w:tc>
          <w:tcPr>
            <w:tcW w:w="575" w:type="pct"/>
            <w:hideMark/>
          </w:tcPr>
          <w:p w:rsidRPr="007E3E3B" w:rsidR="007E3E3B" w:rsidP="00683427" w:rsidRDefault="007E3E3B" w14:paraId="6DB2459B" w14:textId="77777777">
            <w:pPr>
              <w:widowControl/>
              <w:spacing w:after="160" w:line="259" w:lineRule="auto"/>
              <w:jc w:val="center"/>
            </w:pPr>
            <w:r w:rsidRPr="007E3E3B">
              <w:t>X</w:t>
            </w:r>
          </w:p>
        </w:tc>
      </w:tr>
    </w:tbl>
    <w:p w:rsidRPr="007E3E3B" w:rsidR="007E3E3B" w:rsidP="007E3E3B" w:rsidRDefault="007E3E3B" w14:paraId="10F9D07A" w14:textId="77777777">
      <w:pPr>
        <w:widowControl/>
        <w:spacing w:after="160" w:line="259" w:lineRule="auto"/>
      </w:pPr>
    </w:p>
    <w:p w:rsidRPr="007E3E3B" w:rsidR="007E3E3B" w:rsidP="007E3E3B" w:rsidRDefault="007E3E3B" w14:paraId="5ABF81E7" w14:textId="77777777">
      <w:pPr>
        <w:widowControl/>
        <w:spacing w:after="160" w:line="259" w:lineRule="auto"/>
      </w:pPr>
    </w:p>
    <w:p w:rsidRPr="007E3E3B" w:rsidR="007E3E3B" w:rsidP="007E3E3B" w:rsidRDefault="007E3E3B" w14:paraId="7FE773D9" w14:textId="77777777">
      <w:pPr>
        <w:widowControl/>
        <w:spacing w:after="160" w:line="259" w:lineRule="auto"/>
        <w:rPr>
          <w:b/>
          <w:bCs/>
          <w:iCs/>
          <w:u w:val="single"/>
        </w:rPr>
      </w:pPr>
    </w:p>
    <w:p w:rsidRPr="008354F9" w:rsidR="008354F9" w:rsidP="008354F9" w:rsidRDefault="008354F9" w14:paraId="6AB3791A" w14:textId="77777777"/>
    <w:sectPr w:rsidRPr="008354F9" w:rsidR="008354F9" w:rsidSect="0067304E">
      <w:pgSz w:w="12240" w:h="15840"/>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791C4" w14:textId="77777777" w:rsidR="00636BF2" w:rsidRDefault="00636BF2" w:rsidP="0048020B">
      <w:r>
        <w:separator/>
      </w:r>
    </w:p>
  </w:endnote>
  <w:endnote w:type="continuationSeparator" w:id="0">
    <w:p w14:paraId="5FD8EEF6" w14:textId="77777777" w:rsidR="00636BF2" w:rsidRDefault="00636BF2" w:rsidP="0048020B">
      <w:r>
        <w:continuationSeparator/>
      </w:r>
    </w:p>
  </w:endnote>
  <w:endnote w:type="continuationNotice" w:id="1">
    <w:p w14:paraId="5B7ED795" w14:textId="77777777" w:rsidR="00636BF2" w:rsidRDefault="00636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867EA" w14:textId="77777777" w:rsidR="00075681" w:rsidRDefault="00075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C7769" w14:textId="27748C8D" w:rsidR="00D06F71" w:rsidRDefault="00D06F71">
    <w:pPr>
      <w:pStyle w:val="Footer"/>
      <w:jc w:val="center"/>
    </w:pPr>
  </w:p>
  <w:p w14:paraId="4C25478D" w14:textId="77777777" w:rsidR="00D06F71" w:rsidRDefault="00D06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E05F" w14:textId="77777777" w:rsidR="00075681" w:rsidRDefault="00075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E7F98" w14:textId="77777777" w:rsidR="00636BF2" w:rsidRDefault="00636BF2" w:rsidP="0048020B">
      <w:r>
        <w:separator/>
      </w:r>
    </w:p>
  </w:footnote>
  <w:footnote w:type="continuationSeparator" w:id="0">
    <w:p w14:paraId="4552E5E6" w14:textId="77777777" w:rsidR="00636BF2" w:rsidRDefault="00636BF2" w:rsidP="0048020B">
      <w:r>
        <w:continuationSeparator/>
      </w:r>
    </w:p>
  </w:footnote>
  <w:footnote w:type="continuationNotice" w:id="1">
    <w:p w14:paraId="7E7902DA" w14:textId="77777777" w:rsidR="00636BF2" w:rsidRPr="00BB5B6F" w:rsidRDefault="00636BF2" w:rsidP="00BB5B6F">
      <w:pPr>
        <w:pStyle w:val="Footer"/>
      </w:pPr>
      <w:r w:rsidRPr="00BB5B6F">
        <w:rPr>
          <w:i/>
        </w:rPr>
        <w:t>(continued ...)</w:t>
      </w:r>
    </w:p>
  </w:footnote>
  <w:footnote w:id="2">
    <w:p w14:paraId="7645B3ED" w14:textId="02E149DF" w:rsidR="00D06F71" w:rsidRDefault="00D06F71">
      <w:pPr>
        <w:pStyle w:val="FootnoteText"/>
      </w:pPr>
      <w:r>
        <w:rPr>
          <w:rStyle w:val="FootnoteReference"/>
        </w:rPr>
        <w:footnoteRef/>
      </w:r>
      <w:r>
        <w:t xml:space="preserve"> </w:t>
      </w:r>
      <w:r w:rsidRPr="00797B35">
        <w:t xml:space="preserve">16 U.S.C. </w:t>
      </w:r>
      <w:r>
        <w:t xml:space="preserve">§ </w:t>
      </w:r>
      <w:r w:rsidRPr="00797B35">
        <w:t>824s</w:t>
      </w:r>
      <w:r w:rsidRPr="009937E5">
        <w:t xml:space="preserve"> </w:t>
      </w:r>
      <w:r>
        <w:t xml:space="preserve">(2018).  </w:t>
      </w:r>
      <w:r w:rsidRPr="009937E5">
        <w:t>FPA Section 219(a) directs the Commission to establish incentive-based rate treatments to benefit consumers by ensuring reliability</w:t>
      </w:r>
      <w:r>
        <w:t>,</w:t>
      </w:r>
      <w:r w:rsidRPr="009937E5">
        <w:t xml:space="preserve"> and FPA section 219(b)(1) directs the Commission to promote reliable and economically efficient transmission.</w:t>
      </w:r>
      <w:r>
        <w:t xml:space="preserve">  </w:t>
      </w:r>
      <w:r>
        <w:rPr>
          <w:i/>
        </w:rPr>
        <w:t xml:space="preserve">Id. </w:t>
      </w:r>
      <w:r>
        <w:t xml:space="preserve">§ </w:t>
      </w:r>
      <w:r w:rsidRPr="00797B35">
        <w:t>824s</w:t>
      </w:r>
      <w:r>
        <w:t>(a)-(b)(1).</w:t>
      </w:r>
    </w:p>
  </w:footnote>
  <w:footnote w:id="3">
    <w:p w14:paraId="73CD82D3" w14:textId="597195A1" w:rsidR="00D06F71" w:rsidRDefault="00D06F71" w:rsidP="00BE0E1F">
      <w:pPr>
        <w:pStyle w:val="FootnoteText"/>
      </w:pPr>
      <w:r>
        <w:rPr>
          <w:rStyle w:val="FootnoteReference"/>
        </w:rPr>
        <w:footnoteRef/>
      </w:r>
      <w:r>
        <w:t xml:space="preserve"> </w:t>
      </w:r>
      <w:r w:rsidRPr="008251B1">
        <w:rPr>
          <w:i/>
        </w:rPr>
        <w:t>Inquiry Regarding the Commission’s Electric Transmission Incentives Policy</w:t>
      </w:r>
      <w:r>
        <w:t>, 166 FERC ¶ 61,208 (2019)</w:t>
      </w:r>
      <w:r w:rsidDel="00F15675">
        <w:t xml:space="preserve"> </w:t>
      </w:r>
      <w:r>
        <w:t>(2019 Notice of Inquiry).</w:t>
      </w:r>
    </w:p>
  </w:footnote>
  <w:footnote w:id="4">
    <w:p w14:paraId="45C2A2C2" w14:textId="2E87099F" w:rsidR="00D06F71" w:rsidRPr="00965137" w:rsidRDefault="00D06F71" w:rsidP="00754E8E">
      <w:pPr>
        <w:pStyle w:val="FootnoteText"/>
      </w:pPr>
      <w:r>
        <w:rPr>
          <w:rStyle w:val="FootnoteReference"/>
        </w:rPr>
        <w:footnoteRef/>
      </w:r>
      <w:r>
        <w:t xml:space="preserve"> </w:t>
      </w:r>
      <w:r w:rsidRPr="00965137">
        <w:rPr>
          <w:i/>
        </w:rPr>
        <w:t>Electric Transmission Incentives Policy Under Section 219 of the Federal Power Act</w:t>
      </w:r>
      <w:r>
        <w:t xml:space="preserve">, 84 Fed. Reg. 18,784 (Apr. 2, 2020), 170 FERC ¶ 61,204, </w:t>
      </w:r>
      <w:r>
        <w:rPr>
          <w:i/>
          <w:iCs/>
        </w:rPr>
        <w:t>errata notice</w:t>
      </w:r>
      <w:r>
        <w:t>, 171 FERC ¶ 61,072 (2020) (Transmission Incentives NOPR).</w:t>
      </w:r>
    </w:p>
  </w:footnote>
  <w:footnote w:id="5">
    <w:p w14:paraId="2554FE8B" w14:textId="38B9B21F" w:rsidR="00D06F71" w:rsidRDefault="00D06F71">
      <w:pPr>
        <w:pStyle w:val="FootnoteText"/>
      </w:pPr>
      <w:r>
        <w:rPr>
          <w:rStyle w:val="FootnoteReference"/>
        </w:rPr>
        <w:footnoteRef/>
      </w:r>
      <w:r>
        <w:t xml:space="preserve"> 16 </w:t>
      </w:r>
      <w:r w:rsidRPr="00797B35">
        <w:t xml:space="preserve">U.S.C. </w:t>
      </w:r>
      <w:r>
        <w:t>§ 824o (2018).</w:t>
      </w:r>
    </w:p>
  </w:footnote>
  <w:footnote w:id="6">
    <w:p w14:paraId="4FAA7FE0" w14:textId="55F42173" w:rsidR="00D06F71" w:rsidRDefault="00D06F71" w:rsidP="000D6D5A">
      <w:pPr>
        <w:pStyle w:val="FootnoteText"/>
      </w:pPr>
      <w:r w:rsidRPr="00E87CEE">
        <w:rPr>
          <w:rStyle w:val="FootnoteReference"/>
        </w:rPr>
        <w:footnoteRef/>
      </w:r>
      <w:r>
        <w:t xml:space="preserve"> </w:t>
      </w:r>
      <w:r>
        <w:rPr>
          <w:i/>
          <w:iCs/>
        </w:rPr>
        <w:t>Id.</w:t>
      </w:r>
      <w:r w:rsidRPr="00797B35">
        <w:t xml:space="preserve"> </w:t>
      </w:r>
      <w:r>
        <w:t xml:space="preserve">§ </w:t>
      </w:r>
      <w:r w:rsidRPr="00797B35">
        <w:t>824</w:t>
      </w:r>
      <w:r>
        <w:t>o(a)(3).</w:t>
      </w:r>
    </w:p>
  </w:footnote>
  <w:footnote w:id="7">
    <w:p w14:paraId="268EDC1C" w14:textId="4FC194B4" w:rsidR="00D06F71" w:rsidRDefault="00D06F71" w:rsidP="00754E8E">
      <w:pPr>
        <w:pStyle w:val="FootnoteText"/>
      </w:pPr>
      <w:r w:rsidRPr="00E87CEE">
        <w:rPr>
          <w:rStyle w:val="FootnoteReference"/>
        </w:rPr>
        <w:footnoteRef/>
      </w:r>
      <w:r>
        <w:t xml:space="preserve"> </w:t>
      </w:r>
      <w:r>
        <w:rPr>
          <w:i/>
          <w:iCs/>
        </w:rPr>
        <w:t>Id.</w:t>
      </w:r>
      <w:r w:rsidRPr="00797B35">
        <w:t xml:space="preserve"> </w:t>
      </w:r>
      <w:r>
        <w:t xml:space="preserve">§ </w:t>
      </w:r>
      <w:r w:rsidRPr="00797B35">
        <w:t>824s</w:t>
      </w:r>
      <w:r>
        <w:t xml:space="preserve">(b)(4)(A).  Pursuant to section 219(d), “[a]ll rates approved under the rules adopted pursuant to this section . . . are subject to the requirements of sections 205 and 206 that all rates, charges, terms, and conditions be just and reasonable and not unduly discriminatory or preferential.”  </w:t>
      </w:r>
      <w:r>
        <w:rPr>
          <w:i/>
          <w:iCs/>
        </w:rPr>
        <w:t>Id.</w:t>
      </w:r>
      <w:r w:rsidRPr="00797B35">
        <w:t xml:space="preserve"> </w:t>
      </w:r>
      <w:r>
        <w:t xml:space="preserve">§ </w:t>
      </w:r>
      <w:r w:rsidRPr="00797B35">
        <w:t>824s</w:t>
      </w:r>
      <w:r>
        <w:t xml:space="preserve">(d).  </w:t>
      </w:r>
    </w:p>
  </w:footnote>
  <w:footnote w:id="8">
    <w:p w14:paraId="47BF349D" w14:textId="77777777" w:rsidR="00D06F71" w:rsidRDefault="00D06F71" w:rsidP="00975972">
      <w:pPr>
        <w:pStyle w:val="FootnoteText"/>
        <w:spacing w:after="160"/>
        <w:rPr>
          <w:b/>
          <w:bCs/>
          <w:szCs w:val="26"/>
        </w:rPr>
      </w:pPr>
      <w:r>
        <w:rPr>
          <w:rStyle w:val="FootnoteReference"/>
        </w:rPr>
        <w:footnoteRef/>
      </w:r>
      <w:r>
        <w:t xml:space="preserve"> </w:t>
      </w:r>
      <w:r>
        <w:rPr>
          <w:i/>
          <w:iCs/>
        </w:rPr>
        <w:t>Mandatory Reliability Standards for Critical Infrastructure Protection</w:t>
      </w:r>
      <w:r>
        <w:t xml:space="preserve">, Order No. 706, 122 FERC ¶ 61,040, at P 1, </w:t>
      </w:r>
      <w:r>
        <w:rPr>
          <w:i/>
          <w:iCs/>
        </w:rPr>
        <w:t>order on reh’g and clarification</w:t>
      </w:r>
      <w:r>
        <w:t xml:space="preserve">, Order No. 706-A, 123 FERC ¶ 61,174 (2008), </w:t>
      </w:r>
      <w:r>
        <w:rPr>
          <w:i/>
          <w:iCs/>
        </w:rPr>
        <w:t>order on clarification</w:t>
      </w:r>
      <w:r>
        <w:t xml:space="preserve">¸ Order No. 706-B, 126 FERC ¶ 61,229, </w:t>
      </w:r>
      <w:r>
        <w:rPr>
          <w:i/>
          <w:iCs/>
        </w:rPr>
        <w:t>order denying clarification</w:t>
      </w:r>
      <w:r>
        <w:t>, Order No. 706-C, 127 FERC ¶ 61,273 (2009).</w:t>
      </w:r>
    </w:p>
  </w:footnote>
  <w:footnote w:id="9">
    <w:p w14:paraId="5C356052" w14:textId="77777777" w:rsidR="00D06F71" w:rsidRPr="00A31ED5" w:rsidRDefault="00D06F71" w:rsidP="0009772E">
      <w:pPr>
        <w:pStyle w:val="FootnoteText"/>
        <w:rPr>
          <w:iCs/>
        </w:rPr>
      </w:pPr>
      <w:r>
        <w:rPr>
          <w:rStyle w:val="FootnoteReference"/>
        </w:rPr>
        <w:footnoteRef/>
      </w:r>
      <w:r>
        <w:t xml:space="preserve"> In general, NERC recognizes</w:t>
      </w:r>
      <w:r w:rsidRPr="0009772E">
        <w:t xml:space="preserve"> the </w:t>
      </w:r>
      <w:r>
        <w:t xml:space="preserve">BES </w:t>
      </w:r>
      <w:r w:rsidRPr="0009772E">
        <w:t xml:space="preserve">to </w:t>
      </w:r>
      <w:r>
        <w:t>include</w:t>
      </w:r>
      <w:r w:rsidRPr="0009772E">
        <w:t xml:space="preserve"> all </w:t>
      </w:r>
      <w:r w:rsidRPr="00DC4882">
        <w:t>Transmission Elements operated at 100 kV or higher</w:t>
      </w:r>
      <w:r w:rsidRPr="0009772E">
        <w:t xml:space="preserve"> and </w:t>
      </w:r>
      <w:r w:rsidRPr="00DC4882">
        <w:t xml:space="preserve">Real Power and Reactive Power resources connected at 100 kV or higher.  This does not include </w:t>
      </w:r>
      <w:r w:rsidRPr="0009772E">
        <w:t xml:space="preserve">facilities </w:t>
      </w:r>
      <w:r w:rsidRPr="00DC4882">
        <w:t>used in</w:t>
      </w:r>
      <w:r w:rsidRPr="0009772E">
        <w:t xml:space="preserve"> the </w:t>
      </w:r>
      <w:r w:rsidRPr="00DC4882">
        <w:t>local distribution of electric energy.</w:t>
      </w:r>
      <w:r>
        <w:t xml:space="preserve">  </w:t>
      </w:r>
      <w:r w:rsidRPr="006223FD">
        <w:rPr>
          <w:i/>
          <w:iCs/>
        </w:rPr>
        <w:t>See</w:t>
      </w:r>
      <w:r>
        <w:t xml:space="preserve"> NERC, </w:t>
      </w:r>
      <w:r w:rsidRPr="008E5DB6">
        <w:rPr>
          <w:i/>
          <w:iCs/>
        </w:rPr>
        <w:t>Bulk Electric System</w:t>
      </w:r>
      <w:r>
        <w:rPr>
          <w:i/>
          <w:iCs/>
        </w:rPr>
        <w:t xml:space="preserve"> Definition</w:t>
      </w:r>
      <w:r w:rsidRPr="008E5DB6">
        <w:rPr>
          <w:i/>
          <w:iCs/>
        </w:rPr>
        <w:t xml:space="preserve"> Reference Document</w:t>
      </w:r>
      <w:r>
        <w:t>, Version 3, at page iii (August 2018).  The terms BES (defined by NERC and adopted by the Commission) and bulk power system (a term defined in the EPAct 2005) are both used throughout this document.</w:t>
      </w:r>
    </w:p>
  </w:footnote>
  <w:footnote w:id="10">
    <w:p w14:paraId="0CB29380" w14:textId="351546C9" w:rsidR="00D06F71" w:rsidRDefault="00D06F71" w:rsidP="004122F0">
      <w:pPr>
        <w:pStyle w:val="FootnoteText"/>
      </w:pPr>
      <w:r>
        <w:rPr>
          <w:rStyle w:val="FootnoteReference"/>
        </w:rPr>
        <w:footnoteRef/>
      </w:r>
      <w:r>
        <w:t xml:space="preserve"> Exec. Order No. 13,920, </w:t>
      </w:r>
      <w:r>
        <w:rPr>
          <w:i/>
          <w:iCs/>
        </w:rPr>
        <w:t>Securing the U.S. Bulk-Power System</w:t>
      </w:r>
      <w:r>
        <w:t>, 85 Fed. Reg. 26,595, at 26,595 (May 1, 2020).</w:t>
      </w:r>
    </w:p>
  </w:footnote>
  <w:footnote w:id="11">
    <w:p w14:paraId="39D14FDF" w14:textId="77777777" w:rsidR="00D06F71" w:rsidRDefault="00D06F71" w:rsidP="004122F0">
      <w:pPr>
        <w:pStyle w:val="FootnoteText"/>
      </w:pPr>
      <w:r>
        <w:rPr>
          <w:rStyle w:val="FootnoteReference"/>
        </w:rPr>
        <w:footnoteRef/>
      </w:r>
      <w:r>
        <w:t xml:space="preserve"> Idaho National Laboratory, </w:t>
      </w:r>
      <w:r>
        <w:rPr>
          <w:i/>
          <w:iCs/>
        </w:rPr>
        <w:t>Cyber Threat and Vulnerability Analysis of the U.S. Electric Sector</w:t>
      </w:r>
      <w:r>
        <w:t>, at 10 (Aug. 2016), https://www.energy.gov/sites/prod/files/2017/01/f34/Cyber%20Threat%20and%20Vulnerability%20Analysis%20of%20the%20U.S.%20Electric%20Sector.pdf.</w:t>
      </w:r>
    </w:p>
  </w:footnote>
  <w:footnote w:id="12">
    <w:p w14:paraId="2DF1E498" w14:textId="2D510257" w:rsidR="00D06F71" w:rsidRDefault="00D06F71" w:rsidP="004122F0">
      <w:pPr>
        <w:pStyle w:val="FootnoteText"/>
        <w:rPr>
          <w:i/>
        </w:rPr>
      </w:pPr>
      <w:r w:rsidRPr="00892118">
        <w:rPr>
          <w:rStyle w:val="FootnoteReference"/>
        </w:rPr>
        <w:footnoteRef/>
      </w:r>
      <w:r w:rsidRPr="00892118">
        <w:t xml:space="preserve"> </w:t>
      </w:r>
      <w:r w:rsidRPr="00892118">
        <w:rPr>
          <w:i/>
          <w:iCs/>
        </w:rPr>
        <w:t xml:space="preserve">See </w:t>
      </w:r>
      <w:r w:rsidRPr="00892118">
        <w:t xml:space="preserve">U.S. Gov’t Accountability Office, </w:t>
      </w:r>
      <w:r w:rsidRPr="00892118">
        <w:rPr>
          <w:i/>
          <w:iCs/>
        </w:rPr>
        <w:t>Critical Infrastructure Protection – Actions Needed to Address Significant Cybersecurity Risks Facing the Electric Grid</w:t>
      </w:r>
      <w:r w:rsidRPr="00892118">
        <w:t>, at 50-52 (Aug. 2019), https://www.gao.gov/assets/710/701079.pdf.</w:t>
      </w:r>
    </w:p>
  </w:footnote>
  <w:footnote w:id="13">
    <w:p w14:paraId="33DB791B" w14:textId="77777777" w:rsidR="00D06F71" w:rsidRDefault="00D06F71" w:rsidP="004122F0">
      <w:pPr>
        <w:pStyle w:val="FootnoteText"/>
      </w:pPr>
      <w:r>
        <w:rPr>
          <w:rStyle w:val="FootnoteReference"/>
        </w:rPr>
        <w:footnoteRef/>
      </w:r>
      <w:r>
        <w:t xml:space="preserve"> For example, a cybersecurity incident that causes power plant outages or other electric disruptions could affect telecommunications, water supply, hospital services, financial transactions, and other essential services.</w:t>
      </w:r>
    </w:p>
  </w:footnote>
  <w:footnote w:id="14">
    <w:p w14:paraId="44EA1EE4" w14:textId="77777777" w:rsidR="00D06F71" w:rsidRDefault="00D06F71" w:rsidP="00D811DE">
      <w:pPr>
        <w:pStyle w:val="FootnoteText"/>
        <w:spacing w:after="160"/>
        <w:rPr>
          <w:szCs w:val="26"/>
        </w:rPr>
      </w:pPr>
      <w:r>
        <w:rPr>
          <w:rStyle w:val="FootnoteReference"/>
        </w:rPr>
        <w:footnoteRef/>
      </w:r>
      <w:r>
        <w:t xml:space="preserve"> Energy Policy Act of 2005, </w:t>
      </w:r>
      <w:r w:rsidRPr="006669F6">
        <w:t>Pub. L. No. 109-58, 119 Stat. 594 (2005</w:t>
      </w:r>
      <w:r>
        <w:t>) (EPAct 2005).</w:t>
      </w:r>
    </w:p>
  </w:footnote>
  <w:footnote w:id="15">
    <w:p w14:paraId="64AFE39F" w14:textId="77777777" w:rsidR="00D06F71" w:rsidRDefault="00D06F71" w:rsidP="00D811DE">
      <w:pPr>
        <w:pStyle w:val="FootnoteText"/>
        <w:spacing w:after="160"/>
      </w:pPr>
      <w:r>
        <w:rPr>
          <w:rStyle w:val="FootnoteReference"/>
        </w:rPr>
        <w:footnoteRef/>
      </w:r>
      <w:r>
        <w:t xml:space="preserve"> 16 U.S.C. § 824o(a)(3) (2018).</w:t>
      </w:r>
    </w:p>
  </w:footnote>
  <w:footnote w:id="16">
    <w:p w14:paraId="4ABC3FF3" w14:textId="77777777" w:rsidR="00D06F71" w:rsidRDefault="00D06F71" w:rsidP="00D811DE">
      <w:pPr>
        <w:pStyle w:val="FootnoteText"/>
        <w:spacing w:after="160"/>
      </w:pPr>
      <w:r>
        <w:rPr>
          <w:rStyle w:val="FootnoteReference"/>
        </w:rPr>
        <w:footnoteRef/>
      </w:r>
      <w:r>
        <w:t xml:space="preserve"> </w:t>
      </w:r>
      <w:r>
        <w:rPr>
          <w:i/>
        </w:rPr>
        <w:t>Rules Concerning Certification of the Elec. Reliability Org.; and Procedures for the Establishment, Approval, and Enf’t of Elec. Reliability Standards</w:t>
      </w:r>
      <w:r>
        <w:t>, Order No. 672,</w:t>
      </w:r>
      <w:r w:rsidRPr="00EA4096">
        <w:rPr>
          <w:rFonts w:eastAsia="Times New Roman"/>
          <w:szCs w:val="26"/>
        </w:rPr>
        <w:t xml:space="preserve"> </w:t>
      </w:r>
      <w:r w:rsidRPr="00EA4096">
        <w:t>114 FERC ¶ 61,104</w:t>
      </w:r>
      <w:r>
        <w:t xml:space="preserve">, </w:t>
      </w:r>
      <w:r>
        <w:rPr>
          <w:i/>
        </w:rPr>
        <w:t>order on reh’g</w:t>
      </w:r>
      <w:r>
        <w:t>, Order No. 672</w:t>
      </w:r>
      <w:r>
        <w:noBreakHyphen/>
        <w:t xml:space="preserve">A, </w:t>
      </w:r>
      <w:r w:rsidRPr="00EA4096">
        <w:t>114 FERC ¶ 61,328</w:t>
      </w:r>
      <w:r>
        <w:t xml:space="preserve"> (2006).</w:t>
      </w:r>
    </w:p>
  </w:footnote>
  <w:footnote w:id="17">
    <w:p w14:paraId="32EE2A6A" w14:textId="77777777" w:rsidR="00D06F71" w:rsidRDefault="00D06F71" w:rsidP="00D811DE">
      <w:pPr>
        <w:spacing w:after="240"/>
        <w:ind w:firstLine="720"/>
        <w:rPr>
          <w:szCs w:val="26"/>
        </w:rPr>
      </w:pPr>
      <w:r>
        <w:rPr>
          <w:rStyle w:val="FootnoteReference"/>
          <w:rFonts w:cstheme="minorBidi"/>
        </w:rPr>
        <w:footnoteRef/>
      </w:r>
      <w:r>
        <w:t xml:space="preserve"> </w:t>
      </w:r>
      <w:r>
        <w:rPr>
          <w:i/>
          <w:szCs w:val="26"/>
        </w:rPr>
        <w:t>N. Am. Elec. Reliability Corp.</w:t>
      </w:r>
      <w:r>
        <w:rPr>
          <w:szCs w:val="26"/>
        </w:rPr>
        <w:t xml:space="preserve">, 116 FERC ¶ 61,062, </w:t>
      </w:r>
      <w:r>
        <w:rPr>
          <w:i/>
          <w:szCs w:val="26"/>
        </w:rPr>
        <w:t>order on reh’g and compliance</w:t>
      </w:r>
      <w:r>
        <w:rPr>
          <w:szCs w:val="26"/>
        </w:rPr>
        <w:t xml:space="preserve">, 117 FERC ¶ 61,126 (2006), </w:t>
      </w:r>
      <w:r>
        <w:rPr>
          <w:i/>
          <w:szCs w:val="26"/>
        </w:rPr>
        <w:t>aff’d sub nom. Alcoa, Inc. v. FERC</w:t>
      </w:r>
      <w:r>
        <w:rPr>
          <w:szCs w:val="26"/>
        </w:rPr>
        <w:t>, 564 F.3d 1342 (D.C. Cir. 2009).</w:t>
      </w:r>
    </w:p>
  </w:footnote>
  <w:footnote w:id="18">
    <w:p w14:paraId="75DDF5E1" w14:textId="3FCB9B28" w:rsidR="00D06F71" w:rsidRDefault="00D06F71" w:rsidP="00D811DE">
      <w:pPr>
        <w:pStyle w:val="FootnoteText"/>
        <w:spacing w:after="160"/>
        <w:rPr>
          <w:b/>
          <w:bCs/>
          <w:szCs w:val="26"/>
        </w:rPr>
      </w:pPr>
      <w:r>
        <w:rPr>
          <w:rStyle w:val="FootnoteReference"/>
        </w:rPr>
        <w:footnoteRef/>
      </w:r>
      <w:r>
        <w:t xml:space="preserve"> Order No. 706, 122 FERC ¶ 61,040 at P 1.</w:t>
      </w:r>
    </w:p>
  </w:footnote>
  <w:footnote w:id="19">
    <w:p w14:paraId="4F74A3A2" w14:textId="2F3F3870" w:rsidR="00D06F71" w:rsidRPr="003D5847" w:rsidRDefault="00D06F71">
      <w:pPr>
        <w:pStyle w:val="FootnoteText"/>
      </w:pPr>
      <w:r>
        <w:rPr>
          <w:rStyle w:val="FootnoteReference"/>
        </w:rPr>
        <w:footnoteRef/>
      </w:r>
      <w:r>
        <w:t xml:space="preserve"> </w:t>
      </w:r>
      <w:r>
        <w:rPr>
          <w:i/>
          <w:iCs/>
        </w:rPr>
        <w:t>Version 5 Critical Infrastructure Protection Reliability Standards</w:t>
      </w:r>
      <w:r>
        <w:t xml:space="preserve">, Order No. 791, 145 FERC ¶ 61,160 (2013), </w:t>
      </w:r>
      <w:r>
        <w:rPr>
          <w:i/>
          <w:iCs/>
        </w:rPr>
        <w:t>order on clarification and reh’g</w:t>
      </w:r>
      <w:r>
        <w:t>, Order No. 791-A, 146 FERC ¶ 61,188 (2014).</w:t>
      </w:r>
    </w:p>
  </w:footnote>
  <w:footnote w:id="20">
    <w:p w14:paraId="543F626C" w14:textId="744F360C" w:rsidR="00D06F71" w:rsidRDefault="00D06F71">
      <w:pPr>
        <w:pStyle w:val="FootnoteText"/>
      </w:pPr>
      <w:r>
        <w:rPr>
          <w:rStyle w:val="FootnoteReference"/>
        </w:rPr>
        <w:footnoteRef/>
      </w:r>
      <w:r>
        <w:t xml:space="preserve"> </w:t>
      </w:r>
      <w:r w:rsidRPr="00641EEA">
        <w:t xml:space="preserve">CIP-003 </w:t>
      </w:r>
      <w:r>
        <w:t xml:space="preserve">otherwise </w:t>
      </w:r>
      <w:r w:rsidRPr="00641EEA">
        <w:t>applies to BES Cyber Systems of all impact ratings</w:t>
      </w:r>
      <w:r>
        <w:t>.</w:t>
      </w:r>
    </w:p>
  </w:footnote>
  <w:footnote w:id="21">
    <w:p w14:paraId="23019AE4" w14:textId="7FEDBB47" w:rsidR="00D06F71" w:rsidRDefault="00D06F71">
      <w:pPr>
        <w:pStyle w:val="FootnoteText"/>
      </w:pPr>
      <w:r>
        <w:rPr>
          <w:rStyle w:val="FootnoteReference"/>
        </w:rPr>
        <w:footnoteRef/>
      </w:r>
      <w:r>
        <w:t xml:space="preserve"> T</w:t>
      </w:r>
      <w:r w:rsidRPr="00680A87">
        <w:t>here is one CIP Reliability Standard concerning physical security, which is not a subject of this staff paper</w:t>
      </w:r>
      <w:r>
        <w:t>.  CIP-014-2—Physical Security</w:t>
      </w:r>
      <w:r w:rsidRPr="00680A87">
        <w:t xml:space="preserve"> requires entities to identify and protect transmission stations and transmission substations, and their associated primary control centers, that, if rendered inoperable or damaged as a result of a physical attack, could result in instability, uncontrolled separation, or cascading within an interconnection.</w:t>
      </w:r>
    </w:p>
  </w:footnote>
  <w:footnote w:id="22">
    <w:p w14:paraId="7D13965A" w14:textId="5D82BDE7" w:rsidR="00D06F71" w:rsidRDefault="00D06F71" w:rsidP="00322C7E">
      <w:pPr>
        <w:pStyle w:val="FootnoteText"/>
      </w:pPr>
      <w:r w:rsidRPr="0097022B">
        <w:rPr>
          <w:rStyle w:val="FootnoteReference"/>
        </w:rPr>
        <w:footnoteRef/>
      </w:r>
      <w:r w:rsidRPr="0097022B">
        <w:t xml:space="preserve"> CIP-012-1: Communications between Control Centers </w:t>
      </w:r>
      <w:r w:rsidRPr="00F3553F">
        <w:t>will be subject to enforcement by July 1, 2022.</w:t>
      </w:r>
      <w:r w:rsidRPr="0097022B">
        <w:t xml:space="preserve"> </w:t>
      </w:r>
      <w:r w:rsidRPr="00F3553F">
        <w:t xml:space="preserve"> </w:t>
      </w:r>
      <w:r w:rsidRPr="0097022B">
        <w:t>CIP-013-1: Supply Chain Risk Management will be subject to enforcement by October 2020.  In addition, updates to three CIP Reliability Standards will become enforceable over the next two years:  CIP-005-6 and CIP-010-3</w:t>
      </w:r>
      <w:r w:rsidRPr="0087400D">
        <w:t xml:space="preserve"> (enforceable by October 2020), and CIP-00</w:t>
      </w:r>
      <w:r w:rsidRPr="00F3553F">
        <w:t xml:space="preserve">8-6 (enforceable by January 2021).  </w:t>
      </w:r>
    </w:p>
  </w:footnote>
  <w:footnote w:id="23">
    <w:p w14:paraId="6F30C551" w14:textId="77777777" w:rsidR="00D06F71" w:rsidRDefault="00D06F71" w:rsidP="00302159">
      <w:pPr>
        <w:pStyle w:val="FootnoteText"/>
      </w:pPr>
      <w:r>
        <w:rPr>
          <w:rStyle w:val="FootnoteReference"/>
        </w:rPr>
        <w:footnoteRef/>
      </w:r>
      <w:r>
        <w:t xml:space="preserve"> NERC defines a BES Cyber System as one or more BES Cyber Assets logically grouped by a responsible entity to perform one or more reliability tasks for a functional entity.  NERC, </w:t>
      </w:r>
      <w:r w:rsidRPr="006D7E59">
        <w:rPr>
          <w:i/>
          <w:iCs/>
        </w:rPr>
        <w:t>Glossary of Terms Used in NERC Reliability Standards</w:t>
      </w:r>
      <w:r>
        <w:rPr>
          <w:i/>
          <w:iCs/>
        </w:rPr>
        <w:t xml:space="preserve">, </w:t>
      </w:r>
      <w:r w:rsidRPr="006D7E59">
        <w:t>at 5</w:t>
      </w:r>
      <w:r>
        <w:t xml:space="preserve"> (2020), </w:t>
      </w:r>
      <w:r w:rsidRPr="002002E6">
        <w:t>https://www.nerc.com/pa/Stand/Glossary%20of%20Terms/Glossary_of_Terms.pdf</w:t>
      </w:r>
      <w:r>
        <w:t xml:space="preserve"> (NERC Glossary of Terms).</w:t>
      </w:r>
    </w:p>
  </w:footnote>
  <w:footnote w:id="24">
    <w:p w14:paraId="0153B6A4" w14:textId="6F77988D" w:rsidR="00D06F71" w:rsidRDefault="00D06F71">
      <w:pPr>
        <w:pStyle w:val="FootnoteText"/>
      </w:pPr>
      <w:r>
        <w:rPr>
          <w:rStyle w:val="FootnoteReference"/>
        </w:rPr>
        <w:footnoteRef/>
      </w:r>
      <w:r>
        <w:t xml:space="preserve"> Defense-in-depth is </w:t>
      </w:r>
      <w:r w:rsidR="007104D5">
        <w:t>“[</w:t>
      </w:r>
      <w:r>
        <w:t>t]</w:t>
      </w:r>
      <w:r w:rsidRPr="00EA0FDE">
        <w:t>he application of multiple countermeasures in a layered or stepwise manner to achieve security objectives.</w:t>
      </w:r>
      <w:r>
        <w:t xml:space="preserve"> </w:t>
      </w:r>
      <w:r w:rsidRPr="00EA0FDE">
        <w:t xml:space="preserve"> The methodology involves layering heterogeneous security technologies in the common attack vectors to ensure that attacks missed by one technology are caught by another</w:t>
      </w:r>
      <w:r w:rsidR="007104D5" w:rsidRPr="00EA0FDE">
        <w:t>.</w:t>
      </w:r>
      <w:r w:rsidR="007104D5">
        <w:t>”</w:t>
      </w:r>
      <w:r>
        <w:t xml:space="preserve">  </w:t>
      </w:r>
      <w:r>
        <w:rPr>
          <w:szCs w:val="26"/>
        </w:rPr>
        <w:t xml:space="preserve">NIST, </w:t>
      </w:r>
      <w:r>
        <w:rPr>
          <w:i/>
          <w:iCs/>
          <w:szCs w:val="26"/>
        </w:rPr>
        <w:t>Computer Security Resource Center Glossary</w:t>
      </w:r>
      <w:r>
        <w:rPr>
          <w:szCs w:val="26"/>
        </w:rPr>
        <w:t>,</w:t>
      </w:r>
      <w:r>
        <w:rPr>
          <w:i/>
          <w:iCs/>
        </w:rPr>
        <w:t xml:space="preserve"> </w:t>
      </w:r>
      <w:r w:rsidRPr="00EA0FDE">
        <w:t>https://csrc.nist.gov/glossary/term/defense_in_depth</w:t>
      </w:r>
      <w:r>
        <w:t>.</w:t>
      </w:r>
    </w:p>
  </w:footnote>
  <w:footnote w:id="25">
    <w:p w14:paraId="3D608959" w14:textId="30C02826" w:rsidR="00D06F71" w:rsidRDefault="00D06F71">
      <w:pPr>
        <w:pStyle w:val="FootnoteText"/>
      </w:pPr>
      <w:r>
        <w:rPr>
          <w:rStyle w:val="FootnoteReference"/>
        </w:rPr>
        <w:footnoteRef/>
      </w:r>
      <w:r>
        <w:t xml:space="preserve"> </w:t>
      </w:r>
      <w:r w:rsidRPr="00A047B1">
        <w:rPr>
          <w:i/>
        </w:rPr>
        <w:t>See</w:t>
      </w:r>
      <w:r>
        <w:t xml:space="preserve"> </w:t>
      </w:r>
      <w:r>
        <w:rPr>
          <w:i/>
        </w:rPr>
        <w:t>Boston Edison Co.</w:t>
      </w:r>
      <w:r>
        <w:t>, 109 FERC ¶ 61,300, at P 40 (2004) (</w:t>
      </w:r>
      <w:bookmarkStart w:id="5" w:name="_Hlk40626882"/>
      <w:r>
        <w:t>accepting</w:t>
      </w:r>
      <w:r w:rsidRPr="0004415D">
        <w:t xml:space="preserve"> proposed modifications to transmission formula rates filed by Boston Edison Company to </w:t>
      </w:r>
      <w:r>
        <w:t xml:space="preserve">allow </w:t>
      </w:r>
      <w:r w:rsidRPr="0004415D">
        <w:t>recover</w:t>
      </w:r>
      <w:r>
        <w:t>y of</w:t>
      </w:r>
      <w:r w:rsidRPr="0004415D">
        <w:t xml:space="preserve"> capitalized software costs</w:t>
      </w:r>
      <w:r>
        <w:t xml:space="preserve"> that the utility stated it incurred</w:t>
      </w:r>
      <w:r w:rsidRPr="0004415D">
        <w:t xml:space="preserve"> to comply with the Commission’s mandate to safeguard the reliability and security of its transmission system</w:t>
      </w:r>
      <w:bookmarkEnd w:id="5"/>
      <w:r>
        <w:t xml:space="preserve">), </w:t>
      </w:r>
      <w:r>
        <w:rPr>
          <w:i/>
          <w:iCs/>
        </w:rPr>
        <w:t>order on reh’g</w:t>
      </w:r>
      <w:r>
        <w:t xml:space="preserve">, 111 FERC ¶ 61,266 (2005).  </w:t>
      </w:r>
    </w:p>
  </w:footnote>
  <w:footnote w:id="26">
    <w:p w14:paraId="418EA108" w14:textId="56D103E8" w:rsidR="00D06F71" w:rsidRPr="00C95BDC" w:rsidRDefault="00D06F71" w:rsidP="0004415D">
      <w:pPr>
        <w:pStyle w:val="FootnoteText"/>
      </w:pPr>
      <w:r>
        <w:rPr>
          <w:rStyle w:val="FootnoteReference"/>
        </w:rPr>
        <w:footnoteRef/>
      </w:r>
      <w:r>
        <w:t xml:space="preserve"> </w:t>
      </w:r>
      <w:r w:rsidRPr="000507A1">
        <w:rPr>
          <w:i/>
        </w:rPr>
        <w:t>See</w:t>
      </w:r>
      <w:r>
        <w:t xml:space="preserve"> </w:t>
      </w:r>
      <w:r w:rsidRPr="00F9408C">
        <w:rPr>
          <w:i/>
          <w:szCs w:val="26"/>
        </w:rPr>
        <w:t>Pac</w:t>
      </w:r>
      <w:r>
        <w:rPr>
          <w:i/>
          <w:szCs w:val="26"/>
        </w:rPr>
        <w:t>.</w:t>
      </w:r>
      <w:r w:rsidRPr="00F9408C">
        <w:rPr>
          <w:i/>
          <w:szCs w:val="26"/>
        </w:rPr>
        <w:t xml:space="preserve"> Gas and Elec</w:t>
      </w:r>
      <w:r>
        <w:rPr>
          <w:i/>
          <w:szCs w:val="26"/>
        </w:rPr>
        <w:t>.</w:t>
      </w:r>
      <w:r w:rsidRPr="00F9408C">
        <w:rPr>
          <w:i/>
          <w:szCs w:val="26"/>
        </w:rPr>
        <w:t xml:space="preserve"> Co</w:t>
      </w:r>
      <w:r>
        <w:rPr>
          <w:i/>
          <w:szCs w:val="26"/>
        </w:rPr>
        <w:t>.</w:t>
      </w:r>
      <w:r>
        <w:rPr>
          <w:szCs w:val="26"/>
        </w:rPr>
        <w:t xml:space="preserve">, 149 FERC ¶ 61,112 (2014); </w:t>
      </w:r>
      <w:r w:rsidRPr="00332913">
        <w:rPr>
          <w:i/>
          <w:szCs w:val="26"/>
        </w:rPr>
        <w:t>Pac</w:t>
      </w:r>
      <w:r>
        <w:rPr>
          <w:i/>
          <w:szCs w:val="26"/>
        </w:rPr>
        <w:t>.</w:t>
      </w:r>
      <w:r w:rsidRPr="00332913">
        <w:rPr>
          <w:i/>
          <w:szCs w:val="26"/>
        </w:rPr>
        <w:t xml:space="preserve"> Gas and Elec</w:t>
      </w:r>
      <w:r>
        <w:rPr>
          <w:i/>
          <w:szCs w:val="26"/>
        </w:rPr>
        <w:t>.</w:t>
      </w:r>
      <w:r w:rsidRPr="00332913">
        <w:rPr>
          <w:i/>
          <w:szCs w:val="26"/>
        </w:rPr>
        <w:t xml:space="preserve"> Co</w:t>
      </w:r>
      <w:r>
        <w:rPr>
          <w:i/>
          <w:szCs w:val="26"/>
        </w:rPr>
        <w:t>.</w:t>
      </w:r>
      <w:r>
        <w:rPr>
          <w:szCs w:val="26"/>
        </w:rPr>
        <w:t>,</w:t>
      </w:r>
      <w:r w:rsidRPr="00557C8E">
        <w:rPr>
          <w:szCs w:val="26"/>
        </w:rPr>
        <w:t xml:space="preserve"> </w:t>
      </w:r>
      <w:r>
        <w:rPr>
          <w:szCs w:val="26"/>
        </w:rPr>
        <w:t xml:space="preserve">146 FERC ¶ 61,034 (2014).  </w:t>
      </w:r>
    </w:p>
  </w:footnote>
  <w:footnote w:id="27">
    <w:p w14:paraId="5C81D78F" w14:textId="7BBC2540" w:rsidR="00D06F71" w:rsidRDefault="00D06F71" w:rsidP="00947E89">
      <w:pPr>
        <w:pStyle w:val="FootnoteText"/>
      </w:pPr>
      <w:r>
        <w:rPr>
          <w:rStyle w:val="FootnoteReference"/>
        </w:rPr>
        <w:footnoteRef/>
      </w:r>
      <w:r>
        <w:t xml:space="preserve"> </w:t>
      </w:r>
      <w:r w:rsidRPr="00EF303C">
        <w:rPr>
          <w:i/>
          <w:iCs/>
        </w:rPr>
        <w:t>Extraordinary Expenditures Necessary to Safeguard Nat</w:t>
      </w:r>
      <w:r>
        <w:rPr>
          <w:i/>
          <w:iCs/>
        </w:rPr>
        <w:t>’</w:t>
      </w:r>
      <w:r w:rsidRPr="00EF303C">
        <w:rPr>
          <w:i/>
          <w:iCs/>
        </w:rPr>
        <w:t>l Energy Supplies</w:t>
      </w:r>
      <w:r w:rsidRPr="00EC16E5">
        <w:t>, 96 FERC¶ 61,299</w:t>
      </w:r>
      <w:r>
        <w:t>,</w:t>
      </w:r>
      <w:r w:rsidRPr="00EC16E5">
        <w:t xml:space="preserve"> </w:t>
      </w:r>
      <w:r>
        <w:t xml:space="preserve">at 62,129 </w:t>
      </w:r>
      <w:r w:rsidRPr="00EC16E5">
        <w:t>(2001)</w:t>
      </w:r>
      <w:r>
        <w:t>.</w:t>
      </w:r>
    </w:p>
  </w:footnote>
  <w:footnote w:id="28">
    <w:p w14:paraId="7C375EE3" w14:textId="71292359" w:rsidR="00D06F71" w:rsidRPr="00A047B1" w:rsidRDefault="00D06F71" w:rsidP="00947E89">
      <w:pPr>
        <w:pStyle w:val="FootnoteText"/>
        <w:rPr>
          <w:i/>
        </w:rPr>
      </w:pPr>
      <w:r>
        <w:rPr>
          <w:rStyle w:val="FootnoteReference"/>
        </w:rPr>
        <w:footnoteRef/>
      </w:r>
      <w:r>
        <w:t xml:space="preserve"> </w:t>
      </w:r>
      <w:r>
        <w:rPr>
          <w:i/>
          <w:iCs/>
        </w:rPr>
        <w:t>Id.</w:t>
      </w:r>
    </w:p>
  </w:footnote>
  <w:footnote w:id="29">
    <w:p w14:paraId="734037C7" w14:textId="3ADA7261" w:rsidR="00D06F71" w:rsidRPr="006B33E3" w:rsidRDefault="00D06F71" w:rsidP="00947E89">
      <w:pPr>
        <w:pStyle w:val="FootnoteText"/>
        <w:rPr>
          <w:i/>
          <w:iCs/>
        </w:rPr>
      </w:pPr>
      <w:r>
        <w:rPr>
          <w:rStyle w:val="FootnoteReference"/>
        </w:rPr>
        <w:footnoteRef/>
      </w:r>
      <w:r>
        <w:t xml:space="preserve"> </w:t>
      </w:r>
      <w:r>
        <w:rPr>
          <w:i/>
          <w:iCs/>
        </w:rPr>
        <w:t xml:space="preserve">Id.  </w:t>
      </w:r>
      <w:r w:rsidRPr="00A047B1">
        <w:rPr>
          <w:i/>
        </w:rPr>
        <w:t>See</w:t>
      </w:r>
      <w:r>
        <w:t xml:space="preserve"> </w:t>
      </w:r>
      <w:r w:rsidRPr="001B0159">
        <w:rPr>
          <w:i/>
        </w:rPr>
        <w:t>also</w:t>
      </w:r>
      <w:r>
        <w:t xml:space="preserve"> </w:t>
      </w:r>
      <w:r>
        <w:rPr>
          <w:i/>
        </w:rPr>
        <w:t>Boston Edison</w:t>
      </w:r>
      <w:r>
        <w:t>, 109 FERC ¶ 61,300 at P 40;</w:t>
      </w:r>
      <w:r>
        <w:rPr>
          <w:i/>
          <w:iCs/>
        </w:rPr>
        <w:t xml:space="preserve"> </w:t>
      </w:r>
      <w:r w:rsidRPr="00D9016E">
        <w:rPr>
          <w:i/>
          <w:iCs/>
        </w:rPr>
        <w:t>Policy Statement on Matters Related to Bulk Power Sys</w:t>
      </w:r>
      <w:r>
        <w:rPr>
          <w:i/>
          <w:iCs/>
        </w:rPr>
        <w:t>.</w:t>
      </w:r>
      <w:r w:rsidRPr="00D9016E">
        <w:rPr>
          <w:i/>
          <w:iCs/>
        </w:rPr>
        <w:t xml:space="preserve"> Reliability</w:t>
      </w:r>
      <w:r>
        <w:rPr>
          <w:i/>
          <w:iCs/>
        </w:rPr>
        <w:t xml:space="preserve">, </w:t>
      </w:r>
      <w:r>
        <w:t>107 FERC ¶ 61,052 (2004).</w:t>
      </w:r>
    </w:p>
  </w:footnote>
  <w:footnote w:id="30">
    <w:p w14:paraId="3A89EE93" w14:textId="53698701" w:rsidR="00D06F71" w:rsidRDefault="00D06F71" w:rsidP="00947E89">
      <w:pPr>
        <w:pStyle w:val="FootnoteText"/>
      </w:pPr>
      <w:r>
        <w:rPr>
          <w:rStyle w:val="FootnoteReference"/>
        </w:rPr>
        <w:footnoteRef/>
      </w:r>
      <w:r>
        <w:t xml:space="preserve"> </w:t>
      </w:r>
      <w:r w:rsidRPr="0035361B">
        <w:rPr>
          <w:i/>
          <w:szCs w:val="26"/>
        </w:rPr>
        <w:t>Edison Elec</w:t>
      </w:r>
      <w:r>
        <w:rPr>
          <w:i/>
          <w:szCs w:val="26"/>
        </w:rPr>
        <w:t>.</w:t>
      </w:r>
      <w:r w:rsidRPr="0035361B">
        <w:rPr>
          <w:i/>
          <w:szCs w:val="26"/>
        </w:rPr>
        <w:t xml:space="preserve"> Inst</w:t>
      </w:r>
      <w:r>
        <w:rPr>
          <w:i/>
          <w:szCs w:val="26"/>
        </w:rPr>
        <w:t>.</w:t>
      </w:r>
      <w:r w:rsidRPr="0035361B">
        <w:rPr>
          <w:i/>
          <w:szCs w:val="26"/>
        </w:rPr>
        <w:t xml:space="preserve"> on behalf of the Jurisdictional Signatories to the Spare Transformer Sharing Agreement</w:t>
      </w:r>
      <w:r w:rsidRPr="0035361B">
        <w:rPr>
          <w:szCs w:val="26"/>
        </w:rPr>
        <w:t>, 116 FERC ¶ 61,280</w:t>
      </w:r>
      <w:r>
        <w:rPr>
          <w:szCs w:val="26"/>
        </w:rPr>
        <w:t>, at P 2</w:t>
      </w:r>
      <w:r w:rsidRPr="0035361B">
        <w:rPr>
          <w:szCs w:val="26"/>
        </w:rPr>
        <w:t xml:space="preserve"> (2006)</w:t>
      </w:r>
      <w:r>
        <w:rPr>
          <w:szCs w:val="26"/>
        </w:rPr>
        <w:t xml:space="preserve"> (STEP Order</w:t>
      </w:r>
      <w:r w:rsidRPr="0035361B">
        <w:rPr>
          <w:szCs w:val="26"/>
        </w:rPr>
        <w:t>).</w:t>
      </w:r>
    </w:p>
  </w:footnote>
  <w:footnote w:id="31">
    <w:p w14:paraId="58924A6D" w14:textId="7BEDFC63" w:rsidR="00D06F71" w:rsidRDefault="00D06F71" w:rsidP="00947E89">
      <w:pPr>
        <w:pStyle w:val="FootnoteText"/>
      </w:pPr>
      <w:r>
        <w:rPr>
          <w:rStyle w:val="FootnoteReference"/>
        </w:rPr>
        <w:footnoteRef/>
      </w:r>
      <w:r>
        <w:t xml:space="preserve"> </w:t>
      </w:r>
      <w:r w:rsidRPr="005028D8">
        <w:rPr>
          <w:szCs w:val="26"/>
        </w:rPr>
        <w:t>16 U.S.C. § 824</w:t>
      </w:r>
      <w:r>
        <w:rPr>
          <w:szCs w:val="26"/>
        </w:rPr>
        <w:t>b (2018)</w:t>
      </w:r>
      <w:r w:rsidRPr="005028D8">
        <w:rPr>
          <w:szCs w:val="26"/>
        </w:rPr>
        <w:t>.</w:t>
      </w:r>
    </w:p>
  </w:footnote>
  <w:footnote w:id="32">
    <w:p w14:paraId="7F3E2D4E" w14:textId="74D3B6FD" w:rsidR="00D06F71" w:rsidRDefault="00D06F71" w:rsidP="00947E89">
      <w:pPr>
        <w:pStyle w:val="FootnoteText"/>
      </w:pPr>
      <w:r>
        <w:rPr>
          <w:rStyle w:val="FootnoteReference"/>
        </w:rPr>
        <w:footnoteRef/>
      </w:r>
      <w:r>
        <w:t xml:space="preserve"> </w:t>
      </w:r>
      <w:r>
        <w:rPr>
          <w:iCs/>
          <w:szCs w:val="26"/>
        </w:rPr>
        <w:t>STEP Order</w:t>
      </w:r>
      <w:r w:rsidRPr="0035361B">
        <w:rPr>
          <w:szCs w:val="26"/>
        </w:rPr>
        <w:t xml:space="preserve">, 116 FERC ¶ 61,280 </w:t>
      </w:r>
      <w:r>
        <w:rPr>
          <w:szCs w:val="26"/>
        </w:rPr>
        <w:t>at P 21</w:t>
      </w:r>
      <w:r w:rsidRPr="0035361B">
        <w:rPr>
          <w:szCs w:val="26"/>
        </w:rPr>
        <w:t>.</w:t>
      </w:r>
    </w:p>
  </w:footnote>
  <w:footnote w:id="33">
    <w:p w14:paraId="602EE1C9" w14:textId="104A102E" w:rsidR="00D06F71" w:rsidRPr="007E64AA" w:rsidDel="008F129B" w:rsidRDefault="00D06F71" w:rsidP="00947E89">
      <w:pPr>
        <w:pStyle w:val="FootnoteText"/>
        <w:rPr>
          <w:i/>
          <w:iCs/>
        </w:rPr>
      </w:pPr>
      <w:r>
        <w:rPr>
          <w:rStyle w:val="FootnoteReference"/>
        </w:rPr>
        <w:footnoteRef/>
      </w:r>
      <w:r>
        <w:t xml:space="preserve"> </w:t>
      </w:r>
      <w:r>
        <w:rPr>
          <w:i/>
        </w:rPr>
        <w:t>Id.</w:t>
      </w:r>
      <w:r>
        <w:t xml:space="preserve"> P 43.  </w:t>
      </w:r>
      <w:r>
        <w:rPr>
          <w:i/>
          <w:iCs/>
        </w:rPr>
        <w:t xml:space="preserve">See also </w:t>
      </w:r>
      <w:r>
        <w:rPr>
          <w:i/>
          <w:szCs w:val="26"/>
        </w:rPr>
        <w:t xml:space="preserve">Jurisdictional Reg’l Equip. Sharing </w:t>
      </w:r>
      <w:r w:rsidRPr="00BD7292">
        <w:rPr>
          <w:i/>
          <w:szCs w:val="26"/>
        </w:rPr>
        <w:t xml:space="preserve">for Transmission Outage Restoration </w:t>
      </w:r>
      <w:r>
        <w:rPr>
          <w:i/>
          <w:szCs w:val="26"/>
        </w:rPr>
        <w:t>Participants</w:t>
      </w:r>
      <w:r>
        <w:rPr>
          <w:szCs w:val="26"/>
        </w:rPr>
        <w:t xml:space="preserve">, </w:t>
      </w:r>
      <w:r w:rsidRPr="00D11AB6">
        <w:rPr>
          <w:szCs w:val="26"/>
        </w:rPr>
        <w:t>163 FERC ¶ 61,005</w:t>
      </w:r>
      <w:r>
        <w:rPr>
          <w:szCs w:val="26"/>
        </w:rPr>
        <w:t>, at P 2</w:t>
      </w:r>
      <w:r w:rsidRPr="00D11AB6">
        <w:rPr>
          <w:szCs w:val="26"/>
        </w:rPr>
        <w:t xml:space="preserve"> (2018)</w:t>
      </w:r>
      <w:r>
        <w:rPr>
          <w:szCs w:val="26"/>
        </w:rPr>
        <w:t>.</w:t>
      </w:r>
    </w:p>
  </w:footnote>
  <w:footnote w:id="34">
    <w:p w14:paraId="213F188D" w14:textId="3AA4DB71" w:rsidR="00D06F71" w:rsidRPr="00793C76" w:rsidRDefault="00D06F71" w:rsidP="00947E89">
      <w:pPr>
        <w:pStyle w:val="FootnoteText"/>
        <w:rPr>
          <w:szCs w:val="26"/>
        </w:rPr>
      </w:pPr>
      <w:r w:rsidRPr="00793C76">
        <w:rPr>
          <w:rStyle w:val="FootnoteReference"/>
        </w:rPr>
        <w:footnoteRef/>
      </w:r>
      <w:r w:rsidRPr="00793C76">
        <w:rPr>
          <w:szCs w:val="26"/>
        </w:rPr>
        <w:t xml:space="preserve"> Commission regulations </w:t>
      </w:r>
      <w:r>
        <w:rPr>
          <w:szCs w:val="26"/>
        </w:rPr>
        <w:t>on</w:t>
      </w:r>
      <w:r w:rsidRPr="00793C76">
        <w:rPr>
          <w:szCs w:val="26"/>
        </w:rPr>
        <w:t xml:space="preserve"> electric rates charged to wholesale electric transmission customers are </w:t>
      </w:r>
      <w:r>
        <w:rPr>
          <w:szCs w:val="26"/>
        </w:rPr>
        <w:t xml:space="preserve">included in </w:t>
      </w:r>
      <w:r w:rsidRPr="00793C76">
        <w:rPr>
          <w:szCs w:val="26"/>
        </w:rPr>
        <w:t xml:space="preserve">18 C.F.R. Part 35.  </w:t>
      </w:r>
    </w:p>
  </w:footnote>
  <w:footnote w:id="35">
    <w:p w14:paraId="11B72F77" w14:textId="104B4D4B" w:rsidR="00D06F71" w:rsidRDefault="00D06F71" w:rsidP="00965846">
      <w:pPr>
        <w:pStyle w:val="FootnoteText"/>
      </w:pPr>
      <w:r>
        <w:rPr>
          <w:rStyle w:val="FootnoteReference"/>
        </w:rPr>
        <w:footnoteRef/>
      </w:r>
      <w:r>
        <w:t xml:space="preserve"> </w:t>
      </w:r>
      <w:r w:rsidRPr="00913C61">
        <w:rPr>
          <w:i/>
        </w:rPr>
        <w:t>See, e.g.,</w:t>
      </w:r>
      <w:r>
        <w:t xml:space="preserve"> </w:t>
      </w:r>
      <w:r w:rsidRPr="00B666A4">
        <w:rPr>
          <w:szCs w:val="26"/>
        </w:rPr>
        <w:t xml:space="preserve">Order No. 679, </w:t>
      </w:r>
      <w:r w:rsidRPr="00FC24C7">
        <w:rPr>
          <w:szCs w:val="26"/>
        </w:rPr>
        <w:t>116 FERC ¶ 61,057</w:t>
      </w:r>
      <w:r w:rsidRPr="00B666A4">
        <w:rPr>
          <w:szCs w:val="26"/>
        </w:rPr>
        <w:t xml:space="preserve">, at P </w:t>
      </w:r>
      <w:r>
        <w:rPr>
          <w:szCs w:val="26"/>
        </w:rPr>
        <w:t>1</w:t>
      </w:r>
      <w:r w:rsidRPr="00B666A4">
        <w:rPr>
          <w:szCs w:val="26"/>
        </w:rPr>
        <w:t>92</w:t>
      </w:r>
      <w:r>
        <w:rPr>
          <w:szCs w:val="26"/>
        </w:rPr>
        <w:t xml:space="preserve">, </w:t>
      </w:r>
      <w:r>
        <w:rPr>
          <w:i/>
          <w:iCs/>
          <w:szCs w:val="26"/>
        </w:rPr>
        <w:t>order on reh’g</w:t>
      </w:r>
      <w:r>
        <w:rPr>
          <w:szCs w:val="26"/>
        </w:rPr>
        <w:t>,</w:t>
      </w:r>
      <w:r>
        <w:rPr>
          <w:i/>
          <w:iCs/>
          <w:szCs w:val="26"/>
        </w:rPr>
        <w:t xml:space="preserve"> </w:t>
      </w:r>
      <w:r>
        <w:rPr>
          <w:szCs w:val="26"/>
        </w:rPr>
        <w:t xml:space="preserve">Order No. 679-A, 117 FERC ¶ 61,345 (2006), </w:t>
      </w:r>
      <w:r>
        <w:rPr>
          <w:i/>
          <w:iCs/>
          <w:szCs w:val="26"/>
        </w:rPr>
        <w:t>order on reh’g</w:t>
      </w:r>
      <w:r>
        <w:rPr>
          <w:szCs w:val="26"/>
        </w:rPr>
        <w:t>, 119 FERC ¶ 61,062 (2007)</w:t>
      </w:r>
      <w:r>
        <w:t xml:space="preserve"> (“[A]pplicants filing for single-issue ratemaking for a particular project . . . will be required to fully develop and support any transmission rate designed to recover the costs of a particular transmission system facility or upgrade . . . .  The Commission will consider the potential need to combine or reconcile the new rate with any existing transmission rate when an applicant submits a request for incentives.”).</w:t>
      </w:r>
    </w:p>
  </w:footnote>
  <w:footnote w:id="36">
    <w:p w14:paraId="5523A9A6" w14:textId="555BC1AC" w:rsidR="00D06F71" w:rsidRDefault="00D06F71" w:rsidP="00947E89">
      <w:pPr>
        <w:pStyle w:val="FootnoteText"/>
      </w:pPr>
      <w:r>
        <w:rPr>
          <w:rStyle w:val="FootnoteReference"/>
        </w:rPr>
        <w:footnoteRef/>
      </w:r>
      <w:r>
        <w:t xml:space="preserve"> </w:t>
      </w:r>
      <w:r>
        <w:rPr>
          <w:i/>
          <w:iCs/>
        </w:rPr>
        <w:t>See</w:t>
      </w:r>
      <w:r>
        <w:t xml:space="preserve"> FERC, </w:t>
      </w:r>
      <w:r w:rsidRPr="00EF303C">
        <w:rPr>
          <w:i/>
          <w:iCs/>
        </w:rPr>
        <w:t>FERC/DOE Security Investments for Energy Infrastructure Technical Conference</w:t>
      </w:r>
      <w:r>
        <w:t>, Final Agenda, Docket No. AD19-12-000, at 1 (filed April 2, 2019).</w:t>
      </w:r>
    </w:p>
  </w:footnote>
  <w:footnote w:id="37">
    <w:p w14:paraId="299ABF2A" w14:textId="587B013C" w:rsidR="00D06F71" w:rsidRDefault="00D06F71" w:rsidP="00947E89">
      <w:pPr>
        <w:pStyle w:val="FootnoteText"/>
      </w:pPr>
      <w:r>
        <w:rPr>
          <w:rStyle w:val="FootnoteReference"/>
        </w:rPr>
        <w:footnoteRef/>
      </w:r>
      <w:r>
        <w:t xml:space="preserve"> FERC, </w:t>
      </w:r>
      <w:r w:rsidRPr="004256A8">
        <w:rPr>
          <w:i/>
        </w:rPr>
        <w:t>2018 Reliability Technical Conference</w:t>
      </w:r>
      <w:r>
        <w:t>, Final Agenda, Docket No. AD18-11-000, at 5 (Aug. 2, 2018).</w:t>
      </w:r>
    </w:p>
  </w:footnote>
  <w:footnote w:id="38">
    <w:p w14:paraId="30A47BCF" w14:textId="77FBF572" w:rsidR="00D06F71" w:rsidRDefault="00D06F71" w:rsidP="00947E89">
      <w:pPr>
        <w:pStyle w:val="FootnoteText"/>
      </w:pPr>
      <w:r>
        <w:rPr>
          <w:rStyle w:val="FootnoteReference"/>
        </w:rPr>
        <w:footnoteRef/>
      </w:r>
      <w:r>
        <w:t xml:space="preserve"> FERC, </w:t>
      </w:r>
      <w:r w:rsidRPr="004256A8">
        <w:rPr>
          <w:i/>
        </w:rPr>
        <w:t>2019 Reliability Technical Conference</w:t>
      </w:r>
      <w:r>
        <w:t>, Final Agenda, Docket No. AD19-13-000, at 2-3 (June 27, 2019).</w:t>
      </w:r>
    </w:p>
  </w:footnote>
  <w:footnote w:id="39">
    <w:p w14:paraId="5670B979" w14:textId="7D752688" w:rsidR="00D06F71" w:rsidRDefault="00D06F71" w:rsidP="00CC30D1">
      <w:pPr>
        <w:pStyle w:val="FootnoteText"/>
      </w:pPr>
      <w:r w:rsidRPr="0031272E">
        <w:rPr>
          <w:rStyle w:val="FootnoteReference"/>
        </w:rPr>
        <w:footnoteRef/>
      </w:r>
      <w:r w:rsidRPr="0031272E">
        <w:t xml:space="preserve"> Order No. 672, 114 FERC ¶ 61,104 at P 328.</w:t>
      </w:r>
    </w:p>
  </w:footnote>
  <w:footnote w:id="40">
    <w:p w14:paraId="51FC0BC7" w14:textId="6D37DB31" w:rsidR="00D06F71" w:rsidRDefault="00D06F71" w:rsidP="00C7090A">
      <w:pPr>
        <w:pStyle w:val="FootnoteText"/>
      </w:pPr>
      <w:r>
        <w:rPr>
          <w:rStyle w:val="FootnoteReference"/>
        </w:rPr>
        <w:footnoteRef/>
      </w:r>
      <w:r>
        <w:t xml:space="preserve"> </w:t>
      </w:r>
      <w:r>
        <w:rPr>
          <w:i/>
        </w:rPr>
        <w:t>See, e.g.,</w:t>
      </w:r>
      <w:r>
        <w:t xml:space="preserve"> Am. Elec. Power, Inc., Comments, Docket No. PL19-3-000, at 13-14 (June 26, 2019) (noting </w:t>
      </w:r>
      <w:r w:rsidRPr="00C7090A">
        <w:t>that there is a potential gap between the dynamic threats faced by the energy industry and the CIP Reliability Standards development and compliance process, which sets the rules for minimum compliance</w:t>
      </w:r>
      <w:r>
        <w:t>).</w:t>
      </w:r>
    </w:p>
  </w:footnote>
  <w:footnote w:id="41">
    <w:p w14:paraId="3D883B49" w14:textId="54BA9DAF" w:rsidR="00D06F71" w:rsidRDefault="00D06F71" w:rsidP="00FF7B4E">
      <w:pPr>
        <w:pStyle w:val="FootnoteText"/>
      </w:pPr>
      <w:r>
        <w:rPr>
          <w:rStyle w:val="FootnoteReference"/>
        </w:rPr>
        <w:footnoteRef/>
      </w:r>
      <w:r>
        <w:t xml:space="preserve"> </w:t>
      </w:r>
      <w:r>
        <w:rPr>
          <w:i/>
          <w:iCs/>
        </w:rPr>
        <w:t>See, e,g.</w:t>
      </w:r>
      <w:r>
        <w:t xml:space="preserve">, </w:t>
      </w:r>
      <w:r w:rsidRPr="00216CB3">
        <w:t>Eversource Energy Serv</w:t>
      </w:r>
      <w:r>
        <w:t>.</w:t>
      </w:r>
      <w:r w:rsidRPr="00216CB3">
        <w:t xml:space="preserve"> Co</w:t>
      </w:r>
      <w:r>
        <w:t>.</w:t>
      </w:r>
      <w:r w:rsidRPr="00216CB3">
        <w:t>,</w:t>
      </w:r>
      <w:r>
        <w:t xml:space="preserve"> Comments</w:t>
      </w:r>
      <w:r w:rsidRPr="00216CB3">
        <w:t>, Docket No. PL19-3-000, at 29-30 (June 26, 2019)</w:t>
      </w:r>
      <w:r>
        <w:t xml:space="preserve"> (</w:t>
      </w:r>
      <w:r w:rsidRPr="009327C7">
        <w:t>noting that market operations are becoming increasingly more complex at the same time that there is an increasing cybersecurity threat to the operation and control of the transmission system).</w:t>
      </w:r>
    </w:p>
  </w:footnote>
  <w:footnote w:id="42">
    <w:p w14:paraId="524B7EA5" w14:textId="76EE0FC7" w:rsidR="00D06F71" w:rsidRPr="008B78C5" w:rsidRDefault="00D06F71" w:rsidP="008B78C5">
      <w:pPr>
        <w:pStyle w:val="FootnoteText"/>
      </w:pPr>
      <w:r>
        <w:rPr>
          <w:rStyle w:val="FootnoteReference"/>
        </w:rPr>
        <w:footnoteRef/>
      </w:r>
      <w:r>
        <w:t xml:space="preserve"> A </w:t>
      </w:r>
      <w:r w:rsidRPr="008B78C5">
        <w:t>hypothetical capital structure</w:t>
      </w:r>
      <w:r>
        <w:t xml:space="preserve"> incentive may not be warranted for cybersecurity investments</w:t>
      </w:r>
      <w:r w:rsidRPr="008B78C5">
        <w:t xml:space="preserve">.  </w:t>
      </w:r>
      <w:r>
        <w:t>Because</w:t>
      </w:r>
      <w:r w:rsidRPr="008B78C5">
        <w:t xml:space="preserve"> cybersecurity investment</w:t>
      </w:r>
      <w:r>
        <w:t>s</w:t>
      </w:r>
      <w:r w:rsidRPr="008B78C5">
        <w:t xml:space="preserve"> </w:t>
      </w:r>
      <w:r>
        <w:t xml:space="preserve">tend to be </w:t>
      </w:r>
      <w:r w:rsidRPr="008B78C5">
        <w:t xml:space="preserve">small compared to major transmission projects, </w:t>
      </w:r>
      <w:r>
        <w:t xml:space="preserve">cybersecurity </w:t>
      </w:r>
      <w:r w:rsidRPr="008B78C5">
        <w:t>investments are unlikely to materially affect the overall capital structure of utilities during the construction/deployment period.</w:t>
      </w:r>
    </w:p>
    <w:p w14:paraId="10FD3C2F" w14:textId="77777777" w:rsidR="00D06F71" w:rsidRDefault="00D06F71">
      <w:pPr>
        <w:pStyle w:val="FootnoteText"/>
      </w:pPr>
    </w:p>
  </w:footnote>
  <w:footnote w:id="43">
    <w:p w14:paraId="66DB88C3" w14:textId="58F10459" w:rsidR="00D06F71" w:rsidRDefault="00D06F71">
      <w:pPr>
        <w:pStyle w:val="FootnoteText"/>
      </w:pPr>
      <w:r>
        <w:rPr>
          <w:rStyle w:val="FootnoteReference"/>
        </w:rPr>
        <w:footnoteRef/>
      </w:r>
      <w:r>
        <w:t xml:space="preserve"> Under this potential approach, although a utility could request a combination of incentives for its facility containing multiple assets, each individual asset is eligible for only one cybersecurity incentive at a time.</w:t>
      </w:r>
    </w:p>
  </w:footnote>
  <w:footnote w:id="44">
    <w:p w14:paraId="74E02F59" w14:textId="20733BE6" w:rsidR="00D06F71" w:rsidRDefault="00D06F71" w:rsidP="00EA6F3B">
      <w:pPr>
        <w:pStyle w:val="FootnoteText"/>
      </w:pPr>
      <w:r>
        <w:rPr>
          <w:rStyle w:val="FootnoteReference"/>
        </w:rPr>
        <w:footnoteRef/>
      </w:r>
      <w:r>
        <w:t xml:space="preserve"> </w:t>
      </w:r>
      <w:r w:rsidRPr="00EA6F3B">
        <w:t xml:space="preserve">Summaries of the requirements </w:t>
      </w:r>
      <w:r>
        <w:t xml:space="preserve">and the applicability </w:t>
      </w:r>
      <w:r w:rsidRPr="00EA6F3B">
        <w:t xml:space="preserve">for </w:t>
      </w:r>
      <w:r>
        <w:t xml:space="preserve">low, </w:t>
      </w:r>
      <w:r w:rsidRPr="00EA6F3B">
        <w:t xml:space="preserve">medium and high impact BES Cyber Systems are available in </w:t>
      </w:r>
      <w:r>
        <w:t xml:space="preserve">the </w:t>
      </w:r>
      <w:r w:rsidRPr="00EA6F3B">
        <w:t>Appendix</w:t>
      </w:r>
      <w:r>
        <w:t>.</w:t>
      </w:r>
      <w:r w:rsidRPr="00EA6F3B">
        <w:t xml:space="preserve">  </w:t>
      </w:r>
    </w:p>
  </w:footnote>
  <w:footnote w:id="45">
    <w:p w14:paraId="269D1F99" w14:textId="0FF6AE89" w:rsidR="00D06F71" w:rsidRDefault="00D06F71">
      <w:pPr>
        <w:pStyle w:val="FootnoteText"/>
      </w:pPr>
      <w:r>
        <w:rPr>
          <w:rStyle w:val="FootnoteReference"/>
        </w:rPr>
        <w:footnoteRef/>
      </w:r>
      <w:r>
        <w:t xml:space="preserve"> </w:t>
      </w:r>
      <w:r w:rsidRPr="0087415B">
        <w:rPr>
          <w:i/>
          <w:iCs/>
        </w:rPr>
        <w:t xml:space="preserve">See </w:t>
      </w:r>
      <w:r w:rsidRPr="0087415B">
        <w:t>Order No. 791, 145 FERC ¶ 61,160.</w:t>
      </w:r>
    </w:p>
  </w:footnote>
  <w:footnote w:id="46">
    <w:p w14:paraId="392D2B68" w14:textId="2EC4118B" w:rsidR="00D06F71" w:rsidRPr="001E14EF" w:rsidRDefault="00D06F71" w:rsidP="006102D7">
      <w:pPr>
        <w:pStyle w:val="FootnoteText"/>
      </w:pPr>
      <w:r>
        <w:rPr>
          <w:rStyle w:val="FootnoteReference"/>
        </w:rPr>
        <w:footnoteRef/>
      </w:r>
      <w:r>
        <w:t xml:space="preserve"> </w:t>
      </w:r>
      <w:r>
        <w:rPr>
          <w:i/>
          <w:iCs/>
        </w:rPr>
        <w:t xml:space="preserve">Id. </w:t>
      </w:r>
      <w:r>
        <w:t>P 2.</w:t>
      </w:r>
    </w:p>
  </w:footnote>
  <w:footnote w:id="47">
    <w:p w14:paraId="6716F8BA" w14:textId="3140B063" w:rsidR="00D06F71" w:rsidRDefault="00D06F71" w:rsidP="005B287F">
      <w:pPr>
        <w:pStyle w:val="FootnoteText"/>
      </w:pPr>
      <w:r>
        <w:rPr>
          <w:rStyle w:val="FootnoteReference"/>
        </w:rPr>
        <w:footnoteRef/>
      </w:r>
      <w:r>
        <w:t xml:space="preserve"> </w:t>
      </w:r>
      <w:r w:rsidRPr="00421719">
        <w:t>This is consistent with NERC’s statement that “[e]ven in cases involving low-impact BES assets, an entity should strive for good cyber security policies and procedures” by considering adopting security controls for low impact BES Cyber Systems above those required under the CIP Reliability Standards.</w:t>
      </w:r>
      <w:r>
        <w:t xml:space="preserve">  </w:t>
      </w:r>
      <w:r>
        <w:rPr>
          <w:i/>
          <w:iCs/>
        </w:rPr>
        <w:t xml:space="preserve">See </w:t>
      </w:r>
      <w:r w:rsidRPr="009E4202">
        <w:t xml:space="preserve">NERC, </w:t>
      </w:r>
      <w:r w:rsidRPr="00CB105B">
        <w:rPr>
          <w:i/>
        </w:rPr>
        <w:t>Lesson Learned Risks Posed by Firewall Firmware Vulnerabilities</w:t>
      </w:r>
      <w:r w:rsidRPr="009E4202">
        <w:t>, at 2-3 (Sept. 4, 2019)</w:t>
      </w:r>
      <w:r>
        <w:t xml:space="preserve">, </w:t>
      </w:r>
      <w:r w:rsidRPr="00BE5CF0">
        <w:t>https://www.nerc.com/pa/rrm/ea/Lessons%20Learned%20Document%20Library/20190901_Risks_Posed_by_Firewall_Firmware_Vulnerabilities.pdf</w:t>
      </w:r>
      <w:r>
        <w:t>.</w:t>
      </w:r>
    </w:p>
  </w:footnote>
  <w:footnote w:id="48">
    <w:p w14:paraId="5DB539FF" w14:textId="636B0188" w:rsidR="00D06F71" w:rsidRDefault="00D06F71">
      <w:pPr>
        <w:pStyle w:val="FootnoteText"/>
      </w:pPr>
      <w:r>
        <w:rPr>
          <w:rStyle w:val="FootnoteReference"/>
        </w:rPr>
        <w:footnoteRef/>
      </w:r>
      <w:r>
        <w:t xml:space="preserve"> </w:t>
      </w:r>
      <w:r w:rsidRPr="009B7968">
        <w:t xml:space="preserve">The proposals are only examples.  If the Commission adopts </w:t>
      </w:r>
      <w:r>
        <w:t>an i</w:t>
      </w:r>
      <w:r w:rsidRPr="009B7968">
        <w:t xml:space="preserve">ncentive </w:t>
      </w:r>
      <w:r>
        <w:t>for voluntarily exceeding CIP Reliability Standards</w:t>
      </w:r>
      <w:r w:rsidRPr="009B7968">
        <w:t xml:space="preserve">, it may consider other alternatives.  </w:t>
      </w:r>
    </w:p>
  </w:footnote>
  <w:footnote w:id="49">
    <w:p w14:paraId="45121949" w14:textId="4F7F1B99" w:rsidR="00D06F71" w:rsidRDefault="00D06F71">
      <w:pPr>
        <w:pStyle w:val="FootnoteText"/>
      </w:pPr>
      <w:r>
        <w:rPr>
          <w:rStyle w:val="FootnoteReference"/>
        </w:rPr>
        <w:footnoteRef/>
      </w:r>
      <w:r>
        <w:t xml:space="preserve"> </w:t>
      </w:r>
      <w:r w:rsidRPr="008A7353">
        <w:t>External routable connectivity is the ability to access a BES Cyber System from a Cyber Asset that is outside of its associated Electronic Security Perimeter via a bi-directional routable protocol connection.  NERC Glossary of Terms at 13.</w:t>
      </w:r>
    </w:p>
  </w:footnote>
  <w:footnote w:id="50">
    <w:p w14:paraId="203E26B7" w14:textId="0827E4A9" w:rsidR="00D06F71" w:rsidRDefault="00D06F71" w:rsidP="006461E4">
      <w:pPr>
        <w:pStyle w:val="FootnoteText"/>
      </w:pPr>
      <w:r>
        <w:rPr>
          <w:rStyle w:val="FootnoteReference"/>
        </w:rPr>
        <w:footnoteRef/>
      </w:r>
      <w:r>
        <w:t xml:space="preserve"> The Appendix includes a summary of the relevant currently effective CIP Reliability Standards and their associated impact levels.  </w:t>
      </w:r>
    </w:p>
  </w:footnote>
  <w:footnote w:id="51">
    <w:p w14:paraId="318DFB1A" w14:textId="6C3B9434" w:rsidR="00D06F71" w:rsidRDefault="00D06F71" w:rsidP="007B6127">
      <w:pPr>
        <w:pStyle w:val="FootnoteText"/>
      </w:pPr>
      <w:r>
        <w:rPr>
          <w:rStyle w:val="FootnoteReference"/>
        </w:rPr>
        <w:footnoteRef/>
      </w:r>
      <w:r>
        <w:t xml:space="preserve"> NIST is a part of the U.S. Department of Commerce that advances measurement science, standards, and technology.  It has developed a voluntary Framework for Improving Critical Infrastructure Cybersecurity to “address and manage cybersecurity risk in a cost-effective way based on business and organizational needs without placing additional regulatory requirements on businesses.”  NIST, </w:t>
      </w:r>
      <w:r>
        <w:rPr>
          <w:i/>
          <w:iCs/>
        </w:rPr>
        <w:t>Framework for Improving Critical Infrastructure</w:t>
      </w:r>
      <w:r>
        <w:t xml:space="preserve"> </w:t>
      </w:r>
      <w:r>
        <w:rPr>
          <w:i/>
        </w:rPr>
        <w:t>Cybersecurity</w:t>
      </w:r>
      <w:r>
        <w:rPr>
          <w:iCs/>
        </w:rPr>
        <w:t>,</w:t>
      </w:r>
      <w:r>
        <w:t xml:space="preserve"> at v (Apr. 16, 2018), </w:t>
      </w:r>
      <w:hyperlink r:id="rId1" w:history="1">
        <w:r w:rsidRPr="00956279">
          <w:rPr>
            <w:rStyle w:val="Hyperlink"/>
          </w:rPr>
          <w:t>https://nvlpubs.nist.gov/nistpubs/CSWP/NIST.CSWP.04162018.pdf</w:t>
        </w:r>
      </w:hyperlink>
      <w:r>
        <w:t>.</w:t>
      </w:r>
    </w:p>
  </w:footnote>
  <w:footnote w:id="52">
    <w:p w14:paraId="2EE6E525" w14:textId="77777777" w:rsidR="00D06F71" w:rsidRDefault="00D06F71" w:rsidP="007B6127">
      <w:pPr>
        <w:pStyle w:val="FootnoteText"/>
      </w:pPr>
      <w:r>
        <w:rPr>
          <w:rStyle w:val="FootnoteReference"/>
        </w:rPr>
        <w:footnoteRef/>
      </w:r>
      <w:r>
        <w:t xml:space="preserve"> This approach is also broad-based and allows for rapid changes to address sudden and unforeseen circumstances.</w:t>
      </w:r>
    </w:p>
  </w:footnote>
  <w:footnote w:id="53">
    <w:p w14:paraId="2E8850D0" w14:textId="5C489DAB" w:rsidR="00D06F71" w:rsidRDefault="00D06F71">
      <w:pPr>
        <w:pStyle w:val="FootnoteText"/>
      </w:pPr>
      <w:r>
        <w:rPr>
          <w:rStyle w:val="FootnoteReference"/>
        </w:rPr>
        <w:footnoteRef/>
      </w:r>
      <w:r>
        <w:t xml:space="preserve"> </w:t>
      </w:r>
      <w:r>
        <w:rPr>
          <w:i/>
          <w:iCs/>
        </w:rPr>
        <w:t>Improving Critical Infrastructure Cybersecurity</w:t>
      </w:r>
      <w:r>
        <w:t xml:space="preserve">, 77 Fed. Reg. 11,739 (Feb. 19, 2013). </w:t>
      </w:r>
    </w:p>
  </w:footnote>
  <w:footnote w:id="54">
    <w:p w14:paraId="0F5380BB" w14:textId="4809E556" w:rsidR="00D06F71" w:rsidRDefault="00D06F71">
      <w:pPr>
        <w:pStyle w:val="FootnoteText"/>
      </w:pPr>
      <w:r>
        <w:rPr>
          <w:rStyle w:val="FootnoteReference"/>
        </w:rPr>
        <w:footnoteRef/>
      </w:r>
      <w:r>
        <w:t xml:space="preserve"> </w:t>
      </w:r>
      <w:r w:rsidRPr="00A047B1">
        <w:rPr>
          <w:i/>
        </w:rPr>
        <w:t>Id.</w:t>
      </w:r>
      <w:r w:rsidRPr="00C130A4">
        <w:t xml:space="preserve"> at 11,741.</w:t>
      </w:r>
    </w:p>
  </w:footnote>
  <w:footnote w:id="55">
    <w:p w14:paraId="2C5179D2" w14:textId="6AE808D2" w:rsidR="00D06F71" w:rsidRDefault="00D06F71">
      <w:pPr>
        <w:pStyle w:val="FootnoteText"/>
      </w:pPr>
      <w:r>
        <w:rPr>
          <w:rStyle w:val="FootnoteReference"/>
        </w:rPr>
        <w:footnoteRef/>
      </w:r>
      <w:r>
        <w:t xml:space="preserve"> </w:t>
      </w:r>
      <w:r w:rsidRPr="00A047B1">
        <w:t>U.S. Gov</w:t>
      </w:r>
      <w:r>
        <w:t>’</w:t>
      </w:r>
      <w:r w:rsidRPr="00A047B1">
        <w:t>t Accountability Office</w:t>
      </w:r>
      <w:r>
        <w:t xml:space="preserve">, </w:t>
      </w:r>
      <w:r>
        <w:rPr>
          <w:i/>
          <w:iCs/>
        </w:rPr>
        <w:t>Critical Infrastructure Protection – Actions Needed to Address Significant Cybersecurity Risks Facing the Electric Grid</w:t>
      </w:r>
      <w:r>
        <w:t xml:space="preserve"> (Aug. 2019), </w:t>
      </w:r>
      <w:r w:rsidRPr="00A047B1">
        <w:t>https://www.gao.gov/assets/710/701079.pdf</w:t>
      </w:r>
      <w:r>
        <w:t>.</w:t>
      </w:r>
    </w:p>
  </w:footnote>
  <w:footnote w:id="56">
    <w:p w14:paraId="126FB581" w14:textId="3EB0017D" w:rsidR="00D06F71" w:rsidRDefault="00D06F71">
      <w:pPr>
        <w:pStyle w:val="FootnoteText"/>
      </w:pPr>
      <w:r>
        <w:rPr>
          <w:rStyle w:val="FootnoteReference"/>
        </w:rPr>
        <w:footnoteRef/>
      </w:r>
      <w:r>
        <w:t xml:space="preserve"> </w:t>
      </w:r>
      <w:r>
        <w:rPr>
          <w:b/>
        </w:rPr>
        <w:t xml:space="preserve"> </w:t>
      </w:r>
      <w:r>
        <w:rPr>
          <w:bCs/>
          <w:i/>
          <w:iCs/>
        </w:rPr>
        <w:t>Id.</w:t>
      </w:r>
      <w:r>
        <w:rPr>
          <w:bCs/>
        </w:rPr>
        <w:t xml:space="preserve"> at 4, 12.</w:t>
      </w:r>
    </w:p>
  </w:footnote>
  <w:footnote w:id="57">
    <w:p w14:paraId="3C2BA77D" w14:textId="34A2387A" w:rsidR="00D06F71" w:rsidRDefault="00D06F71" w:rsidP="00175EF0">
      <w:pPr>
        <w:spacing w:after="240"/>
        <w:ind w:firstLine="720"/>
      </w:pPr>
      <w:r>
        <w:rPr>
          <w:rStyle w:val="FootnoteReference"/>
        </w:rPr>
        <w:footnoteRef/>
      </w:r>
      <w:r>
        <w:t xml:space="preserve"> </w:t>
      </w:r>
      <w:r w:rsidRPr="00820DEE">
        <w:rPr>
          <w:szCs w:val="26"/>
        </w:rPr>
        <w:t xml:space="preserve">Security Controls is defined as follows: </w:t>
      </w:r>
      <w:r>
        <w:rPr>
          <w:szCs w:val="26"/>
        </w:rPr>
        <w:t xml:space="preserve"> </w:t>
      </w:r>
      <w:r w:rsidRPr="00820DEE">
        <w:rPr>
          <w:szCs w:val="26"/>
        </w:rPr>
        <w:t xml:space="preserve">The management, operational, and technical controls (i.e., safeguards or countermeasures) prescribed for an information system to protect the confidentiality, integrity, and availability of the system and its information. </w:t>
      </w:r>
      <w:r>
        <w:rPr>
          <w:szCs w:val="26"/>
        </w:rPr>
        <w:t xml:space="preserve"> NIST, </w:t>
      </w:r>
      <w:r>
        <w:rPr>
          <w:i/>
          <w:iCs/>
          <w:szCs w:val="26"/>
        </w:rPr>
        <w:t>Computer Security Resource Center Glossary</w:t>
      </w:r>
      <w:r>
        <w:rPr>
          <w:szCs w:val="26"/>
        </w:rPr>
        <w:t>,</w:t>
      </w:r>
      <w:r>
        <w:rPr>
          <w:i/>
          <w:iCs/>
          <w:szCs w:val="26"/>
        </w:rPr>
        <w:t xml:space="preserve"> </w:t>
      </w:r>
      <w:r>
        <w:rPr>
          <w:szCs w:val="26"/>
        </w:rPr>
        <w:t xml:space="preserve">https://csrc.nist.gov/glossary/term/security_controls. </w:t>
      </w:r>
    </w:p>
  </w:footnote>
  <w:footnote w:id="58">
    <w:p w14:paraId="5E7943C4" w14:textId="12939546" w:rsidR="00D06F71" w:rsidRDefault="00D06F71">
      <w:pPr>
        <w:pStyle w:val="FootnoteText"/>
      </w:pPr>
      <w:r>
        <w:rPr>
          <w:rStyle w:val="FootnoteReference"/>
        </w:rPr>
        <w:footnoteRef/>
      </w:r>
      <w:r>
        <w:t xml:space="preserve"> In contrast, controls focused on </w:t>
      </w:r>
      <w:r w:rsidRPr="00ED143B">
        <w:t>documentation and planning, such as training, development</w:t>
      </w:r>
      <w:r>
        <w:t xml:space="preserve"> of plans, guides, playbooks, are less likely to provide significant benefits to the transmission system and therefore may not warrant incentives. </w:t>
      </w:r>
    </w:p>
  </w:footnote>
  <w:footnote w:id="59">
    <w:p w14:paraId="077B9E9A" w14:textId="468DE183" w:rsidR="00D06F71" w:rsidRDefault="00D06F71" w:rsidP="00B07421">
      <w:pPr>
        <w:ind w:firstLine="720"/>
        <w:rPr>
          <w:color w:val="000000"/>
          <w:sz w:val="24"/>
          <w:szCs w:val="24"/>
        </w:rPr>
      </w:pPr>
      <w:r>
        <w:rPr>
          <w:rStyle w:val="FootnoteReference"/>
        </w:rPr>
        <w:footnoteRef/>
      </w:r>
      <w:r>
        <w:t xml:space="preserve"> </w:t>
      </w:r>
      <w:r w:rsidRPr="0070663E">
        <w:rPr>
          <w:szCs w:val="26"/>
        </w:rPr>
        <w:t xml:space="preserve">In the NIST Framework, </w:t>
      </w:r>
      <w:r w:rsidRPr="00175EF0">
        <w:rPr>
          <w:szCs w:val="26"/>
        </w:rPr>
        <w:t xml:space="preserve">Dynamic Asset Management can be found within the Identify (ID) Function in the Asset Management Category (ID.AM) which states:  </w:t>
      </w:r>
      <w:r>
        <w:rPr>
          <w:szCs w:val="26"/>
        </w:rPr>
        <w:t>“</w:t>
      </w:r>
      <w:r w:rsidRPr="00175EF0">
        <w:rPr>
          <w:szCs w:val="26"/>
        </w:rPr>
        <w:t>The data, personnel, devices, systems, and facilities that enable the organization to achieve business purposes are identified and managed consistent with their relative importance to organizational objectives and the organization’s risk strategy.</w:t>
      </w:r>
      <w:r>
        <w:rPr>
          <w:szCs w:val="26"/>
        </w:rPr>
        <w:t xml:space="preserve">” </w:t>
      </w:r>
      <w:r w:rsidRPr="00175EF0">
        <w:rPr>
          <w:szCs w:val="26"/>
        </w:rPr>
        <w:t xml:space="preserve"> Within the Asset Management category, this can be further defined by subcategory ID.AM-1: </w:t>
      </w:r>
      <w:r>
        <w:rPr>
          <w:szCs w:val="26"/>
        </w:rPr>
        <w:t xml:space="preserve"> “</w:t>
      </w:r>
      <w:r w:rsidRPr="00175EF0">
        <w:rPr>
          <w:szCs w:val="26"/>
        </w:rPr>
        <w:t>Physical devices and systems within the organization are inventoried</w:t>
      </w:r>
      <w:r>
        <w:rPr>
          <w:szCs w:val="26"/>
        </w:rPr>
        <w:t>”</w:t>
      </w:r>
      <w:r w:rsidRPr="00175EF0">
        <w:rPr>
          <w:szCs w:val="26"/>
        </w:rPr>
        <w:t xml:space="preserve"> and subcategory </w:t>
      </w:r>
      <w:r w:rsidRPr="00175EF0">
        <w:rPr>
          <w:color w:val="000000"/>
          <w:szCs w:val="26"/>
        </w:rPr>
        <w:t xml:space="preserve">ID.AM-2: </w:t>
      </w:r>
      <w:r>
        <w:rPr>
          <w:color w:val="000000"/>
          <w:szCs w:val="26"/>
        </w:rPr>
        <w:t xml:space="preserve"> “</w:t>
      </w:r>
      <w:r w:rsidRPr="00175EF0">
        <w:rPr>
          <w:color w:val="000000"/>
          <w:szCs w:val="26"/>
        </w:rPr>
        <w:t>Software platforms and applications within the organization are inventoried.</w:t>
      </w:r>
      <w:r>
        <w:rPr>
          <w:color w:val="000000"/>
          <w:szCs w:val="26"/>
        </w:rPr>
        <w:t xml:space="preserve">”  NIST, </w:t>
      </w:r>
      <w:r>
        <w:rPr>
          <w:i/>
          <w:iCs/>
          <w:color w:val="000000"/>
          <w:szCs w:val="26"/>
        </w:rPr>
        <w:t>Cybersecurity Framework</w:t>
      </w:r>
      <w:r>
        <w:rPr>
          <w:color w:val="000000"/>
          <w:szCs w:val="26"/>
        </w:rPr>
        <w:t xml:space="preserve">, at 20 (Feb. 12, 2014), </w:t>
      </w:r>
      <w:r w:rsidRPr="00BE5CF0">
        <w:t>https://www.nist.gov/system/files/documents/cyberframework/cybersecurity-framework-021214.pdf</w:t>
      </w:r>
      <w:r>
        <w:rPr>
          <w:color w:val="000000"/>
          <w:szCs w:val="26"/>
        </w:rPr>
        <w:t>.</w:t>
      </w:r>
    </w:p>
    <w:p w14:paraId="789B1BFD" w14:textId="7FCF545A" w:rsidR="00D06F71" w:rsidRPr="002B7427" w:rsidRDefault="00D06F71" w:rsidP="002B7427">
      <w:pPr>
        <w:ind w:firstLine="720"/>
        <w:rPr>
          <w:color w:val="000000"/>
          <w:sz w:val="24"/>
          <w:szCs w:val="24"/>
        </w:rPr>
      </w:pPr>
    </w:p>
  </w:footnote>
  <w:footnote w:id="60">
    <w:p w14:paraId="01607352" w14:textId="7990290A" w:rsidR="00D06F71" w:rsidRPr="00374115" w:rsidRDefault="00D06F71" w:rsidP="00175EF0">
      <w:pPr>
        <w:ind w:firstLine="720"/>
      </w:pPr>
      <w:r>
        <w:rPr>
          <w:rStyle w:val="FootnoteReference"/>
        </w:rPr>
        <w:footnoteRef/>
      </w:r>
      <w:r>
        <w:t xml:space="preserve"> In the NIST Framework, </w:t>
      </w:r>
      <w:r w:rsidRPr="00175EF0">
        <w:rPr>
          <w:color w:val="000000"/>
          <w:szCs w:val="26"/>
        </w:rPr>
        <w:t xml:space="preserve">Automated and Continuous Monitoring can be found within the Detect (DE) Function in the Security Continuous Monitoring Category (DE.CM) which states:  </w:t>
      </w:r>
      <w:r w:rsidR="00374115">
        <w:rPr>
          <w:color w:val="000000"/>
          <w:szCs w:val="26"/>
        </w:rPr>
        <w:t>“</w:t>
      </w:r>
      <w:r w:rsidRPr="00175EF0">
        <w:rPr>
          <w:color w:val="000000"/>
          <w:szCs w:val="26"/>
        </w:rPr>
        <w:t>The information system and assets are monitored</w:t>
      </w:r>
      <w:r w:rsidR="00374115">
        <w:rPr>
          <w:color w:val="000000"/>
          <w:szCs w:val="26"/>
        </w:rPr>
        <w:t xml:space="preserve"> at discrete intervals</w:t>
      </w:r>
      <w:r w:rsidRPr="00175EF0">
        <w:rPr>
          <w:color w:val="000000"/>
          <w:szCs w:val="26"/>
        </w:rPr>
        <w:t xml:space="preserve"> to identify cybersecurity events and verify</w:t>
      </w:r>
      <w:r w:rsidR="00374115">
        <w:rPr>
          <w:color w:val="000000"/>
          <w:szCs w:val="26"/>
        </w:rPr>
        <w:t xml:space="preserve"> the effectiveness of protective measures</w:t>
      </w:r>
      <w:r w:rsidRPr="00175EF0">
        <w:rPr>
          <w:color w:val="000000"/>
          <w:szCs w:val="26"/>
        </w:rPr>
        <w:t>.</w:t>
      </w:r>
      <w:r w:rsidR="00374115">
        <w:rPr>
          <w:color w:val="000000"/>
          <w:szCs w:val="26"/>
        </w:rPr>
        <w:t>”</w:t>
      </w:r>
      <w:r w:rsidRPr="00175EF0">
        <w:rPr>
          <w:color w:val="000000"/>
          <w:szCs w:val="26"/>
        </w:rPr>
        <w:t xml:space="preserve">  Within this category, this can be further defined by subcategory DE.CM-1: </w:t>
      </w:r>
      <w:r>
        <w:rPr>
          <w:color w:val="000000"/>
          <w:szCs w:val="26"/>
        </w:rPr>
        <w:t xml:space="preserve"> </w:t>
      </w:r>
      <w:r w:rsidR="00374115">
        <w:rPr>
          <w:color w:val="000000"/>
          <w:szCs w:val="26"/>
        </w:rPr>
        <w:t>“</w:t>
      </w:r>
      <w:r w:rsidRPr="00175EF0">
        <w:rPr>
          <w:color w:val="000000"/>
          <w:szCs w:val="26"/>
        </w:rPr>
        <w:t>The network is monitored to detect potential cybersecurity events.</w:t>
      </w:r>
      <w:r w:rsidR="00374115">
        <w:rPr>
          <w:color w:val="000000"/>
          <w:szCs w:val="26"/>
        </w:rPr>
        <w:t xml:space="preserve">”  </w:t>
      </w:r>
      <w:r w:rsidR="00374115">
        <w:rPr>
          <w:i/>
          <w:iCs/>
          <w:color w:val="000000"/>
          <w:szCs w:val="26"/>
        </w:rPr>
        <w:t xml:space="preserve">Id. </w:t>
      </w:r>
      <w:r w:rsidR="00374115">
        <w:rPr>
          <w:color w:val="000000"/>
          <w:szCs w:val="26"/>
        </w:rPr>
        <w:t>at 30.</w:t>
      </w:r>
    </w:p>
  </w:footnote>
  <w:footnote w:id="61">
    <w:p w14:paraId="2876A581" w14:textId="59CB0242" w:rsidR="00D06F71" w:rsidRDefault="00D06F71" w:rsidP="00CC2A88">
      <w:pPr>
        <w:pStyle w:val="FootnoteText"/>
      </w:pPr>
      <w:r w:rsidRPr="006B34F9">
        <w:rPr>
          <w:rStyle w:val="FootnoteReference"/>
        </w:rPr>
        <w:footnoteRef/>
      </w:r>
      <w:r w:rsidRPr="006B34F9">
        <w:t xml:space="preserve"> Consistent</w:t>
      </w:r>
      <w:r>
        <w:t xml:space="preserve"> with other transmission incentives approved under FPA section 219, costs for cybersecurity projects and their associated incentives will be recovered in a utility’s rates consistent with the utilities’ transmission rate protocols.</w:t>
      </w:r>
    </w:p>
  </w:footnote>
  <w:footnote w:id="62">
    <w:p w14:paraId="0BBDB361" w14:textId="77777777" w:rsidR="00D06F71" w:rsidRDefault="00D06F71" w:rsidP="001E73B0">
      <w:pPr>
        <w:pStyle w:val="FootnoteText"/>
      </w:pPr>
      <w:r>
        <w:rPr>
          <w:rStyle w:val="FootnoteReference"/>
        </w:rPr>
        <w:footnoteRef/>
      </w:r>
      <w:r>
        <w:t xml:space="preserve"> </w:t>
      </w:r>
      <w:r w:rsidRPr="00BD70F6">
        <w:t>Section 388.112</w:t>
      </w:r>
      <w:r>
        <w:t xml:space="preserve"> of the Commission’s regulations</w:t>
      </w:r>
      <w:r w:rsidRPr="00BD70F6">
        <w:t xml:space="preserve"> specifies that any person submitting a document to the Commission may request privileged treatment for some or all of the information contained in a particular document that it claims is exempt from the mandatory public disclosure requirements of the Freedom of Information Act and that should be withheld from public disclosure.  In particular, section 388.112(b)(2) sets forth procedures for filing and obtaining access to material that is filed as privileged in any proceeding to which a right to intervention exists and specifies that if a person files material as privileged in such proceeding, that person must include a proposed form of protective agreement with the filing, or identify a protective agreement that has already been filed in the proceeding that applies to the filed material.</w:t>
      </w:r>
      <w:r>
        <w:t xml:space="preserve">  18 C.F.R. § 388.112 (2019).</w:t>
      </w:r>
    </w:p>
  </w:footnote>
  <w:footnote w:id="63">
    <w:p w14:paraId="5CF46BC2" w14:textId="653A5999" w:rsidR="00D06F71" w:rsidRDefault="00D06F71" w:rsidP="001E73B0">
      <w:pPr>
        <w:pStyle w:val="FootnoteText"/>
      </w:pPr>
      <w:r>
        <w:rPr>
          <w:rStyle w:val="FootnoteReference"/>
        </w:rPr>
        <w:footnoteRef/>
      </w:r>
      <w:r>
        <w:t xml:space="preserve"> </w:t>
      </w:r>
      <w:r w:rsidRPr="00BD70F6">
        <w:t>Section 388.113 governs the procedures for submitting, designating, handling, sharing, and disseminating CEII submitted to or generated by the Commission.  Section 388.113(d)(1)(iii) provides for the person filing material as CEII in a proceeding to which a right to intervention exists to include a proposed form of protective agreement.</w:t>
      </w:r>
      <w:r>
        <w:t xml:space="preserve">  18 C.F.R. § 388.113.</w:t>
      </w:r>
    </w:p>
  </w:footnote>
  <w:footnote w:id="64">
    <w:p w14:paraId="2B5D30E2" w14:textId="484559E5" w:rsidR="00D06F71" w:rsidRDefault="00D06F71" w:rsidP="00650711">
      <w:pPr>
        <w:pStyle w:val="FootnoteText"/>
      </w:pPr>
      <w:r>
        <w:rPr>
          <w:rStyle w:val="FootnoteReference"/>
        </w:rPr>
        <w:footnoteRef/>
      </w:r>
      <w:r>
        <w:t xml:space="preserve"> An applicant or any other person may object to disclosure generally or to a particular requester, and in such cases the non-public document will not be provided to the requester until ordered by the Commission or a decisional authority.  18 C.F.R. §§ 388.112(b)(2)(iv), 388.113(g)(4).</w:t>
      </w:r>
    </w:p>
  </w:footnote>
  <w:footnote w:id="65">
    <w:p w14:paraId="6D2D64D3" w14:textId="77777777" w:rsidR="00D06F71" w:rsidRDefault="00D06F71">
      <w:pPr>
        <w:pStyle w:val="FootnoteText"/>
      </w:pPr>
      <w:r>
        <w:rPr>
          <w:rStyle w:val="FootnoteReference"/>
        </w:rPr>
        <w:footnoteRef/>
      </w:r>
      <w:r w:rsidRPr="00CE1680">
        <w:t xml:space="preserve"> Transmission Incentives</w:t>
      </w:r>
      <w:r w:rsidRPr="00514E66">
        <w:t xml:space="preserve"> </w:t>
      </w:r>
      <w:r w:rsidRPr="00CE1680">
        <w:t>NOPR</w:t>
      </w:r>
      <w:r w:rsidRPr="00B740F7">
        <w:t xml:space="preserve">, </w:t>
      </w:r>
      <w:r w:rsidRPr="00CE1680">
        <w:t>170 FERC ¶ 61,204 at P 115</w:t>
      </w:r>
      <w:r w:rsidRPr="00622C0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2B9F" w14:textId="77777777" w:rsidR="00D06F71" w:rsidRDefault="00D06F71" w:rsidP="00407E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- 5 -</w:t>
    </w:r>
    <w:r>
      <w:rPr>
        <w:rStyle w:val="PageNumber"/>
      </w:rPr>
      <w:fldChar w:fldCharType="end"/>
    </w:r>
  </w:p>
  <w:p w14:paraId="30256C12" w14:textId="77777777" w:rsidR="00D06F71" w:rsidRDefault="00D06F71" w:rsidP="00407EE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71DDE" w14:textId="6ACF3897" w:rsidR="00D06F71" w:rsidRDefault="00075681" w:rsidP="00EC3F55">
    <w:pPr>
      <w:pStyle w:val="Header"/>
      <w:tabs>
        <w:tab w:val="clear" w:pos="4680"/>
      </w:tabs>
      <w:spacing w:after="240"/>
    </w:pPr>
    <w:r>
      <w:t xml:space="preserve">Docket No. </w:t>
    </w:r>
    <w:r w:rsidRPr="00075681">
      <w:t>AD20-19-000</w:t>
    </w:r>
    <w:r>
      <w:tab/>
    </w:r>
    <w:r>
      <w:fldChar w:fldCharType="begin"/>
    </w:r>
    <w:r>
      <w:instrText xml:space="preserve"> PAGE  \* ArabicDash  \* MERGEFORMAT </w:instrText>
    </w:r>
    <w:r>
      <w:fldChar w:fldCharType="separate"/>
    </w:r>
    <w:r>
      <w:rPr>
        <w:noProof/>
      </w:rPr>
      <w:t>- 2 -</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4E45D" w14:textId="77777777" w:rsidR="00D06F71" w:rsidRDefault="00D06F71" w:rsidP="00EC3F55">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926A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D9AAD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D240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2AD5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BCEEC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24AF3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D0A8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72DF0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0E1D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3861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F6CD3"/>
    <w:multiLevelType w:val="hybridMultilevel"/>
    <w:tmpl w:val="64A0B718"/>
    <w:lvl w:ilvl="0" w:tplc="87ECED62">
      <w:start w:val="7"/>
      <w:numFmt w:val="bullet"/>
      <w:lvlText w:val="-"/>
      <w:lvlJc w:val="left"/>
      <w:pPr>
        <w:ind w:left="9330" w:hanging="360"/>
      </w:pPr>
      <w:rPr>
        <w:rFonts w:ascii="Times New Roman" w:eastAsiaTheme="minorHAnsi" w:hAnsi="Times New Roman" w:cs="Times New Roman" w:hint="default"/>
      </w:rPr>
    </w:lvl>
    <w:lvl w:ilvl="1" w:tplc="04090003" w:tentative="1">
      <w:start w:val="1"/>
      <w:numFmt w:val="bullet"/>
      <w:lvlText w:val="o"/>
      <w:lvlJc w:val="left"/>
      <w:pPr>
        <w:ind w:left="10050" w:hanging="360"/>
      </w:pPr>
      <w:rPr>
        <w:rFonts w:ascii="Courier New" w:hAnsi="Courier New" w:cs="Courier New" w:hint="default"/>
      </w:rPr>
    </w:lvl>
    <w:lvl w:ilvl="2" w:tplc="04090005" w:tentative="1">
      <w:start w:val="1"/>
      <w:numFmt w:val="bullet"/>
      <w:lvlText w:val=""/>
      <w:lvlJc w:val="left"/>
      <w:pPr>
        <w:ind w:left="10770" w:hanging="360"/>
      </w:pPr>
      <w:rPr>
        <w:rFonts w:ascii="Wingdings" w:hAnsi="Wingdings" w:hint="default"/>
      </w:rPr>
    </w:lvl>
    <w:lvl w:ilvl="3" w:tplc="04090001" w:tentative="1">
      <w:start w:val="1"/>
      <w:numFmt w:val="bullet"/>
      <w:lvlText w:val=""/>
      <w:lvlJc w:val="left"/>
      <w:pPr>
        <w:ind w:left="11490" w:hanging="360"/>
      </w:pPr>
      <w:rPr>
        <w:rFonts w:ascii="Symbol" w:hAnsi="Symbol" w:hint="default"/>
      </w:rPr>
    </w:lvl>
    <w:lvl w:ilvl="4" w:tplc="04090003" w:tentative="1">
      <w:start w:val="1"/>
      <w:numFmt w:val="bullet"/>
      <w:lvlText w:val="o"/>
      <w:lvlJc w:val="left"/>
      <w:pPr>
        <w:ind w:left="12210" w:hanging="360"/>
      </w:pPr>
      <w:rPr>
        <w:rFonts w:ascii="Courier New" w:hAnsi="Courier New" w:cs="Courier New" w:hint="default"/>
      </w:rPr>
    </w:lvl>
    <w:lvl w:ilvl="5" w:tplc="04090005" w:tentative="1">
      <w:start w:val="1"/>
      <w:numFmt w:val="bullet"/>
      <w:lvlText w:val=""/>
      <w:lvlJc w:val="left"/>
      <w:pPr>
        <w:ind w:left="12930" w:hanging="360"/>
      </w:pPr>
      <w:rPr>
        <w:rFonts w:ascii="Wingdings" w:hAnsi="Wingdings" w:hint="default"/>
      </w:rPr>
    </w:lvl>
    <w:lvl w:ilvl="6" w:tplc="04090001" w:tentative="1">
      <w:start w:val="1"/>
      <w:numFmt w:val="bullet"/>
      <w:lvlText w:val=""/>
      <w:lvlJc w:val="left"/>
      <w:pPr>
        <w:ind w:left="13650" w:hanging="360"/>
      </w:pPr>
      <w:rPr>
        <w:rFonts w:ascii="Symbol" w:hAnsi="Symbol" w:hint="default"/>
      </w:rPr>
    </w:lvl>
    <w:lvl w:ilvl="7" w:tplc="04090003" w:tentative="1">
      <w:start w:val="1"/>
      <w:numFmt w:val="bullet"/>
      <w:lvlText w:val="o"/>
      <w:lvlJc w:val="left"/>
      <w:pPr>
        <w:ind w:left="14370" w:hanging="360"/>
      </w:pPr>
      <w:rPr>
        <w:rFonts w:ascii="Courier New" w:hAnsi="Courier New" w:cs="Courier New" w:hint="default"/>
      </w:rPr>
    </w:lvl>
    <w:lvl w:ilvl="8" w:tplc="04090005" w:tentative="1">
      <w:start w:val="1"/>
      <w:numFmt w:val="bullet"/>
      <w:lvlText w:val=""/>
      <w:lvlJc w:val="left"/>
      <w:pPr>
        <w:ind w:left="15090" w:hanging="360"/>
      </w:pPr>
      <w:rPr>
        <w:rFonts w:ascii="Wingdings" w:hAnsi="Wingdings" w:hint="default"/>
      </w:rPr>
    </w:lvl>
  </w:abstractNum>
  <w:abstractNum w:abstractNumId="11" w15:restartNumberingAfterBreak="0">
    <w:nsid w:val="0242587F"/>
    <w:multiLevelType w:val="hybridMultilevel"/>
    <w:tmpl w:val="A6689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D240F1"/>
    <w:multiLevelType w:val="hybridMultilevel"/>
    <w:tmpl w:val="CFBE3900"/>
    <w:lvl w:ilvl="0" w:tplc="1FFE9ADE">
      <w:start w:val="7"/>
      <w:numFmt w:val="bullet"/>
      <w:lvlText w:val="-"/>
      <w:lvlJc w:val="left"/>
      <w:pPr>
        <w:ind w:left="9480" w:hanging="360"/>
      </w:pPr>
      <w:rPr>
        <w:rFonts w:ascii="Times New Roman" w:eastAsiaTheme="minorHAnsi" w:hAnsi="Times New Roman" w:cs="Times New Roman" w:hint="default"/>
      </w:rPr>
    </w:lvl>
    <w:lvl w:ilvl="1" w:tplc="04090003" w:tentative="1">
      <w:start w:val="1"/>
      <w:numFmt w:val="bullet"/>
      <w:lvlText w:val="o"/>
      <w:lvlJc w:val="left"/>
      <w:pPr>
        <w:ind w:left="10200" w:hanging="360"/>
      </w:pPr>
      <w:rPr>
        <w:rFonts w:ascii="Courier New" w:hAnsi="Courier New" w:cs="Courier New" w:hint="default"/>
      </w:rPr>
    </w:lvl>
    <w:lvl w:ilvl="2" w:tplc="04090005" w:tentative="1">
      <w:start w:val="1"/>
      <w:numFmt w:val="bullet"/>
      <w:lvlText w:val=""/>
      <w:lvlJc w:val="left"/>
      <w:pPr>
        <w:ind w:left="10920" w:hanging="360"/>
      </w:pPr>
      <w:rPr>
        <w:rFonts w:ascii="Wingdings" w:hAnsi="Wingdings" w:hint="default"/>
      </w:rPr>
    </w:lvl>
    <w:lvl w:ilvl="3" w:tplc="04090001" w:tentative="1">
      <w:start w:val="1"/>
      <w:numFmt w:val="bullet"/>
      <w:lvlText w:val=""/>
      <w:lvlJc w:val="left"/>
      <w:pPr>
        <w:ind w:left="11640" w:hanging="360"/>
      </w:pPr>
      <w:rPr>
        <w:rFonts w:ascii="Symbol" w:hAnsi="Symbol" w:hint="default"/>
      </w:rPr>
    </w:lvl>
    <w:lvl w:ilvl="4" w:tplc="04090003" w:tentative="1">
      <w:start w:val="1"/>
      <w:numFmt w:val="bullet"/>
      <w:lvlText w:val="o"/>
      <w:lvlJc w:val="left"/>
      <w:pPr>
        <w:ind w:left="12360" w:hanging="360"/>
      </w:pPr>
      <w:rPr>
        <w:rFonts w:ascii="Courier New" w:hAnsi="Courier New" w:cs="Courier New" w:hint="default"/>
      </w:rPr>
    </w:lvl>
    <w:lvl w:ilvl="5" w:tplc="04090005" w:tentative="1">
      <w:start w:val="1"/>
      <w:numFmt w:val="bullet"/>
      <w:lvlText w:val=""/>
      <w:lvlJc w:val="left"/>
      <w:pPr>
        <w:ind w:left="13080" w:hanging="360"/>
      </w:pPr>
      <w:rPr>
        <w:rFonts w:ascii="Wingdings" w:hAnsi="Wingdings" w:hint="default"/>
      </w:rPr>
    </w:lvl>
    <w:lvl w:ilvl="6" w:tplc="04090001" w:tentative="1">
      <w:start w:val="1"/>
      <w:numFmt w:val="bullet"/>
      <w:lvlText w:val=""/>
      <w:lvlJc w:val="left"/>
      <w:pPr>
        <w:ind w:left="13800" w:hanging="360"/>
      </w:pPr>
      <w:rPr>
        <w:rFonts w:ascii="Symbol" w:hAnsi="Symbol" w:hint="default"/>
      </w:rPr>
    </w:lvl>
    <w:lvl w:ilvl="7" w:tplc="04090003" w:tentative="1">
      <w:start w:val="1"/>
      <w:numFmt w:val="bullet"/>
      <w:lvlText w:val="o"/>
      <w:lvlJc w:val="left"/>
      <w:pPr>
        <w:ind w:left="14520" w:hanging="360"/>
      </w:pPr>
      <w:rPr>
        <w:rFonts w:ascii="Courier New" w:hAnsi="Courier New" w:cs="Courier New" w:hint="default"/>
      </w:rPr>
    </w:lvl>
    <w:lvl w:ilvl="8" w:tplc="04090005" w:tentative="1">
      <w:start w:val="1"/>
      <w:numFmt w:val="bullet"/>
      <w:lvlText w:val=""/>
      <w:lvlJc w:val="left"/>
      <w:pPr>
        <w:ind w:left="15240" w:hanging="360"/>
      </w:pPr>
      <w:rPr>
        <w:rFonts w:ascii="Wingdings" w:hAnsi="Wingdings" w:hint="default"/>
      </w:rPr>
    </w:lvl>
  </w:abstractNum>
  <w:abstractNum w:abstractNumId="13" w15:restartNumberingAfterBreak="0">
    <w:nsid w:val="0BA30FAC"/>
    <w:multiLevelType w:val="hybridMultilevel"/>
    <w:tmpl w:val="F8CC51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11278"/>
    <w:multiLevelType w:val="hybridMultilevel"/>
    <w:tmpl w:val="8158AD8E"/>
    <w:lvl w:ilvl="0" w:tplc="B478E46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41B2C"/>
    <w:multiLevelType w:val="hybridMultilevel"/>
    <w:tmpl w:val="DF60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B23CDD"/>
    <w:multiLevelType w:val="hybridMultilevel"/>
    <w:tmpl w:val="3AF8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1D1BA8"/>
    <w:multiLevelType w:val="hybridMultilevel"/>
    <w:tmpl w:val="567671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E416194"/>
    <w:multiLevelType w:val="multilevel"/>
    <w:tmpl w:val="5F3ACA38"/>
    <w:lvl w:ilvl="0">
      <w:start w:val="1"/>
      <w:numFmt w:val="upperRoman"/>
      <w:lvlRestart w:val="0"/>
      <w:lvlText w:val="%1."/>
      <w:lvlJc w:val="left"/>
      <w:pPr>
        <w:tabs>
          <w:tab w:val="num" w:pos="720"/>
        </w:tabs>
        <w:ind w:left="720" w:hanging="720"/>
      </w:pPr>
    </w:lvl>
    <w:lvl w:ilvl="1">
      <w:start w:val="1"/>
      <w:numFmt w:val="upperLetter"/>
      <w:lvlText w:val="%2."/>
      <w:lvlJc w:val="left"/>
      <w:pPr>
        <w:tabs>
          <w:tab w:val="num" w:pos="1080"/>
        </w:tabs>
        <w:ind w:left="1080" w:hanging="720"/>
      </w:pPr>
    </w:lvl>
    <w:lvl w:ilvl="2">
      <w:start w:val="1"/>
      <w:numFmt w:val="decimal"/>
      <w:lvlText w:val="%3."/>
      <w:lvlJc w:val="left"/>
      <w:pPr>
        <w:tabs>
          <w:tab w:val="num" w:pos="1440"/>
        </w:tabs>
        <w:ind w:left="1440" w:hanging="720"/>
      </w:pPr>
    </w:lvl>
    <w:lvl w:ilvl="3">
      <w:start w:val="1"/>
      <w:numFmt w:val="lowerLetter"/>
      <w:lvlText w:val="%4."/>
      <w:lvlJc w:val="left"/>
      <w:pPr>
        <w:tabs>
          <w:tab w:val="num" w:pos="1800"/>
        </w:tabs>
        <w:ind w:left="1800" w:hanging="720"/>
      </w:pPr>
    </w:lvl>
    <w:lvl w:ilvl="4">
      <w:start w:val="1"/>
      <w:numFmt w:val="lowerRoman"/>
      <w:lvlText w:val="%5."/>
      <w:lvlJc w:val="left"/>
      <w:pPr>
        <w:tabs>
          <w:tab w:val="num" w:pos="2160"/>
        </w:tabs>
        <w:ind w:left="2160" w:hanging="720"/>
      </w:pPr>
    </w:lvl>
    <w:lvl w:ilvl="5">
      <w:start w:val="1"/>
      <w:numFmt w:val="lowerLetter"/>
      <w:lvlText w:val="(%6)"/>
      <w:lvlJc w:val="left"/>
      <w:pPr>
        <w:tabs>
          <w:tab w:val="num" w:pos="2520"/>
        </w:tabs>
        <w:ind w:left="2520" w:hanging="720"/>
      </w:pPr>
    </w:lvl>
    <w:lvl w:ilvl="6">
      <w:start w:val="1"/>
      <w:numFmt w:val="decimal"/>
      <w:lvlText w:val="(%7)"/>
      <w:lvlJc w:val="left"/>
      <w:pPr>
        <w:tabs>
          <w:tab w:val="num" w:pos="2880"/>
        </w:tabs>
        <w:ind w:left="2880" w:hanging="720"/>
      </w:pPr>
    </w:lvl>
    <w:lvl w:ilvl="7">
      <w:start w:val="1"/>
      <w:numFmt w:val="lowerRoman"/>
      <w:lvlText w:val="(%8)"/>
      <w:lvlJc w:val="left"/>
      <w:pPr>
        <w:tabs>
          <w:tab w:val="num" w:pos="3240"/>
        </w:tabs>
        <w:ind w:left="3240" w:hanging="720"/>
      </w:pPr>
    </w:lvl>
    <w:lvl w:ilvl="8">
      <w:start w:val="1"/>
      <w:numFmt w:val="decimalZero"/>
      <w:lvlText w:val="(%9)"/>
      <w:lvlJc w:val="left"/>
      <w:pPr>
        <w:tabs>
          <w:tab w:val="num" w:pos="3600"/>
        </w:tabs>
        <w:ind w:left="3600" w:hanging="720"/>
      </w:pPr>
    </w:lvl>
  </w:abstractNum>
  <w:abstractNum w:abstractNumId="19" w15:restartNumberingAfterBreak="0">
    <w:nsid w:val="1E5A2883"/>
    <w:multiLevelType w:val="hybridMultilevel"/>
    <w:tmpl w:val="543635AE"/>
    <w:lvl w:ilvl="0" w:tplc="54246274">
      <w:start w:val="7"/>
      <w:numFmt w:val="bullet"/>
      <w:lvlText w:val="-"/>
      <w:lvlJc w:val="left"/>
      <w:pPr>
        <w:ind w:left="9330" w:hanging="360"/>
      </w:pPr>
      <w:rPr>
        <w:rFonts w:ascii="Times New Roman" w:eastAsiaTheme="minorHAnsi" w:hAnsi="Times New Roman" w:cs="Times New Roman" w:hint="default"/>
      </w:rPr>
    </w:lvl>
    <w:lvl w:ilvl="1" w:tplc="04090003" w:tentative="1">
      <w:start w:val="1"/>
      <w:numFmt w:val="bullet"/>
      <w:lvlText w:val="o"/>
      <w:lvlJc w:val="left"/>
      <w:pPr>
        <w:ind w:left="10050" w:hanging="360"/>
      </w:pPr>
      <w:rPr>
        <w:rFonts w:ascii="Courier New" w:hAnsi="Courier New" w:cs="Courier New" w:hint="default"/>
      </w:rPr>
    </w:lvl>
    <w:lvl w:ilvl="2" w:tplc="04090005" w:tentative="1">
      <w:start w:val="1"/>
      <w:numFmt w:val="bullet"/>
      <w:lvlText w:val=""/>
      <w:lvlJc w:val="left"/>
      <w:pPr>
        <w:ind w:left="10770" w:hanging="360"/>
      </w:pPr>
      <w:rPr>
        <w:rFonts w:ascii="Wingdings" w:hAnsi="Wingdings" w:hint="default"/>
      </w:rPr>
    </w:lvl>
    <w:lvl w:ilvl="3" w:tplc="04090001" w:tentative="1">
      <w:start w:val="1"/>
      <w:numFmt w:val="bullet"/>
      <w:lvlText w:val=""/>
      <w:lvlJc w:val="left"/>
      <w:pPr>
        <w:ind w:left="11490" w:hanging="360"/>
      </w:pPr>
      <w:rPr>
        <w:rFonts w:ascii="Symbol" w:hAnsi="Symbol" w:hint="default"/>
      </w:rPr>
    </w:lvl>
    <w:lvl w:ilvl="4" w:tplc="04090003" w:tentative="1">
      <w:start w:val="1"/>
      <w:numFmt w:val="bullet"/>
      <w:lvlText w:val="o"/>
      <w:lvlJc w:val="left"/>
      <w:pPr>
        <w:ind w:left="12210" w:hanging="360"/>
      </w:pPr>
      <w:rPr>
        <w:rFonts w:ascii="Courier New" w:hAnsi="Courier New" w:cs="Courier New" w:hint="default"/>
      </w:rPr>
    </w:lvl>
    <w:lvl w:ilvl="5" w:tplc="04090005" w:tentative="1">
      <w:start w:val="1"/>
      <w:numFmt w:val="bullet"/>
      <w:lvlText w:val=""/>
      <w:lvlJc w:val="left"/>
      <w:pPr>
        <w:ind w:left="12930" w:hanging="360"/>
      </w:pPr>
      <w:rPr>
        <w:rFonts w:ascii="Wingdings" w:hAnsi="Wingdings" w:hint="default"/>
      </w:rPr>
    </w:lvl>
    <w:lvl w:ilvl="6" w:tplc="04090001" w:tentative="1">
      <w:start w:val="1"/>
      <w:numFmt w:val="bullet"/>
      <w:lvlText w:val=""/>
      <w:lvlJc w:val="left"/>
      <w:pPr>
        <w:ind w:left="13650" w:hanging="360"/>
      </w:pPr>
      <w:rPr>
        <w:rFonts w:ascii="Symbol" w:hAnsi="Symbol" w:hint="default"/>
      </w:rPr>
    </w:lvl>
    <w:lvl w:ilvl="7" w:tplc="04090003" w:tentative="1">
      <w:start w:val="1"/>
      <w:numFmt w:val="bullet"/>
      <w:lvlText w:val="o"/>
      <w:lvlJc w:val="left"/>
      <w:pPr>
        <w:ind w:left="14370" w:hanging="360"/>
      </w:pPr>
      <w:rPr>
        <w:rFonts w:ascii="Courier New" w:hAnsi="Courier New" w:cs="Courier New" w:hint="default"/>
      </w:rPr>
    </w:lvl>
    <w:lvl w:ilvl="8" w:tplc="04090005" w:tentative="1">
      <w:start w:val="1"/>
      <w:numFmt w:val="bullet"/>
      <w:lvlText w:val=""/>
      <w:lvlJc w:val="left"/>
      <w:pPr>
        <w:ind w:left="15090" w:hanging="360"/>
      </w:pPr>
      <w:rPr>
        <w:rFonts w:ascii="Wingdings" w:hAnsi="Wingdings" w:hint="default"/>
      </w:rPr>
    </w:lvl>
  </w:abstractNum>
  <w:abstractNum w:abstractNumId="20" w15:restartNumberingAfterBreak="0">
    <w:nsid w:val="1E926C6C"/>
    <w:multiLevelType w:val="multilevel"/>
    <w:tmpl w:val="90E62D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67E6B8E"/>
    <w:multiLevelType w:val="hybridMultilevel"/>
    <w:tmpl w:val="EB560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A01EBB"/>
    <w:multiLevelType w:val="hybridMultilevel"/>
    <w:tmpl w:val="3D346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9AE3840"/>
    <w:multiLevelType w:val="hybridMultilevel"/>
    <w:tmpl w:val="4D402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9B07B60"/>
    <w:multiLevelType w:val="hybridMultilevel"/>
    <w:tmpl w:val="C5724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8C7662A"/>
    <w:multiLevelType w:val="hybridMultilevel"/>
    <w:tmpl w:val="75DE2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C52206"/>
    <w:multiLevelType w:val="hybridMultilevel"/>
    <w:tmpl w:val="F336E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F557FE"/>
    <w:multiLevelType w:val="hybridMultilevel"/>
    <w:tmpl w:val="CE58C380"/>
    <w:lvl w:ilvl="0" w:tplc="04090001">
      <w:start w:val="1"/>
      <w:numFmt w:val="bullet"/>
      <w:lvlText w:val=""/>
      <w:lvlJc w:val="left"/>
      <w:pPr>
        <w:ind w:left="1440" w:hanging="360"/>
      </w:pPr>
      <w:rPr>
        <w:rFonts w:ascii="Symbol" w:hAnsi="Symbol" w:hint="default"/>
      </w:rPr>
    </w:lvl>
    <w:lvl w:ilvl="1" w:tplc="8068958C">
      <w:numFmt w:val="bullet"/>
      <w:lvlText w:val="•"/>
      <w:lvlJc w:val="left"/>
      <w:pPr>
        <w:ind w:left="2520" w:hanging="72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BF204C"/>
    <w:multiLevelType w:val="hybridMultilevel"/>
    <w:tmpl w:val="584CE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E74ED0"/>
    <w:multiLevelType w:val="hybridMultilevel"/>
    <w:tmpl w:val="6DDCE95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F7B59A3"/>
    <w:multiLevelType w:val="multilevel"/>
    <w:tmpl w:val="30C45616"/>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F116D4"/>
    <w:multiLevelType w:val="hybridMultilevel"/>
    <w:tmpl w:val="109C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C6C77"/>
    <w:multiLevelType w:val="hybridMultilevel"/>
    <w:tmpl w:val="C8C84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B6502FF"/>
    <w:multiLevelType w:val="multilevel"/>
    <w:tmpl w:val="42787ABA"/>
    <w:lvl w:ilvl="0">
      <w:start w:val="1"/>
      <w:numFmt w:val="upperRoman"/>
      <w:lvlRestart w:val="0"/>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lowerRoman"/>
      <w:pStyle w:val="Heading8"/>
      <w:lvlText w:val="(%8)"/>
      <w:lvlJc w:val="left"/>
      <w:pPr>
        <w:tabs>
          <w:tab w:val="num" w:pos="5760"/>
        </w:tabs>
        <w:ind w:left="5760" w:hanging="720"/>
      </w:pPr>
    </w:lvl>
    <w:lvl w:ilvl="8">
      <w:start w:val="1"/>
      <w:numFmt w:val="decimalZero"/>
      <w:pStyle w:val="Heading9"/>
      <w:lvlText w:val="(%9)"/>
      <w:lvlJc w:val="left"/>
      <w:pPr>
        <w:tabs>
          <w:tab w:val="num" w:pos="6480"/>
        </w:tabs>
        <w:ind w:left="6480" w:hanging="720"/>
      </w:pPr>
    </w:lvl>
  </w:abstractNum>
  <w:abstractNum w:abstractNumId="34" w15:restartNumberingAfterBreak="0">
    <w:nsid w:val="61525F4A"/>
    <w:multiLevelType w:val="hybridMultilevel"/>
    <w:tmpl w:val="E6D2A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59B46E7"/>
    <w:multiLevelType w:val="hybridMultilevel"/>
    <w:tmpl w:val="9634F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646187"/>
    <w:multiLevelType w:val="hybridMultilevel"/>
    <w:tmpl w:val="9DCC217A"/>
    <w:lvl w:ilvl="0" w:tplc="D43ED736">
      <w:start w:val="1"/>
      <w:numFmt w:val="bullet"/>
      <w:lvlText w:val=""/>
      <w:lvlJc w:val="left"/>
      <w:pPr>
        <w:tabs>
          <w:tab w:val="num" w:pos="360"/>
        </w:tabs>
        <w:ind w:left="720" w:hanging="360"/>
      </w:pPr>
      <w:rPr>
        <w:rFonts w:ascii="Symbol" w:hAnsi="Symbol" w:hint="default"/>
      </w:rPr>
    </w:lvl>
    <w:lvl w:ilvl="1" w:tplc="E760E52E" w:tentative="1">
      <w:start w:val="1"/>
      <w:numFmt w:val="bullet"/>
      <w:lvlText w:val="o"/>
      <w:lvlJc w:val="left"/>
      <w:pPr>
        <w:tabs>
          <w:tab w:val="num" w:pos="1440"/>
        </w:tabs>
        <w:ind w:left="1440" w:hanging="360"/>
      </w:pPr>
      <w:rPr>
        <w:rFonts w:ascii="Courier New" w:hAnsi="Courier New" w:cs="Courier New" w:hint="default"/>
      </w:rPr>
    </w:lvl>
    <w:lvl w:ilvl="2" w:tplc="A906EF2C" w:tentative="1">
      <w:start w:val="1"/>
      <w:numFmt w:val="bullet"/>
      <w:lvlText w:val=""/>
      <w:lvlJc w:val="left"/>
      <w:pPr>
        <w:tabs>
          <w:tab w:val="num" w:pos="2160"/>
        </w:tabs>
        <w:ind w:left="2160" w:hanging="360"/>
      </w:pPr>
      <w:rPr>
        <w:rFonts w:ascii="Wingdings" w:hAnsi="Wingdings" w:hint="default"/>
      </w:rPr>
    </w:lvl>
    <w:lvl w:ilvl="3" w:tplc="174C3630" w:tentative="1">
      <w:start w:val="1"/>
      <w:numFmt w:val="bullet"/>
      <w:lvlText w:val=""/>
      <w:lvlJc w:val="left"/>
      <w:pPr>
        <w:tabs>
          <w:tab w:val="num" w:pos="2880"/>
        </w:tabs>
        <w:ind w:left="2880" w:hanging="360"/>
      </w:pPr>
      <w:rPr>
        <w:rFonts w:ascii="Symbol" w:hAnsi="Symbol" w:hint="default"/>
      </w:rPr>
    </w:lvl>
    <w:lvl w:ilvl="4" w:tplc="2A58DF28" w:tentative="1">
      <w:start w:val="1"/>
      <w:numFmt w:val="bullet"/>
      <w:lvlText w:val="o"/>
      <w:lvlJc w:val="left"/>
      <w:pPr>
        <w:tabs>
          <w:tab w:val="num" w:pos="3600"/>
        </w:tabs>
        <w:ind w:left="3600" w:hanging="360"/>
      </w:pPr>
      <w:rPr>
        <w:rFonts w:ascii="Courier New" w:hAnsi="Courier New" w:cs="Courier New" w:hint="default"/>
      </w:rPr>
    </w:lvl>
    <w:lvl w:ilvl="5" w:tplc="9E04ADBC" w:tentative="1">
      <w:start w:val="1"/>
      <w:numFmt w:val="bullet"/>
      <w:lvlText w:val=""/>
      <w:lvlJc w:val="left"/>
      <w:pPr>
        <w:tabs>
          <w:tab w:val="num" w:pos="4320"/>
        </w:tabs>
        <w:ind w:left="4320" w:hanging="360"/>
      </w:pPr>
      <w:rPr>
        <w:rFonts w:ascii="Wingdings" w:hAnsi="Wingdings" w:hint="default"/>
      </w:rPr>
    </w:lvl>
    <w:lvl w:ilvl="6" w:tplc="B7582168" w:tentative="1">
      <w:start w:val="1"/>
      <w:numFmt w:val="bullet"/>
      <w:lvlText w:val=""/>
      <w:lvlJc w:val="left"/>
      <w:pPr>
        <w:tabs>
          <w:tab w:val="num" w:pos="5040"/>
        </w:tabs>
        <w:ind w:left="5040" w:hanging="360"/>
      </w:pPr>
      <w:rPr>
        <w:rFonts w:ascii="Symbol" w:hAnsi="Symbol" w:hint="default"/>
      </w:rPr>
    </w:lvl>
    <w:lvl w:ilvl="7" w:tplc="0C00A7B2" w:tentative="1">
      <w:start w:val="1"/>
      <w:numFmt w:val="bullet"/>
      <w:lvlText w:val="o"/>
      <w:lvlJc w:val="left"/>
      <w:pPr>
        <w:tabs>
          <w:tab w:val="num" w:pos="5760"/>
        </w:tabs>
        <w:ind w:left="5760" w:hanging="360"/>
      </w:pPr>
      <w:rPr>
        <w:rFonts w:ascii="Courier New" w:hAnsi="Courier New" w:cs="Courier New" w:hint="default"/>
      </w:rPr>
    </w:lvl>
    <w:lvl w:ilvl="8" w:tplc="FF02B8A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66472"/>
    <w:multiLevelType w:val="hybridMultilevel"/>
    <w:tmpl w:val="5972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8C41C3"/>
    <w:multiLevelType w:val="hybridMultilevel"/>
    <w:tmpl w:val="77CA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A48D3"/>
    <w:multiLevelType w:val="multilevel"/>
    <w:tmpl w:val="D4FA253C"/>
    <w:lvl w:ilvl="0">
      <w:start w:val="1"/>
      <w:numFmt w:val="upperRoman"/>
      <w:lvlRestart w:val="0"/>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Roman"/>
      <w:lvlText w:val="(%8)"/>
      <w:lvlJc w:val="left"/>
      <w:pPr>
        <w:tabs>
          <w:tab w:val="num" w:pos="5760"/>
        </w:tabs>
        <w:ind w:left="5760" w:hanging="720"/>
      </w:pPr>
    </w:lvl>
    <w:lvl w:ilvl="8">
      <w:start w:val="1"/>
      <w:numFmt w:val="decimalZero"/>
      <w:lvlText w:val="(%9)"/>
      <w:lvlJc w:val="left"/>
      <w:pPr>
        <w:tabs>
          <w:tab w:val="num" w:pos="6480"/>
        </w:tabs>
        <w:ind w:left="6480" w:hanging="720"/>
      </w:pPr>
    </w:lvl>
  </w:abstractNum>
  <w:abstractNum w:abstractNumId="40" w15:restartNumberingAfterBreak="0">
    <w:nsid w:val="7D3B09D3"/>
    <w:multiLevelType w:val="hybridMultilevel"/>
    <w:tmpl w:val="CBA4F348"/>
    <w:lvl w:ilvl="0" w:tplc="A886A3F8">
      <w:start w:val="1"/>
      <w:numFmt w:val="decimal"/>
      <w:pStyle w:val="FERCparanumber"/>
      <w:lvlText w:val="%1."/>
      <w:lvlJc w:val="left"/>
      <w:pPr>
        <w:tabs>
          <w:tab w:val="num" w:pos="720"/>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4E4DD3"/>
    <w:multiLevelType w:val="hybridMultilevel"/>
    <w:tmpl w:val="ED2073C2"/>
    <w:lvl w:ilvl="0" w:tplc="D4323D40">
      <w:start w:val="1"/>
      <w:numFmt w:val="decimal"/>
      <w:pStyle w:val="Non-TOCStyle"/>
      <w:lvlText w:val="%1."/>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F9677C3"/>
    <w:multiLevelType w:val="hybridMultilevel"/>
    <w:tmpl w:val="AE5E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36"/>
  </w:num>
  <w:num w:numId="13">
    <w:abstractNumId w:val="18"/>
  </w:num>
  <w:num w:numId="14">
    <w:abstractNumId w:val="39"/>
  </w:num>
  <w:num w:numId="15">
    <w:abstractNumId w:val="33"/>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19"/>
  </w:num>
  <w:num w:numId="20">
    <w:abstractNumId w:val="14"/>
  </w:num>
  <w:num w:numId="21">
    <w:abstractNumId w:val="41"/>
  </w:num>
  <w:num w:numId="22">
    <w:abstractNumId w:val="42"/>
  </w:num>
  <w:num w:numId="23">
    <w:abstractNumId w:val="38"/>
  </w:num>
  <w:num w:numId="24">
    <w:abstractNumId w:val="27"/>
  </w:num>
  <w:num w:numId="25">
    <w:abstractNumId w:val="21"/>
  </w:num>
  <w:num w:numId="26">
    <w:abstractNumId w:val="15"/>
  </w:num>
  <w:num w:numId="27">
    <w:abstractNumId w:val="25"/>
  </w:num>
  <w:num w:numId="28">
    <w:abstractNumId w:val="34"/>
  </w:num>
  <w:num w:numId="29">
    <w:abstractNumId w:val="11"/>
  </w:num>
  <w:num w:numId="30">
    <w:abstractNumId w:val="42"/>
  </w:num>
  <w:num w:numId="31">
    <w:abstractNumId w:val="30"/>
  </w:num>
  <w:num w:numId="32">
    <w:abstractNumId w:val="17"/>
  </w:num>
  <w:num w:numId="33">
    <w:abstractNumId w:val="24"/>
  </w:num>
  <w:num w:numId="34">
    <w:abstractNumId w:val="31"/>
  </w:num>
  <w:num w:numId="35">
    <w:abstractNumId w:val="37"/>
  </w:num>
  <w:num w:numId="36">
    <w:abstractNumId w:val="26"/>
  </w:num>
  <w:num w:numId="37">
    <w:abstractNumId w:val="28"/>
  </w:num>
  <w:num w:numId="38">
    <w:abstractNumId w:val="32"/>
  </w:num>
  <w:num w:numId="39">
    <w:abstractNumId w:val="22"/>
  </w:num>
  <w:num w:numId="40">
    <w:abstractNumId w:val="29"/>
  </w:num>
  <w:num w:numId="41">
    <w:abstractNumId w:val="20"/>
  </w:num>
  <w:num w:numId="42">
    <w:abstractNumId w:val="16"/>
  </w:num>
  <w:num w:numId="43">
    <w:abstractNumId w:val="33"/>
  </w:num>
  <w:num w:numId="44">
    <w:abstractNumId w:val="13"/>
  </w:num>
  <w:num w:numId="45">
    <w:abstractNumId w:val="2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5A9"/>
    <w:rsid w:val="000001EA"/>
    <w:rsid w:val="000010CA"/>
    <w:rsid w:val="0000176F"/>
    <w:rsid w:val="00001F5C"/>
    <w:rsid w:val="00002880"/>
    <w:rsid w:val="000030EB"/>
    <w:rsid w:val="00003340"/>
    <w:rsid w:val="00003AE4"/>
    <w:rsid w:val="00003B36"/>
    <w:rsid w:val="000046D4"/>
    <w:rsid w:val="00004B58"/>
    <w:rsid w:val="0000530C"/>
    <w:rsid w:val="00005BCA"/>
    <w:rsid w:val="00006B04"/>
    <w:rsid w:val="00006C76"/>
    <w:rsid w:val="0000731D"/>
    <w:rsid w:val="000073B8"/>
    <w:rsid w:val="000079E9"/>
    <w:rsid w:val="00010324"/>
    <w:rsid w:val="00010810"/>
    <w:rsid w:val="00010FA6"/>
    <w:rsid w:val="00011508"/>
    <w:rsid w:val="000118C8"/>
    <w:rsid w:val="000119F4"/>
    <w:rsid w:val="00011C7A"/>
    <w:rsid w:val="00011D43"/>
    <w:rsid w:val="0001213C"/>
    <w:rsid w:val="000126A4"/>
    <w:rsid w:val="00013399"/>
    <w:rsid w:val="00013F29"/>
    <w:rsid w:val="00013FD4"/>
    <w:rsid w:val="00014000"/>
    <w:rsid w:val="000143AA"/>
    <w:rsid w:val="0001470B"/>
    <w:rsid w:val="000151A6"/>
    <w:rsid w:val="0001558F"/>
    <w:rsid w:val="000157A4"/>
    <w:rsid w:val="000160F2"/>
    <w:rsid w:val="000168FF"/>
    <w:rsid w:val="00016942"/>
    <w:rsid w:val="00017B8C"/>
    <w:rsid w:val="00017BE8"/>
    <w:rsid w:val="00017C0A"/>
    <w:rsid w:val="00017CFC"/>
    <w:rsid w:val="000201CE"/>
    <w:rsid w:val="0002042F"/>
    <w:rsid w:val="000206CA"/>
    <w:rsid w:val="00020781"/>
    <w:rsid w:val="00020B31"/>
    <w:rsid w:val="00020B51"/>
    <w:rsid w:val="000210DB"/>
    <w:rsid w:val="000218F3"/>
    <w:rsid w:val="000218F5"/>
    <w:rsid w:val="00021D12"/>
    <w:rsid w:val="00021D95"/>
    <w:rsid w:val="00021FC6"/>
    <w:rsid w:val="000221C2"/>
    <w:rsid w:val="0002241E"/>
    <w:rsid w:val="00022A33"/>
    <w:rsid w:val="00022AE8"/>
    <w:rsid w:val="00022E53"/>
    <w:rsid w:val="000230DD"/>
    <w:rsid w:val="00023501"/>
    <w:rsid w:val="0002355F"/>
    <w:rsid w:val="00024521"/>
    <w:rsid w:val="00024CB1"/>
    <w:rsid w:val="00025459"/>
    <w:rsid w:val="00025A64"/>
    <w:rsid w:val="00025C7F"/>
    <w:rsid w:val="00026815"/>
    <w:rsid w:val="00026ECA"/>
    <w:rsid w:val="000272D9"/>
    <w:rsid w:val="000275AF"/>
    <w:rsid w:val="00027A8B"/>
    <w:rsid w:val="00030355"/>
    <w:rsid w:val="000308EA"/>
    <w:rsid w:val="000308F8"/>
    <w:rsid w:val="00030990"/>
    <w:rsid w:val="00030B18"/>
    <w:rsid w:val="000320E6"/>
    <w:rsid w:val="00032506"/>
    <w:rsid w:val="00032701"/>
    <w:rsid w:val="00032897"/>
    <w:rsid w:val="00032CDF"/>
    <w:rsid w:val="00033246"/>
    <w:rsid w:val="00033654"/>
    <w:rsid w:val="00033A13"/>
    <w:rsid w:val="0003469E"/>
    <w:rsid w:val="00034BA2"/>
    <w:rsid w:val="00034D53"/>
    <w:rsid w:val="00034DF2"/>
    <w:rsid w:val="000358CB"/>
    <w:rsid w:val="00035BD1"/>
    <w:rsid w:val="00036634"/>
    <w:rsid w:val="00036BB9"/>
    <w:rsid w:val="00036D9E"/>
    <w:rsid w:val="00036E88"/>
    <w:rsid w:val="00037116"/>
    <w:rsid w:val="00037156"/>
    <w:rsid w:val="00037280"/>
    <w:rsid w:val="00037345"/>
    <w:rsid w:val="0003738D"/>
    <w:rsid w:val="0003743F"/>
    <w:rsid w:val="000379E3"/>
    <w:rsid w:val="00037E98"/>
    <w:rsid w:val="00037E9E"/>
    <w:rsid w:val="0004005B"/>
    <w:rsid w:val="00040077"/>
    <w:rsid w:val="000403C0"/>
    <w:rsid w:val="000406CD"/>
    <w:rsid w:val="000406D4"/>
    <w:rsid w:val="000409B4"/>
    <w:rsid w:val="00040CA0"/>
    <w:rsid w:val="0004174A"/>
    <w:rsid w:val="00041A9B"/>
    <w:rsid w:val="00041CB0"/>
    <w:rsid w:val="000424C9"/>
    <w:rsid w:val="000426B3"/>
    <w:rsid w:val="0004288F"/>
    <w:rsid w:val="000428C4"/>
    <w:rsid w:val="000430BE"/>
    <w:rsid w:val="00043558"/>
    <w:rsid w:val="00043802"/>
    <w:rsid w:val="00043832"/>
    <w:rsid w:val="0004415D"/>
    <w:rsid w:val="0004438D"/>
    <w:rsid w:val="00044AAB"/>
    <w:rsid w:val="00044B6E"/>
    <w:rsid w:val="00046084"/>
    <w:rsid w:val="0004624A"/>
    <w:rsid w:val="00047F06"/>
    <w:rsid w:val="000507A1"/>
    <w:rsid w:val="00050EB2"/>
    <w:rsid w:val="000518E8"/>
    <w:rsid w:val="00052A8F"/>
    <w:rsid w:val="00052B31"/>
    <w:rsid w:val="000532C7"/>
    <w:rsid w:val="00053B60"/>
    <w:rsid w:val="000540CF"/>
    <w:rsid w:val="00054460"/>
    <w:rsid w:val="000548BA"/>
    <w:rsid w:val="000550DC"/>
    <w:rsid w:val="000553AB"/>
    <w:rsid w:val="000555ED"/>
    <w:rsid w:val="00055751"/>
    <w:rsid w:val="00055B8E"/>
    <w:rsid w:val="00055F05"/>
    <w:rsid w:val="00055F5F"/>
    <w:rsid w:val="00056143"/>
    <w:rsid w:val="00056145"/>
    <w:rsid w:val="00056B03"/>
    <w:rsid w:val="00056F1D"/>
    <w:rsid w:val="000579D6"/>
    <w:rsid w:val="0006028C"/>
    <w:rsid w:val="0006096C"/>
    <w:rsid w:val="00060B06"/>
    <w:rsid w:val="0006117F"/>
    <w:rsid w:val="00061862"/>
    <w:rsid w:val="00061AFC"/>
    <w:rsid w:val="00064347"/>
    <w:rsid w:val="00064B60"/>
    <w:rsid w:val="00064BA9"/>
    <w:rsid w:val="00064BD3"/>
    <w:rsid w:val="00064D15"/>
    <w:rsid w:val="00064E27"/>
    <w:rsid w:val="00065345"/>
    <w:rsid w:val="000657EB"/>
    <w:rsid w:val="00065A08"/>
    <w:rsid w:val="00065C24"/>
    <w:rsid w:val="00065D8C"/>
    <w:rsid w:val="00066194"/>
    <w:rsid w:val="00066F3E"/>
    <w:rsid w:val="00067AB3"/>
    <w:rsid w:val="00067AC3"/>
    <w:rsid w:val="00067E8D"/>
    <w:rsid w:val="000703F3"/>
    <w:rsid w:val="00070857"/>
    <w:rsid w:val="00071104"/>
    <w:rsid w:val="00071150"/>
    <w:rsid w:val="000712A3"/>
    <w:rsid w:val="000723F6"/>
    <w:rsid w:val="0007377C"/>
    <w:rsid w:val="00073DEE"/>
    <w:rsid w:val="00074136"/>
    <w:rsid w:val="00074195"/>
    <w:rsid w:val="00074B8D"/>
    <w:rsid w:val="00074D0C"/>
    <w:rsid w:val="00074F1A"/>
    <w:rsid w:val="00075048"/>
    <w:rsid w:val="00075681"/>
    <w:rsid w:val="00075A89"/>
    <w:rsid w:val="0007609E"/>
    <w:rsid w:val="000760EC"/>
    <w:rsid w:val="000761A3"/>
    <w:rsid w:val="000762B7"/>
    <w:rsid w:val="0007636C"/>
    <w:rsid w:val="0007668E"/>
    <w:rsid w:val="00076AC9"/>
    <w:rsid w:val="00076E5F"/>
    <w:rsid w:val="0007746B"/>
    <w:rsid w:val="000777C9"/>
    <w:rsid w:val="00077A57"/>
    <w:rsid w:val="00077B46"/>
    <w:rsid w:val="00077C60"/>
    <w:rsid w:val="00080870"/>
    <w:rsid w:val="000808E3"/>
    <w:rsid w:val="00080AE5"/>
    <w:rsid w:val="00080D20"/>
    <w:rsid w:val="0008169E"/>
    <w:rsid w:val="00081DD3"/>
    <w:rsid w:val="00082844"/>
    <w:rsid w:val="00082B3B"/>
    <w:rsid w:val="00083988"/>
    <w:rsid w:val="00083C86"/>
    <w:rsid w:val="00083E46"/>
    <w:rsid w:val="00083ECB"/>
    <w:rsid w:val="000843E0"/>
    <w:rsid w:val="00084479"/>
    <w:rsid w:val="0008478C"/>
    <w:rsid w:val="000848BE"/>
    <w:rsid w:val="00084A31"/>
    <w:rsid w:val="00084BF6"/>
    <w:rsid w:val="000850F7"/>
    <w:rsid w:val="00086D98"/>
    <w:rsid w:val="00086E62"/>
    <w:rsid w:val="000870BD"/>
    <w:rsid w:val="000872A5"/>
    <w:rsid w:val="000873CA"/>
    <w:rsid w:val="00087661"/>
    <w:rsid w:val="0008778D"/>
    <w:rsid w:val="000879B8"/>
    <w:rsid w:val="00087A40"/>
    <w:rsid w:val="00090D47"/>
    <w:rsid w:val="00090F3F"/>
    <w:rsid w:val="000911A8"/>
    <w:rsid w:val="000921B0"/>
    <w:rsid w:val="00092201"/>
    <w:rsid w:val="000924C5"/>
    <w:rsid w:val="00092564"/>
    <w:rsid w:val="00092634"/>
    <w:rsid w:val="00092F3E"/>
    <w:rsid w:val="00093A89"/>
    <w:rsid w:val="00093BD9"/>
    <w:rsid w:val="000947CD"/>
    <w:rsid w:val="000949A9"/>
    <w:rsid w:val="00096353"/>
    <w:rsid w:val="00096888"/>
    <w:rsid w:val="000968AF"/>
    <w:rsid w:val="00096A0B"/>
    <w:rsid w:val="00097181"/>
    <w:rsid w:val="0009772E"/>
    <w:rsid w:val="00097C05"/>
    <w:rsid w:val="000A00D3"/>
    <w:rsid w:val="000A0710"/>
    <w:rsid w:val="000A1C64"/>
    <w:rsid w:val="000A207D"/>
    <w:rsid w:val="000A2B1E"/>
    <w:rsid w:val="000A30CD"/>
    <w:rsid w:val="000A337A"/>
    <w:rsid w:val="000A35D2"/>
    <w:rsid w:val="000A3610"/>
    <w:rsid w:val="000A3CE3"/>
    <w:rsid w:val="000A3D2F"/>
    <w:rsid w:val="000A3F36"/>
    <w:rsid w:val="000A4003"/>
    <w:rsid w:val="000A4A23"/>
    <w:rsid w:val="000A5077"/>
    <w:rsid w:val="000A557B"/>
    <w:rsid w:val="000A5684"/>
    <w:rsid w:val="000A5DAA"/>
    <w:rsid w:val="000A60B5"/>
    <w:rsid w:val="000A65F3"/>
    <w:rsid w:val="000A6835"/>
    <w:rsid w:val="000A6A26"/>
    <w:rsid w:val="000A6A2A"/>
    <w:rsid w:val="000A6D70"/>
    <w:rsid w:val="000A79D5"/>
    <w:rsid w:val="000A7E92"/>
    <w:rsid w:val="000A7EB6"/>
    <w:rsid w:val="000B05FA"/>
    <w:rsid w:val="000B0E81"/>
    <w:rsid w:val="000B106A"/>
    <w:rsid w:val="000B107F"/>
    <w:rsid w:val="000B14AC"/>
    <w:rsid w:val="000B1583"/>
    <w:rsid w:val="000B1663"/>
    <w:rsid w:val="000B1EDB"/>
    <w:rsid w:val="000B2BF0"/>
    <w:rsid w:val="000B340F"/>
    <w:rsid w:val="000B407B"/>
    <w:rsid w:val="000B4124"/>
    <w:rsid w:val="000B4149"/>
    <w:rsid w:val="000B44F2"/>
    <w:rsid w:val="000B4C46"/>
    <w:rsid w:val="000B4CD8"/>
    <w:rsid w:val="000B5043"/>
    <w:rsid w:val="000B50F8"/>
    <w:rsid w:val="000B513F"/>
    <w:rsid w:val="000B555A"/>
    <w:rsid w:val="000B58C8"/>
    <w:rsid w:val="000B5904"/>
    <w:rsid w:val="000B5AE7"/>
    <w:rsid w:val="000B5E20"/>
    <w:rsid w:val="000B60C9"/>
    <w:rsid w:val="000B6596"/>
    <w:rsid w:val="000B675E"/>
    <w:rsid w:val="000B685E"/>
    <w:rsid w:val="000B6DBF"/>
    <w:rsid w:val="000B6F91"/>
    <w:rsid w:val="000B72C7"/>
    <w:rsid w:val="000B760A"/>
    <w:rsid w:val="000B7A16"/>
    <w:rsid w:val="000B7E62"/>
    <w:rsid w:val="000C0253"/>
    <w:rsid w:val="000C190C"/>
    <w:rsid w:val="000C19CD"/>
    <w:rsid w:val="000C1D7B"/>
    <w:rsid w:val="000C1F7C"/>
    <w:rsid w:val="000C1FCA"/>
    <w:rsid w:val="000C250F"/>
    <w:rsid w:val="000C26E1"/>
    <w:rsid w:val="000C3FA8"/>
    <w:rsid w:val="000C4622"/>
    <w:rsid w:val="000C4A0B"/>
    <w:rsid w:val="000C4CB7"/>
    <w:rsid w:val="000C509F"/>
    <w:rsid w:val="000C50DC"/>
    <w:rsid w:val="000C53AA"/>
    <w:rsid w:val="000C542F"/>
    <w:rsid w:val="000C57C1"/>
    <w:rsid w:val="000C599E"/>
    <w:rsid w:val="000C5E4A"/>
    <w:rsid w:val="000C625B"/>
    <w:rsid w:val="000C6412"/>
    <w:rsid w:val="000C67A4"/>
    <w:rsid w:val="000C6834"/>
    <w:rsid w:val="000C6869"/>
    <w:rsid w:val="000C7735"/>
    <w:rsid w:val="000D0259"/>
    <w:rsid w:val="000D09E7"/>
    <w:rsid w:val="000D0EE6"/>
    <w:rsid w:val="000D0F8F"/>
    <w:rsid w:val="000D14D8"/>
    <w:rsid w:val="000D1D4B"/>
    <w:rsid w:val="000D1DF2"/>
    <w:rsid w:val="000D1FB6"/>
    <w:rsid w:val="000D21BB"/>
    <w:rsid w:val="000D2391"/>
    <w:rsid w:val="000D2537"/>
    <w:rsid w:val="000D292B"/>
    <w:rsid w:val="000D3202"/>
    <w:rsid w:val="000D32DF"/>
    <w:rsid w:val="000D3371"/>
    <w:rsid w:val="000D3B0C"/>
    <w:rsid w:val="000D51E9"/>
    <w:rsid w:val="000D52B8"/>
    <w:rsid w:val="000D5C0B"/>
    <w:rsid w:val="000D60B8"/>
    <w:rsid w:val="000D6998"/>
    <w:rsid w:val="000D6C1F"/>
    <w:rsid w:val="000D6D5A"/>
    <w:rsid w:val="000D7180"/>
    <w:rsid w:val="000D7288"/>
    <w:rsid w:val="000D739B"/>
    <w:rsid w:val="000D78C8"/>
    <w:rsid w:val="000D7DD4"/>
    <w:rsid w:val="000D7E96"/>
    <w:rsid w:val="000E00A4"/>
    <w:rsid w:val="000E00AE"/>
    <w:rsid w:val="000E0857"/>
    <w:rsid w:val="000E0B34"/>
    <w:rsid w:val="000E110D"/>
    <w:rsid w:val="000E1298"/>
    <w:rsid w:val="000E1983"/>
    <w:rsid w:val="000E1DDE"/>
    <w:rsid w:val="000E2003"/>
    <w:rsid w:val="000E2483"/>
    <w:rsid w:val="000E2816"/>
    <w:rsid w:val="000E2BFA"/>
    <w:rsid w:val="000E2C4A"/>
    <w:rsid w:val="000E4058"/>
    <w:rsid w:val="000E43E9"/>
    <w:rsid w:val="000E4757"/>
    <w:rsid w:val="000E4A1C"/>
    <w:rsid w:val="000E4EAC"/>
    <w:rsid w:val="000E5580"/>
    <w:rsid w:val="000E5A08"/>
    <w:rsid w:val="000E5C7E"/>
    <w:rsid w:val="000E60D8"/>
    <w:rsid w:val="000E647C"/>
    <w:rsid w:val="000E64CA"/>
    <w:rsid w:val="000E6875"/>
    <w:rsid w:val="000E726A"/>
    <w:rsid w:val="000E7BA9"/>
    <w:rsid w:val="000E7BCF"/>
    <w:rsid w:val="000E7C9F"/>
    <w:rsid w:val="000E7F5C"/>
    <w:rsid w:val="000F225A"/>
    <w:rsid w:val="000F2660"/>
    <w:rsid w:val="000F286C"/>
    <w:rsid w:val="000F29D2"/>
    <w:rsid w:val="000F2DC1"/>
    <w:rsid w:val="000F31AA"/>
    <w:rsid w:val="000F3525"/>
    <w:rsid w:val="000F3537"/>
    <w:rsid w:val="000F372C"/>
    <w:rsid w:val="000F3ED4"/>
    <w:rsid w:val="000F44B0"/>
    <w:rsid w:val="000F46BA"/>
    <w:rsid w:val="000F4F3C"/>
    <w:rsid w:val="000F540E"/>
    <w:rsid w:val="000F5465"/>
    <w:rsid w:val="000F603B"/>
    <w:rsid w:val="000F6403"/>
    <w:rsid w:val="000F6B57"/>
    <w:rsid w:val="000F6C7F"/>
    <w:rsid w:val="000F6E97"/>
    <w:rsid w:val="000F75D6"/>
    <w:rsid w:val="000F7CD8"/>
    <w:rsid w:val="00100350"/>
    <w:rsid w:val="00100406"/>
    <w:rsid w:val="0010063C"/>
    <w:rsid w:val="00100D98"/>
    <w:rsid w:val="00100E1B"/>
    <w:rsid w:val="00101107"/>
    <w:rsid w:val="0010153F"/>
    <w:rsid w:val="0010190E"/>
    <w:rsid w:val="001019E7"/>
    <w:rsid w:val="001022F5"/>
    <w:rsid w:val="00102736"/>
    <w:rsid w:val="0010285F"/>
    <w:rsid w:val="0010290F"/>
    <w:rsid w:val="00102A3F"/>
    <w:rsid w:val="00102A43"/>
    <w:rsid w:val="00102FEF"/>
    <w:rsid w:val="001033EC"/>
    <w:rsid w:val="001034C8"/>
    <w:rsid w:val="00103516"/>
    <w:rsid w:val="001035E2"/>
    <w:rsid w:val="001038AF"/>
    <w:rsid w:val="001039B3"/>
    <w:rsid w:val="00103AFB"/>
    <w:rsid w:val="00104CAF"/>
    <w:rsid w:val="00104F76"/>
    <w:rsid w:val="00105049"/>
    <w:rsid w:val="001050C0"/>
    <w:rsid w:val="0010513B"/>
    <w:rsid w:val="00105858"/>
    <w:rsid w:val="00105C13"/>
    <w:rsid w:val="00105EA4"/>
    <w:rsid w:val="0010696F"/>
    <w:rsid w:val="00107EF6"/>
    <w:rsid w:val="00110285"/>
    <w:rsid w:val="00110325"/>
    <w:rsid w:val="00111456"/>
    <w:rsid w:val="00111D70"/>
    <w:rsid w:val="001122C5"/>
    <w:rsid w:val="0011294F"/>
    <w:rsid w:val="001138E5"/>
    <w:rsid w:val="001139B7"/>
    <w:rsid w:val="00114813"/>
    <w:rsid w:val="00114C93"/>
    <w:rsid w:val="00114EF7"/>
    <w:rsid w:val="001151D4"/>
    <w:rsid w:val="00115B3F"/>
    <w:rsid w:val="00116C21"/>
    <w:rsid w:val="001172C0"/>
    <w:rsid w:val="001179C0"/>
    <w:rsid w:val="001179F0"/>
    <w:rsid w:val="00117B04"/>
    <w:rsid w:val="00117CD8"/>
    <w:rsid w:val="00117DD0"/>
    <w:rsid w:val="00120603"/>
    <w:rsid w:val="001209EF"/>
    <w:rsid w:val="00120D6B"/>
    <w:rsid w:val="00120F5C"/>
    <w:rsid w:val="0012108F"/>
    <w:rsid w:val="00121139"/>
    <w:rsid w:val="00121FD1"/>
    <w:rsid w:val="00122DC9"/>
    <w:rsid w:val="001235D8"/>
    <w:rsid w:val="0012396C"/>
    <w:rsid w:val="00123FCA"/>
    <w:rsid w:val="00124288"/>
    <w:rsid w:val="00124BD9"/>
    <w:rsid w:val="00124C66"/>
    <w:rsid w:val="00125710"/>
    <w:rsid w:val="0012648A"/>
    <w:rsid w:val="001266A2"/>
    <w:rsid w:val="0012713F"/>
    <w:rsid w:val="00127478"/>
    <w:rsid w:val="001279B9"/>
    <w:rsid w:val="001300A9"/>
    <w:rsid w:val="001306A2"/>
    <w:rsid w:val="00130A0C"/>
    <w:rsid w:val="00130CCE"/>
    <w:rsid w:val="00130CFB"/>
    <w:rsid w:val="00130E9B"/>
    <w:rsid w:val="0013180C"/>
    <w:rsid w:val="00131857"/>
    <w:rsid w:val="00131B20"/>
    <w:rsid w:val="001323F4"/>
    <w:rsid w:val="00132D57"/>
    <w:rsid w:val="00132DDD"/>
    <w:rsid w:val="0013304B"/>
    <w:rsid w:val="0013339F"/>
    <w:rsid w:val="001334DD"/>
    <w:rsid w:val="00133AC1"/>
    <w:rsid w:val="00133E51"/>
    <w:rsid w:val="0013407F"/>
    <w:rsid w:val="001341A5"/>
    <w:rsid w:val="001348A0"/>
    <w:rsid w:val="00134D1A"/>
    <w:rsid w:val="001353FD"/>
    <w:rsid w:val="0013554E"/>
    <w:rsid w:val="00135571"/>
    <w:rsid w:val="00135B2E"/>
    <w:rsid w:val="00136014"/>
    <w:rsid w:val="00136293"/>
    <w:rsid w:val="00136593"/>
    <w:rsid w:val="001367BB"/>
    <w:rsid w:val="00136C37"/>
    <w:rsid w:val="00136FE2"/>
    <w:rsid w:val="001374DC"/>
    <w:rsid w:val="00137B3D"/>
    <w:rsid w:val="00137BCD"/>
    <w:rsid w:val="00140AD3"/>
    <w:rsid w:val="001419F7"/>
    <w:rsid w:val="00141A32"/>
    <w:rsid w:val="001421AA"/>
    <w:rsid w:val="0014224B"/>
    <w:rsid w:val="001438C1"/>
    <w:rsid w:val="00143BD7"/>
    <w:rsid w:val="0014415D"/>
    <w:rsid w:val="00144416"/>
    <w:rsid w:val="00144B03"/>
    <w:rsid w:val="00144B45"/>
    <w:rsid w:val="00144DE2"/>
    <w:rsid w:val="00145085"/>
    <w:rsid w:val="00145507"/>
    <w:rsid w:val="00145617"/>
    <w:rsid w:val="001457BF"/>
    <w:rsid w:val="001459D8"/>
    <w:rsid w:val="001460C1"/>
    <w:rsid w:val="001460FF"/>
    <w:rsid w:val="00146A50"/>
    <w:rsid w:val="00146FEA"/>
    <w:rsid w:val="001471C7"/>
    <w:rsid w:val="0015059F"/>
    <w:rsid w:val="0015155C"/>
    <w:rsid w:val="0015164F"/>
    <w:rsid w:val="001517A3"/>
    <w:rsid w:val="0015190B"/>
    <w:rsid w:val="00151B80"/>
    <w:rsid w:val="00151FE9"/>
    <w:rsid w:val="001520D4"/>
    <w:rsid w:val="0015216E"/>
    <w:rsid w:val="00152B0F"/>
    <w:rsid w:val="00153023"/>
    <w:rsid w:val="001531FF"/>
    <w:rsid w:val="00153291"/>
    <w:rsid w:val="0015350B"/>
    <w:rsid w:val="001535C9"/>
    <w:rsid w:val="00153658"/>
    <w:rsid w:val="00153FC5"/>
    <w:rsid w:val="0015409F"/>
    <w:rsid w:val="0015453D"/>
    <w:rsid w:val="001549DE"/>
    <w:rsid w:val="00154C7A"/>
    <w:rsid w:val="001553C4"/>
    <w:rsid w:val="001559A0"/>
    <w:rsid w:val="00155A0E"/>
    <w:rsid w:val="00155C44"/>
    <w:rsid w:val="00155D6F"/>
    <w:rsid w:val="00156095"/>
    <w:rsid w:val="001565CB"/>
    <w:rsid w:val="00156BB8"/>
    <w:rsid w:val="00156E3C"/>
    <w:rsid w:val="001579FC"/>
    <w:rsid w:val="00157D52"/>
    <w:rsid w:val="001602F0"/>
    <w:rsid w:val="00160DE0"/>
    <w:rsid w:val="00161316"/>
    <w:rsid w:val="00161643"/>
    <w:rsid w:val="00161EC3"/>
    <w:rsid w:val="00162AAE"/>
    <w:rsid w:val="00162F86"/>
    <w:rsid w:val="00163213"/>
    <w:rsid w:val="001632FC"/>
    <w:rsid w:val="001635A9"/>
    <w:rsid w:val="001635AD"/>
    <w:rsid w:val="00164114"/>
    <w:rsid w:val="00164C2A"/>
    <w:rsid w:val="001650B7"/>
    <w:rsid w:val="00165694"/>
    <w:rsid w:val="00166404"/>
    <w:rsid w:val="00166476"/>
    <w:rsid w:val="00166521"/>
    <w:rsid w:val="00166823"/>
    <w:rsid w:val="00166990"/>
    <w:rsid w:val="00166E4B"/>
    <w:rsid w:val="00167579"/>
    <w:rsid w:val="00167736"/>
    <w:rsid w:val="00167777"/>
    <w:rsid w:val="00167ED4"/>
    <w:rsid w:val="00170215"/>
    <w:rsid w:val="001708A4"/>
    <w:rsid w:val="00171683"/>
    <w:rsid w:val="001719A4"/>
    <w:rsid w:val="00171B2F"/>
    <w:rsid w:val="00171C1B"/>
    <w:rsid w:val="00171F19"/>
    <w:rsid w:val="0017210C"/>
    <w:rsid w:val="00172AE4"/>
    <w:rsid w:val="00172CBA"/>
    <w:rsid w:val="00172F1E"/>
    <w:rsid w:val="00172FAE"/>
    <w:rsid w:val="0017307A"/>
    <w:rsid w:val="0017321B"/>
    <w:rsid w:val="00173320"/>
    <w:rsid w:val="00173BEF"/>
    <w:rsid w:val="001747BC"/>
    <w:rsid w:val="00174BCC"/>
    <w:rsid w:val="00175253"/>
    <w:rsid w:val="001754E9"/>
    <w:rsid w:val="001755DC"/>
    <w:rsid w:val="00175C9D"/>
    <w:rsid w:val="00175EF0"/>
    <w:rsid w:val="00176253"/>
    <w:rsid w:val="0017696A"/>
    <w:rsid w:val="00176CBB"/>
    <w:rsid w:val="00176CEC"/>
    <w:rsid w:val="0017701D"/>
    <w:rsid w:val="00177C96"/>
    <w:rsid w:val="00177D9B"/>
    <w:rsid w:val="00180014"/>
    <w:rsid w:val="0018004C"/>
    <w:rsid w:val="0018035E"/>
    <w:rsid w:val="00180436"/>
    <w:rsid w:val="0018050F"/>
    <w:rsid w:val="0018064E"/>
    <w:rsid w:val="00180818"/>
    <w:rsid w:val="00180CD0"/>
    <w:rsid w:val="00180F6B"/>
    <w:rsid w:val="001826F6"/>
    <w:rsid w:val="00182E62"/>
    <w:rsid w:val="001833B6"/>
    <w:rsid w:val="00183FCA"/>
    <w:rsid w:val="001842B5"/>
    <w:rsid w:val="00185DE4"/>
    <w:rsid w:val="001864C0"/>
    <w:rsid w:val="0018655E"/>
    <w:rsid w:val="00186B50"/>
    <w:rsid w:val="001873AB"/>
    <w:rsid w:val="0018758C"/>
    <w:rsid w:val="0018773B"/>
    <w:rsid w:val="00187E15"/>
    <w:rsid w:val="00187F87"/>
    <w:rsid w:val="001900AA"/>
    <w:rsid w:val="00190FCB"/>
    <w:rsid w:val="00191617"/>
    <w:rsid w:val="001918E3"/>
    <w:rsid w:val="001918E4"/>
    <w:rsid w:val="00191ED0"/>
    <w:rsid w:val="00191FF5"/>
    <w:rsid w:val="0019284A"/>
    <w:rsid w:val="001928D1"/>
    <w:rsid w:val="0019292E"/>
    <w:rsid w:val="00192DE6"/>
    <w:rsid w:val="0019318D"/>
    <w:rsid w:val="0019319F"/>
    <w:rsid w:val="001934C8"/>
    <w:rsid w:val="00193721"/>
    <w:rsid w:val="00193911"/>
    <w:rsid w:val="0019446D"/>
    <w:rsid w:val="00194FC7"/>
    <w:rsid w:val="001960D0"/>
    <w:rsid w:val="001960D3"/>
    <w:rsid w:val="001960DD"/>
    <w:rsid w:val="00197048"/>
    <w:rsid w:val="001972E0"/>
    <w:rsid w:val="001975ED"/>
    <w:rsid w:val="001976AC"/>
    <w:rsid w:val="001A036B"/>
    <w:rsid w:val="001A055C"/>
    <w:rsid w:val="001A0626"/>
    <w:rsid w:val="001A1157"/>
    <w:rsid w:val="001A1B49"/>
    <w:rsid w:val="001A2AF1"/>
    <w:rsid w:val="001A2C24"/>
    <w:rsid w:val="001A2D51"/>
    <w:rsid w:val="001A33AC"/>
    <w:rsid w:val="001A33D6"/>
    <w:rsid w:val="001A3414"/>
    <w:rsid w:val="001A3C37"/>
    <w:rsid w:val="001A4B3E"/>
    <w:rsid w:val="001A51FD"/>
    <w:rsid w:val="001A544B"/>
    <w:rsid w:val="001A563A"/>
    <w:rsid w:val="001A5CA0"/>
    <w:rsid w:val="001A5F59"/>
    <w:rsid w:val="001A60ED"/>
    <w:rsid w:val="001A61ED"/>
    <w:rsid w:val="001A683B"/>
    <w:rsid w:val="001A7134"/>
    <w:rsid w:val="001A7C23"/>
    <w:rsid w:val="001A7DC1"/>
    <w:rsid w:val="001B0159"/>
    <w:rsid w:val="001B0209"/>
    <w:rsid w:val="001B03A0"/>
    <w:rsid w:val="001B042B"/>
    <w:rsid w:val="001B0C59"/>
    <w:rsid w:val="001B11CC"/>
    <w:rsid w:val="001B140E"/>
    <w:rsid w:val="001B189C"/>
    <w:rsid w:val="001B1FE9"/>
    <w:rsid w:val="001B2033"/>
    <w:rsid w:val="001B2289"/>
    <w:rsid w:val="001B2C6D"/>
    <w:rsid w:val="001B2C6E"/>
    <w:rsid w:val="001B2CE3"/>
    <w:rsid w:val="001B2DF9"/>
    <w:rsid w:val="001B315A"/>
    <w:rsid w:val="001B362D"/>
    <w:rsid w:val="001B3A1B"/>
    <w:rsid w:val="001B3D94"/>
    <w:rsid w:val="001B475B"/>
    <w:rsid w:val="001B4BE4"/>
    <w:rsid w:val="001B4CB2"/>
    <w:rsid w:val="001B4FB2"/>
    <w:rsid w:val="001B5384"/>
    <w:rsid w:val="001B5478"/>
    <w:rsid w:val="001B5C78"/>
    <w:rsid w:val="001B6042"/>
    <w:rsid w:val="001B6147"/>
    <w:rsid w:val="001B6300"/>
    <w:rsid w:val="001B679D"/>
    <w:rsid w:val="001B7559"/>
    <w:rsid w:val="001B7BDC"/>
    <w:rsid w:val="001C068C"/>
    <w:rsid w:val="001C0702"/>
    <w:rsid w:val="001C0D62"/>
    <w:rsid w:val="001C0DE9"/>
    <w:rsid w:val="001C11EF"/>
    <w:rsid w:val="001C142C"/>
    <w:rsid w:val="001C14EE"/>
    <w:rsid w:val="001C1967"/>
    <w:rsid w:val="001C20D2"/>
    <w:rsid w:val="001C2A05"/>
    <w:rsid w:val="001C2C79"/>
    <w:rsid w:val="001C2FBB"/>
    <w:rsid w:val="001C3340"/>
    <w:rsid w:val="001C3F29"/>
    <w:rsid w:val="001C4143"/>
    <w:rsid w:val="001C4E48"/>
    <w:rsid w:val="001C4EE3"/>
    <w:rsid w:val="001C53C4"/>
    <w:rsid w:val="001C5C19"/>
    <w:rsid w:val="001C74FE"/>
    <w:rsid w:val="001C7C4B"/>
    <w:rsid w:val="001D011C"/>
    <w:rsid w:val="001D071D"/>
    <w:rsid w:val="001D0BC1"/>
    <w:rsid w:val="001D1437"/>
    <w:rsid w:val="001D154A"/>
    <w:rsid w:val="001D1990"/>
    <w:rsid w:val="001D1A74"/>
    <w:rsid w:val="001D1DE1"/>
    <w:rsid w:val="001D24B5"/>
    <w:rsid w:val="001D264B"/>
    <w:rsid w:val="001D2DBE"/>
    <w:rsid w:val="001D367F"/>
    <w:rsid w:val="001D3891"/>
    <w:rsid w:val="001D39CB"/>
    <w:rsid w:val="001D3B0D"/>
    <w:rsid w:val="001D486F"/>
    <w:rsid w:val="001D4DA6"/>
    <w:rsid w:val="001D4EF4"/>
    <w:rsid w:val="001D5B20"/>
    <w:rsid w:val="001D7002"/>
    <w:rsid w:val="001D7927"/>
    <w:rsid w:val="001D7BB3"/>
    <w:rsid w:val="001D7EB3"/>
    <w:rsid w:val="001E001A"/>
    <w:rsid w:val="001E00FF"/>
    <w:rsid w:val="001E06ED"/>
    <w:rsid w:val="001E1636"/>
    <w:rsid w:val="001E1645"/>
    <w:rsid w:val="001E1B02"/>
    <w:rsid w:val="001E1D9B"/>
    <w:rsid w:val="001E2D9D"/>
    <w:rsid w:val="001E3712"/>
    <w:rsid w:val="001E383E"/>
    <w:rsid w:val="001E4590"/>
    <w:rsid w:val="001E5172"/>
    <w:rsid w:val="001E5593"/>
    <w:rsid w:val="001E58A0"/>
    <w:rsid w:val="001E59F9"/>
    <w:rsid w:val="001E5FD9"/>
    <w:rsid w:val="001E609B"/>
    <w:rsid w:val="001E73B0"/>
    <w:rsid w:val="001E7A8F"/>
    <w:rsid w:val="001F0110"/>
    <w:rsid w:val="001F0677"/>
    <w:rsid w:val="001F0F45"/>
    <w:rsid w:val="001F1038"/>
    <w:rsid w:val="001F1472"/>
    <w:rsid w:val="001F1FE5"/>
    <w:rsid w:val="001F2008"/>
    <w:rsid w:val="001F2253"/>
    <w:rsid w:val="001F22D0"/>
    <w:rsid w:val="001F243E"/>
    <w:rsid w:val="001F2565"/>
    <w:rsid w:val="001F2A1F"/>
    <w:rsid w:val="001F2DB9"/>
    <w:rsid w:val="001F305A"/>
    <w:rsid w:val="001F3138"/>
    <w:rsid w:val="001F3B48"/>
    <w:rsid w:val="001F3DEC"/>
    <w:rsid w:val="001F40EB"/>
    <w:rsid w:val="001F44BF"/>
    <w:rsid w:val="001F4612"/>
    <w:rsid w:val="001F4D7E"/>
    <w:rsid w:val="001F4EAB"/>
    <w:rsid w:val="001F51A0"/>
    <w:rsid w:val="001F5C79"/>
    <w:rsid w:val="001F5CC6"/>
    <w:rsid w:val="001F68BB"/>
    <w:rsid w:val="001F703E"/>
    <w:rsid w:val="002001AC"/>
    <w:rsid w:val="002002E6"/>
    <w:rsid w:val="0020181A"/>
    <w:rsid w:val="00201C3B"/>
    <w:rsid w:val="0020206B"/>
    <w:rsid w:val="00202133"/>
    <w:rsid w:val="00202166"/>
    <w:rsid w:val="00202535"/>
    <w:rsid w:val="00202621"/>
    <w:rsid w:val="0020284F"/>
    <w:rsid w:val="00202A61"/>
    <w:rsid w:val="00202BC3"/>
    <w:rsid w:val="00202DD6"/>
    <w:rsid w:val="002031A9"/>
    <w:rsid w:val="00203911"/>
    <w:rsid w:val="002041B5"/>
    <w:rsid w:val="00204DB1"/>
    <w:rsid w:val="00204F43"/>
    <w:rsid w:val="0020599B"/>
    <w:rsid w:val="00205AFB"/>
    <w:rsid w:val="00206781"/>
    <w:rsid w:val="00206785"/>
    <w:rsid w:val="002069CF"/>
    <w:rsid w:val="00206B1D"/>
    <w:rsid w:val="00206E4B"/>
    <w:rsid w:val="002072CF"/>
    <w:rsid w:val="0020730E"/>
    <w:rsid w:val="00207B5B"/>
    <w:rsid w:val="00210025"/>
    <w:rsid w:val="0021129A"/>
    <w:rsid w:val="00211765"/>
    <w:rsid w:val="00212226"/>
    <w:rsid w:val="00212301"/>
    <w:rsid w:val="002136E7"/>
    <w:rsid w:val="0021468D"/>
    <w:rsid w:val="002151BD"/>
    <w:rsid w:val="00215952"/>
    <w:rsid w:val="00216338"/>
    <w:rsid w:val="002165C0"/>
    <w:rsid w:val="00216749"/>
    <w:rsid w:val="0021694E"/>
    <w:rsid w:val="00216CB3"/>
    <w:rsid w:val="00216F8C"/>
    <w:rsid w:val="0021743D"/>
    <w:rsid w:val="002202F1"/>
    <w:rsid w:val="00220474"/>
    <w:rsid w:val="002206DB"/>
    <w:rsid w:val="002207D1"/>
    <w:rsid w:val="00220C5B"/>
    <w:rsid w:val="00220D55"/>
    <w:rsid w:val="00220EE7"/>
    <w:rsid w:val="00221231"/>
    <w:rsid w:val="00222077"/>
    <w:rsid w:val="00222141"/>
    <w:rsid w:val="00222DE1"/>
    <w:rsid w:val="00223A75"/>
    <w:rsid w:val="002241F0"/>
    <w:rsid w:val="002246AE"/>
    <w:rsid w:val="002247E3"/>
    <w:rsid w:val="00224859"/>
    <w:rsid w:val="0022494D"/>
    <w:rsid w:val="00224A46"/>
    <w:rsid w:val="00224ADD"/>
    <w:rsid w:val="00224F8A"/>
    <w:rsid w:val="0022515F"/>
    <w:rsid w:val="002252A1"/>
    <w:rsid w:val="00225463"/>
    <w:rsid w:val="002258F7"/>
    <w:rsid w:val="00225A12"/>
    <w:rsid w:val="00225FEB"/>
    <w:rsid w:val="002261B3"/>
    <w:rsid w:val="002262FB"/>
    <w:rsid w:val="00226631"/>
    <w:rsid w:val="00226BF0"/>
    <w:rsid w:val="00227304"/>
    <w:rsid w:val="002278B9"/>
    <w:rsid w:val="00227E9A"/>
    <w:rsid w:val="00230163"/>
    <w:rsid w:val="00230EE7"/>
    <w:rsid w:val="002318B6"/>
    <w:rsid w:val="00231B53"/>
    <w:rsid w:val="00231CB0"/>
    <w:rsid w:val="00231EFA"/>
    <w:rsid w:val="002324F7"/>
    <w:rsid w:val="00232655"/>
    <w:rsid w:val="00232D32"/>
    <w:rsid w:val="00233943"/>
    <w:rsid w:val="00233CEF"/>
    <w:rsid w:val="00233FD0"/>
    <w:rsid w:val="002342C5"/>
    <w:rsid w:val="00234671"/>
    <w:rsid w:val="002346AF"/>
    <w:rsid w:val="002352B0"/>
    <w:rsid w:val="002353D8"/>
    <w:rsid w:val="002354E4"/>
    <w:rsid w:val="002359A2"/>
    <w:rsid w:val="002359CE"/>
    <w:rsid w:val="00235B26"/>
    <w:rsid w:val="002370CA"/>
    <w:rsid w:val="00237268"/>
    <w:rsid w:val="00237C6C"/>
    <w:rsid w:val="00240493"/>
    <w:rsid w:val="002406C5"/>
    <w:rsid w:val="002406E0"/>
    <w:rsid w:val="00240883"/>
    <w:rsid w:val="00240977"/>
    <w:rsid w:val="002409DC"/>
    <w:rsid w:val="00240DA2"/>
    <w:rsid w:val="002411DB"/>
    <w:rsid w:val="00241217"/>
    <w:rsid w:val="0024195B"/>
    <w:rsid w:val="00241A93"/>
    <w:rsid w:val="00242473"/>
    <w:rsid w:val="00242689"/>
    <w:rsid w:val="0024286B"/>
    <w:rsid w:val="002429AC"/>
    <w:rsid w:val="00243BD8"/>
    <w:rsid w:val="00243CE5"/>
    <w:rsid w:val="00243D3D"/>
    <w:rsid w:val="0024437C"/>
    <w:rsid w:val="00244884"/>
    <w:rsid w:val="00244F71"/>
    <w:rsid w:val="002452AF"/>
    <w:rsid w:val="002452DC"/>
    <w:rsid w:val="00245CAF"/>
    <w:rsid w:val="002464E8"/>
    <w:rsid w:val="00246F17"/>
    <w:rsid w:val="00246F3C"/>
    <w:rsid w:val="00247446"/>
    <w:rsid w:val="0024771D"/>
    <w:rsid w:val="00247B2F"/>
    <w:rsid w:val="00247D71"/>
    <w:rsid w:val="00250459"/>
    <w:rsid w:val="002513B6"/>
    <w:rsid w:val="00252F53"/>
    <w:rsid w:val="002536D1"/>
    <w:rsid w:val="00253776"/>
    <w:rsid w:val="00253F6A"/>
    <w:rsid w:val="002547AB"/>
    <w:rsid w:val="00254ADF"/>
    <w:rsid w:val="002553AC"/>
    <w:rsid w:val="00255417"/>
    <w:rsid w:val="002555B9"/>
    <w:rsid w:val="00255852"/>
    <w:rsid w:val="00255889"/>
    <w:rsid w:val="00255FE1"/>
    <w:rsid w:val="002561C3"/>
    <w:rsid w:val="002567F0"/>
    <w:rsid w:val="00256EF0"/>
    <w:rsid w:val="00257078"/>
    <w:rsid w:val="00257989"/>
    <w:rsid w:val="00257E2F"/>
    <w:rsid w:val="00260517"/>
    <w:rsid w:val="00260533"/>
    <w:rsid w:val="00260D95"/>
    <w:rsid w:val="00260DCA"/>
    <w:rsid w:val="00260F87"/>
    <w:rsid w:val="0026104A"/>
    <w:rsid w:val="0026151F"/>
    <w:rsid w:val="0026178B"/>
    <w:rsid w:val="00261BD9"/>
    <w:rsid w:val="00261C81"/>
    <w:rsid w:val="00261F47"/>
    <w:rsid w:val="002621C4"/>
    <w:rsid w:val="00262390"/>
    <w:rsid w:val="002628C3"/>
    <w:rsid w:val="00262FED"/>
    <w:rsid w:val="002636D5"/>
    <w:rsid w:val="00263767"/>
    <w:rsid w:val="00263C54"/>
    <w:rsid w:val="002648D8"/>
    <w:rsid w:val="00264C20"/>
    <w:rsid w:val="00264E39"/>
    <w:rsid w:val="00264F1B"/>
    <w:rsid w:val="002650F5"/>
    <w:rsid w:val="0026534E"/>
    <w:rsid w:val="002657BE"/>
    <w:rsid w:val="00265C30"/>
    <w:rsid w:val="00265E83"/>
    <w:rsid w:val="00266867"/>
    <w:rsid w:val="00266A0F"/>
    <w:rsid w:val="00266FCB"/>
    <w:rsid w:val="00267328"/>
    <w:rsid w:val="00267F86"/>
    <w:rsid w:val="0027063C"/>
    <w:rsid w:val="00270D5E"/>
    <w:rsid w:val="00271AAA"/>
    <w:rsid w:val="00271FE9"/>
    <w:rsid w:val="002734F7"/>
    <w:rsid w:val="00273DB9"/>
    <w:rsid w:val="00273E25"/>
    <w:rsid w:val="00273F4D"/>
    <w:rsid w:val="0027424A"/>
    <w:rsid w:val="00274702"/>
    <w:rsid w:val="00274963"/>
    <w:rsid w:val="00274B89"/>
    <w:rsid w:val="00274FB0"/>
    <w:rsid w:val="00275138"/>
    <w:rsid w:val="00275F4F"/>
    <w:rsid w:val="00276256"/>
    <w:rsid w:val="002763B1"/>
    <w:rsid w:val="002763D1"/>
    <w:rsid w:val="002768A0"/>
    <w:rsid w:val="00276CE3"/>
    <w:rsid w:val="00277512"/>
    <w:rsid w:val="00277E33"/>
    <w:rsid w:val="00280CA2"/>
    <w:rsid w:val="00281208"/>
    <w:rsid w:val="0028120D"/>
    <w:rsid w:val="0028125E"/>
    <w:rsid w:val="002813AB"/>
    <w:rsid w:val="002817CE"/>
    <w:rsid w:val="0028187F"/>
    <w:rsid w:val="002819B2"/>
    <w:rsid w:val="0028242C"/>
    <w:rsid w:val="002829B5"/>
    <w:rsid w:val="00282BF3"/>
    <w:rsid w:val="00283318"/>
    <w:rsid w:val="002833F4"/>
    <w:rsid w:val="00283AA6"/>
    <w:rsid w:val="00283E48"/>
    <w:rsid w:val="00283E86"/>
    <w:rsid w:val="002840A0"/>
    <w:rsid w:val="0028432C"/>
    <w:rsid w:val="00284740"/>
    <w:rsid w:val="00284873"/>
    <w:rsid w:val="002851E2"/>
    <w:rsid w:val="002852F6"/>
    <w:rsid w:val="002853E6"/>
    <w:rsid w:val="002857E2"/>
    <w:rsid w:val="00285B0E"/>
    <w:rsid w:val="00286092"/>
    <w:rsid w:val="0028648A"/>
    <w:rsid w:val="00286676"/>
    <w:rsid w:val="00286751"/>
    <w:rsid w:val="0028701B"/>
    <w:rsid w:val="002870A9"/>
    <w:rsid w:val="00287489"/>
    <w:rsid w:val="00287C7A"/>
    <w:rsid w:val="00290ABD"/>
    <w:rsid w:val="0029252D"/>
    <w:rsid w:val="00292A1C"/>
    <w:rsid w:val="00292C5E"/>
    <w:rsid w:val="0029347B"/>
    <w:rsid w:val="002936F4"/>
    <w:rsid w:val="00293AB9"/>
    <w:rsid w:val="00293ED9"/>
    <w:rsid w:val="002945BB"/>
    <w:rsid w:val="00294805"/>
    <w:rsid w:val="00295645"/>
    <w:rsid w:val="00295B53"/>
    <w:rsid w:val="00295C87"/>
    <w:rsid w:val="002963C1"/>
    <w:rsid w:val="002965C1"/>
    <w:rsid w:val="00296AB4"/>
    <w:rsid w:val="00296D13"/>
    <w:rsid w:val="00297701"/>
    <w:rsid w:val="002A0B2C"/>
    <w:rsid w:val="002A0B4A"/>
    <w:rsid w:val="002A0BA4"/>
    <w:rsid w:val="002A0E4F"/>
    <w:rsid w:val="002A1D8D"/>
    <w:rsid w:val="002A252D"/>
    <w:rsid w:val="002A25B0"/>
    <w:rsid w:val="002A27F1"/>
    <w:rsid w:val="002A29EE"/>
    <w:rsid w:val="002A34C1"/>
    <w:rsid w:val="002A39AD"/>
    <w:rsid w:val="002A458F"/>
    <w:rsid w:val="002A4713"/>
    <w:rsid w:val="002A4A2D"/>
    <w:rsid w:val="002A4B94"/>
    <w:rsid w:val="002A4DCD"/>
    <w:rsid w:val="002A51E4"/>
    <w:rsid w:val="002A59F5"/>
    <w:rsid w:val="002A5BDE"/>
    <w:rsid w:val="002A5C43"/>
    <w:rsid w:val="002A5E67"/>
    <w:rsid w:val="002A5E98"/>
    <w:rsid w:val="002A64AD"/>
    <w:rsid w:val="002A64D3"/>
    <w:rsid w:val="002A66FC"/>
    <w:rsid w:val="002A7239"/>
    <w:rsid w:val="002A729E"/>
    <w:rsid w:val="002A72F2"/>
    <w:rsid w:val="002A79C7"/>
    <w:rsid w:val="002A7CB9"/>
    <w:rsid w:val="002A7FB5"/>
    <w:rsid w:val="002B04F0"/>
    <w:rsid w:val="002B102F"/>
    <w:rsid w:val="002B13BA"/>
    <w:rsid w:val="002B187C"/>
    <w:rsid w:val="002B1B4C"/>
    <w:rsid w:val="002B35F2"/>
    <w:rsid w:val="002B3C07"/>
    <w:rsid w:val="002B3C0A"/>
    <w:rsid w:val="002B3E5A"/>
    <w:rsid w:val="002B41B2"/>
    <w:rsid w:val="002B4351"/>
    <w:rsid w:val="002B4420"/>
    <w:rsid w:val="002B4D0F"/>
    <w:rsid w:val="002B55D8"/>
    <w:rsid w:val="002B56C2"/>
    <w:rsid w:val="002B59D8"/>
    <w:rsid w:val="002B5C88"/>
    <w:rsid w:val="002B6125"/>
    <w:rsid w:val="002B624B"/>
    <w:rsid w:val="002B643A"/>
    <w:rsid w:val="002B6B40"/>
    <w:rsid w:val="002B7427"/>
    <w:rsid w:val="002B790E"/>
    <w:rsid w:val="002C05F4"/>
    <w:rsid w:val="002C0B47"/>
    <w:rsid w:val="002C1AFC"/>
    <w:rsid w:val="002C26E1"/>
    <w:rsid w:val="002C2B12"/>
    <w:rsid w:val="002C3711"/>
    <w:rsid w:val="002C3D11"/>
    <w:rsid w:val="002C4429"/>
    <w:rsid w:val="002C45C8"/>
    <w:rsid w:val="002C4D3C"/>
    <w:rsid w:val="002C57E5"/>
    <w:rsid w:val="002C5C9C"/>
    <w:rsid w:val="002C63BD"/>
    <w:rsid w:val="002C67AC"/>
    <w:rsid w:val="002C7342"/>
    <w:rsid w:val="002C76EF"/>
    <w:rsid w:val="002C7704"/>
    <w:rsid w:val="002C7ABD"/>
    <w:rsid w:val="002C7C2B"/>
    <w:rsid w:val="002C7C46"/>
    <w:rsid w:val="002C7EC5"/>
    <w:rsid w:val="002D078B"/>
    <w:rsid w:val="002D0C53"/>
    <w:rsid w:val="002D1081"/>
    <w:rsid w:val="002D1552"/>
    <w:rsid w:val="002D16C3"/>
    <w:rsid w:val="002D1CA1"/>
    <w:rsid w:val="002D206A"/>
    <w:rsid w:val="002D2B24"/>
    <w:rsid w:val="002D2C0F"/>
    <w:rsid w:val="002D2F8D"/>
    <w:rsid w:val="002D314C"/>
    <w:rsid w:val="002D3182"/>
    <w:rsid w:val="002D358E"/>
    <w:rsid w:val="002D3972"/>
    <w:rsid w:val="002D3A3F"/>
    <w:rsid w:val="002D43BA"/>
    <w:rsid w:val="002D4E6C"/>
    <w:rsid w:val="002D5282"/>
    <w:rsid w:val="002D5446"/>
    <w:rsid w:val="002D5578"/>
    <w:rsid w:val="002D56E9"/>
    <w:rsid w:val="002D65B3"/>
    <w:rsid w:val="002D660D"/>
    <w:rsid w:val="002D692E"/>
    <w:rsid w:val="002D6BC6"/>
    <w:rsid w:val="002D72B8"/>
    <w:rsid w:val="002D798E"/>
    <w:rsid w:val="002D7CA1"/>
    <w:rsid w:val="002D7D6B"/>
    <w:rsid w:val="002E0025"/>
    <w:rsid w:val="002E1667"/>
    <w:rsid w:val="002E1DFE"/>
    <w:rsid w:val="002E2B31"/>
    <w:rsid w:val="002E363E"/>
    <w:rsid w:val="002E37D8"/>
    <w:rsid w:val="002E39DC"/>
    <w:rsid w:val="002E433F"/>
    <w:rsid w:val="002E4412"/>
    <w:rsid w:val="002E47B8"/>
    <w:rsid w:val="002E4D9C"/>
    <w:rsid w:val="002E4E8A"/>
    <w:rsid w:val="002E50BF"/>
    <w:rsid w:val="002E5976"/>
    <w:rsid w:val="002E5C68"/>
    <w:rsid w:val="002E6052"/>
    <w:rsid w:val="002E6AF5"/>
    <w:rsid w:val="002E783B"/>
    <w:rsid w:val="002E7F7D"/>
    <w:rsid w:val="002F077A"/>
    <w:rsid w:val="002F0F52"/>
    <w:rsid w:val="002F19C4"/>
    <w:rsid w:val="002F1A30"/>
    <w:rsid w:val="002F1BD4"/>
    <w:rsid w:val="002F1DC1"/>
    <w:rsid w:val="002F1EB5"/>
    <w:rsid w:val="002F2B94"/>
    <w:rsid w:val="002F2D59"/>
    <w:rsid w:val="002F3235"/>
    <w:rsid w:val="002F3330"/>
    <w:rsid w:val="002F38E2"/>
    <w:rsid w:val="002F4284"/>
    <w:rsid w:val="002F446E"/>
    <w:rsid w:val="002F52A9"/>
    <w:rsid w:val="002F540C"/>
    <w:rsid w:val="002F58F1"/>
    <w:rsid w:val="002F5A76"/>
    <w:rsid w:val="002F5DDA"/>
    <w:rsid w:val="002F5E03"/>
    <w:rsid w:val="002F5E9B"/>
    <w:rsid w:val="002F6E6F"/>
    <w:rsid w:val="002F708E"/>
    <w:rsid w:val="002F7144"/>
    <w:rsid w:val="002F7522"/>
    <w:rsid w:val="002F78A2"/>
    <w:rsid w:val="002F7A4B"/>
    <w:rsid w:val="002F7B3F"/>
    <w:rsid w:val="002F7BEC"/>
    <w:rsid w:val="0030016D"/>
    <w:rsid w:val="003006C5"/>
    <w:rsid w:val="00300859"/>
    <w:rsid w:val="00300877"/>
    <w:rsid w:val="003016CC"/>
    <w:rsid w:val="00301D68"/>
    <w:rsid w:val="00301E21"/>
    <w:rsid w:val="00302159"/>
    <w:rsid w:val="0030317D"/>
    <w:rsid w:val="003031DA"/>
    <w:rsid w:val="00303F38"/>
    <w:rsid w:val="00304DFC"/>
    <w:rsid w:val="00304ECB"/>
    <w:rsid w:val="003050B3"/>
    <w:rsid w:val="003054C2"/>
    <w:rsid w:val="0030575D"/>
    <w:rsid w:val="0030579F"/>
    <w:rsid w:val="00305832"/>
    <w:rsid w:val="00305CA8"/>
    <w:rsid w:val="00305FE7"/>
    <w:rsid w:val="003067BD"/>
    <w:rsid w:val="003074AA"/>
    <w:rsid w:val="00307C2D"/>
    <w:rsid w:val="003107B0"/>
    <w:rsid w:val="00310E09"/>
    <w:rsid w:val="003111D5"/>
    <w:rsid w:val="00312651"/>
    <w:rsid w:val="0031272E"/>
    <w:rsid w:val="00313634"/>
    <w:rsid w:val="0031520C"/>
    <w:rsid w:val="00316141"/>
    <w:rsid w:val="00316348"/>
    <w:rsid w:val="003168B6"/>
    <w:rsid w:val="00316C76"/>
    <w:rsid w:val="0031768A"/>
    <w:rsid w:val="00317B90"/>
    <w:rsid w:val="00317D62"/>
    <w:rsid w:val="003202E0"/>
    <w:rsid w:val="003205FA"/>
    <w:rsid w:val="00320D17"/>
    <w:rsid w:val="003210F4"/>
    <w:rsid w:val="0032135B"/>
    <w:rsid w:val="00321363"/>
    <w:rsid w:val="00321C9B"/>
    <w:rsid w:val="00322989"/>
    <w:rsid w:val="00322BDE"/>
    <w:rsid w:val="00322C7E"/>
    <w:rsid w:val="00322F05"/>
    <w:rsid w:val="003233E1"/>
    <w:rsid w:val="003236FD"/>
    <w:rsid w:val="00323AF4"/>
    <w:rsid w:val="00323E87"/>
    <w:rsid w:val="0032439B"/>
    <w:rsid w:val="00324F79"/>
    <w:rsid w:val="003263E3"/>
    <w:rsid w:val="0032693D"/>
    <w:rsid w:val="00326ADD"/>
    <w:rsid w:val="00326C9D"/>
    <w:rsid w:val="00327401"/>
    <w:rsid w:val="0032787D"/>
    <w:rsid w:val="00330F70"/>
    <w:rsid w:val="003310E5"/>
    <w:rsid w:val="00331558"/>
    <w:rsid w:val="00331689"/>
    <w:rsid w:val="00331714"/>
    <w:rsid w:val="00331A90"/>
    <w:rsid w:val="00331B31"/>
    <w:rsid w:val="00331C2A"/>
    <w:rsid w:val="00331D4B"/>
    <w:rsid w:val="00332BCB"/>
    <w:rsid w:val="00332D7C"/>
    <w:rsid w:val="003330F4"/>
    <w:rsid w:val="003346EB"/>
    <w:rsid w:val="00334CF1"/>
    <w:rsid w:val="00334EAC"/>
    <w:rsid w:val="00334F54"/>
    <w:rsid w:val="00335317"/>
    <w:rsid w:val="00335933"/>
    <w:rsid w:val="00335EE2"/>
    <w:rsid w:val="00336675"/>
    <w:rsid w:val="003367A2"/>
    <w:rsid w:val="00336EAE"/>
    <w:rsid w:val="003370E4"/>
    <w:rsid w:val="0033714E"/>
    <w:rsid w:val="003371A9"/>
    <w:rsid w:val="003373FB"/>
    <w:rsid w:val="0034013A"/>
    <w:rsid w:val="003402E4"/>
    <w:rsid w:val="00340585"/>
    <w:rsid w:val="003409C5"/>
    <w:rsid w:val="003409CF"/>
    <w:rsid w:val="00340EC1"/>
    <w:rsid w:val="0034127A"/>
    <w:rsid w:val="00341334"/>
    <w:rsid w:val="003415A3"/>
    <w:rsid w:val="00341CEE"/>
    <w:rsid w:val="0034272D"/>
    <w:rsid w:val="003429C0"/>
    <w:rsid w:val="00342A54"/>
    <w:rsid w:val="00342B29"/>
    <w:rsid w:val="00342D7C"/>
    <w:rsid w:val="00342F48"/>
    <w:rsid w:val="0034321C"/>
    <w:rsid w:val="003437BD"/>
    <w:rsid w:val="00343D67"/>
    <w:rsid w:val="00343E3D"/>
    <w:rsid w:val="003459E1"/>
    <w:rsid w:val="00345AFD"/>
    <w:rsid w:val="00345D3F"/>
    <w:rsid w:val="00345F6D"/>
    <w:rsid w:val="0034732B"/>
    <w:rsid w:val="003478CF"/>
    <w:rsid w:val="003478F4"/>
    <w:rsid w:val="00347FA1"/>
    <w:rsid w:val="0035010F"/>
    <w:rsid w:val="003506D1"/>
    <w:rsid w:val="00350CE1"/>
    <w:rsid w:val="00350CE2"/>
    <w:rsid w:val="00350E98"/>
    <w:rsid w:val="00350FC8"/>
    <w:rsid w:val="003514D5"/>
    <w:rsid w:val="003515AC"/>
    <w:rsid w:val="00351DBF"/>
    <w:rsid w:val="003520AD"/>
    <w:rsid w:val="00352E54"/>
    <w:rsid w:val="0035312D"/>
    <w:rsid w:val="00353224"/>
    <w:rsid w:val="00353674"/>
    <w:rsid w:val="00353AEB"/>
    <w:rsid w:val="003541F3"/>
    <w:rsid w:val="00354B70"/>
    <w:rsid w:val="00355525"/>
    <w:rsid w:val="0035593C"/>
    <w:rsid w:val="00355C99"/>
    <w:rsid w:val="003564B9"/>
    <w:rsid w:val="00356733"/>
    <w:rsid w:val="00356921"/>
    <w:rsid w:val="00357A11"/>
    <w:rsid w:val="0036064F"/>
    <w:rsid w:val="003608C2"/>
    <w:rsid w:val="00360AA1"/>
    <w:rsid w:val="0036126F"/>
    <w:rsid w:val="0036173B"/>
    <w:rsid w:val="00361AF8"/>
    <w:rsid w:val="00361EE3"/>
    <w:rsid w:val="00362630"/>
    <w:rsid w:val="003626CA"/>
    <w:rsid w:val="00363351"/>
    <w:rsid w:val="00363405"/>
    <w:rsid w:val="00363E64"/>
    <w:rsid w:val="003642E6"/>
    <w:rsid w:val="003647A0"/>
    <w:rsid w:val="00364806"/>
    <w:rsid w:val="00364E6F"/>
    <w:rsid w:val="0036500A"/>
    <w:rsid w:val="003652B0"/>
    <w:rsid w:val="00365CAA"/>
    <w:rsid w:val="00365EB5"/>
    <w:rsid w:val="003661CE"/>
    <w:rsid w:val="00366A90"/>
    <w:rsid w:val="00366E7B"/>
    <w:rsid w:val="0036725B"/>
    <w:rsid w:val="003677AF"/>
    <w:rsid w:val="00367959"/>
    <w:rsid w:val="00367FBE"/>
    <w:rsid w:val="00367FE9"/>
    <w:rsid w:val="00370211"/>
    <w:rsid w:val="003702B6"/>
    <w:rsid w:val="003702DE"/>
    <w:rsid w:val="003703DF"/>
    <w:rsid w:val="0037081F"/>
    <w:rsid w:val="00370ABE"/>
    <w:rsid w:val="00370D1D"/>
    <w:rsid w:val="003711D1"/>
    <w:rsid w:val="00371708"/>
    <w:rsid w:val="00371ADD"/>
    <w:rsid w:val="00371F08"/>
    <w:rsid w:val="003724D3"/>
    <w:rsid w:val="00372956"/>
    <w:rsid w:val="00373264"/>
    <w:rsid w:val="0037381F"/>
    <w:rsid w:val="00374115"/>
    <w:rsid w:val="0037452E"/>
    <w:rsid w:val="00374532"/>
    <w:rsid w:val="00374868"/>
    <w:rsid w:val="003755A2"/>
    <w:rsid w:val="00375DF4"/>
    <w:rsid w:val="003761AA"/>
    <w:rsid w:val="00376313"/>
    <w:rsid w:val="003765B0"/>
    <w:rsid w:val="003767EB"/>
    <w:rsid w:val="00376A8B"/>
    <w:rsid w:val="00376D01"/>
    <w:rsid w:val="00377191"/>
    <w:rsid w:val="00377271"/>
    <w:rsid w:val="003772D7"/>
    <w:rsid w:val="00377AC5"/>
    <w:rsid w:val="00377BE7"/>
    <w:rsid w:val="00380146"/>
    <w:rsid w:val="00380316"/>
    <w:rsid w:val="003806C0"/>
    <w:rsid w:val="003819BA"/>
    <w:rsid w:val="0038223A"/>
    <w:rsid w:val="0038255D"/>
    <w:rsid w:val="00382B51"/>
    <w:rsid w:val="00383004"/>
    <w:rsid w:val="003830CE"/>
    <w:rsid w:val="0038391D"/>
    <w:rsid w:val="003842CE"/>
    <w:rsid w:val="00384315"/>
    <w:rsid w:val="00384583"/>
    <w:rsid w:val="003848FA"/>
    <w:rsid w:val="00384A6B"/>
    <w:rsid w:val="00384AEE"/>
    <w:rsid w:val="00384CDC"/>
    <w:rsid w:val="00385177"/>
    <w:rsid w:val="00385261"/>
    <w:rsid w:val="00385E2D"/>
    <w:rsid w:val="00386050"/>
    <w:rsid w:val="00386151"/>
    <w:rsid w:val="0038699C"/>
    <w:rsid w:val="00386B4A"/>
    <w:rsid w:val="00386ED0"/>
    <w:rsid w:val="003873F7"/>
    <w:rsid w:val="0038767D"/>
    <w:rsid w:val="0038785E"/>
    <w:rsid w:val="00390B20"/>
    <w:rsid w:val="00391128"/>
    <w:rsid w:val="003911EE"/>
    <w:rsid w:val="0039123F"/>
    <w:rsid w:val="003913A0"/>
    <w:rsid w:val="00391588"/>
    <w:rsid w:val="003925D3"/>
    <w:rsid w:val="0039262E"/>
    <w:rsid w:val="0039312D"/>
    <w:rsid w:val="00393173"/>
    <w:rsid w:val="003937F3"/>
    <w:rsid w:val="00393B96"/>
    <w:rsid w:val="00393C2F"/>
    <w:rsid w:val="00393D9F"/>
    <w:rsid w:val="00394307"/>
    <w:rsid w:val="003947DB"/>
    <w:rsid w:val="003954CE"/>
    <w:rsid w:val="00395BE7"/>
    <w:rsid w:val="00395DA4"/>
    <w:rsid w:val="00395F23"/>
    <w:rsid w:val="00396595"/>
    <w:rsid w:val="003971AE"/>
    <w:rsid w:val="0039768C"/>
    <w:rsid w:val="003A057C"/>
    <w:rsid w:val="003A0DFC"/>
    <w:rsid w:val="003A1038"/>
    <w:rsid w:val="003A15D6"/>
    <w:rsid w:val="003A1683"/>
    <w:rsid w:val="003A1F01"/>
    <w:rsid w:val="003A227D"/>
    <w:rsid w:val="003A26AD"/>
    <w:rsid w:val="003A29F6"/>
    <w:rsid w:val="003A2A53"/>
    <w:rsid w:val="003A2CFD"/>
    <w:rsid w:val="003A30C0"/>
    <w:rsid w:val="003A3311"/>
    <w:rsid w:val="003A33AB"/>
    <w:rsid w:val="003A36BC"/>
    <w:rsid w:val="003A37C3"/>
    <w:rsid w:val="003A3F92"/>
    <w:rsid w:val="003A400A"/>
    <w:rsid w:val="003A46B5"/>
    <w:rsid w:val="003A472E"/>
    <w:rsid w:val="003A5145"/>
    <w:rsid w:val="003A54F0"/>
    <w:rsid w:val="003A5635"/>
    <w:rsid w:val="003A56FF"/>
    <w:rsid w:val="003A592E"/>
    <w:rsid w:val="003A6385"/>
    <w:rsid w:val="003A6A79"/>
    <w:rsid w:val="003A736F"/>
    <w:rsid w:val="003A76D8"/>
    <w:rsid w:val="003B02AD"/>
    <w:rsid w:val="003B0B1D"/>
    <w:rsid w:val="003B185D"/>
    <w:rsid w:val="003B18CB"/>
    <w:rsid w:val="003B197A"/>
    <w:rsid w:val="003B1A2E"/>
    <w:rsid w:val="003B1B0E"/>
    <w:rsid w:val="003B20D9"/>
    <w:rsid w:val="003B2445"/>
    <w:rsid w:val="003B2766"/>
    <w:rsid w:val="003B27E1"/>
    <w:rsid w:val="003B441A"/>
    <w:rsid w:val="003B49E1"/>
    <w:rsid w:val="003B4A98"/>
    <w:rsid w:val="003B512A"/>
    <w:rsid w:val="003B5502"/>
    <w:rsid w:val="003B598E"/>
    <w:rsid w:val="003B5A38"/>
    <w:rsid w:val="003B5B71"/>
    <w:rsid w:val="003B5DF3"/>
    <w:rsid w:val="003B6147"/>
    <w:rsid w:val="003B6647"/>
    <w:rsid w:val="003B6897"/>
    <w:rsid w:val="003B735E"/>
    <w:rsid w:val="003B7995"/>
    <w:rsid w:val="003B7B85"/>
    <w:rsid w:val="003B7E9A"/>
    <w:rsid w:val="003B7F05"/>
    <w:rsid w:val="003C0779"/>
    <w:rsid w:val="003C0F71"/>
    <w:rsid w:val="003C13C0"/>
    <w:rsid w:val="003C1A43"/>
    <w:rsid w:val="003C275C"/>
    <w:rsid w:val="003C3501"/>
    <w:rsid w:val="003C3746"/>
    <w:rsid w:val="003C389F"/>
    <w:rsid w:val="003C3A1E"/>
    <w:rsid w:val="003C454B"/>
    <w:rsid w:val="003C4881"/>
    <w:rsid w:val="003C49CA"/>
    <w:rsid w:val="003C4CA0"/>
    <w:rsid w:val="003C505B"/>
    <w:rsid w:val="003C574C"/>
    <w:rsid w:val="003C5F63"/>
    <w:rsid w:val="003C6077"/>
    <w:rsid w:val="003C71CF"/>
    <w:rsid w:val="003C773B"/>
    <w:rsid w:val="003C789D"/>
    <w:rsid w:val="003C7C67"/>
    <w:rsid w:val="003D06C1"/>
    <w:rsid w:val="003D0E7A"/>
    <w:rsid w:val="003D0F6F"/>
    <w:rsid w:val="003D1030"/>
    <w:rsid w:val="003D1476"/>
    <w:rsid w:val="003D1C2B"/>
    <w:rsid w:val="003D223F"/>
    <w:rsid w:val="003D2397"/>
    <w:rsid w:val="003D2D88"/>
    <w:rsid w:val="003D2F61"/>
    <w:rsid w:val="003D45D3"/>
    <w:rsid w:val="003D4A56"/>
    <w:rsid w:val="003D4B4C"/>
    <w:rsid w:val="003D5120"/>
    <w:rsid w:val="003D5325"/>
    <w:rsid w:val="003D53A6"/>
    <w:rsid w:val="003D5827"/>
    <w:rsid w:val="003D5847"/>
    <w:rsid w:val="003D5A91"/>
    <w:rsid w:val="003D6869"/>
    <w:rsid w:val="003D71D4"/>
    <w:rsid w:val="003D76AF"/>
    <w:rsid w:val="003D7B2C"/>
    <w:rsid w:val="003E1917"/>
    <w:rsid w:val="003E192E"/>
    <w:rsid w:val="003E1952"/>
    <w:rsid w:val="003E20F2"/>
    <w:rsid w:val="003E2390"/>
    <w:rsid w:val="003E259A"/>
    <w:rsid w:val="003E27BA"/>
    <w:rsid w:val="003E2A8F"/>
    <w:rsid w:val="003E3E21"/>
    <w:rsid w:val="003E3F0C"/>
    <w:rsid w:val="003E47C5"/>
    <w:rsid w:val="003E4E20"/>
    <w:rsid w:val="003E5211"/>
    <w:rsid w:val="003E53EF"/>
    <w:rsid w:val="003E564A"/>
    <w:rsid w:val="003E6B1C"/>
    <w:rsid w:val="003E729C"/>
    <w:rsid w:val="003E74C2"/>
    <w:rsid w:val="003E7CCF"/>
    <w:rsid w:val="003F026E"/>
    <w:rsid w:val="003F0274"/>
    <w:rsid w:val="003F02D6"/>
    <w:rsid w:val="003F0B54"/>
    <w:rsid w:val="003F0D06"/>
    <w:rsid w:val="003F0F6D"/>
    <w:rsid w:val="003F0F9D"/>
    <w:rsid w:val="003F1179"/>
    <w:rsid w:val="003F13C9"/>
    <w:rsid w:val="003F1825"/>
    <w:rsid w:val="003F2B39"/>
    <w:rsid w:val="003F2EC9"/>
    <w:rsid w:val="003F31C3"/>
    <w:rsid w:val="003F31D2"/>
    <w:rsid w:val="003F3716"/>
    <w:rsid w:val="003F38EF"/>
    <w:rsid w:val="003F3B3C"/>
    <w:rsid w:val="003F3BB2"/>
    <w:rsid w:val="003F3C29"/>
    <w:rsid w:val="003F3C2D"/>
    <w:rsid w:val="003F3DC0"/>
    <w:rsid w:val="003F3FB5"/>
    <w:rsid w:val="003F4175"/>
    <w:rsid w:val="003F4845"/>
    <w:rsid w:val="003F4B4E"/>
    <w:rsid w:val="003F4DBE"/>
    <w:rsid w:val="003F4FC3"/>
    <w:rsid w:val="003F557E"/>
    <w:rsid w:val="003F5BF1"/>
    <w:rsid w:val="003F62EF"/>
    <w:rsid w:val="003F6A3B"/>
    <w:rsid w:val="003F6A7B"/>
    <w:rsid w:val="003F6BC7"/>
    <w:rsid w:val="003F705A"/>
    <w:rsid w:val="003F71BC"/>
    <w:rsid w:val="003F79DA"/>
    <w:rsid w:val="003F7A3B"/>
    <w:rsid w:val="003F7BEA"/>
    <w:rsid w:val="003F7CC5"/>
    <w:rsid w:val="004002DD"/>
    <w:rsid w:val="00400D68"/>
    <w:rsid w:val="00400D7E"/>
    <w:rsid w:val="0040130E"/>
    <w:rsid w:val="004017D1"/>
    <w:rsid w:val="00401A63"/>
    <w:rsid w:val="00401F77"/>
    <w:rsid w:val="004028F5"/>
    <w:rsid w:val="00402A64"/>
    <w:rsid w:val="00402DCF"/>
    <w:rsid w:val="0040410A"/>
    <w:rsid w:val="00406110"/>
    <w:rsid w:val="004065D9"/>
    <w:rsid w:val="004067AD"/>
    <w:rsid w:val="004069D0"/>
    <w:rsid w:val="00406FF6"/>
    <w:rsid w:val="0040767B"/>
    <w:rsid w:val="00407A2F"/>
    <w:rsid w:val="00407C42"/>
    <w:rsid w:val="00407D56"/>
    <w:rsid w:val="00407EE0"/>
    <w:rsid w:val="00410561"/>
    <w:rsid w:val="00410E0B"/>
    <w:rsid w:val="0041106A"/>
    <w:rsid w:val="0041121F"/>
    <w:rsid w:val="004112D9"/>
    <w:rsid w:val="00411BE9"/>
    <w:rsid w:val="00411C54"/>
    <w:rsid w:val="0041228D"/>
    <w:rsid w:val="004122F0"/>
    <w:rsid w:val="00412817"/>
    <w:rsid w:val="00412EEF"/>
    <w:rsid w:val="00413379"/>
    <w:rsid w:val="00413ABA"/>
    <w:rsid w:val="00413B99"/>
    <w:rsid w:val="0041478A"/>
    <w:rsid w:val="00414806"/>
    <w:rsid w:val="004152D0"/>
    <w:rsid w:val="00415758"/>
    <w:rsid w:val="00415B6E"/>
    <w:rsid w:val="00416292"/>
    <w:rsid w:val="00416590"/>
    <w:rsid w:val="004172E7"/>
    <w:rsid w:val="0041793A"/>
    <w:rsid w:val="00417A93"/>
    <w:rsid w:val="00420130"/>
    <w:rsid w:val="00420757"/>
    <w:rsid w:val="00420916"/>
    <w:rsid w:val="004209CF"/>
    <w:rsid w:val="00421719"/>
    <w:rsid w:val="00421886"/>
    <w:rsid w:val="00421CA1"/>
    <w:rsid w:val="00421D17"/>
    <w:rsid w:val="004220CB"/>
    <w:rsid w:val="004227DC"/>
    <w:rsid w:val="0042286A"/>
    <w:rsid w:val="00422CE4"/>
    <w:rsid w:val="00423028"/>
    <w:rsid w:val="0042435C"/>
    <w:rsid w:val="00424610"/>
    <w:rsid w:val="0042482F"/>
    <w:rsid w:val="00424B78"/>
    <w:rsid w:val="00425197"/>
    <w:rsid w:val="004254B1"/>
    <w:rsid w:val="004256A8"/>
    <w:rsid w:val="004256D3"/>
    <w:rsid w:val="0042621E"/>
    <w:rsid w:val="00426365"/>
    <w:rsid w:val="00426DEE"/>
    <w:rsid w:val="00426FD5"/>
    <w:rsid w:val="00427063"/>
    <w:rsid w:val="004270B9"/>
    <w:rsid w:val="00427308"/>
    <w:rsid w:val="00427D16"/>
    <w:rsid w:val="0043025A"/>
    <w:rsid w:val="004303E2"/>
    <w:rsid w:val="00432A51"/>
    <w:rsid w:val="004330B1"/>
    <w:rsid w:val="00433466"/>
    <w:rsid w:val="004335E8"/>
    <w:rsid w:val="00433C40"/>
    <w:rsid w:val="0043450D"/>
    <w:rsid w:val="00434667"/>
    <w:rsid w:val="00434952"/>
    <w:rsid w:val="00434991"/>
    <w:rsid w:val="00434F35"/>
    <w:rsid w:val="004359F7"/>
    <w:rsid w:val="00435E94"/>
    <w:rsid w:val="00436220"/>
    <w:rsid w:val="004367F2"/>
    <w:rsid w:val="00436A3E"/>
    <w:rsid w:val="00436B38"/>
    <w:rsid w:val="004370C2"/>
    <w:rsid w:val="00437178"/>
    <w:rsid w:val="00437AE9"/>
    <w:rsid w:val="00440344"/>
    <w:rsid w:val="00440611"/>
    <w:rsid w:val="00440D78"/>
    <w:rsid w:val="00441527"/>
    <w:rsid w:val="00441850"/>
    <w:rsid w:val="00441A2A"/>
    <w:rsid w:val="00441D33"/>
    <w:rsid w:val="00441F24"/>
    <w:rsid w:val="004420F6"/>
    <w:rsid w:val="0044229B"/>
    <w:rsid w:val="0044359A"/>
    <w:rsid w:val="00443D38"/>
    <w:rsid w:val="0044436C"/>
    <w:rsid w:val="00444F65"/>
    <w:rsid w:val="00444FDF"/>
    <w:rsid w:val="004459D8"/>
    <w:rsid w:val="004462B4"/>
    <w:rsid w:val="0044656A"/>
    <w:rsid w:val="00446B33"/>
    <w:rsid w:val="00447409"/>
    <w:rsid w:val="004476C6"/>
    <w:rsid w:val="00450AA9"/>
    <w:rsid w:val="00450EF5"/>
    <w:rsid w:val="00450FE6"/>
    <w:rsid w:val="0045130C"/>
    <w:rsid w:val="00451CA8"/>
    <w:rsid w:val="00452021"/>
    <w:rsid w:val="004523E0"/>
    <w:rsid w:val="00452619"/>
    <w:rsid w:val="004529AC"/>
    <w:rsid w:val="00452B6C"/>
    <w:rsid w:val="00453410"/>
    <w:rsid w:val="00453578"/>
    <w:rsid w:val="00453722"/>
    <w:rsid w:val="004537A7"/>
    <w:rsid w:val="00453AE7"/>
    <w:rsid w:val="00453CBE"/>
    <w:rsid w:val="00453F6E"/>
    <w:rsid w:val="00454163"/>
    <w:rsid w:val="004549AD"/>
    <w:rsid w:val="004549F0"/>
    <w:rsid w:val="00454A58"/>
    <w:rsid w:val="00454F00"/>
    <w:rsid w:val="00455214"/>
    <w:rsid w:val="00455541"/>
    <w:rsid w:val="00456228"/>
    <w:rsid w:val="00456D3B"/>
    <w:rsid w:val="00456D5A"/>
    <w:rsid w:val="004571A0"/>
    <w:rsid w:val="00460420"/>
    <w:rsid w:val="004604F3"/>
    <w:rsid w:val="00460618"/>
    <w:rsid w:val="00460A7C"/>
    <w:rsid w:val="00460B7B"/>
    <w:rsid w:val="004610A2"/>
    <w:rsid w:val="0046133D"/>
    <w:rsid w:val="004617B7"/>
    <w:rsid w:val="0046186B"/>
    <w:rsid w:val="00461C88"/>
    <w:rsid w:val="00462014"/>
    <w:rsid w:val="00462155"/>
    <w:rsid w:val="004622BA"/>
    <w:rsid w:val="004622FA"/>
    <w:rsid w:val="0046233D"/>
    <w:rsid w:val="0046257C"/>
    <w:rsid w:val="00462F09"/>
    <w:rsid w:val="00463619"/>
    <w:rsid w:val="00463A89"/>
    <w:rsid w:val="00463AD3"/>
    <w:rsid w:val="00463B16"/>
    <w:rsid w:val="00463BCA"/>
    <w:rsid w:val="00464475"/>
    <w:rsid w:val="00465753"/>
    <w:rsid w:val="004657FF"/>
    <w:rsid w:val="00465C65"/>
    <w:rsid w:val="00465F2D"/>
    <w:rsid w:val="00466059"/>
    <w:rsid w:val="00466067"/>
    <w:rsid w:val="0046614E"/>
    <w:rsid w:val="0046635A"/>
    <w:rsid w:val="004675B4"/>
    <w:rsid w:val="00467776"/>
    <w:rsid w:val="0046791E"/>
    <w:rsid w:val="0046798B"/>
    <w:rsid w:val="00467CB0"/>
    <w:rsid w:val="004707BE"/>
    <w:rsid w:val="00470CE6"/>
    <w:rsid w:val="00471DCF"/>
    <w:rsid w:val="00471E56"/>
    <w:rsid w:val="004721AF"/>
    <w:rsid w:val="00472C9B"/>
    <w:rsid w:val="00472E93"/>
    <w:rsid w:val="00473A45"/>
    <w:rsid w:val="00473A5E"/>
    <w:rsid w:val="00473B1E"/>
    <w:rsid w:val="004744A7"/>
    <w:rsid w:val="004744AD"/>
    <w:rsid w:val="004745FF"/>
    <w:rsid w:val="00474E55"/>
    <w:rsid w:val="004758A9"/>
    <w:rsid w:val="00475A80"/>
    <w:rsid w:val="00475D5B"/>
    <w:rsid w:val="00475EDF"/>
    <w:rsid w:val="00476273"/>
    <w:rsid w:val="0047666E"/>
    <w:rsid w:val="00476B6E"/>
    <w:rsid w:val="00477351"/>
    <w:rsid w:val="00477399"/>
    <w:rsid w:val="0047747C"/>
    <w:rsid w:val="00477516"/>
    <w:rsid w:val="00477555"/>
    <w:rsid w:val="00477BA3"/>
    <w:rsid w:val="00477F14"/>
    <w:rsid w:val="004801EC"/>
    <w:rsid w:val="0048020B"/>
    <w:rsid w:val="0048197B"/>
    <w:rsid w:val="004819C4"/>
    <w:rsid w:val="00482739"/>
    <w:rsid w:val="00482BA8"/>
    <w:rsid w:val="00483442"/>
    <w:rsid w:val="004839CB"/>
    <w:rsid w:val="00483DC4"/>
    <w:rsid w:val="00484116"/>
    <w:rsid w:val="00484187"/>
    <w:rsid w:val="004844CF"/>
    <w:rsid w:val="00484D78"/>
    <w:rsid w:val="004864DA"/>
    <w:rsid w:val="00486721"/>
    <w:rsid w:val="004872BC"/>
    <w:rsid w:val="004874A4"/>
    <w:rsid w:val="0048785C"/>
    <w:rsid w:val="004903FB"/>
    <w:rsid w:val="00490546"/>
    <w:rsid w:val="00490A8B"/>
    <w:rsid w:val="00490B76"/>
    <w:rsid w:val="0049121C"/>
    <w:rsid w:val="00491C38"/>
    <w:rsid w:val="0049308A"/>
    <w:rsid w:val="004936C4"/>
    <w:rsid w:val="00494071"/>
    <w:rsid w:val="00494355"/>
    <w:rsid w:val="00494945"/>
    <w:rsid w:val="00495ABC"/>
    <w:rsid w:val="00495E07"/>
    <w:rsid w:val="00496411"/>
    <w:rsid w:val="00496E51"/>
    <w:rsid w:val="00497335"/>
    <w:rsid w:val="004974C3"/>
    <w:rsid w:val="00497CED"/>
    <w:rsid w:val="00497F70"/>
    <w:rsid w:val="004A03E5"/>
    <w:rsid w:val="004A0990"/>
    <w:rsid w:val="004A1800"/>
    <w:rsid w:val="004A19A8"/>
    <w:rsid w:val="004A1B4E"/>
    <w:rsid w:val="004A1C3F"/>
    <w:rsid w:val="004A1CF0"/>
    <w:rsid w:val="004A2159"/>
    <w:rsid w:val="004A2753"/>
    <w:rsid w:val="004A2972"/>
    <w:rsid w:val="004A3507"/>
    <w:rsid w:val="004A36DB"/>
    <w:rsid w:val="004A3A00"/>
    <w:rsid w:val="004A3D59"/>
    <w:rsid w:val="004A3DCC"/>
    <w:rsid w:val="004A496E"/>
    <w:rsid w:val="004A49E9"/>
    <w:rsid w:val="004A4A6F"/>
    <w:rsid w:val="004A503D"/>
    <w:rsid w:val="004A57E2"/>
    <w:rsid w:val="004A612B"/>
    <w:rsid w:val="004A69F5"/>
    <w:rsid w:val="004A6E3B"/>
    <w:rsid w:val="004A7B62"/>
    <w:rsid w:val="004A7BF8"/>
    <w:rsid w:val="004A7E95"/>
    <w:rsid w:val="004A7ECB"/>
    <w:rsid w:val="004B074E"/>
    <w:rsid w:val="004B0914"/>
    <w:rsid w:val="004B09F9"/>
    <w:rsid w:val="004B0D76"/>
    <w:rsid w:val="004B0E99"/>
    <w:rsid w:val="004B0F5D"/>
    <w:rsid w:val="004B141F"/>
    <w:rsid w:val="004B1558"/>
    <w:rsid w:val="004B1B64"/>
    <w:rsid w:val="004B30B4"/>
    <w:rsid w:val="004B3318"/>
    <w:rsid w:val="004B389F"/>
    <w:rsid w:val="004B4A5D"/>
    <w:rsid w:val="004B4A8D"/>
    <w:rsid w:val="004B4CB4"/>
    <w:rsid w:val="004B4DBB"/>
    <w:rsid w:val="004B523E"/>
    <w:rsid w:val="004B5790"/>
    <w:rsid w:val="004B6867"/>
    <w:rsid w:val="004B69D3"/>
    <w:rsid w:val="004B6F8A"/>
    <w:rsid w:val="004B7BCE"/>
    <w:rsid w:val="004C056F"/>
    <w:rsid w:val="004C0764"/>
    <w:rsid w:val="004C0B91"/>
    <w:rsid w:val="004C0E28"/>
    <w:rsid w:val="004C0E7F"/>
    <w:rsid w:val="004C107B"/>
    <w:rsid w:val="004C1211"/>
    <w:rsid w:val="004C125D"/>
    <w:rsid w:val="004C14BB"/>
    <w:rsid w:val="004C1708"/>
    <w:rsid w:val="004C190E"/>
    <w:rsid w:val="004C21A1"/>
    <w:rsid w:val="004C2357"/>
    <w:rsid w:val="004C235A"/>
    <w:rsid w:val="004C2517"/>
    <w:rsid w:val="004C2C0A"/>
    <w:rsid w:val="004C2E89"/>
    <w:rsid w:val="004C456B"/>
    <w:rsid w:val="004C4C1E"/>
    <w:rsid w:val="004C4D5F"/>
    <w:rsid w:val="004C50B1"/>
    <w:rsid w:val="004C550C"/>
    <w:rsid w:val="004C57D5"/>
    <w:rsid w:val="004C58F4"/>
    <w:rsid w:val="004C6B98"/>
    <w:rsid w:val="004C7321"/>
    <w:rsid w:val="004C789A"/>
    <w:rsid w:val="004C7C80"/>
    <w:rsid w:val="004D0677"/>
    <w:rsid w:val="004D0722"/>
    <w:rsid w:val="004D10D3"/>
    <w:rsid w:val="004D13CF"/>
    <w:rsid w:val="004D154A"/>
    <w:rsid w:val="004D19CD"/>
    <w:rsid w:val="004D1BD5"/>
    <w:rsid w:val="004D1C2B"/>
    <w:rsid w:val="004D1FFC"/>
    <w:rsid w:val="004D20EB"/>
    <w:rsid w:val="004D21AB"/>
    <w:rsid w:val="004D24C0"/>
    <w:rsid w:val="004D2B69"/>
    <w:rsid w:val="004D2F67"/>
    <w:rsid w:val="004D3515"/>
    <w:rsid w:val="004D356A"/>
    <w:rsid w:val="004D35E8"/>
    <w:rsid w:val="004D3AD7"/>
    <w:rsid w:val="004D3B6D"/>
    <w:rsid w:val="004D425A"/>
    <w:rsid w:val="004D4321"/>
    <w:rsid w:val="004D448C"/>
    <w:rsid w:val="004D4635"/>
    <w:rsid w:val="004D490A"/>
    <w:rsid w:val="004D4CEF"/>
    <w:rsid w:val="004D5562"/>
    <w:rsid w:val="004D5E69"/>
    <w:rsid w:val="004D614C"/>
    <w:rsid w:val="004D62AE"/>
    <w:rsid w:val="004D63C9"/>
    <w:rsid w:val="004D64F4"/>
    <w:rsid w:val="004D6999"/>
    <w:rsid w:val="004D6D2A"/>
    <w:rsid w:val="004D769B"/>
    <w:rsid w:val="004D771F"/>
    <w:rsid w:val="004D7845"/>
    <w:rsid w:val="004D78D2"/>
    <w:rsid w:val="004D7BDE"/>
    <w:rsid w:val="004D7E13"/>
    <w:rsid w:val="004E0436"/>
    <w:rsid w:val="004E080E"/>
    <w:rsid w:val="004E0B2C"/>
    <w:rsid w:val="004E0CCC"/>
    <w:rsid w:val="004E0F51"/>
    <w:rsid w:val="004E114A"/>
    <w:rsid w:val="004E1DAE"/>
    <w:rsid w:val="004E25A6"/>
    <w:rsid w:val="004E2A9C"/>
    <w:rsid w:val="004E2B21"/>
    <w:rsid w:val="004E2B8E"/>
    <w:rsid w:val="004E30B5"/>
    <w:rsid w:val="004E321E"/>
    <w:rsid w:val="004E410E"/>
    <w:rsid w:val="004E43C9"/>
    <w:rsid w:val="004E45C3"/>
    <w:rsid w:val="004E57DD"/>
    <w:rsid w:val="004E5BD6"/>
    <w:rsid w:val="004E5D4A"/>
    <w:rsid w:val="004E5E19"/>
    <w:rsid w:val="004E60B4"/>
    <w:rsid w:val="004E626D"/>
    <w:rsid w:val="004E6419"/>
    <w:rsid w:val="004E6EE5"/>
    <w:rsid w:val="004E711C"/>
    <w:rsid w:val="004E72AA"/>
    <w:rsid w:val="004F0E3B"/>
    <w:rsid w:val="004F1A34"/>
    <w:rsid w:val="004F1CAE"/>
    <w:rsid w:val="004F1D6C"/>
    <w:rsid w:val="004F224A"/>
    <w:rsid w:val="004F23AB"/>
    <w:rsid w:val="004F3382"/>
    <w:rsid w:val="004F33E2"/>
    <w:rsid w:val="004F3AE7"/>
    <w:rsid w:val="004F4B86"/>
    <w:rsid w:val="004F4E52"/>
    <w:rsid w:val="004F53A0"/>
    <w:rsid w:val="004F58A1"/>
    <w:rsid w:val="004F6475"/>
    <w:rsid w:val="004F6A11"/>
    <w:rsid w:val="004F72F8"/>
    <w:rsid w:val="004F7796"/>
    <w:rsid w:val="004F7999"/>
    <w:rsid w:val="004F7B44"/>
    <w:rsid w:val="004F7B4C"/>
    <w:rsid w:val="0050001C"/>
    <w:rsid w:val="00500FF2"/>
    <w:rsid w:val="00501E1D"/>
    <w:rsid w:val="00501E78"/>
    <w:rsid w:val="0050222C"/>
    <w:rsid w:val="0050222D"/>
    <w:rsid w:val="0050472A"/>
    <w:rsid w:val="00504742"/>
    <w:rsid w:val="00504C88"/>
    <w:rsid w:val="005052D2"/>
    <w:rsid w:val="005059EF"/>
    <w:rsid w:val="00506079"/>
    <w:rsid w:val="00506C54"/>
    <w:rsid w:val="005070BA"/>
    <w:rsid w:val="00507951"/>
    <w:rsid w:val="00507B45"/>
    <w:rsid w:val="005101E9"/>
    <w:rsid w:val="005105CE"/>
    <w:rsid w:val="00510D41"/>
    <w:rsid w:val="00511148"/>
    <w:rsid w:val="005116C7"/>
    <w:rsid w:val="00511F04"/>
    <w:rsid w:val="00512676"/>
    <w:rsid w:val="00513E14"/>
    <w:rsid w:val="00514E66"/>
    <w:rsid w:val="00515454"/>
    <w:rsid w:val="005154C1"/>
    <w:rsid w:val="00515575"/>
    <w:rsid w:val="00515714"/>
    <w:rsid w:val="005162AB"/>
    <w:rsid w:val="005166F2"/>
    <w:rsid w:val="00516BD5"/>
    <w:rsid w:val="00516F92"/>
    <w:rsid w:val="005174B4"/>
    <w:rsid w:val="00517B59"/>
    <w:rsid w:val="00517DD8"/>
    <w:rsid w:val="00520074"/>
    <w:rsid w:val="005207A1"/>
    <w:rsid w:val="00520C7A"/>
    <w:rsid w:val="00521122"/>
    <w:rsid w:val="00521295"/>
    <w:rsid w:val="00521364"/>
    <w:rsid w:val="005225FD"/>
    <w:rsid w:val="00522F21"/>
    <w:rsid w:val="005231EB"/>
    <w:rsid w:val="00523430"/>
    <w:rsid w:val="0052351B"/>
    <w:rsid w:val="0052377A"/>
    <w:rsid w:val="00524101"/>
    <w:rsid w:val="00524482"/>
    <w:rsid w:val="0052465A"/>
    <w:rsid w:val="00524BDB"/>
    <w:rsid w:val="00524CBB"/>
    <w:rsid w:val="00525B9C"/>
    <w:rsid w:val="00526114"/>
    <w:rsid w:val="00526E94"/>
    <w:rsid w:val="00526F45"/>
    <w:rsid w:val="005270C0"/>
    <w:rsid w:val="00530611"/>
    <w:rsid w:val="00530BAE"/>
    <w:rsid w:val="00531B79"/>
    <w:rsid w:val="00531B80"/>
    <w:rsid w:val="00531EAB"/>
    <w:rsid w:val="005320C0"/>
    <w:rsid w:val="00532772"/>
    <w:rsid w:val="005328C6"/>
    <w:rsid w:val="00532CF0"/>
    <w:rsid w:val="005333CF"/>
    <w:rsid w:val="005337DC"/>
    <w:rsid w:val="00534365"/>
    <w:rsid w:val="00534B0E"/>
    <w:rsid w:val="0053508D"/>
    <w:rsid w:val="00535416"/>
    <w:rsid w:val="00535516"/>
    <w:rsid w:val="00535602"/>
    <w:rsid w:val="0053632C"/>
    <w:rsid w:val="00536C4C"/>
    <w:rsid w:val="005374F2"/>
    <w:rsid w:val="00537B1D"/>
    <w:rsid w:val="005408BD"/>
    <w:rsid w:val="00540B5B"/>
    <w:rsid w:val="00541146"/>
    <w:rsid w:val="00542025"/>
    <w:rsid w:val="00542174"/>
    <w:rsid w:val="00542728"/>
    <w:rsid w:val="00542814"/>
    <w:rsid w:val="0054314A"/>
    <w:rsid w:val="00543549"/>
    <w:rsid w:val="0054373D"/>
    <w:rsid w:val="00544688"/>
    <w:rsid w:val="0054549A"/>
    <w:rsid w:val="00545B6E"/>
    <w:rsid w:val="00545CC2"/>
    <w:rsid w:val="00546238"/>
    <w:rsid w:val="00546371"/>
    <w:rsid w:val="005469AB"/>
    <w:rsid w:val="00546C7F"/>
    <w:rsid w:val="00546FFA"/>
    <w:rsid w:val="00547D3F"/>
    <w:rsid w:val="00547D50"/>
    <w:rsid w:val="00547DD6"/>
    <w:rsid w:val="005509E5"/>
    <w:rsid w:val="00550DAE"/>
    <w:rsid w:val="00551053"/>
    <w:rsid w:val="00551351"/>
    <w:rsid w:val="00551B7E"/>
    <w:rsid w:val="005521C3"/>
    <w:rsid w:val="00552271"/>
    <w:rsid w:val="00552288"/>
    <w:rsid w:val="00552A11"/>
    <w:rsid w:val="00552BCC"/>
    <w:rsid w:val="00553017"/>
    <w:rsid w:val="00554F35"/>
    <w:rsid w:val="0055511A"/>
    <w:rsid w:val="0055562E"/>
    <w:rsid w:val="00555C13"/>
    <w:rsid w:val="005561FB"/>
    <w:rsid w:val="00556A29"/>
    <w:rsid w:val="00556D98"/>
    <w:rsid w:val="00556E14"/>
    <w:rsid w:val="00556EBE"/>
    <w:rsid w:val="00556FF8"/>
    <w:rsid w:val="005572E7"/>
    <w:rsid w:val="0055743A"/>
    <w:rsid w:val="005575FF"/>
    <w:rsid w:val="005576C9"/>
    <w:rsid w:val="005577D9"/>
    <w:rsid w:val="00557900"/>
    <w:rsid w:val="00557B8D"/>
    <w:rsid w:val="00557C8E"/>
    <w:rsid w:val="005601FB"/>
    <w:rsid w:val="005606E4"/>
    <w:rsid w:val="005609CB"/>
    <w:rsid w:val="00561258"/>
    <w:rsid w:val="00561585"/>
    <w:rsid w:val="00561DA8"/>
    <w:rsid w:val="00562CB2"/>
    <w:rsid w:val="005631D7"/>
    <w:rsid w:val="0056357B"/>
    <w:rsid w:val="0056390D"/>
    <w:rsid w:val="00563C9E"/>
    <w:rsid w:val="005643F8"/>
    <w:rsid w:val="00564407"/>
    <w:rsid w:val="00564550"/>
    <w:rsid w:val="0056482E"/>
    <w:rsid w:val="00564F9B"/>
    <w:rsid w:val="00565289"/>
    <w:rsid w:val="00565B4F"/>
    <w:rsid w:val="00565D61"/>
    <w:rsid w:val="00565F40"/>
    <w:rsid w:val="00566E6B"/>
    <w:rsid w:val="005670F5"/>
    <w:rsid w:val="00567F0A"/>
    <w:rsid w:val="005704BB"/>
    <w:rsid w:val="00570AC0"/>
    <w:rsid w:val="005714CB"/>
    <w:rsid w:val="005715D4"/>
    <w:rsid w:val="005717DE"/>
    <w:rsid w:val="0057185D"/>
    <w:rsid w:val="00571CB0"/>
    <w:rsid w:val="00571D6D"/>
    <w:rsid w:val="005722BB"/>
    <w:rsid w:val="00572CDD"/>
    <w:rsid w:val="00572F46"/>
    <w:rsid w:val="0057493B"/>
    <w:rsid w:val="00574A02"/>
    <w:rsid w:val="00574E65"/>
    <w:rsid w:val="00575C64"/>
    <w:rsid w:val="00576421"/>
    <w:rsid w:val="00576491"/>
    <w:rsid w:val="005764A9"/>
    <w:rsid w:val="005765AE"/>
    <w:rsid w:val="00576A54"/>
    <w:rsid w:val="00576B5A"/>
    <w:rsid w:val="00576B89"/>
    <w:rsid w:val="00576C79"/>
    <w:rsid w:val="0057712F"/>
    <w:rsid w:val="005776F1"/>
    <w:rsid w:val="00577DC6"/>
    <w:rsid w:val="00580989"/>
    <w:rsid w:val="0058151E"/>
    <w:rsid w:val="005816F4"/>
    <w:rsid w:val="00581BDF"/>
    <w:rsid w:val="00582337"/>
    <w:rsid w:val="00582357"/>
    <w:rsid w:val="005832FE"/>
    <w:rsid w:val="0058331F"/>
    <w:rsid w:val="00583834"/>
    <w:rsid w:val="00583D57"/>
    <w:rsid w:val="00584A08"/>
    <w:rsid w:val="00585174"/>
    <w:rsid w:val="00585A38"/>
    <w:rsid w:val="00585FC6"/>
    <w:rsid w:val="005862C6"/>
    <w:rsid w:val="00587399"/>
    <w:rsid w:val="00587968"/>
    <w:rsid w:val="00587F86"/>
    <w:rsid w:val="0059038C"/>
    <w:rsid w:val="00590943"/>
    <w:rsid w:val="00590F28"/>
    <w:rsid w:val="00591310"/>
    <w:rsid w:val="005913E9"/>
    <w:rsid w:val="005921E2"/>
    <w:rsid w:val="005923BF"/>
    <w:rsid w:val="00592654"/>
    <w:rsid w:val="00592656"/>
    <w:rsid w:val="00592BC7"/>
    <w:rsid w:val="00592DF2"/>
    <w:rsid w:val="00593405"/>
    <w:rsid w:val="00593456"/>
    <w:rsid w:val="00593887"/>
    <w:rsid w:val="00593A74"/>
    <w:rsid w:val="00593AFD"/>
    <w:rsid w:val="00593E6F"/>
    <w:rsid w:val="00593F34"/>
    <w:rsid w:val="00594D73"/>
    <w:rsid w:val="00594E87"/>
    <w:rsid w:val="00594FE2"/>
    <w:rsid w:val="005950A5"/>
    <w:rsid w:val="005950E5"/>
    <w:rsid w:val="00595783"/>
    <w:rsid w:val="00595D10"/>
    <w:rsid w:val="00595FA7"/>
    <w:rsid w:val="00595FE3"/>
    <w:rsid w:val="00596A12"/>
    <w:rsid w:val="00596A6A"/>
    <w:rsid w:val="00596C9A"/>
    <w:rsid w:val="005972DE"/>
    <w:rsid w:val="00597309"/>
    <w:rsid w:val="00597496"/>
    <w:rsid w:val="005974F0"/>
    <w:rsid w:val="005975A0"/>
    <w:rsid w:val="00597AE7"/>
    <w:rsid w:val="005A02EA"/>
    <w:rsid w:val="005A03AB"/>
    <w:rsid w:val="005A0556"/>
    <w:rsid w:val="005A0E6F"/>
    <w:rsid w:val="005A143A"/>
    <w:rsid w:val="005A15D0"/>
    <w:rsid w:val="005A2160"/>
    <w:rsid w:val="005A2B13"/>
    <w:rsid w:val="005A2F60"/>
    <w:rsid w:val="005A3811"/>
    <w:rsid w:val="005A39CC"/>
    <w:rsid w:val="005A4103"/>
    <w:rsid w:val="005A4CD3"/>
    <w:rsid w:val="005A4DC8"/>
    <w:rsid w:val="005A501E"/>
    <w:rsid w:val="005A50E5"/>
    <w:rsid w:val="005A5E3E"/>
    <w:rsid w:val="005A603D"/>
    <w:rsid w:val="005A64BA"/>
    <w:rsid w:val="005A6F17"/>
    <w:rsid w:val="005A6F7C"/>
    <w:rsid w:val="005A7399"/>
    <w:rsid w:val="005B0CF0"/>
    <w:rsid w:val="005B0E91"/>
    <w:rsid w:val="005B0FDA"/>
    <w:rsid w:val="005B132F"/>
    <w:rsid w:val="005B157A"/>
    <w:rsid w:val="005B17FB"/>
    <w:rsid w:val="005B18B2"/>
    <w:rsid w:val="005B18D5"/>
    <w:rsid w:val="005B234D"/>
    <w:rsid w:val="005B287F"/>
    <w:rsid w:val="005B2DD2"/>
    <w:rsid w:val="005B3315"/>
    <w:rsid w:val="005B3621"/>
    <w:rsid w:val="005B39AC"/>
    <w:rsid w:val="005B39F1"/>
    <w:rsid w:val="005B40A6"/>
    <w:rsid w:val="005B4763"/>
    <w:rsid w:val="005B48DE"/>
    <w:rsid w:val="005B4E17"/>
    <w:rsid w:val="005B4F00"/>
    <w:rsid w:val="005B523F"/>
    <w:rsid w:val="005B5E63"/>
    <w:rsid w:val="005B617E"/>
    <w:rsid w:val="005B634E"/>
    <w:rsid w:val="005C0180"/>
    <w:rsid w:val="005C01B7"/>
    <w:rsid w:val="005C01D2"/>
    <w:rsid w:val="005C0FBC"/>
    <w:rsid w:val="005C10CE"/>
    <w:rsid w:val="005C1E38"/>
    <w:rsid w:val="005C1FF3"/>
    <w:rsid w:val="005C29E4"/>
    <w:rsid w:val="005C29F6"/>
    <w:rsid w:val="005C310D"/>
    <w:rsid w:val="005C3CF5"/>
    <w:rsid w:val="005C405B"/>
    <w:rsid w:val="005C4421"/>
    <w:rsid w:val="005C45D3"/>
    <w:rsid w:val="005C47E6"/>
    <w:rsid w:val="005C54A5"/>
    <w:rsid w:val="005C61AC"/>
    <w:rsid w:val="005C68B0"/>
    <w:rsid w:val="005C748F"/>
    <w:rsid w:val="005D136C"/>
    <w:rsid w:val="005D14AA"/>
    <w:rsid w:val="005D1751"/>
    <w:rsid w:val="005D2A79"/>
    <w:rsid w:val="005D2D3A"/>
    <w:rsid w:val="005D3004"/>
    <w:rsid w:val="005D3464"/>
    <w:rsid w:val="005D39D9"/>
    <w:rsid w:val="005D3D38"/>
    <w:rsid w:val="005D3D39"/>
    <w:rsid w:val="005D42FE"/>
    <w:rsid w:val="005D4A0E"/>
    <w:rsid w:val="005D4BC2"/>
    <w:rsid w:val="005D500B"/>
    <w:rsid w:val="005D5713"/>
    <w:rsid w:val="005D5759"/>
    <w:rsid w:val="005D5E87"/>
    <w:rsid w:val="005D787E"/>
    <w:rsid w:val="005D7C39"/>
    <w:rsid w:val="005E00C2"/>
    <w:rsid w:val="005E07B8"/>
    <w:rsid w:val="005E0B75"/>
    <w:rsid w:val="005E0F86"/>
    <w:rsid w:val="005E13DF"/>
    <w:rsid w:val="005E17C9"/>
    <w:rsid w:val="005E2190"/>
    <w:rsid w:val="005E3243"/>
    <w:rsid w:val="005E33C6"/>
    <w:rsid w:val="005E387D"/>
    <w:rsid w:val="005E3B75"/>
    <w:rsid w:val="005E3D15"/>
    <w:rsid w:val="005E44C0"/>
    <w:rsid w:val="005E4C1C"/>
    <w:rsid w:val="005E4C65"/>
    <w:rsid w:val="005E54BC"/>
    <w:rsid w:val="005E5B1B"/>
    <w:rsid w:val="005E5E62"/>
    <w:rsid w:val="005E6ABB"/>
    <w:rsid w:val="005E71E1"/>
    <w:rsid w:val="005E759E"/>
    <w:rsid w:val="005E7B71"/>
    <w:rsid w:val="005F01FA"/>
    <w:rsid w:val="005F0303"/>
    <w:rsid w:val="005F087E"/>
    <w:rsid w:val="005F12FF"/>
    <w:rsid w:val="005F16E3"/>
    <w:rsid w:val="005F16EE"/>
    <w:rsid w:val="005F182C"/>
    <w:rsid w:val="005F19DA"/>
    <w:rsid w:val="005F1BE3"/>
    <w:rsid w:val="005F25A2"/>
    <w:rsid w:val="005F27C4"/>
    <w:rsid w:val="005F2884"/>
    <w:rsid w:val="005F2946"/>
    <w:rsid w:val="005F2BDE"/>
    <w:rsid w:val="005F34C6"/>
    <w:rsid w:val="005F35B4"/>
    <w:rsid w:val="005F39D9"/>
    <w:rsid w:val="005F4318"/>
    <w:rsid w:val="005F4327"/>
    <w:rsid w:val="005F457C"/>
    <w:rsid w:val="005F4DE8"/>
    <w:rsid w:val="005F4F8E"/>
    <w:rsid w:val="005F5075"/>
    <w:rsid w:val="005F5228"/>
    <w:rsid w:val="005F54A4"/>
    <w:rsid w:val="005F5F77"/>
    <w:rsid w:val="005F71D1"/>
    <w:rsid w:val="005F7A6C"/>
    <w:rsid w:val="005F7CBE"/>
    <w:rsid w:val="00600100"/>
    <w:rsid w:val="0060025C"/>
    <w:rsid w:val="0060035F"/>
    <w:rsid w:val="0060089E"/>
    <w:rsid w:val="00601157"/>
    <w:rsid w:val="00601829"/>
    <w:rsid w:val="006018BA"/>
    <w:rsid w:val="006022AF"/>
    <w:rsid w:val="00602BFB"/>
    <w:rsid w:val="00602C2A"/>
    <w:rsid w:val="00602E2E"/>
    <w:rsid w:val="00603112"/>
    <w:rsid w:val="00603810"/>
    <w:rsid w:val="00603A80"/>
    <w:rsid w:val="00603EC6"/>
    <w:rsid w:val="00604275"/>
    <w:rsid w:val="006046AC"/>
    <w:rsid w:val="00604E21"/>
    <w:rsid w:val="00604F48"/>
    <w:rsid w:val="006050E1"/>
    <w:rsid w:val="006057EF"/>
    <w:rsid w:val="0060646A"/>
    <w:rsid w:val="00606B2C"/>
    <w:rsid w:val="00606D16"/>
    <w:rsid w:val="00606D68"/>
    <w:rsid w:val="00606F3D"/>
    <w:rsid w:val="00607205"/>
    <w:rsid w:val="006074E4"/>
    <w:rsid w:val="0060758C"/>
    <w:rsid w:val="00607918"/>
    <w:rsid w:val="006100CD"/>
    <w:rsid w:val="006102D7"/>
    <w:rsid w:val="00610925"/>
    <w:rsid w:val="00610CAB"/>
    <w:rsid w:val="0061101A"/>
    <w:rsid w:val="00611094"/>
    <w:rsid w:val="006112D1"/>
    <w:rsid w:val="006112FA"/>
    <w:rsid w:val="00611402"/>
    <w:rsid w:val="0061220C"/>
    <w:rsid w:val="0061258A"/>
    <w:rsid w:val="0061296D"/>
    <w:rsid w:val="006134BA"/>
    <w:rsid w:val="00613BE2"/>
    <w:rsid w:val="006144FD"/>
    <w:rsid w:val="00614D5C"/>
    <w:rsid w:val="00614E87"/>
    <w:rsid w:val="006150D0"/>
    <w:rsid w:val="006152B9"/>
    <w:rsid w:val="006154C8"/>
    <w:rsid w:val="00615607"/>
    <w:rsid w:val="00616D0F"/>
    <w:rsid w:val="006176D5"/>
    <w:rsid w:val="006177F8"/>
    <w:rsid w:val="00617E1F"/>
    <w:rsid w:val="00620205"/>
    <w:rsid w:val="00620F24"/>
    <w:rsid w:val="0062171B"/>
    <w:rsid w:val="0062197B"/>
    <w:rsid w:val="00621C04"/>
    <w:rsid w:val="00622303"/>
    <w:rsid w:val="006223FD"/>
    <w:rsid w:val="00622C0C"/>
    <w:rsid w:val="00622D42"/>
    <w:rsid w:val="00622F63"/>
    <w:rsid w:val="00623402"/>
    <w:rsid w:val="006235A4"/>
    <w:rsid w:val="006237DF"/>
    <w:rsid w:val="006240F9"/>
    <w:rsid w:val="0062425C"/>
    <w:rsid w:val="006243AF"/>
    <w:rsid w:val="00624630"/>
    <w:rsid w:val="006247C4"/>
    <w:rsid w:val="00624A46"/>
    <w:rsid w:val="00624B34"/>
    <w:rsid w:val="00624F50"/>
    <w:rsid w:val="00625110"/>
    <w:rsid w:val="006254FE"/>
    <w:rsid w:val="00625B93"/>
    <w:rsid w:val="006260C2"/>
    <w:rsid w:val="006262E3"/>
    <w:rsid w:val="00626756"/>
    <w:rsid w:val="006269C0"/>
    <w:rsid w:val="00626C0A"/>
    <w:rsid w:val="00627288"/>
    <w:rsid w:val="0062747A"/>
    <w:rsid w:val="0062753A"/>
    <w:rsid w:val="00627765"/>
    <w:rsid w:val="00627A34"/>
    <w:rsid w:val="00627C6B"/>
    <w:rsid w:val="00627E14"/>
    <w:rsid w:val="006300B1"/>
    <w:rsid w:val="006302F3"/>
    <w:rsid w:val="0063091B"/>
    <w:rsid w:val="00631F8A"/>
    <w:rsid w:val="00632A4E"/>
    <w:rsid w:val="00632AAB"/>
    <w:rsid w:val="00632B5C"/>
    <w:rsid w:val="006334C9"/>
    <w:rsid w:val="00633563"/>
    <w:rsid w:val="006338CA"/>
    <w:rsid w:val="006338E3"/>
    <w:rsid w:val="00633D72"/>
    <w:rsid w:val="006348D3"/>
    <w:rsid w:val="00634B5C"/>
    <w:rsid w:val="006351BD"/>
    <w:rsid w:val="006352EB"/>
    <w:rsid w:val="00635B77"/>
    <w:rsid w:val="00636271"/>
    <w:rsid w:val="00636BF2"/>
    <w:rsid w:val="0063760A"/>
    <w:rsid w:val="00637734"/>
    <w:rsid w:val="00637B07"/>
    <w:rsid w:val="00637BEE"/>
    <w:rsid w:val="00637C2B"/>
    <w:rsid w:val="00640D89"/>
    <w:rsid w:val="0064104C"/>
    <w:rsid w:val="006410F9"/>
    <w:rsid w:val="00641868"/>
    <w:rsid w:val="006418EB"/>
    <w:rsid w:val="00641EEA"/>
    <w:rsid w:val="006423A0"/>
    <w:rsid w:val="006423E5"/>
    <w:rsid w:val="00642B24"/>
    <w:rsid w:val="00642B37"/>
    <w:rsid w:val="006432AF"/>
    <w:rsid w:val="0064338F"/>
    <w:rsid w:val="006434AA"/>
    <w:rsid w:val="00643AAA"/>
    <w:rsid w:val="00643C5A"/>
    <w:rsid w:val="00643E54"/>
    <w:rsid w:val="0064496D"/>
    <w:rsid w:val="00644983"/>
    <w:rsid w:val="006449B8"/>
    <w:rsid w:val="00645E61"/>
    <w:rsid w:val="00645EDF"/>
    <w:rsid w:val="00646172"/>
    <w:rsid w:val="006461E4"/>
    <w:rsid w:val="0064631F"/>
    <w:rsid w:val="00646542"/>
    <w:rsid w:val="00646959"/>
    <w:rsid w:val="00646DA2"/>
    <w:rsid w:val="00647011"/>
    <w:rsid w:val="0064703C"/>
    <w:rsid w:val="00647DAC"/>
    <w:rsid w:val="006502FA"/>
    <w:rsid w:val="00650711"/>
    <w:rsid w:val="006509D0"/>
    <w:rsid w:val="00650BF3"/>
    <w:rsid w:val="0065113B"/>
    <w:rsid w:val="00651D08"/>
    <w:rsid w:val="00651D27"/>
    <w:rsid w:val="0065213C"/>
    <w:rsid w:val="006521C3"/>
    <w:rsid w:val="006524ED"/>
    <w:rsid w:val="0065290F"/>
    <w:rsid w:val="00652BBD"/>
    <w:rsid w:val="00653CF7"/>
    <w:rsid w:val="00653D8B"/>
    <w:rsid w:val="00653D8D"/>
    <w:rsid w:val="00653DB7"/>
    <w:rsid w:val="006544A5"/>
    <w:rsid w:val="0065492E"/>
    <w:rsid w:val="00655536"/>
    <w:rsid w:val="00655897"/>
    <w:rsid w:val="00655A79"/>
    <w:rsid w:val="00656313"/>
    <w:rsid w:val="0065634C"/>
    <w:rsid w:val="006564F1"/>
    <w:rsid w:val="006577DD"/>
    <w:rsid w:val="00657A25"/>
    <w:rsid w:val="00660467"/>
    <w:rsid w:val="0066148A"/>
    <w:rsid w:val="00661651"/>
    <w:rsid w:val="00661734"/>
    <w:rsid w:val="00661837"/>
    <w:rsid w:val="00662291"/>
    <w:rsid w:val="00662FA4"/>
    <w:rsid w:val="00662FAD"/>
    <w:rsid w:val="00663F41"/>
    <w:rsid w:val="006642A2"/>
    <w:rsid w:val="006643FF"/>
    <w:rsid w:val="00664797"/>
    <w:rsid w:val="00664890"/>
    <w:rsid w:val="006648AE"/>
    <w:rsid w:val="006649C6"/>
    <w:rsid w:val="006656B7"/>
    <w:rsid w:val="0066574F"/>
    <w:rsid w:val="006657CF"/>
    <w:rsid w:val="00665C53"/>
    <w:rsid w:val="00665F9D"/>
    <w:rsid w:val="006660D0"/>
    <w:rsid w:val="00666560"/>
    <w:rsid w:val="006669F6"/>
    <w:rsid w:val="006671E1"/>
    <w:rsid w:val="0066766D"/>
    <w:rsid w:val="006677E3"/>
    <w:rsid w:val="0066795E"/>
    <w:rsid w:val="00667B22"/>
    <w:rsid w:val="006710C1"/>
    <w:rsid w:val="006712DD"/>
    <w:rsid w:val="00671CFD"/>
    <w:rsid w:val="0067259A"/>
    <w:rsid w:val="006726D6"/>
    <w:rsid w:val="00672C27"/>
    <w:rsid w:val="00672EF0"/>
    <w:rsid w:val="0067304E"/>
    <w:rsid w:val="006731EE"/>
    <w:rsid w:val="006734AD"/>
    <w:rsid w:val="0067392C"/>
    <w:rsid w:val="006743B7"/>
    <w:rsid w:val="006743BF"/>
    <w:rsid w:val="006745E5"/>
    <w:rsid w:val="00674C4A"/>
    <w:rsid w:val="00675517"/>
    <w:rsid w:val="006757AB"/>
    <w:rsid w:val="00675A70"/>
    <w:rsid w:val="00675C42"/>
    <w:rsid w:val="00675D18"/>
    <w:rsid w:val="00675D6E"/>
    <w:rsid w:val="00675FEE"/>
    <w:rsid w:val="00676743"/>
    <w:rsid w:val="00676B9B"/>
    <w:rsid w:val="00676FCC"/>
    <w:rsid w:val="006770F3"/>
    <w:rsid w:val="0067766C"/>
    <w:rsid w:val="006778A7"/>
    <w:rsid w:val="00677A0E"/>
    <w:rsid w:val="00677C6A"/>
    <w:rsid w:val="006800A6"/>
    <w:rsid w:val="0068062D"/>
    <w:rsid w:val="006806C0"/>
    <w:rsid w:val="00680A87"/>
    <w:rsid w:val="00680B33"/>
    <w:rsid w:val="00680FFE"/>
    <w:rsid w:val="006810D5"/>
    <w:rsid w:val="00681181"/>
    <w:rsid w:val="006817A7"/>
    <w:rsid w:val="0068204D"/>
    <w:rsid w:val="00682099"/>
    <w:rsid w:val="00682A24"/>
    <w:rsid w:val="00683427"/>
    <w:rsid w:val="0068347C"/>
    <w:rsid w:val="00683A21"/>
    <w:rsid w:val="00684004"/>
    <w:rsid w:val="00684AA8"/>
    <w:rsid w:val="00685185"/>
    <w:rsid w:val="00685588"/>
    <w:rsid w:val="00685A22"/>
    <w:rsid w:val="00685C09"/>
    <w:rsid w:val="00685C5F"/>
    <w:rsid w:val="00686443"/>
    <w:rsid w:val="006865E9"/>
    <w:rsid w:val="00686B3B"/>
    <w:rsid w:val="006870CB"/>
    <w:rsid w:val="006875FA"/>
    <w:rsid w:val="00687B2B"/>
    <w:rsid w:val="00687F88"/>
    <w:rsid w:val="006900DD"/>
    <w:rsid w:val="006919E3"/>
    <w:rsid w:val="00692A05"/>
    <w:rsid w:val="006931A6"/>
    <w:rsid w:val="006936DD"/>
    <w:rsid w:val="00693820"/>
    <w:rsid w:val="00693E17"/>
    <w:rsid w:val="006942EB"/>
    <w:rsid w:val="00694887"/>
    <w:rsid w:val="00694F3D"/>
    <w:rsid w:val="00694F52"/>
    <w:rsid w:val="0069502D"/>
    <w:rsid w:val="0069513A"/>
    <w:rsid w:val="00695584"/>
    <w:rsid w:val="0069672B"/>
    <w:rsid w:val="00696B35"/>
    <w:rsid w:val="00697C61"/>
    <w:rsid w:val="006A0796"/>
    <w:rsid w:val="006A09F1"/>
    <w:rsid w:val="006A0BB7"/>
    <w:rsid w:val="006A0DB3"/>
    <w:rsid w:val="006A1006"/>
    <w:rsid w:val="006A1346"/>
    <w:rsid w:val="006A177E"/>
    <w:rsid w:val="006A18B6"/>
    <w:rsid w:val="006A18DA"/>
    <w:rsid w:val="006A1982"/>
    <w:rsid w:val="006A1EDC"/>
    <w:rsid w:val="006A217F"/>
    <w:rsid w:val="006A2B8D"/>
    <w:rsid w:val="006A3834"/>
    <w:rsid w:val="006A3997"/>
    <w:rsid w:val="006A3CC5"/>
    <w:rsid w:val="006A40FF"/>
    <w:rsid w:val="006A4728"/>
    <w:rsid w:val="006A4D33"/>
    <w:rsid w:val="006A5AB4"/>
    <w:rsid w:val="006A5B0F"/>
    <w:rsid w:val="006A5D86"/>
    <w:rsid w:val="006A5ED6"/>
    <w:rsid w:val="006A5FF3"/>
    <w:rsid w:val="006A6079"/>
    <w:rsid w:val="006A6B22"/>
    <w:rsid w:val="006A6C03"/>
    <w:rsid w:val="006A6CAD"/>
    <w:rsid w:val="006A6ECC"/>
    <w:rsid w:val="006A71D9"/>
    <w:rsid w:val="006A74C5"/>
    <w:rsid w:val="006A7801"/>
    <w:rsid w:val="006A79D6"/>
    <w:rsid w:val="006B0434"/>
    <w:rsid w:val="006B0603"/>
    <w:rsid w:val="006B0B86"/>
    <w:rsid w:val="006B0C66"/>
    <w:rsid w:val="006B12F6"/>
    <w:rsid w:val="006B1760"/>
    <w:rsid w:val="006B20EE"/>
    <w:rsid w:val="006B2102"/>
    <w:rsid w:val="006B23D6"/>
    <w:rsid w:val="006B24C8"/>
    <w:rsid w:val="006B2A97"/>
    <w:rsid w:val="006B301B"/>
    <w:rsid w:val="006B3394"/>
    <w:rsid w:val="006B33E3"/>
    <w:rsid w:val="006B34F9"/>
    <w:rsid w:val="006B4826"/>
    <w:rsid w:val="006B4831"/>
    <w:rsid w:val="006B4A3B"/>
    <w:rsid w:val="006B50CC"/>
    <w:rsid w:val="006B5139"/>
    <w:rsid w:val="006B513C"/>
    <w:rsid w:val="006B5984"/>
    <w:rsid w:val="006B5B8D"/>
    <w:rsid w:val="006B5BCA"/>
    <w:rsid w:val="006B613D"/>
    <w:rsid w:val="006B6435"/>
    <w:rsid w:val="006B64C4"/>
    <w:rsid w:val="006B749E"/>
    <w:rsid w:val="006B75D7"/>
    <w:rsid w:val="006B7864"/>
    <w:rsid w:val="006C0036"/>
    <w:rsid w:val="006C014F"/>
    <w:rsid w:val="006C0329"/>
    <w:rsid w:val="006C0A2A"/>
    <w:rsid w:val="006C12AB"/>
    <w:rsid w:val="006C1614"/>
    <w:rsid w:val="006C166B"/>
    <w:rsid w:val="006C17D2"/>
    <w:rsid w:val="006C196D"/>
    <w:rsid w:val="006C1D8C"/>
    <w:rsid w:val="006C1DDA"/>
    <w:rsid w:val="006C1E3B"/>
    <w:rsid w:val="006C20CB"/>
    <w:rsid w:val="006C20F8"/>
    <w:rsid w:val="006C2180"/>
    <w:rsid w:val="006C346F"/>
    <w:rsid w:val="006C3A95"/>
    <w:rsid w:val="006C454E"/>
    <w:rsid w:val="006C4E3A"/>
    <w:rsid w:val="006C51D5"/>
    <w:rsid w:val="006C52D1"/>
    <w:rsid w:val="006C5C37"/>
    <w:rsid w:val="006C6039"/>
    <w:rsid w:val="006C72FA"/>
    <w:rsid w:val="006C75F7"/>
    <w:rsid w:val="006C772D"/>
    <w:rsid w:val="006C7B0B"/>
    <w:rsid w:val="006C7E72"/>
    <w:rsid w:val="006D018F"/>
    <w:rsid w:val="006D03B1"/>
    <w:rsid w:val="006D0796"/>
    <w:rsid w:val="006D09C4"/>
    <w:rsid w:val="006D0AA6"/>
    <w:rsid w:val="006D0B4A"/>
    <w:rsid w:val="006D0FAB"/>
    <w:rsid w:val="006D170A"/>
    <w:rsid w:val="006D1E49"/>
    <w:rsid w:val="006D22FD"/>
    <w:rsid w:val="006D28BE"/>
    <w:rsid w:val="006D2C11"/>
    <w:rsid w:val="006D2F8D"/>
    <w:rsid w:val="006D379F"/>
    <w:rsid w:val="006D3943"/>
    <w:rsid w:val="006D3F44"/>
    <w:rsid w:val="006D432E"/>
    <w:rsid w:val="006D4747"/>
    <w:rsid w:val="006D4BB6"/>
    <w:rsid w:val="006D4C3D"/>
    <w:rsid w:val="006D4E3C"/>
    <w:rsid w:val="006D5120"/>
    <w:rsid w:val="006D590F"/>
    <w:rsid w:val="006D5920"/>
    <w:rsid w:val="006D5B0E"/>
    <w:rsid w:val="006D6763"/>
    <w:rsid w:val="006D6A57"/>
    <w:rsid w:val="006D6B22"/>
    <w:rsid w:val="006D6BA5"/>
    <w:rsid w:val="006D6C79"/>
    <w:rsid w:val="006D6CD5"/>
    <w:rsid w:val="006D6DD4"/>
    <w:rsid w:val="006D724B"/>
    <w:rsid w:val="006D7915"/>
    <w:rsid w:val="006E0198"/>
    <w:rsid w:val="006E01BB"/>
    <w:rsid w:val="006E02D7"/>
    <w:rsid w:val="006E056D"/>
    <w:rsid w:val="006E083C"/>
    <w:rsid w:val="006E0DE6"/>
    <w:rsid w:val="006E0F55"/>
    <w:rsid w:val="006E1463"/>
    <w:rsid w:val="006E16DC"/>
    <w:rsid w:val="006E19FD"/>
    <w:rsid w:val="006E1CD2"/>
    <w:rsid w:val="006E2223"/>
    <w:rsid w:val="006E236C"/>
    <w:rsid w:val="006E2393"/>
    <w:rsid w:val="006E2844"/>
    <w:rsid w:val="006E30F1"/>
    <w:rsid w:val="006E33EA"/>
    <w:rsid w:val="006E36F0"/>
    <w:rsid w:val="006E3723"/>
    <w:rsid w:val="006E3AEB"/>
    <w:rsid w:val="006E3FA1"/>
    <w:rsid w:val="006E4894"/>
    <w:rsid w:val="006E4A05"/>
    <w:rsid w:val="006E4A3B"/>
    <w:rsid w:val="006E531A"/>
    <w:rsid w:val="006E6044"/>
    <w:rsid w:val="006E62A7"/>
    <w:rsid w:val="006E62B9"/>
    <w:rsid w:val="006E62C1"/>
    <w:rsid w:val="006E6C7E"/>
    <w:rsid w:val="006E6E6C"/>
    <w:rsid w:val="006E7455"/>
    <w:rsid w:val="006E74B8"/>
    <w:rsid w:val="006E7DB5"/>
    <w:rsid w:val="006F0239"/>
    <w:rsid w:val="006F0266"/>
    <w:rsid w:val="006F09FD"/>
    <w:rsid w:val="006F0AE2"/>
    <w:rsid w:val="006F0AFA"/>
    <w:rsid w:val="006F0B71"/>
    <w:rsid w:val="006F0D54"/>
    <w:rsid w:val="006F0DA3"/>
    <w:rsid w:val="006F0DCA"/>
    <w:rsid w:val="006F1773"/>
    <w:rsid w:val="006F1B52"/>
    <w:rsid w:val="006F1B7E"/>
    <w:rsid w:val="006F1C62"/>
    <w:rsid w:val="006F22FA"/>
    <w:rsid w:val="006F27A6"/>
    <w:rsid w:val="006F292B"/>
    <w:rsid w:val="006F3A88"/>
    <w:rsid w:val="006F3DCE"/>
    <w:rsid w:val="006F41A3"/>
    <w:rsid w:val="006F42C8"/>
    <w:rsid w:val="006F42DE"/>
    <w:rsid w:val="006F4C2F"/>
    <w:rsid w:val="006F4E73"/>
    <w:rsid w:val="006F5747"/>
    <w:rsid w:val="006F57F3"/>
    <w:rsid w:val="006F5B60"/>
    <w:rsid w:val="006F5F76"/>
    <w:rsid w:val="006F619E"/>
    <w:rsid w:val="006F721B"/>
    <w:rsid w:val="006F7F57"/>
    <w:rsid w:val="00701AF6"/>
    <w:rsid w:val="00701B82"/>
    <w:rsid w:val="00702FEC"/>
    <w:rsid w:val="00703630"/>
    <w:rsid w:val="00703C68"/>
    <w:rsid w:val="00703E2A"/>
    <w:rsid w:val="00704210"/>
    <w:rsid w:val="007059E0"/>
    <w:rsid w:val="00705AA2"/>
    <w:rsid w:val="00705B33"/>
    <w:rsid w:val="00705BE3"/>
    <w:rsid w:val="00705E90"/>
    <w:rsid w:val="0070615E"/>
    <w:rsid w:val="00706550"/>
    <w:rsid w:val="0070663E"/>
    <w:rsid w:val="00706915"/>
    <w:rsid w:val="00706985"/>
    <w:rsid w:val="00706C4B"/>
    <w:rsid w:val="0070754E"/>
    <w:rsid w:val="007075FF"/>
    <w:rsid w:val="0070765A"/>
    <w:rsid w:val="00707D22"/>
    <w:rsid w:val="0071003B"/>
    <w:rsid w:val="00710099"/>
    <w:rsid w:val="00710413"/>
    <w:rsid w:val="00710489"/>
    <w:rsid w:val="007104D5"/>
    <w:rsid w:val="00710A58"/>
    <w:rsid w:val="00710E3A"/>
    <w:rsid w:val="00711540"/>
    <w:rsid w:val="007116AC"/>
    <w:rsid w:val="00712134"/>
    <w:rsid w:val="00712165"/>
    <w:rsid w:val="00712216"/>
    <w:rsid w:val="007124A2"/>
    <w:rsid w:val="00712765"/>
    <w:rsid w:val="00712825"/>
    <w:rsid w:val="00712F99"/>
    <w:rsid w:val="00712FD2"/>
    <w:rsid w:val="0071322B"/>
    <w:rsid w:val="00713278"/>
    <w:rsid w:val="00713290"/>
    <w:rsid w:val="007133ED"/>
    <w:rsid w:val="007136B9"/>
    <w:rsid w:val="00713F52"/>
    <w:rsid w:val="00714E8C"/>
    <w:rsid w:val="00717731"/>
    <w:rsid w:val="0071782D"/>
    <w:rsid w:val="0071794A"/>
    <w:rsid w:val="00717B81"/>
    <w:rsid w:val="00720011"/>
    <w:rsid w:val="00720082"/>
    <w:rsid w:val="007200FA"/>
    <w:rsid w:val="00720186"/>
    <w:rsid w:val="00720F3D"/>
    <w:rsid w:val="007210BD"/>
    <w:rsid w:val="007215C4"/>
    <w:rsid w:val="0072194C"/>
    <w:rsid w:val="00721970"/>
    <w:rsid w:val="00721D57"/>
    <w:rsid w:val="00721F59"/>
    <w:rsid w:val="00722113"/>
    <w:rsid w:val="0072234C"/>
    <w:rsid w:val="007223CD"/>
    <w:rsid w:val="007228CD"/>
    <w:rsid w:val="007230D6"/>
    <w:rsid w:val="007238EC"/>
    <w:rsid w:val="00723938"/>
    <w:rsid w:val="00723E4B"/>
    <w:rsid w:val="00724171"/>
    <w:rsid w:val="00724553"/>
    <w:rsid w:val="00724938"/>
    <w:rsid w:val="0072499E"/>
    <w:rsid w:val="0072563F"/>
    <w:rsid w:val="00725707"/>
    <w:rsid w:val="0072746C"/>
    <w:rsid w:val="007278E6"/>
    <w:rsid w:val="00727DA0"/>
    <w:rsid w:val="00727DC7"/>
    <w:rsid w:val="0073024C"/>
    <w:rsid w:val="0073025D"/>
    <w:rsid w:val="00731148"/>
    <w:rsid w:val="00731446"/>
    <w:rsid w:val="00732696"/>
    <w:rsid w:val="007326E1"/>
    <w:rsid w:val="00732CFA"/>
    <w:rsid w:val="00732E2C"/>
    <w:rsid w:val="00732EE0"/>
    <w:rsid w:val="007330C0"/>
    <w:rsid w:val="00733398"/>
    <w:rsid w:val="00733D70"/>
    <w:rsid w:val="00734364"/>
    <w:rsid w:val="00734468"/>
    <w:rsid w:val="0073462D"/>
    <w:rsid w:val="007346E8"/>
    <w:rsid w:val="007350CA"/>
    <w:rsid w:val="00735284"/>
    <w:rsid w:val="007353E0"/>
    <w:rsid w:val="00735C78"/>
    <w:rsid w:val="00735ECF"/>
    <w:rsid w:val="00736656"/>
    <w:rsid w:val="007368A2"/>
    <w:rsid w:val="00736B38"/>
    <w:rsid w:val="00736D8A"/>
    <w:rsid w:val="00736DE9"/>
    <w:rsid w:val="0073708E"/>
    <w:rsid w:val="0073786D"/>
    <w:rsid w:val="00737C4F"/>
    <w:rsid w:val="00737E60"/>
    <w:rsid w:val="00737E8E"/>
    <w:rsid w:val="007408BA"/>
    <w:rsid w:val="00740B6A"/>
    <w:rsid w:val="007411C7"/>
    <w:rsid w:val="00741920"/>
    <w:rsid w:val="00741977"/>
    <w:rsid w:val="00741BB5"/>
    <w:rsid w:val="00741CDC"/>
    <w:rsid w:val="00741EB7"/>
    <w:rsid w:val="0074233E"/>
    <w:rsid w:val="00742439"/>
    <w:rsid w:val="00742B86"/>
    <w:rsid w:val="0074301B"/>
    <w:rsid w:val="0074346E"/>
    <w:rsid w:val="00743A10"/>
    <w:rsid w:val="00743E1B"/>
    <w:rsid w:val="00744057"/>
    <w:rsid w:val="00745CE7"/>
    <w:rsid w:val="00745D80"/>
    <w:rsid w:val="00746305"/>
    <w:rsid w:val="007465A9"/>
    <w:rsid w:val="007469A6"/>
    <w:rsid w:val="00746B66"/>
    <w:rsid w:val="00750A81"/>
    <w:rsid w:val="00750AEE"/>
    <w:rsid w:val="0075125D"/>
    <w:rsid w:val="00751786"/>
    <w:rsid w:val="00751F78"/>
    <w:rsid w:val="007525C2"/>
    <w:rsid w:val="00752F3E"/>
    <w:rsid w:val="007530FE"/>
    <w:rsid w:val="007545DA"/>
    <w:rsid w:val="00754A0D"/>
    <w:rsid w:val="00754E8E"/>
    <w:rsid w:val="007550E2"/>
    <w:rsid w:val="00755168"/>
    <w:rsid w:val="007552C1"/>
    <w:rsid w:val="007553F4"/>
    <w:rsid w:val="0075598A"/>
    <w:rsid w:val="007562E2"/>
    <w:rsid w:val="00756871"/>
    <w:rsid w:val="00756B21"/>
    <w:rsid w:val="00756DC9"/>
    <w:rsid w:val="00756EC7"/>
    <w:rsid w:val="007570B8"/>
    <w:rsid w:val="007570E0"/>
    <w:rsid w:val="007577C2"/>
    <w:rsid w:val="00757B56"/>
    <w:rsid w:val="00757C04"/>
    <w:rsid w:val="00757D4F"/>
    <w:rsid w:val="0076037D"/>
    <w:rsid w:val="00760572"/>
    <w:rsid w:val="007606A7"/>
    <w:rsid w:val="00760A4A"/>
    <w:rsid w:val="00760ED8"/>
    <w:rsid w:val="0076106E"/>
    <w:rsid w:val="0076136B"/>
    <w:rsid w:val="007618A9"/>
    <w:rsid w:val="00761A89"/>
    <w:rsid w:val="00761AD6"/>
    <w:rsid w:val="00761C5A"/>
    <w:rsid w:val="00761C69"/>
    <w:rsid w:val="0076261C"/>
    <w:rsid w:val="007629DF"/>
    <w:rsid w:val="00762F2B"/>
    <w:rsid w:val="007630E0"/>
    <w:rsid w:val="0076328E"/>
    <w:rsid w:val="00763C66"/>
    <w:rsid w:val="00763E45"/>
    <w:rsid w:val="00764918"/>
    <w:rsid w:val="00764B44"/>
    <w:rsid w:val="00764BBE"/>
    <w:rsid w:val="007652DA"/>
    <w:rsid w:val="0076561E"/>
    <w:rsid w:val="00765C35"/>
    <w:rsid w:val="00765D4A"/>
    <w:rsid w:val="007661B0"/>
    <w:rsid w:val="007667F0"/>
    <w:rsid w:val="00766C3F"/>
    <w:rsid w:val="00766F70"/>
    <w:rsid w:val="007673BF"/>
    <w:rsid w:val="00767904"/>
    <w:rsid w:val="007679B6"/>
    <w:rsid w:val="00767AE9"/>
    <w:rsid w:val="00767B21"/>
    <w:rsid w:val="00767CF5"/>
    <w:rsid w:val="00767D95"/>
    <w:rsid w:val="007702A7"/>
    <w:rsid w:val="007708AF"/>
    <w:rsid w:val="007711DF"/>
    <w:rsid w:val="00771294"/>
    <w:rsid w:val="007713BE"/>
    <w:rsid w:val="007715F3"/>
    <w:rsid w:val="007727E1"/>
    <w:rsid w:val="00772EAD"/>
    <w:rsid w:val="00772F8C"/>
    <w:rsid w:val="00773353"/>
    <w:rsid w:val="0077343C"/>
    <w:rsid w:val="00773AC6"/>
    <w:rsid w:val="00773DDA"/>
    <w:rsid w:val="007740FB"/>
    <w:rsid w:val="007742FD"/>
    <w:rsid w:val="0077432C"/>
    <w:rsid w:val="0077432D"/>
    <w:rsid w:val="0077455C"/>
    <w:rsid w:val="0077496E"/>
    <w:rsid w:val="00774AC1"/>
    <w:rsid w:val="00775345"/>
    <w:rsid w:val="00775B8D"/>
    <w:rsid w:val="0077761E"/>
    <w:rsid w:val="00777CB6"/>
    <w:rsid w:val="00777CE0"/>
    <w:rsid w:val="00780A45"/>
    <w:rsid w:val="00780BAC"/>
    <w:rsid w:val="00781B4E"/>
    <w:rsid w:val="00781C3F"/>
    <w:rsid w:val="00782368"/>
    <w:rsid w:val="007834E7"/>
    <w:rsid w:val="007836DC"/>
    <w:rsid w:val="007837D2"/>
    <w:rsid w:val="00783842"/>
    <w:rsid w:val="007838EE"/>
    <w:rsid w:val="0078555F"/>
    <w:rsid w:val="00785743"/>
    <w:rsid w:val="00785920"/>
    <w:rsid w:val="00785D16"/>
    <w:rsid w:val="00785FAA"/>
    <w:rsid w:val="0078654F"/>
    <w:rsid w:val="00786985"/>
    <w:rsid w:val="00786C66"/>
    <w:rsid w:val="007873DF"/>
    <w:rsid w:val="00787552"/>
    <w:rsid w:val="007876E3"/>
    <w:rsid w:val="00787DB7"/>
    <w:rsid w:val="00787F51"/>
    <w:rsid w:val="00790109"/>
    <w:rsid w:val="00790E47"/>
    <w:rsid w:val="00790ED7"/>
    <w:rsid w:val="007912A0"/>
    <w:rsid w:val="00791467"/>
    <w:rsid w:val="00791EFF"/>
    <w:rsid w:val="007928AD"/>
    <w:rsid w:val="00792D6C"/>
    <w:rsid w:val="00793740"/>
    <w:rsid w:val="00793754"/>
    <w:rsid w:val="00793B5C"/>
    <w:rsid w:val="007943DA"/>
    <w:rsid w:val="00794724"/>
    <w:rsid w:val="007953BD"/>
    <w:rsid w:val="00795565"/>
    <w:rsid w:val="007956DA"/>
    <w:rsid w:val="00795B36"/>
    <w:rsid w:val="00795F5F"/>
    <w:rsid w:val="00796992"/>
    <w:rsid w:val="0079708B"/>
    <w:rsid w:val="007977B0"/>
    <w:rsid w:val="007A0174"/>
    <w:rsid w:val="007A05DB"/>
    <w:rsid w:val="007A0BB2"/>
    <w:rsid w:val="007A0F4A"/>
    <w:rsid w:val="007A0FAD"/>
    <w:rsid w:val="007A113E"/>
    <w:rsid w:val="007A172C"/>
    <w:rsid w:val="007A188B"/>
    <w:rsid w:val="007A1D0C"/>
    <w:rsid w:val="007A1D37"/>
    <w:rsid w:val="007A1FFF"/>
    <w:rsid w:val="007A2A00"/>
    <w:rsid w:val="007A2AAF"/>
    <w:rsid w:val="007A2AF4"/>
    <w:rsid w:val="007A2F3A"/>
    <w:rsid w:val="007A3CDA"/>
    <w:rsid w:val="007A3CFE"/>
    <w:rsid w:val="007A3D9A"/>
    <w:rsid w:val="007A4224"/>
    <w:rsid w:val="007A46D8"/>
    <w:rsid w:val="007A4C5B"/>
    <w:rsid w:val="007A4E62"/>
    <w:rsid w:val="007A4EB0"/>
    <w:rsid w:val="007A5131"/>
    <w:rsid w:val="007A51B8"/>
    <w:rsid w:val="007A5B43"/>
    <w:rsid w:val="007A5B6B"/>
    <w:rsid w:val="007A5CE4"/>
    <w:rsid w:val="007A6023"/>
    <w:rsid w:val="007A6211"/>
    <w:rsid w:val="007A63D0"/>
    <w:rsid w:val="007A65FB"/>
    <w:rsid w:val="007A67AE"/>
    <w:rsid w:val="007A6EF4"/>
    <w:rsid w:val="007A763D"/>
    <w:rsid w:val="007A7E79"/>
    <w:rsid w:val="007B0D60"/>
    <w:rsid w:val="007B0F57"/>
    <w:rsid w:val="007B11B7"/>
    <w:rsid w:val="007B132A"/>
    <w:rsid w:val="007B1660"/>
    <w:rsid w:val="007B167D"/>
    <w:rsid w:val="007B2488"/>
    <w:rsid w:val="007B2618"/>
    <w:rsid w:val="007B29E2"/>
    <w:rsid w:val="007B2C5D"/>
    <w:rsid w:val="007B2EB6"/>
    <w:rsid w:val="007B3257"/>
    <w:rsid w:val="007B35BA"/>
    <w:rsid w:val="007B3BC2"/>
    <w:rsid w:val="007B4019"/>
    <w:rsid w:val="007B4540"/>
    <w:rsid w:val="007B5E6B"/>
    <w:rsid w:val="007B6127"/>
    <w:rsid w:val="007B6246"/>
    <w:rsid w:val="007B6454"/>
    <w:rsid w:val="007B66A0"/>
    <w:rsid w:val="007B69FD"/>
    <w:rsid w:val="007B6C26"/>
    <w:rsid w:val="007B6C39"/>
    <w:rsid w:val="007B6E4E"/>
    <w:rsid w:val="007B71E9"/>
    <w:rsid w:val="007B75A7"/>
    <w:rsid w:val="007B75C8"/>
    <w:rsid w:val="007C030C"/>
    <w:rsid w:val="007C0C75"/>
    <w:rsid w:val="007C10E2"/>
    <w:rsid w:val="007C14CE"/>
    <w:rsid w:val="007C14EA"/>
    <w:rsid w:val="007C1702"/>
    <w:rsid w:val="007C1AE1"/>
    <w:rsid w:val="007C1C11"/>
    <w:rsid w:val="007C2340"/>
    <w:rsid w:val="007C28B9"/>
    <w:rsid w:val="007C29FA"/>
    <w:rsid w:val="007C3696"/>
    <w:rsid w:val="007C3A69"/>
    <w:rsid w:val="007C4029"/>
    <w:rsid w:val="007C41D1"/>
    <w:rsid w:val="007C4286"/>
    <w:rsid w:val="007C48C7"/>
    <w:rsid w:val="007C5549"/>
    <w:rsid w:val="007C564E"/>
    <w:rsid w:val="007C5E2F"/>
    <w:rsid w:val="007C669D"/>
    <w:rsid w:val="007C69D6"/>
    <w:rsid w:val="007C6CFF"/>
    <w:rsid w:val="007C7840"/>
    <w:rsid w:val="007D0079"/>
    <w:rsid w:val="007D04B5"/>
    <w:rsid w:val="007D0888"/>
    <w:rsid w:val="007D0BCB"/>
    <w:rsid w:val="007D0E94"/>
    <w:rsid w:val="007D12E8"/>
    <w:rsid w:val="007D1600"/>
    <w:rsid w:val="007D1DF8"/>
    <w:rsid w:val="007D2CEB"/>
    <w:rsid w:val="007D32BD"/>
    <w:rsid w:val="007D3591"/>
    <w:rsid w:val="007D3EA1"/>
    <w:rsid w:val="007D402C"/>
    <w:rsid w:val="007D49AE"/>
    <w:rsid w:val="007D52A7"/>
    <w:rsid w:val="007D5A1C"/>
    <w:rsid w:val="007D6683"/>
    <w:rsid w:val="007D6803"/>
    <w:rsid w:val="007D6881"/>
    <w:rsid w:val="007D6B27"/>
    <w:rsid w:val="007D6C6B"/>
    <w:rsid w:val="007D6E8B"/>
    <w:rsid w:val="007D783B"/>
    <w:rsid w:val="007D7A98"/>
    <w:rsid w:val="007D7CE0"/>
    <w:rsid w:val="007E018F"/>
    <w:rsid w:val="007E073E"/>
    <w:rsid w:val="007E0B14"/>
    <w:rsid w:val="007E0BF9"/>
    <w:rsid w:val="007E0D7B"/>
    <w:rsid w:val="007E0DC4"/>
    <w:rsid w:val="007E1F81"/>
    <w:rsid w:val="007E26A6"/>
    <w:rsid w:val="007E28C8"/>
    <w:rsid w:val="007E2A77"/>
    <w:rsid w:val="007E2F13"/>
    <w:rsid w:val="007E39FD"/>
    <w:rsid w:val="007E3BAE"/>
    <w:rsid w:val="007E3D53"/>
    <w:rsid w:val="007E3E3B"/>
    <w:rsid w:val="007E3ED1"/>
    <w:rsid w:val="007E4BA4"/>
    <w:rsid w:val="007E516A"/>
    <w:rsid w:val="007E59AE"/>
    <w:rsid w:val="007E5BA9"/>
    <w:rsid w:val="007E5E78"/>
    <w:rsid w:val="007E60E3"/>
    <w:rsid w:val="007E6167"/>
    <w:rsid w:val="007E61EC"/>
    <w:rsid w:val="007E64AA"/>
    <w:rsid w:val="007E67B5"/>
    <w:rsid w:val="007E6B62"/>
    <w:rsid w:val="007E70F9"/>
    <w:rsid w:val="007E713B"/>
    <w:rsid w:val="007E74C5"/>
    <w:rsid w:val="007E753F"/>
    <w:rsid w:val="007E7552"/>
    <w:rsid w:val="007E7603"/>
    <w:rsid w:val="007E7A26"/>
    <w:rsid w:val="007F0689"/>
    <w:rsid w:val="007F07A0"/>
    <w:rsid w:val="007F0E34"/>
    <w:rsid w:val="007F0F40"/>
    <w:rsid w:val="007F0F7B"/>
    <w:rsid w:val="007F0FD5"/>
    <w:rsid w:val="007F1639"/>
    <w:rsid w:val="007F1A86"/>
    <w:rsid w:val="007F2008"/>
    <w:rsid w:val="007F2057"/>
    <w:rsid w:val="007F32C6"/>
    <w:rsid w:val="007F4931"/>
    <w:rsid w:val="007F4958"/>
    <w:rsid w:val="007F5232"/>
    <w:rsid w:val="007F5284"/>
    <w:rsid w:val="007F5D0F"/>
    <w:rsid w:val="007F5FE9"/>
    <w:rsid w:val="007F60F3"/>
    <w:rsid w:val="007F6368"/>
    <w:rsid w:val="007F671B"/>
    <w:rsid w:val="007F6D95"/>
    <w:rsid w:val="007F70CA"/>
    <w:rsid w:val="007F75A7"/>
    <w:rsid w:val="007F7B7F"/>
    <w:rsid w:val="007F7DA6"/>
    <w:rsid w:val="007F7DDB"/>
    <w:rsid w:val="007F7E23"/>
    <w:rsid w:val="00800032"/>
    <w:rsid w:val="008004E9"/>
    <w:rsid w:val="00800980"/>
    <w:rsid w:val="00800D58"/>
    <w:rsid w:val="008011C4"/>
    <w:rsid w:val="00801430"/>
    <w:rsid w:val="00801DB4"/>
    <w:rsid w:val="00801F98"/>
    <w:rsid w:val="008021C7"/>
    <w:rsid w:val="00802740"/>
    <w:rsid w:val="00802AF1"/>
    <w:rsid w:val="00802F59"/>
    <w:rsid w:val="00803168"/>
    <w:rsid w:val="00803245"/>
    <w:rsid w:val="008033DA"/>
    <w:rsid w:val="0080389B"/>
    <w:rsid w:val="008039CA"/>
    <w:rsid w:val="00803A13"/>
    <w:rsid w:val="00803CC8"/>
    <w:rsid w:val="008043DE"/>
    <w:rsid w:val="0080498D"/>
    <w:rsid w:val="00805862"/>
    <w:rsid w:val="0080606A"/>
    <w:rsid w:val="008065F0"/>
    <w:rsid w:val="008066BD"/>
    <w:rsid w:val="0080678B"/>
    <w:rsid w:val="00806E30"/>
    <w:rsid w:val="00806EEB"/>
    <w:rsid w:val="008072F9"/>
    <w:rsid w:val="0080742B"/>
    <w:rsid w:val="0080782A"/>
    <w:rsid w:val="00807C12"/>
    <w:rsid w:val="00807C2F"/>
    <w:rsid w:val="0081048C"/>
    <w:rsid w:val="00810C85"/>
    <w:rsid w:val="00811035"/>
    <w:rsid w:val="008115B6"/>
    <w:rsid w:val="008115FA"/>
    <w:rsid w:val="008123C7"/>
    <w:rsid w:val="0081291A"/>
    <w:rsid w:val="008129C6"/>
    <w:rsid w:val="00812A0B"/>
    <w:rsid w:val="00812B11"/>
    <w:rsid w:val="00812D59"/>
    <w:rsid w:val="00812DEB"/>
    <w:rsid w:val="00812E0A"/>
    <w:rsid w:val="0081352B"/>
    <w:rsid w:val="008139A6"/>
    <w:rsid w:val="008139C6"/>
    <w:rsid w:val="00813EE9"/>
    <w:rsid w:val="00814514"/>
    <w:rsid w:val="0081456E"/>
    <w:rsid w:val="0081456F"/>
    <w:rsid w:val="00815140"/>
    <w:rsid w:val="008151FD"/>
    <w:rsid w:val="00815B23"/>
    <w:rsid w:val="00815B33"/>
    <w:rsid w:val="008163D9"/>
    <w:rsid w:val="008172FC"/>
    <w:rsid w:val="008172FF"/>
    <w:rsid w:val="00817715"/>
    <w:rsid w:val="00817D4D"/>
    <w:rsid w:val="0082085E"/>
    <w:rsid w:val="00820DEE"/>
    <w:rsid w:val="00820EAF"/>
    <w:rsid w:val="00821175"/>
    <w:rsid w:val="00821255"/>
    <w:rsid w:val="00821506"/>
    <w:rsid w:val="0082152F"/>
    <w:rsid w:val="008216B8"/>
    <w:rsid w:val="00821BC2"/>
    <w:rsid w:val="00821D63"/>
    <w:rsid w:val="00821E4F"/>
    <w:rsid w:val="0082243B"/>
    <w:rsid w:val="00822680"/>
    <w:rsid w:val="00822DF4"/>
    <w:rsid w:val="00822FAB"/>
    <w:rsid w:val="008235E3"/>
    <w:rsid w:val="008236BB"/>
    <w:rsid w:val="008237E2"/>
    <w:rsid w:val="00823A6C"/>
    <w:rsid w:val="00824015"/>
    <w:rsid w:val="0082419C"/>
    <w:rsid w:val="00824274"/>
    <w:rsid w:val="00824314"/>
    <w:rsid w:val="008255E4"/>
    <w:rsid w:val="00825A5C"/>
    <w:rsid w:val="0082605B"/>
    <w:rsid w:val="008262BA"/>
    <w:rsid w:val="00826867"/>
    <w:rsid w:val="00826D60"/>
    <w:rsid w:val="0082755E"/>
    <w:rsid w:val="0082773A"/>
    <w:rsid w:val="00827BAD"/>
    <w:rsid w:val="00830171"/>
    <w:rsid w:val="00830476"/>
    <w:rsid w:val="00830639"/>
    <w:rsid w:val="00830891"/>
    <w:rsid w:val="008309C9"/>
    <w:rsid w:val="00830BC7"/>
    <w:rsid w:val="008313B6"/>
    <w:rsid w:val="0083167D"/>
    <w:rsid w:val="00831AFB"/>
    <w:rsid w:val="00831BBE"/>
    <w:rsid w:val="00831D1F"/>
    <w:rsid w:val="008329C8"/>
    <w:rsid w:val="00832AA3"/>
    <w:rsid w:val="008333F4"/>
    <w:rsid w:val="00833491"/>
    <w:rsid w:val="008335E3"/>
    <w:rsid w:val="008336DD"/>
    <w:rsid w:val="0083372F"/>
    <w:rsid w:val="008343EE"/>
    <w:rsid w:val="0083455F"/>
    <w:rsid w:val="00834942"/>
    <w:rsid w:val="00834DCB"/>
    <w:rsid w:val="00834EA8"/>
    <w:rsid w:val="008354F9"/>
    <w:rsid w:val="00835600"/>
    <w:rsid w:val="00835726"/>
    <w:rsid w:val="0083597E"/>
    <w:rsid w:val="008363DA"/>
    <w:rsid w:val="00836673"/>
    <w:rsid w:val="008374BA"/>
    <w:rsid w:val="0083759D"/>
    <w:rsid w:val="00837A13"/>
    <w:rsid w:val="00837F48"/>
    <w:rsid w:val="008401B7"/>
    <w:rsid w:val="00840C01"/>
    <w:rsid w:val="00840C42"/>
    <w:rsid w:val="00840CAB"/>
    <w:rsid w:val="008413F5"/>
    <w:rsid w:val="0084167C"/>
    <w:rsid w:val="00841847"/>
    <w:rsid w:val="0084184C"/>
    <w:rsid w:val="00841951"/>
    <w:rsid w:val="00841B53"/>
    <w:rsid w:val="0084206A"/>
    <w:rsid w:val="008430E8"/>
    <w:rsid w:val="00843388"/>
    <w:rsid w:val="00843C27"/>
    <w:rsid w:val="00844117"/>
    <w:rsid w:val="0084446A"/>
    <w:rsid w:val="008448D5"/>
    <w:rsid w:val="00844C12"/>
    <w:rsid w:val="00844F10"/>
    <w:rsid w:val="00845186"/>
    <w:rsid w:val="00845737"/>
    <w:rsid w:val="00845BBC"/>
    <w:rsid w:val="00845BEE"/>
    <w:rsid w:val="008461CF"/>
    <w:rsid w:val="008476B0"/>
    <w:rsid w:val="00847D76"/>
    <w:rsid w:val="00847EE5"/>
    <w:rsid w:val="00847F2B"/>
    <w:rsid w:val="00850048"/>
    <w:rsid w:val="00850A55"/>
    <w:rsid w:val="00850BE1"/>
    <w:rsid w:val="00850C3E"/>
    <w:rsid w:val="00850D45"/>
    <w:rsid w:val="008511A2"/>
    <w:rsid w:val="008512DE"/>
    <w:rsid w:val="008513D8"/>
    <w:rsid w:val="00851E64"/>
    <w:rsid w:val="00852238"/>
    <w:rsid w:val="00852C25"/>
    <w:rsid w:val="00852D9C"/>
    <w:rsid w:val="00852F99"/>
    <w:rsid w:val="008537A0"/>
    <w:rsid w:val="00853860"/>
    <w:rsid w:val="00854587"/>
    <w:rsid w:val="00855602"/>
    <w:rsid w:val="00855756"/>
    <w:rsid w:val="0085585C"/>
    <w:rsid w:val="00855D43"/>
    <w:rsid w:val="00856116"/>
    <w:rsid w:val="008561D7"/>
    <w:rsid w:val="00856287"/>
    <w:rsid w:val="00856697"/>
    <w:rsid w:val="00856D66"/>
    <w:rsid w:val="008571E5"/>
    <w:rsid w:val="008575A4"/>
    <w:rsid w:val="008575B1"/>
    <w:rsid w:val="00860578"/>
    <w:rsid w:val="008608C3"/>
    <w:rsid w:val="00860B22"/>
    <w:rsid w:val="00861074"/>
    <w:rsid w:val="00861108"/>
    <w:rsid w:val="008611BB"/>
    <w:rsid w:val="00861475"/>
    <w:rsid w:val="00862142"/>
    <w:rsid w:val="00862283"/>
    <w:rsid w:val="008622CD"/>
    <w:rsid w:val="00862DAF"/>
    <w:rsid w:val="00863018"/>
    <w:rsid w:val="008636FC"/>
    <w:rsid w:val="00863DB6"/>
    <w:rsid w:val="00863FD5"/>
    <w:rsid w:val="00864378"/>
    <w:rsid w:val="008646EB"/>
    <w:rsid w:val="00864B85"/>
    <w:rsid w:val="00864E03"/>
    <w:rsid w:val="00865166"/>
    <w:rsid w:val="00866594"/>
    <w:rsid w:val="00866F40"/>
    <w:rsid w:val="008670AB"/>
    <w:rsid w:val="00867FB8"/>
    <w:rsid w:val="0087093D"/>
    <w:rsid w:val="00870DB4"/>
    <w:rsid w:val="00870DF2"/>
    <w:rsid w:val="008710A4"/>
    <w:rsid w:val="00871164"/>
    <w:rsid w:val="00871974"/>
    <w:rsid w:val="00872109"/>
    <w:rsid w:val="008728E6"/>
    <w:rsid w:val="00872D29"/>
    <w:rsid w:val="008735C7"/>
    <w:rsid w:val="008738A1"/>
    <w:rsid w:val="00873BC6"/>
    <w:rsid w:val="00873C35"/>
    <w:rsid w:val="00873C71"/>
    <w:rsid w:val="00873F02"/>
    <w:rsid w:val="0087400D"/>
    <w:rsid w:val="0087415B"/>
    <w:rsid w:val="00874D7E"/>
    <w:rsid w:val="00874FB1"/>
    <w:rsid w:val="0087513F"/>
    <w:rsid w:val="008752AD"/>
    <w:rsid w:val="008753DC"/>
    <w:rsid w:val="008754AF"/>
    <w:rsid w:val="008756D6"/>
    <w:rsid w:val="0087619E"/>
    <w:rsid w:val="00876343"/>
    <w:rsid w:val="008763CC"/>
    <w:rsid w:val="00876F09"/>
    <w:rsid w:val="008771F4"/>
    <w:rsid w:val="00877EEE"/>
    <w:rsid w:val="00880116"/>
    <w:rsid w:val="00880902"/>
    <w:rsid w:val="00880BE5"/>
    <w:rsid w:val="00880F36"/>
    <w:rsid w:val="00881C91"/>
    <w:rsid w:val="00881E3C"/>
    <w:rsid w:val="00881F13"/>
    <w:rsid w:val="00882232"/>
    <w:rsid w:val="008823FB"/>
    <w:rsid w:val="008835EA"/>
    <w:rsid w:val="0088365D"/>
    <w:rsid w:val="00883C4B"/>
    <w:rsid w:val="008849E2"/>
    <w:rsid w:val="0088509D"/>
    <w:rsid w:val="0088554D"/>
    <w:rsid w:val="008856A8"/>
    <w:rsid w:val="008857B4"/>
    <w:rsid w:val="008861D1"/>
    <w:rsid w:val="00886936"/>
    <w:rsid w:val="00887023"/>
    <w:rsid w:val="0088740E"/>
    <w:rsid w:val="00887BDF"/>
    <w:rsid w:val="00890343"/>
    <w:rsid w:val="00890482"/>
    <w:rsid w:val="0089051C"/>
    <w:rsid w:val="00890C3D"/>
    <w:rsid w:val="00890F03"/>
    <w:rsid w:val="00891064"/>
    <w:rsid w:val="00891C3E"/>
    <w:rsid w:val="00891C57"/>
    <w:rsid w:val="00892118"/>
    <w:rsid w:val="00892448"/>
    <w:rsid w:val="00892A4E"/>
    <w:rsid w:val="008938AC"/>
    <w:rsid w:val="0089397B"/>
    <w:rsid w:val="00893F50"/>
    <w:rsid w:val="00894102"/>
    <w:rsid w:val="00894155"/>
    <w:rsid w:val="0089429C"/>
    <w:rsid w:val="0089432D"/>
    <w:rsid w:val="0089457D"/>
    <w:rsid w:val="00894666"/>
    <w:rsid w:val="00894A27"/>
    <w:rsid w:val="00894EAF"/>
    <w:rsid w:val="00895059"/>
    <w:rsid w:val="00895C7D"/>
    <w:rsid w:val="00895E48"/>
    <w:rsid w:val="00895F98"/>
    <w:rsid w:val="0089613B"/>
    <w:rsid w:val="00896322"/>
    <w:rsid w:val="008964A4"/>
    <w:rsid w:val="0089664B"/>
    <w:rsid w:val="008966BE"/>
    <w:rsid w:val="00896999"/>
    <w:rsid w:val="00896A4C"/>
    <w:rsid w:val="00896EBA"/>
    <w:rsid w:val="00897469"/>
    <w:rsid w:val="008974A4"/>
    <w:rsid w:val="0089797F"/>
    <w:rsid w:val="008A0484"/>
    <w:rsid w:val="008A07F5"/>
    <w:rsid w:val="008A0A08"/>
    <w:rsid w:val="008A0D54"/>
    <w:rsid w:val="008A10B4"/>
    <w:rsid w:val="008A10D5"/>
    <w:rsid w:val="008A10E5"/>
    <w:rsid w:val="008A1400"/>
    <w:rsid w:val="008A1432"/>
    <w:rsid w:val="008A147B"/>
    <w:rsid w:val="008A16F4"/>
    <w:rsid w:val="008A16F6"/>
    <w:rsid w:val="008A1EA0"/>
    <w:rsid w:val="008A23C9"/>
    <w:rsid w:val="008A2C59"/>
    <w:rsid w:val="008A31D8"/>
    <w:rsid w:val="008A39F8"/>
    <w:rsid w:val="008A4073"/>
    <w:rsid w:val="008A4968"/>
    <w:rsid w:val="008A4A9F"/>
    <w:rsid w:val="008A4F93"/>
    <w:rsid w:val="008A5500"/>
    <w:rsid w:val="008A591A"/>
    <w:rsid w:val="008A6284"/>
    <w:rsid w:val="008A62B7"/>
    <w:rsid w:val="008A63A6"/>
    <w:rsid w:val="008A682F"/>
    <w:rsid w:val="008A6B5D"/>
    <w:rsid w:val="008A6DE9"/>
    <w:rsid w:val="008A7353"/>
    <w:rsid w:val="008A736B"/>
    <w:rsid w:val="008B0217"/>
    <w:rsid w:val="008B0281"/>
    <w:rsid w:val="008B0B3A"/>
    <w:rsid w:val="008B10B1"/>
    <w:rsid w:val="008B1504"/>
    <w:rsid w:val="008B1AF5"/>
    <w:rsid w:val="008B2301"/>
    <w:rsid w:val="008B27BB"/>
    <w:rsid w:val="008B3012"/>
    <w:rsid w:val="008B306C"/>
    <w:rsid w:val="008B32A9"/>
    <w:rsid w:val="008B3FB9"/>
    <w:rsid w:val="008B4AB1"/>
    <w:rsid w:val="008B52E1"/>
    <w:rsid w:val="008B5B0C"/>
    <w:rsid w:val="008B5B72"/>
    <w:rsid w:val="008B619B"/>
    <w:rsid w:val="008B704E"/>
    <w:rsid w:val="008B78C5"/>
    <w:rsid w:val="008B7B50"/>
    <w:rsid w:val="008B7D14"/>
    <w:rsid w:val="008B7DAD"/>
    <w:rsid w:val="008C0083"/>
    <w:rsid w:val="008C043C"/>
    <w:rsid w:val="008C065E"/>
    <w:rsid w:val="008C0AB7"/>
    <w:rsid w:val="008C128B"/>
    <w:rsid w:val="008C17CE"/>
    <w:rsid w:val="008C17D4"/>
    <w:rsid w:val="008C19A4"/>
    <w:rsid w:val="008C2242"/>
    <w:rsid w:val="008C240E"/>
    <w:rsid w:val="008C28B5"/>
    <w:rsid w:val="008C2DF2"/>
    <w:rsid w:val="008C2EDB"/>
    <w:rsid w:val="008C349C"/>
    <w:rsid w:val="008C353B"/>
    <w:rsid w:val="008C402A"/>
    <w:rsid w:val="008C47A0"/>
    <w:rsid w:val="008C4B9C"/>
    <w:rsid w:val="008C4D25"/>
    <w:rsid w:val="008C4E49"/>
    <w:rsid w:val="008C4FF2"/>
    <w:rsid w:val="008C5195"/>
    <w:rsid w:val="008C560F"/>
    <w:rsid w:val="008C5E66"/>
    <w:rsid w:val="008C601A"/>
    <w:rsid w:val="008C649E"/>
    <w:rsid w:val="008C6625"/>
    <w:rsid w:val="008C6870"/>
    <w:rsid w:val="008C6BC2"/>
    <w:rsid w:val="008C6C9A"/>
    <w:rsid w:val="008C701E"/>
    <w:rsid w:val="008C7182"/>
    <w:rsid w:val="008C75B8"/>
    <w:rsid w:val="008C77E9"/>
    <w:rsid w:val="008C79A1"/>
    <w:rsid w:val="008C7A75"/>
    <w:rsid w:val="008C7E2C"/>
    <w:rsid w:val="008D02B7"/>
    <w:rsid w:val="008D0691"/>
    <w:rsid w:val="008D1053"/>
    <w:rsid w:val="008D14AA"/>
    <w:rsid w:val="008D1876"/>
    <w:rsid w:val="008D1939"/>
    <w:rsid w:val="008D1995"/>
    <w:rsid w:val="008D1B64"/>
    <w:rsid w:val="008D1F2D"/>
    <w:rsid w:val="008D215E"/>
    <w:rsid w:val="008D3552"/>
    <w:rsid w:val="008D3673"/>
    <w:rsid w:val="008D3848"/>
    <w:rsid w:val="008D3892"/>
    <w:rsid w:val="008D3D80"/>
    <w:rsid w:val="008D4162"/>
    <w:rsid w:val="008D47DA"/>
    <w:rsid w:val="008D4E54"/>
    <w:rsid w:val="008D56FF"/>
    <w:rsid w:val="008D5743"/>
    <w:rsid w:val="008D6ED1"/>
    <w:rsid w:val="008D71AF"/>
    <w:rsid w:val="008D726C"/>
    <w:rsid w:val="008D7381"/>
    <w:rsid w:val="008D74EB"/>
    <w:rsid w:val="008D755B"/>
    <w:rsid w:val="008D7595"/>
    <w:rsid w:val="008D76EA"/>
    <w:rsid w:val="008D7AEB"/>
    <w:rsid w:val="008D7F91"/>
    <w:rsid w:val="008E084D"/>
    <w:rsid w:val="008E094C"/>
    <w:rsid w:val="008E19A2"/>
    <w:rsid w:val="008E19FE"/>
    <w:rsid w:val="008E1AA7"/>
    <w:rsid w:val="008E2EBE"/>
    <w:rsid w:val="008E2ECE"/>
    <w:rsid w:val="008E3DE7"/>
    <w:rsid w:val="008E3EA4"/>
    <w:rsid w:val="008E43B7"/>
    <w:rsid w:val="008E4D44"/>
    <w:rsid w:val="008E51AF"/>
    <w:rsid w:val="008E548A"/>
    <w:rsid w:val="008E5793"/>
    <w:rsid w:val="008E63E2"/>
    <w:rsid w:val="008E6C25"/>
    <w:rsid w:val="008E6D72"/>
    <w:rsid w:val="008E74A2"/>
    <w:rsid w:val="008E78B5"/>
    <w:rsid w:val="008E7DCB"/>
    <w:rsid w:val="008F00FD"/>
    <w:rsid w:val="008F0991"/>
    <w:rsid w:val="008F0A0A"/>
    <w:rsid w:val="008F117D"/>
    <w:rsid w:val="008F12FC"/>
    <w:rsid w:val="008F14AE"/>
    <w:rsid w:val="008F21F4"/>
    <w:rsid w:val="008F226A"/>
    <w:rsid w:val="008F2594"/>
    <w:rsid w:val="008F26B5"/>
    <w:rsid w:val="008F28DC"/>
    <w:rsid w:val="008F2B79"/>
    <w:rsid w:val="008F43F9"/>
    <w:rsid w:val="008F459A"/>
    <w:rsid w:val="008F46DC"/>
    <w:rsid w:val="008F4B82"/>
    <w:rsid w:val="008F5D6E"/>
    <w:rsid w:val="008F757E"/>
    <w:rsid w:val="008F7716"/>
    <w:rsid w:val="008F7ACA"/>
    <w:rsid w:val="00900167"/>
    <w:rsid w:val="0090042F"/>
    <w:rsid w:val="00900572"/>
    <w:rsid w:val="009009FA"/>
    <w:rsid w:val="00900CBD"/>
    <w:rsid w:val="00901128"/>
    <w:rsid w:val="0090163E"/>
    <w:rsid w:val="00901667"/>
    <w:rsid w:val="00901E32"/>
    <w:rsid w:val="0090201C"/>
    <w:rsid w:val="0090297A"/>
    <w:rsid w:val="00903AC3"/>
    <w:rsid w:val="00903E93"/>
    <w:rsid w:val="0090412E"/>
    <w:rsid w:val="0090441E"/>
    <w:rsid w:val="00904536"/>
    <w:rsid w:val="00904676"/>
    <w:rsid w:val="0090478A"/>
    <w:rsid w:val="0090573E"/>
    <w:rsid w:val="00905CFD"/>
    <w:rsid w:val="00906264"/>
    <w:rsid w:val="00906314"/>
    <w:rsid w:val="009063A1"/>
    <w:rsid w:val="00906538"/>
    <w:rsid w:val="0090693B"/>
    <w:rsid w:val="0090734C"/>
    <w:rsid w:val="009102A7"/>
    <w:rsid w:val="009105A9"/>
    <w:rsid w:val="00910AFA"/>
    <w:rsid w:val="00910F8E"/>
    <w:rsid w:val="00911D86"/>
    <w:rsid w:val="009120FA"/>
    <w:rsid w:val="009121CF"/>
    <w:rsid w:val="00912AA4"/>
    <w:rsid w:val="009135DB"/>
    <w:rsid w:val="009136BA"/>
    <w:rsid w:val="00913AD2"/>
    <w:rsid w:val="00913BD5"/>
    <w:rsid w:val="00913D88"/>
    <w:rsid w:val="009143CD"/>
    <w:rsid w:val="009144B5"/>
    <w:rsid w:val="009146F6"/>
    <w:rsid w:val="00914768"/>
    <w:rsid w:val="0091477F"/>
    <w:rsid w:val="0091494A"/>
    <w:rsid w:val="0091552B"/>
    <w:rsid w:val="00915863"/>
    <w:rsid w:val="009166AF"/>
    <w:rsid w:val="009168D5"/>
    <w:rsid w:val="00916ED7"/>
    <w:rsid w:val="00917AB3"/>
    <w:rsid w:val="00917FA7"/>
    <w:rsid w:val="00920630"/>
    <w:rsid w:val="00920DB3"/>
    <w:rsid w:val="009214B9"/>
    <w:rsid w:val="00921941"/>
    <w:rsid w:val="009221EF"/>
    <w:rsid w:val="0092232D"/>
    <w:rsid w:val="00922859"/>
    <w:rsid w:val="009233F8"/>
    <w:rsid w:val="009258D2"/>
    <w:rsid w:val="00925985"/>
    <w:rsid w:val="00926027"/>
    <w:rsid w:val="009262C7"/>
    <w:rsid w:val="0092639F"/>
    <w:rsid w:val="00926490"/>
    <w:rsid w:val="00926E69"/>
    <w:rsid w:val="00926F09"/>
    <w:rsid w:val="0092708B"/>
    <w:rsid w:val="00927ABC"/>
    <w:rsid w:val="00927B31"/>
    <w:rsid w:val="00927C42"/>
    <w:rsid w:val="00927DE0"/>
    <w:rsid w:val="00927F33"/>
    <w:rsid w:val="00930A6D"/>
    <w:rsid w:val="00930EF7"/>
    <w:rsid w:val="009313FC"/>
    <w:rsid w:val="0093159C"/>
    <w:rsid w:val="009317B8"/>
    <w:rsid w:val="00931F77"/>
    <w:rsid w:val="0093216D"/>
    <w:rsid w:val="009327C7"/>
    <w:rsid w:val="009328C8"/>
    <w:rsid w:val="00932BFB"/>
    <w:rsid w:val="00932EC5"/>
    <w:rsid w:val="00932FDF"/>
    <w:rsid w:val="00933381"/>
    <w:rsid w:val="00933B12"/>
    <w:rsid w:val="00935539"/>
    <w:rsid w:val="009356B9"/>
    <w:rsid w:val="009360D6"/>
    <w:rsid w:val="009362C6"/>
    <w:rsid w:val="00936510"/>
    <w:rsid w:val="0093729F"/>
    <w:rsid w:val="0093760D"/>
    <w:rsid w:val="00937CF5"/>
    <w:rsid w:val="00940485"/>
    <w:rsid w:val="00940CC8"/>
    <w:rsid w:val="00940E49"/>
    <w:rsid w:val="00940FFC"/>
    <w:rsid w:val="00941336"/>
    <w:rsid w:val="0094166D"/>
    <w:rsid w:val="009418DD"/>
    <w:rsid w:val="00942603"/>
    <w:rsid w:val="00943C22"/>
    <w:rsid w:val="00944299"/>
    <w:rsid w:val="00944EB2"/>
    <w:rsid w:val="0094503D"/>
    <w:rsid w:val="009452D4"/>
    <w:rsid w:val="00945448"/>
    <w:rsid w:val="0094558C"/>
    <w:rsid w:val="009457CF"/>
    <w:rsid w:val="00945A42"/>
    <w:rsid w:val="00945E5E"/>
    <w:rsid w:val="00945E92"/>
    <w:rsid w:val="009465AC"/>
    <w:rsid w:val="009466EE"/>
    <w:rsid w:val="0094699E"/>
    <w:rsid w:val="00946AC9"/>
    <w:rsid w:val="00946E5E"/>
    <w:rsid w:val="00947866"/>
    <w:rsid w:val="009478B8"/>
    <w:rsid w:val="00947D33"/>
    <w:rsid w:val="00947E89"/>
    <w:rsid w:val="00950459"/>
    <w:rsid w:val="009505B6"/>
    <w:rsid w:val="0095070D"/>
    <w:rsid w:val="00950973"/>
    <w:rsid w:val="00950CCB"/>
    <w:rsid w:val="00951282"/>
    <w:rsid w:val="00952577"/>
    <w:rsid w:val="00952856"/>
    <w:rsid w:val="009529D6"/>
    <w:rsid w:val="009530DE"/>
    <w:rsid w:val="0095345B"/>
    <w:rsid w:val="009546F6"/>
    <w:rsid w:val="00954D98"/>
    <w:rsid w:val="009558E7"/>
    <w:rsid w:val="00955CCB"/>
    <w:rsid w:val="00956279"/>
    <w:rsid w:val="00956524"/>
    <w:rsid w:val="00956B50"/>
    <w:rsid w:val="00956BDC"/>
    <w:rsid w:val="00956DC6"/>
    <w:rsid w:val="009575E1"/>
    <w:rsid w:val="00957BBE"/>
    <w:rsid w:val="00960904"/>
    <w:rsid w:val="00960BC7"/>
    <w:rsid w:val="0096110E"/>
    <w:rsid w:val="00962043"/>
    <w:rsid w:val="00962129"/>
    <w:rsid w:val="0096226D"/>
    <w:rsid w:val="009624D9"/>
    <w:rsid w:val="00962E59"/>
    <w:rsid w:val="009632C9"/>
    <w:rsid w:val="00963AB8"/>
    <w:rsid w:val="00964125"/>
    <w:rsid w:val="00964625"/>
    <w:rsid w:val="00964C19"/>
    <w:rsid w:val="00965451"/>
    <w:rsid w:val="009657AF"/>
    <w:rsid w:val="00965818"/>
    <w:rsid w:val="00965846"/>
    <w:rsid w:val="00965912"/>
    <w:rsid w:val="0096613D"/>
    <w:rsid w:val="00966271"/>
    <w:rsid w:val="009666FC"/>
    <w:rsid w:val="009667EE"/>
    <w:rsid w:val="00966A42"/>
    <w:rsid w:val="00966C31"/>
    <w:rsid w:val="00966E4A"/>
    <w:rsid w:val="00967813"/>
    <w:rsid w:val="00967F60"/>
    <w:rsid w:val="0097022B"/>
    <w:rsid w:val="009717B7"/>
    <w:rsid w:val="009718AB"/>
    <w:rsid w:val="00971B41"/>
    <w:rsid w:val="00971F96"/>
    <w:rsid w:val="00972270"/>
    <w:rsid w:val="00972BF5"/>
    <w:rsid w:val="00972DA5"/>
    <w:rsid w:val="00972EB6"/>
    <w:rsid w:val="0097316B"/>
    <w:rsid w:val="0097328D"/>
    <w:rsid w:val="0097354A"/>
    <w:rsid w:val="00973C42"/>
    <w:rsid w:val="00973C51"/>
    <w:rsid w:val="00974697"/>
    <w:rsid w:val="00974EF5"/>
    <w:rsid w:val="00974FAA"/>
    <w:rsid w:val="0097516B"/>
    <w:rsid w:val="00975477"/>
    <w:rsid w:val="00975972"/>
    <w:rsid w:val="00975E73"/>
    <w:rsid w:val="00976228"/>
    <w:rsid w:val="00976395"/>
    <w:rsid w:val="00976763"/>
    <w:rsid w:val="00976986"/>
    <w:rsid w:val="00976EB4"/>
    <w:rsid w:val="00977184"/>
    <w:rsid w:val="0097718F"/>
    <w:rsid w:val="0097768D"/>
    <w:rsid w:val="009802C8"/>
    <w:rsid w:val="009802C9"/>
    <w:rsid w:val="00980546"/>
    <w:rsid w:val="00981833"/>
    <w:rsid w:val="00981C66"/>
    <w:rsid w:val="00981CEB"/>
    <w:rsid w:val="00982D7D"/>
    <w:rsid w:val="00983022"/>
    <w:rsid w:val="00983062"/>
    <w:rsid w:val="009833D9"/>
    <w:rsid w:val="009837B0"/>
    <w:rsid w:val="009837F6"/>
    <w:rsid w:val="009845AD"/>
    <w:rsid w:val="009849EF"/>
    <w:rsid w:val="00984E04"/>
    <w:rsid w:val="009857FA"/>
    <w:rsid w:val="00985A7F"/>
    <w:rsid w:val="00985ABF"/>
    <w:rsid w:val="00985E02"/>
    <w:rsid w:val="00985E0C"/>
    <w:rsid w:val="00986418"/>
    <w:rsid w:val="00986497"/>
    <w:rsid w:val="00986B49"/>
    <w:rsid w:val="009872B4"/>
    <w:rsid w:val="009872C3"/>
    <w:rsid w:val="009874D9"/>
    <w:rsid w:val="009879B0"/>
    <w:rsid w:val="0099047C"/>
    <w:rsid w:val="00990A3F"/>
    <w:rsid w:val="00990A9F"/>
    <w:rsid w:val="009911D9"/>
    <w:rsid w:val="0099123F"/>
    <w:rsid w:val="0099162C"/>
    <w:rsid w:val="00991685"/>
    <w:rsid w:val="009927FA"/>
    <w:rsid w:val="009930CB"/>
    <w:rsid w:val="0099336C"/>
    <w:rsid w:val="009937E5"/>
    <w:rsid w:val="009937EA"/>
    <w:rsid w:val="0099385A"/>
    <w:rsid w:val="00993BBF"/>
    <w:rsid w:val="00993E3A"/>
    <w:rsid w:val="009946E5"/>
    <w:rsid w:val="00995034"/>
    <w:rsid w:val="009957F5"/>
    <w:rsid w:val="00996069"/>
    <w:rsid w:val="009967F2"/>
    <w:rsid w:val="0099690D"/>
    <w:rsid w:val="00996970"/>
    <w:rsid w:val="00996BD5"/>
    <w:rsid w:val="009974F8"/>
    <w:rsid w:val="00997790"/>
    <w:rsid w:val="00997A34"/>
    <w:rsid w:val="00997A5F"/>
    <w:rsid w:val="009A0033"/>
    <w:rsid w:val="009A0349"/>
    <w:rsid w:val="009A06F8"/>
    <w:rsid w:val="009A19B2"/>
    <w:rsid w:val="009A19C6"/>
    <w:rsid w:val="009A1CEC"/>
    <w:rsid w:val="009A2049"/>
    <w:rsid w:val="009A22B4"/>
    <w:rsid w:val="009A2A39"/>
    <w:rsid w:val="009A31B5"/>
    <w:rsid w:val="009A3EAB"/>
    <w:rsid w:val="009A406C"/>
    <w:rsid w:val="009A48B9"/>
    <w:rsid w:val="009A4B4E"/>
    <w:rsid w:val="009A565D"/>
    <w:rsid w:val="009A5964"/>
    <w:rsid w:val="009A66D0"/>
    <w:rsid w:val="009A6B3D"/>
    <w:rsid w:val="009A6BF2"/>
    <w:rsid w:val="009A79D5"/>
    <w:rsid w:val="009B001A"/>
    <w:rsid w:val="009B01FC"/>
    <w:rsid w:val="009B0A43"/>
    <w:rsid w:val="009B0E7C"/>
    <w:rsid w:val="009B1502"/>
    <w:rsid w:val="009B19F9"/>
    <w:rsid w:val="009B1BFE"/>
    <w:rsid w:val="009B22BF"/>
    <w:rsid w:val="009B246A"/>
    <w:rsid w:val="009B3873"/>
    <w:rsid w:val="009B3D4B"/>
    <w:rsid w:val="009B3F50"/>
    <w:rsid w:val="009B3FBC"/>
    <w:rsid w:val="009B44F7"/>
    <w:rsid w:val="009B4CE9"/>
    <w:rsid w:val="009B4D30"/>
    <w:rsid w:val="009B5732"/>
    <w:rsid w:val="009B5AFA"/>
    <w:rsid w:val="009B5F82"/>
    <w:rsid w:val="009B6054"/>
    <w:rsid w:val="009B6146"/>
    <w:rsid w:val="009B6BC8"/>
    <w:rsid w:val="009B6C4F"/>
    <w:rsid w:val="009B7367"/>
    <w:rsid w:val="009B7440"/>
    <w:rsid w:val="009B761D"/>
    <w:rsid w:val="009B7968"/>
    <w:rsid w:val="009B7C0A"/>
    <w:rsid w:val="009B7C63"/>
    <w:rsid w:val="009C02DB"/>
    <w:rsid w:val="009C0AEA"/>
    <w:rsid w:val="009C0CB7"/>
    <w:rsid w:val="009C0FF3"/>
    <w:rsid w:val="009C157E"/>
    <w:rsid w:val="009C18FA"/>
    <w:rsid w:val="009C1A1F"/>
    <w:rsid w:val="009C1AEC"/>
    <w:rsid w:val="009C1CA8"/>
    <w:rsid w:val="009C2084"/>
    <w:rsid w:val="009C22DA"/>
    <w:rsid w:val="009C2500"/>
    <w:rsid w:val="009C2F22"/>
    <w:rsid w:val="009C3071"/>
    <w:rsid w:val="009C30AF"/>
    <w:rsid w:val="009C35AB"/>
    <w:rsid w:val="009C36C1"/>
    <w:rsid w:val="009C37ED"/>
    <w:rsid w:val="009C3C1A"/>
    <w:rsid w:val="009C4DFA"/>
    <w:rsid w:val="009C5C21"/>
    <w:rsid w:val="009C6892"/>
    <w:rsid w:val="009C6B7E"/>
    <w:rsid w:val="009D014A"/>
    <w:rsid w:val="009D01E6"/>
    <w:rsid w:val="009D10AB"/>
    <w:rsid w:val="009D1608"/>
    <w:rsid w:val="009D1624"/>
    <w:rsid w:val="009D1869"/>
    <w:rsid w:val="009D1EFC"/>
    <w:rsid w:val="009D2323"/>
    <w:rsid w:val="009D32E9"/>
    <w:rsid w:val="009D38B6"/>
    <w:rsid w:val="009D3D5C"/>
    <w:rsid w:val="009D3DF3"/>
    <w:rsid w:val="009D3EA2"/>
    <w:rsid w:val="009D3F76"/>
    <w:rsid w:val="009D5581"/>
    <w:rsid w:val="009D5A0C"/>
    <w:rsid w:val="009D5AE1"/>
    <w:rsid w:val="009D6447"/>
    <w:rsid w:val="009D6848"/>
    <w:rsid w:val="009D6AD9"/>
    <w:rsid w:val="009D7453"/>
    <w:rsid w:val="009E01D6"/>
    <w:rsid w:val="009E0502"/>
    <w:rsid w:val="009E096D"/>
    <w:rsid w:val="009E0EA2"/>
    <w:rsid w:val="009E1041"/>
    <w:rsid w:val="009E1197"/>
    <w:rsid w:val="009E1305"/>
    <w:rsid w:val="009E163C"/>
    <w:rsid w:val="009E1882"/>
    <w:rsid w:val="009E1914"/>
    <w:rsid w:val="009E1A25"/>
    <w:rsid w:val="009E1DC4"/>
    <w:rsid w:val="009E1E44"/>
    <w:rsid w:val="009E214D"/>
    <w:rsid w:val="009E23D9"/>
    <w:rsid w:val="009E28EC"/>
    <w:rsid w:val="009E2A9A"/>
    <w:rsid w:val="009E3C3C"/>
    <w:rsid w:val="009E3D61"/>
    <w:rsid w:val="009E3D97"/>
    <w:rsid w:val="009E3FA3"/>
    <w:rsid w:val="009E40C7"/>
    <w:rsid w:val="009E4190"/>
    <w:rsid w:val="009E4202"/>
    <w:rsid w:val="009E466A"/>
    <w:rsid w:val="009E4841"/>
    <w:rsid w:val="009E569F"/>
    <w:rsid w:val="009E5EC4"/>
    <w:rsid w:val="009E6E01"/>
    <w:rsid w:val="009E745F"/>
    <w:rsid w:val="009E7983"/>
    <w:rsid w:val="009F1257"/>
    <w:rsid w:val="009F2489"/>
    <w:rsid w:val="009F24B2"/>
    <w:rsid w:val="009F252A"/>
    <w:rsid w:val="009F2D0A"/>
    <w:rsid w:val="009F2E31"/>
    <w:rsid w:val="009F33CA"/>
    <w:rsid w:val="009F367D"/>
    <w:rsid w:val="009F3F1F"/>
    <w:rsid w:val="009F4EB3"/>
    <w:rsid w:val="009F4FB3"/>
    <w:rsid w:val="009F5121"/>
    <w:rsid w:val="009F6BAE"/>
    <w:rsid w:val="009F71D1"/>
    <w:rsid w:val="009F7DA6"/>
    <w:rsid w:val="00A001A2"/>
    <w:rsid w:val="00A00868"/>
    <w:rsid w:val="00A00BA7"/>
    <w:rsid w:val="00A00DD6"/>
    <w:rsid w:val="00A011C6"/>
    <w:rsid w:val="00A01694"/>
    <w:rsid w:val="00A017BA"/>
    <w:rsid w:val="00A01EFD"/>
    <w:rsid w:val="00A026DF"/>
    <w:rsid w:val="00A02922"/>
    <w:rsid w:val="00A02FC1"/>
    <w:rsid w:val="00A032BC"/>
    <w:rsid w:val="00A03A5F"/>
    <w:rsid w:val="00A03CDB"/>
    <w:rsid w:val="00A04100"/>
    <w:rsid w:val="00A044AD"/>
    <w:rsid w:val="00A047B1"/>
    <w:rsid w:val="00A04BBD"/>
    <w:rsid w:val="00A04DA7"/>
    <w:rsid w:val="00A04F03"/>
    <w:rsid w:val="00A05149"/>
    <w:rsid w:val="00A05289"/>
    <w:rsid w:val="00A056FC"/>
    <w:rsid w:val="00A05759"/>
    <w:rsid w:val="00A05897"/>
    <w:rsid w:val="00A05B95"/>
    <w:rsid w:val="00A05F31"/>
    <w:rsid w:val="00A063DA"/>
    <w:rsid w:val="00A066DE"/>
    <w:rsid w:val="00A0689F"/>
    <w:rsid w:val="00A07199"/>
    <w:rsid w:val="00A07525"/>
    <w:rsid w:val="00A075C8"/>
    <w:rsid w:val="00A0761A"/>
    <w:rsid w:val="00A07836"/>
    <w:rsid w:val="00A106FD"/>
    <w:rsid w:val="00A10801"/>
    <w:rsid w:val="00A10B65"/>
    <w:rsid w:val="00A112BC"/>
    <w:rsid w:val="00A11336"/>
    <w:rsid w:val="00A117E3"/>
    <w:rsid w:val="00A11872"/>
    <w:rsid w:val="00A11EBD"/>
    <w:rsid w:val="00A11EF1"/>
    <w:rsid w:val="00A12008"/>
    <w:rsid w:val="00A12077"/>
    <w:rsid w:val="00A12B8C"/>
    <w:rsid w:val="00A12DC5"/>
    <w:rsid w:val="00A12EC1"/>
    <w:rsid w:val="00A137F9"/>
    <w:rsid w:val="00A139A1"/>
    <w:rsid w:val="00A139D6"/>
    <w:rsid w:val="00A13A9F"/>
    <w:rsid w:val="00A141E5"/>
    <w:rsid w:val="00A14406"/>
    <w:rsid w:val="00A14A5F"/>
    <w:rsid w:val="00A14C96"/>
    <w:rsid w:val="00A14F4F"/>
    <w:rsid w:val="00A14FEA"/>
    <w:rsid w:val="00A1529C"/>
    <w:rsid w:val="00A15581"/>
    <w:rsid w:val="00A1589F"/>
    <w:rsid w:val="00A1593F"/>
    <w:rsid w:val="00A15B57"/>
    <w:rsid w:val="00A1633B"/>
    <w:rsid w:val="00A16890"/>
    <w:rsid w:val="00A16EAD"/>
    <w:rsid w:val="00A16F06"/>
    <w:rsid w:val="00A17325"/>
    <w:rsid w:val="00A20310"/>
    <w:rsid w:val="00A217A1"/>
    <w:rsid w:val="00A21C15"/>
    <w:rsid w:val="00A21F92"/>
    <w:rsid w:val="00A22322"/>
    <w:rsid w:val="00A22FE4"/>
    <w:rsid w:val="00A238AB"/>
    <w:rsid w:val="00A238D2"/>
    <w:rsid w:val="00A23BC8"/>
    <w:rsid w:val="00A244BE"/>
    <w:rsid w:val="00A246E4"/>
    <w:rsid w:val="00A2536F"/>
    <w:rsid w:val="00A25C24"/>
    <w:rsid w:val="00A25DAE"/>
    <w:rsid w:val="00A2614A"/>
    <w:rsid w:val="00A263F4"/>
    <w:rsid w:val="00A26AF6"/>
    <w:rsid w:val="00A26BBD"/>
    <w:rsid w:val="00A27067"/>
    <w:rsid w:val="00A2706F"/>
    <w:rsid w:val="00A27710"/>
    <w:rsid w:val="00A27CF4"/>
    <w:rsid w:val="00A30022"/>
    <w:rsid w:val="00A300C7"/>
    <w:rsid w:val="00A30318"/>
    <w:rsid w:val="00A30552"/>
    <w:rsid w:val="00A308C5"/>
    <w:rsid w:val="00A30C92"/>
    <w:rsid w:val="00A30DAD"/>
    <w:rsid w:val="00A30DB3"/>
    <w:rsid w:val="00A31206"/>
    <w:rsid w:val="00A31447"/>
    <w:rsid w:val="00A3170F"/>
    <w:rsid w:val="00A31E92"/>
    <w:rsid w:val="00A31ED5"/>
    <w:rsid w:val="00A31F95"/>
    <w:rsid w:val="00A3209D"/>
    <w:rsid w:val="00A3219C"/>
    <w:rsid w:val="00A321BA"/>
    <w:rsid w:val="00A321F0"/>
    <w:rsid w:val="00A323E1"/>
    <w:rsid w:val="00A32415"/>
    <w:rsid w:val="00A324BF"/>
    <w:rsid w:val="00A3270C"/>
    <w:rsid w:val="00A32D27"/>
    <w:rsid w:val="00A33826"/>
    <w:rsid w:val="00A3392D"/>
    <w:rsid w:val="00A344A6"/>
    <w:rsid w:val="00A345B9"/>
    <w:rsid w:val="00A356A5"/>
    <w:rsid w:val="00A35E0D"/>
    <w:rsid w:val="00A36087"/>
    <w:rsid w:val="00A36582"/>
    <w:rsid w:val="00A36DE8"/>
    <w:rsid w:val="00A3733E"/>
    <w:rsid w:val="00A37343"/>
    <w:rsid w:val="00A379A6"/>
    <w:rsid w:val="00A403E9"/>
    <w:rsid w:val="00A406DC"/>
    <w:rsid w:val="00A408E0"/>
    <w:rsid w:val="00A40C45"/>
    <w:rsid w:val="00A40D13"/>
    <w:rsid w:val="00A41119"/>
    <w:rsid w:val="00A429A4"/>
    <w:rsid w:val="00A4347E"/>
    <w:rsid w:val="00A4381E"/>
    <w:rsid w:val="00A43F79"/>
    <w:rsid w:val="00A43FFA"/>
    <w:rsid w:val="00A440C2"/>
    <w:rsid w:val="00A45547"/>
    <w:rsid w:val="00A45579"/>
    <w:rsid w:val="00A45CC6"/>
    <w:rsid w:val="00A45FB0"/>
    <w:rsid w:val="00A4630E"/>
    <w:rsid w:val="00A464F9"/>
    <w:rsid w:val="00A47256"/>
    <w:rsid w:val="00A477D8"/>
    <w:rsid w:val="00A47B08"/>
    <w:rsid w:val="00A47DE3"/>
    <w:rsid w:val="00A47E42"/>
    <w:rsid w:val="00A47EF4"/>
    <w:rsid w:val="00A50BC7"/>
    <w:rsid w:val="00A51169"/>
    <w:rsid w:val="00A5227A"/>
    <w:rsid w:val="00A52717"/>
    <w:rsid w:val="00A5288A"/>
    <w:rsid w:val="00A5398B"/>
    <w:rsid w:val="00A53B0F"/>
    <w:rsid w:val="00A53B1F"/>
    <w:rsid w:val="00A54340"/>
    <w:rsid w:val="00A54452"/>
    <w:rsid w:val="00A54577"/>
    <w:rsid w:val="00A551EB"/>
    <w:rsid w:val="00A55831"/>
    <w:rsid w:val="00A55A52"/>
    <w:rsid w:val="00A55DE0"/>
    <w:rsid w:val="00A55E73"/>
    <w:rsid w:val="00A55F2C"/>
    <w:rsid w:val="00A562AD"/>
    <w:rsid w:val="00A569A8"/>
    <w:rsid w:val="00A573ED"/>
    <w:rsid w:val="00A57573"/>
    <w:rsid w:val="00A575FE"/>
    <w:rsid w:val="00A57B27"/>
    <w:rsid w:val="00A57C67"/>
    <w:rsid w:val="00A57D42"/>
    <w:rsid w:val="00A60902"/>
    <w:rsid w:val="00A60BBB"/>
    <w:rsid w:val="00A60C83"/>
    <w:rsid w:val="00A60D16"/>
    <w:rsid w:val="00A60EE0"/>
    <w:rsid w:val="00A60F5D"/>
    <w:rsid w:val="00A614B0"/>
    <w:rsid w:val="00A614DC"/>
    <w:rsid w:val="00A622C2"/>
    <w:rsid w:val="00A623BF"/>
    <w:rsid w:val="00A625AF"/>
    <w:rsid w:val="00A6297F"/>
    <w:rsid w:val="00A6321D"/>
    <w:rsid w:val="00A6324A"/>
    <w:rsid w:val="00A63490"/>
    <w:rsid w:val="00A6350B"/>
    <w:rsid w:val="00A63A99"/>
    <w:rsid w:val="00A63D83"/>
    <w:rsid w:val="00A647D2"/>
    <w:rsid w:val="00A64A0E"/>
    <w:rsid w:val="00A64EA1"/>
    <w:rsid w:val="00A6528F"/>
    <w:rsid w:val="00A65322"/>
    <w:rsid w:val="00A65B93"/>
    <w:rsid w:val="00A65C0D"/>
    <w:rsid w:val="00A65C50"/>
    <w:rsid w:val="00A65F1E"/>
    <w:rsid w:val="00A65FB7"/>
    <w:rsid w:val="00A66082"/>
    <w:rsid w:val="00A66250"/>
    <w:rsid w:val="00A667A5"/>
    <w:rsid w:val="00A669DB"/>
    <w:rsid w:val="00A66BDD"/>
    <w:rsid w:val="00A67308"/>
    <w:rsid w:val="00A6736F"/>
    <w:rsid w:val="00A674E7"/>
    <w:rsid w:val="00A678F4"/>
    <w:rsid w:val="00A67A5B"/>
    <w:rsid w:val="00A70037"/>
    <w:rsid w:val="00A7132C"/>
    <w:rsid w:val="00A71F01"/>
    <w:rsid w:val="00A723E9"/>
    <w:rsid w:val="00A72A90"/>
    <w:rsid w:val="00A72C16"/>
    <w:rsid w:val="00A72DF3"/>
    <w:rsid w:val="00A72DFF"/>
    <w:rsid w:val="00A73107"/>
    <w:rsid w:val="00A739AD"/>
    <w:rsid w:val="00A73D5A"/>
    <w:rsid w:val="00A74666"/>
    <w:rsid w:val="00A74C23"/>
    <w:rsid w:val="00A74E14"/>
    <w:rsid w:val="00A7563A"/>
    <w:rsid w:val="00A75870"/>
    <w:rsid w:val="00A75CDC"/>
    <w:rsid w:val="00A766BF"/>
    <w:rsid w:val="00A76C11"/>
    <w:rsid w:val="00A76CE1"/>
    <w:rsid w:val="00A777D3"/>
    <w:rsid w:val="00A77C6A"/>
    <w:rsid w:val="00A77D33"/>
    <w:rsid w:val="00A80480"/>
    <w:rsid w:val="00A80557"/>
    <w:rsid w:val="00A80791"/>
    <w:rsid w:val="00A80964"/>
    <w:rsid w:val="00A8097A"/>
    <w:rsid w:val="00A80C31"/>
    <w:rsid w:val="00A80EAC"/>
    <w:rsid w:val="00A81488"/>
    <w:rsid w:val="00A814D6"/>
    <w:rsid w:val="00A820BA"/>
    <w:rsid w:val="00A83111"/>
    <w:rsid w:val="00A83228"/>
    <w:rsid w:val="00A84047"/>
    <w:rsid w:val="00A8493C"/>
    <w:rsid w:val="00A84A26"/>
    <w:rsid w:val="00A84AD6"/>
    <w:rsid w:val="00A852FA"/>
    <w:rsid w:val="00A855AA"/>
    <w:rsid w:val="00A85982"/>
    <w:rsid w:val="00A85A20"/>
    <w:rsid w:val="00A85B06"/>
    <w:rsid w:val="00A85C6F"/>
    <w:rsid w:val="00A85ECF"/>
    <w:rsid w:val="00A86238"/>
    <w:rsid w:val="00A86A4A"/>
    <w:rsid w:val="00A86D34"/>
    <w:rsid w:val="00A86F1D"/>
    <w:rsid w:val="00A870F6"/>
    <w:rsid w:val="00A87703"/>
    <w:rsid w:val="00A90051"/>
    <w:rsid w:val="00A90A9E"/>
    <w:rsid w:val="00A90C91"/>
    <w:rsid w:val="00A912C1"/>
    <w:rsid w:val="00A91AA7"/>
    <w:rsid w:val="00A9262E"/>
    <w:rsid w:val="00A92747"/>
    <w:rsid w:val="00A927DB"/>
    <w:rsid w:val="00A928CC"/>
    <w:rsid w:val="00A92B39"/>
    <w:rsid w:val="00A92CF3"/>
    <w:rsid w:val="00A934C1"/>
    <w:rsid w:val="00A94997"/>
    <w:rsid w:val="00A95125"/>
    <w:rsid w:val="00A95257"/>
    <w:rsid w:val="00A95A80"/>
    <w:rsid w:val="00A963D0"/>
    <w:rsid w:val="00A9649F"/>
    <w:rsid w:val="00A964B5"/>
    <w:rsid w:val="00A964CD"/>
    <w:rsid w:val="00A96C71"/>
    <w:rsid w:val="00A972FF"/>
    <w:rsid w:val="00A97646"/>
    <w:rsid w:val="00AA0165"/>
    <w:rsid w:val="00AA05D7"/>
    <w:rsid w:val="00AA05D9"/>
    <w:rsid w:val="00AA07CA"/>
    <w:rsid w:val="00AA11FC"/>
    <w:rsid w:val="00AA12C1"/>
    <w:rsid w:val="00AA22FC"/>
    <w:rsid w:val="00AA2334"/>
    <w:rsid w:val="00AA238C"/>
    <w:rsid w:val="00AA2FA4"/>
    <w:rsid w:val="00AA389E"/>
    <w:rsid w:val="00AA3B29"/>
    <w:rsid w:val="00AA3CB5"/>
    <w:rsid w:val="00AA3CBB"/>
    <w:rsid w:val="00AA4211"/>
    <w:rsid w:val="00AA4228"/>
    <w:rsid w:val="00AA4518"/>
    <w:rsid w:val="00AA4B3E"/>
    <w:rsid w:val="00AA4F41"/>
    <w:rsid w:val="00AA53EE"/>
    <w:rsid w:val="00AA54AF"/>
    <w:rsid w:val="00AA57CF"/>
    <w:rsid w:val="00AA66A1"/>
    <w:rsid w:val="00AA6C9B"/>
    <w:rsid w:val="00AA6EDB"/>
    <w:rsid w:val="00AA6FDC"/>
    <w:rsid w:val="00AA7355"/>
    <w:rsid w:val="00AA7E2D"/>
    <w:rsid w:val="00AA7FD5"/>
    <w:rsid w:val="00AB03B4"/>
    <w:rsid w:val="00AB0499"/>
    <w:rsid w:val="00AB0683"/>
    <w:rsid w:val="00AB11ED"/>
    <w:rsid w:val="00AB179B"/>
    <w:rsid w:val="00AB197C"/>
    <w:rsid w:val="00AB199E"/>
    <w:rsid w:val="00AB1F02"/>
    <w:rsid w:val="00AB2490"/>
    <w:rsid w:val="00AB2DA9"/>
    <w:rsid w:val="00AB351B"/>
    <w:rsid w:val="00AB362E"/>
    <w:rsid w:val="00AB4A20"/>
    <w:rsid w:val="00AB4D4F"/>
    <w:rsid w:val="00AB4E5C"/>
    <w:rsid w:val="00AB5052"/>
    <w:rsid w:val="00AB52C6"/>
    <w:rsid w:val="00AB550E"/>
    <w:rsid w:val="00AB5560"/>
    <w:rsid w:val="00AB57F6"/>
    <w:rsid w:val="00AB5818"/>
    <w:rsid w:val="00AB5864"/>
    <w:rsid w:val="00AB5D1C"/>
    <w:rsid w:val="00AB6EE1"/>
    <w:rsid w:val="00AB7216"/>
    <w:rsid w:val="00AB76D3"/>
    <w:rsid w:val="00AC036D"/>
    <w:rsid w:val="00AC04CA"/>
    <w:rsid w:val="00AC0B4C"/>
    <w:rsid w:val="00AC21E5"/>
    <w:rsid w:val="00AC2303"/>
    <w:rsid w:val="00AC28CB"/>
    <w:rsid w:val="00AC3D6E"/>
    <w:rsid w:val="00AC4312"/>
    <w:rsid w:val="00AC4687"/>
    <w:rsid w:val="00AC47D5"/>
    <w:rsid w:val="00AC4BB8"/>
    <w:rsid w:val="00AC500C"/>
    <w:rsid w:val="00AC5381"/>
    <w:rsid w:val="00AC55C8"/>
    <w:rsid w:val="00AC58FC"/>
    <w:rsid w:val="00AC6A14"/>
    <w:rsid w:val="00AC700E"/>
    <w:rsid w:val="00AC73C8"/>
    <w:rsid w:val="00AC7640"/>
    <w:rsid w:val="00AC7BCF"/>
    <w:rsid w:val="00AC7CDB"/>
    <w:rsid w:val="00AD0FE5"/>
    <w:rsid w:val="00AD1088"/>
    <w:rsid w:val="00AD14CB"/>
    <w:rsid w:val="00AD157F"/>
    <w:rsid w:val="00AD1FEB"/>
    <w:rsid w:val="00AD28C8"/>
    <w:rsid w:val="00AD332E"/>
    <w:rsid w:val="00AD3544"/>
    <w:rsid w:val="00AD3848"/>
    <w:rsid w:val="00AD3D8E"/>
    <w:rsid w:val="00AD416A"/>
    <w:rsid w:val="00AD48BE"/>
    <w:rsid w:val="00AD4A54"/>
    <w:rsid w:val="00AD4C20"/>
    <w:rsid w:val="00AD56C3"/>
    <w:rsid w:val="00AD57F1"/>
    <w:rsid w:val="00AD5BF9"/>
    <w:rsid w:val="00AD5C28"/>
    <w:rsid w:val="00AD5C2B"/>
    <w:rsid w:val="00AD5E69"/>
    <w:rsid w:val="00AD5F5B"/>
    <w:rsid w:val="00AD676A"/>
    <w:rsid w:val="00AD6C05"/>
    <w:rsid w:val="00AD6C95"/>
    <w:rsid w:val="00AD721E"/>
    <w:rsid w:val="00AD779A"/>
    <w:rsid w:val="00AD7AA1"/>
    <w:rsid w:val="00AD7D0C"/>
    <w:rsid w:val="00AE2763"/>
    <w:rsid w:val="00AE2B1E"/>
    <w:rsid w:val="00AE2E83"/>
    <w:rsid w:val="00AE3130"/>
    <w:rsid w:val="00AE3BFC"/>
    <w:rsid w:val="00AE3D82"/>
    <w:rsid w:val="00AE3F2B"/>
    <w:rsid w:val="00AE4219"/>
    <w:rsid w:val="00AE4C42"/>
    <w:rsid w:val="00AE5A6B"/>
    <w:rsid w:val="00AE5CB4"/>
    <w:rsid w:val="00AE5E3E"/>
    <w:rsid w:val="00AE61D4"/>
    <w:rsid w:val="00AE66E9"/>
    <w:rsid w:val="00AE66FA"/>
    <w:rsid w:val="00AE72BC"/>
    <w:rsid w:val="00AE769D"/>
    <w:rsid w:val="00AE77F7"/>
    <w:rsid w:val="00AE7B86"/>
    <w:rsid w:val="00AE7F26"/>
    <w:rsid w:val="00AF027A"/>
    <w:rsid w:val="00AF050A"/>
    <w:rsid w:val="00AF0815"/>
    <w:rsid w:val="00AF089D"/>
    <w:rsid w:val="00AF0C39"/>
    <w:rsid w:val="00AF101F"/>
    <w:rsid w:val="00AF1660"/>
    <w:rsid w:val="00AF1924"/>
    <w:rsid w:val="00AF19C4"/>
    <w:rsid w:val="00AF1C9D"/>
    <w:rsid w:val="00AF1DC3"/>
    <w:rsid w:val="00AF1E41"/>
    <w:rsid w:val="00AF2305"/>
    <w:rsid w:val="00AF2A93"/>
    <w:rsid w:val="00AF2AAB"/>
    <w:rsid w:val="00AF2ACE"/>
    <w:rsid w:val="00AF2ED2"/>
    <w:rsid w:val="00AF3104"/>
    <w:rsid w:val="00AF319E"/>
    <w:rsid w:val="00AF35D5"/>
    <w:rsid w:val="00AF46AA"/>
    <w:rsid w:val="00AF51B5"/>
    <w:rsid w:val="00AF5D98"/>
    <w:rsid w:val="00AF6063"/>
    <w:rsid w:val="00AF6291"/>
    <w:rsid w:val="00AF6E85"/>
    <w:rsid w:val="00AF6FC3"/>
    <w:rsid w:val="00AF7307"/>
    <w:rsid w:val="00B00CF7"/>
    <w:rsid w:val="00B01401"/>
    <w:rsid w:val="00B018AE"/>
    <w:rsid w:val="00B01F26"/>
    <w:rsid w:val="00B01FAB"/>
    <w:rsid w:val="00B01FAD"/>
    <w:rsid w:val="00B020AD"/>
    <w:rsid w:val="00B02388"/>
    <w:rsid w:val="00B025EC"/>
    <w:rsid w:val="00B02791"/>
    <w:rsid w:val="00B03289"/>
    <w:rsid w:val="00B0354A"/>
    <w:rsid w:val="00B03572"/>
    <w:rsid w:val="00B03A57"/>
    <w:rsid w:val="00B044C6"/>
    <w:rsid w:val="00B0464F"/>
    <w:rsid w:val="00B0484C"/>
    <w:rsid w:val="00B04B22"/>
    <w:rsid w:val="00B04B53"/>
    <w:rsid w:val="00B0518A"/>
    <w:rsid w:val="00B05583"/>
    <w:rsid w:val="00B05D41"/>
    <w:rsid w:val="00B05DAD"/>
    <w:rsid w:val="00B06519"/>
    <w:rsid w:val="00B06527"/>
    <w:rsid w:val="00B07053"/>
    <w:rsid w:val="00B07055"/>
    <w:rsid w:val="00B07421"/>
    <w:rsid w:val="00B07456"/>
    <w:rsid w:val="00B10140"/>
    <w:rsid w:val="00B101B7"/>
    <w:rsid w:val="00B10232"/>
    <w:rsid w:val="00B1069A"/>
    <w:rsid w:val="00B1138D"/>
    <w:rsid w:val="00B11C3F"/>
    <w:rsid w:val="00B11FF2"/>
    <w:rsid w:val="00B120F2"/>
    <w:rsid w:val="00B1239A"/>
    <w:rsid w:val="00B1239D"/>
    <w:rsid w:val="00B12E5E"/>
    <w:rsid w:val="00B1385B"/>
    <w:rsid w:val="00B13F1D"/>
    <w:rsid w:val="00B14855"/>
    <w:rsid w:val="00B153DD"/>
    <w:rsid w:val="00B15557"/>
    <w:rsid w:val="00B15F09"/>
    <w:rsid w:val="00B1641F"/>
    <w:rsid w:val="00B16997"/>
    <w:rsid w:val="00B1711E"/>
    <w:rsid w:val="00B17225"/>
    <w:rsid w:val="00B17332"/>
    <w:rsid w:val="00B203B5"/>
    <w:rsid w:val="00B20694"/>
    <w:rsid w:val="00B20D2F"/>
    <w:rsid w:val="00B212C1"/>
    <w:rsid w:val="00B21313"/>
    <w:rsid w:val="00B2141F"/>
    <w:rsid w:val="00B2170B"/>
    <w:rsid w:val="00B2222C"/>
    <w:rsid w:val="00B22B8E"/>
    <w:rsid w:val="00B23B6F"/>
    <w:rsid w:val="00B23E4B"/>
    <w:rsid w:val="00B25188"/>
    <w:rsid w:val="00B2518B"/>
    <w:rsid w:val="00B25DCB"/>
    <w:rsid w:val="00B260E5"/>
    <w:rsid w:val="00B26221"/>
    <w:rsid w:val="00B2694B"/>
    <w:rsid w:val="00B26A78"/>
    <w:rsid w:val="00B27A34"/>
    <w:rsid w:val="00B30134"/>
    <w:rsid w:val="00B30A1F"/>
    <w:rsid w:val="00B30B61"/>
    <w:rsid w:val="00B30B98"/>
    <w:rsid w:val="00B310FB"/>
    <w:rsid w:val="00B318C1"/>
    <w:rsid w:val="00B31904"/>
    <w:rsid w:val="00B31DBC"/>
    <w:rsid w:val="00B31E29"/>
    <w:rsid w:val="00B3295B"/>
    <w:rsid w:val="00B32CFF"/>
    <w:rsid w:val="00B331B6"/>
    <w:rsid w:val="00B3336E"/>
    <w:rsid w:val="00B334A3"/>
    <w:rsid w:val="00B349E2"/>
    <w:rsid w:val="00B34F63"/>
    <w:rsid w:val="00B35596"/>
    <w:rsid w:val="00B35670"/>
    <w:rsid w:val="00B35DC0"/>
    <w:rsid w:val="00B36B77"/>
    <w:rsid w:val="00B37684"/>
    <w:rsid w:val="00B3788D"/>
    <w:rsid w:val="00B4012B"/>
    <w:rsid w:val="00B40EDB"/>
    <w:rsid w:val="00B40F2B"/>
    <w:rsid w:val="00B416D7"/>
    <w:rsid w:val="00B41854"/>
    <w:rsid w:val="00B42C2D"/>
    <w:rsid w:val="00B43126"/>
    <w:rsid w:val="00B434B4"/>
    <w:rsid w:val="00B4358F"/>
    <w:rsid w:val="00B43949"/>
    <w:rsid w:val="00B43FE2"/>
    <w:rsid w:val="00B444B6"/>
    <w:rsid w:val="00B447CB"/>
    <w:rsid w:val="00B449DD"/>
    <w:rsid w:val="00B44EE4"/>
    <w:rsid w:val="00B45A59"/>
    <w:rsid w:val="00B45E99"/>
    <w:rsid w:val="00B460E7"/>
    <w:rsid w:val="00B463C6"/>
    <w:rsid w:val="00B4671D"/>
    <w:rsid w:val="00B471CC"/>
    <w:rsid w:val="00B47766"/>
    <w:rsid w:val="00B50F09"/>
    <w:rsid w:val="00B52372"/>
    <w:rsid w:val="00B5275C"/>
    <w:rsid w:val="00B53252"/>
    <w:rsid w:val="00B53449"/>
    <w:rsid w:val="00B5361D"/>
    <w:rsid w:val="00B5377F"/>
    <w:rsid w:val="00B53A21"/>
    <w:rsid w:val="00B53B49"/>
    <w:rsid w:val="00B541C8"/>
    <w:rsid w:val="00B545D2"/>
    <w:rsid w:val="00B548FA"/>
    <w:rsid w:val="00B54A0A"/>
    <w:rsid w:val="00B54A14"/>
    <w:rsid w:val="00B54BBB"/>
    <w:rsid w:val="00B54E53"/>
    <w:rsid w:val="00B551E4"/>
    <w:rsid w:val="00B552D7"/>
    <w:rsid w:val="00B555DA"/>
    <w:rsid w:val="00B55770"/>
    <w:rsid w:val="00B56465"/>
    <w:rsid w:val="00B56780"/>
    <w:rsid w:val="00B56CB7"/>
    <w:rsid w:val="00B56FF3"/>
    <w:rsid w:val="00B57AFD"/>
    <w:rsid w:val="00B57E0E"/>
    <w:rsid w:val="00B57EA9"/>
    <w:rsid w:val="00B60048"/>
    <w:rsid w:val="00B60083"/>
    <w:rsid w:val="00B6011A"/>
    <w:rsid w:val="00B6015B"/>
    <w:rsid w:val="00B607D9"/>
    <w:rsid w:val="00B60D6A"/>
    <w:rsid w:val="00B6114F"/>
    <w:rsid w:val="00B6119D"/>
    <w:rsid w:val="00B6174E"/>
    <w:rsid w:val="00B6181D"/>
    <w:rsid w:val="00B62078"/>
    <w:rsid w:val="00B6283A"/>
    <w:rsid w:val="00B628AA"/>
    <w:rsid w:val="00B630AB"/>
    <w:rsid w:val="00B631AF"/>
    <w:rsid w:val="00B633D8"/>
    <w:rsid w:val="00B63B6A"/>
    <w:rsid w:val="00B641F8"/>
    <w:rsid w:val="00B64399"/>
    <w:rsid w:val="00B64656"/>
    <w:rsid w:val="00B64B39"/>
    <w:rsid w:val="00B652EF"/>
    <w:rsid w:val="00B65AE4"/>
    <w:rsid w:val="00B65B6B"/>
    <w:rsid w:val="00B65C82"/>
    <w:rsid w:val="00B65DC5"/>
    <w:rsid w:val="00B661CD"/>
    <w:rsid w:val="00B6657F"/>
    <w:rsid w:val="00B66705"/>
    <w:rsid w:val="00B66D6E"/>
    <w:rsid w:val="00B67263"/>
    <w:rsid w:val="00B67297"/>
    <w:rsid w:val="00B67A10"/>
    <w:rsid w:val="00B67D4F"/>
    <w:rsid w:val="00B67FF6"/>
    <w:rsid w:val="00B70135"/>
    <w:rsid w:val="00B70488"/>
    <w:rsid w:val="00B70AFE"/>
    <w:rsid w:val="00B70E97"/>
    <w:rsid w:val="00B710C8"/>
    <w:rsid w:val="00B7134A"/>
    <w:rsid w:val="00B714B6"/>
    <w:rsid w:val="00B71CA2"/>
    <w:rsid w:val="00B71F5D"/>
    <w:rsid w:val="00B7228A"/>
    <w:rsid w:val="00B72406"/>
    <w:rsid w:val="00B731FA"/>
    <w:rsid w:val="00B73BDE"/>
    <w:rsid w:val="00B73CFE"/>
    <w:rsid w:val="00B73D2A"/>
    <w:rsid w:val="00B740F7"/>
    <w:rsid w:val="00B749DD"/>
    <w:rsid w:val="00B74A72"/>
    <w:rsid w:val="00B74A7B"/>
    <w:rsid w:val="00B74DCB"/>
    <w:rsid w:val="00B750E8"/>
    <w:rsid w:val="00B75272"/>
    <w:rsid w:val="00B765FB"/>
    <w:rsid w:val="00B7662E"/>
    <w:rsid w:val="00B768FF"/>
    <w:rsid w:val="00B76A2B"/>
    <w:rsid w:val="00B76FF0"/>
    <w:rsid w:val="00B772FD"/>
    <w:rsid w:val="00B777A9"/>
    <w:rsid w:val="00B80FA4"/>
    <w:rsid w:val="00B81484"/>
    <w:rsid w:val="00B8157C"/>
    <w:rsid w:val="00B81EFE"/>
    <w:rsid w:val="00B82086"/>
    <w:rsid w:val="00B820AE"/>
    <w:rsid w:val="00B82B3B"/>
    <w:rsid w:val="00B8392D"/>
    <w:rsid w:val="00B84001"/>
    <w:rsid w:val="00B8472C"/>
    <w:rsid w:val="00B847B1"/>
    <w:rsid w:val="00B84E4D"/>
    <w:rsid w:val="00B85A79"/>
    <w:rsid w:val="00B85E7D"/>
    <w:rsid w:val="00B86262"/>
    <w:rsid w:val="00B8746F"/>
    <w:rsid w:val="00B879F2"/>
    <w:rsid w:val="00B87E85"/>
    <w:rsid w:val="00B905BB"/>
    <w:rsid w:val="00B90F58"/>
    <w:rsid w:val="00B91263"/>
    <w:rsid w:val="00B91556"/>
    <w:rsid w:val="00B92076"/>
    <w:rsid w:val="00B921AF"/>
    <w:rsid w:val="00B923B3"/>
    <w:rsid w:val="00B927AA"/>
    <w:rsid w:val="00B927E5"/>
    <w:rsid w:val="00B934E8"/>
    <w:rsid w:val="00B94189"/>
    <w:rsid w:val="00B941D8"/>
    <w:rsid w:val="00B9614D"/>
    <w:rsid w:val="00B96967"/>
    <w:rsid w:val="00B9721E"/>
    <w:rsid w:val="00B975F3"/>
    <w:rsid w:val="00B976AC"/>
    <w:rsid w:val="00BA082A"/>
    <w:rsid w:val="00BA0CE2"/>
    <w:rsid w:val="00BA0CFB"/>
    <w:rsid w:val="00BA1208"/>
    <w:rsid w:val="00BA18E2"/>
    <w:rsid w:val="00BA1BBE"/>
    <w:rsid w:val="00BA1E11"/>
    <w:rsid w:val="00BA1EF6"/>
    <w:rsid w:val="00BA2565"/>
    <w:rsid w:val="00BA2BBC"/>
    <w:rsid w:val="00BA2D03"/>
    <w:rsid w:val="00BA2EE5"/>
    <w:rsid w:val="00BA3113"/>
    <w:rsid w:val="00BA4279"/>
    <w:rsid w:val="00BA43F8"/>
    <w:rsid w:val="00BA46E7"/>
    <w:rsid w:val="00BA48C0"/>
    <w:rsid w:val="00BA48E6"/>
    <w:rsid w:val="00BA4D30"/>
    <w:rsid w:val="00BA5381"/>
    <w:rsid w:val="00BA54A0"/>
    <w:rsid w:val="00BA5BE1"/>
    <w:rsid w:val="00BA6045"/>
    <w:rsid w:val="00BA690C"/>
    <w:rsid w:val="00BA745A"/>
    <w:rsid w:val="00BA7E65"/>
    <w:rsid w:val="00BB0473"/>
    <w:rsid w:val="00BB0975"/>
    <w:rsid w:val="00BB0F40"/>
    <w:rsid w:val="00BB12DB"/>
    <w:rsid w:val="00BB164F"/>
    <w:rsid w:val="00BB1927"/>
    <w:rsid w:val="00BB1D33"/>
    <w:rsid w:val="00BB20E1"/>
    <w:rsid w:val="00BB2473"/>
    <w:rsid w:val="00BB24A3"/>
    <w:rsid w:val="00BB2551"/>
    <w:rsid w:val="00BB2C4C"/>
    <w:rsid w:val="00BB32C7"/>
    <w:rsid w:val="00BB3509"/>
    <w:rsid w:val="00BB3A55"/>
    <w:rsid w:val="00BB3DDA"/>
    <w:rsid w:val="00BB3E92"/>
    <w:rsid w:val="00BB4353"/>
    <w:rsid w:val="00BB45AB"/>
    <w:rsid w:val="00BB46A5"/>
    <w:rsid w:val="00BB4B1F"/>
    <w:rsid w:val="00BB53E9"/>
    <w:rsid w:val="00BB5835"/>
    <w:rsid w:val="00BB5A5C"/>
    <w:rsid w:val="00BB5B6F"/>
    <w:rsid w:val="00BB5FE1"/>
    <w:rsid w:val="00BB601E"/>
    <w:rsid w:val="00BB61DF"/>
    <w:rsid w:val="00BB69A5"/>
    <w:rsid w:val="00BB6C4D"/>
    <w:rsid w:val="00BB6D72"/>
    <w:rsid w:val="00BB731A"/>
    <w:rsid w:val="00BB76B9"/>
    <w:rsid w:val="00BB7A24"/>
    <w:rsid w:val="00BC0837"/>
    <w:rsid w:val="00BC083C"/>
    <w:rsid w:val="00BC0EFB"/>
    <w:rsid w:val="00BC110B"/>
    <w:rsid w:val="00BC11E0"/>
    <w:rsid w:val="00BC1325"/>
    <w:rsid w:val="00BC15BD"/>
    <w:rsid w:val="00BC16ED"/>
    <w:rsid w:val="00BC1848"/>
    <w:rsid w:val="00BC1914"/>
    <w:rsid w:val="00BC19BC"/>
    <w:rsid w:val="00BC1BD4"/>
    <w:rsid w:val="00BC1C90"/>
    <w:rsid w:val="00BC1D89"/>
    <w:rsid w:val="00BC21EE"/>
    <w:rsid w:val="00BC2720"/>
    <w:rsid w:val="00BC2C76"/>
    <w:rsid w:val="00BC320C"/>
    <w:rsid w:val="00BC3CD4"/>
    <w:rsid w:val="00BC42A2"/>
    <w:rsid w:val="00BC4504"/>
    <w:rsid w:val="00BC45B5"/>
    <w:rsid w:val="00BC472A"/>
    <w:rsid w:val="00BC520E"/>
    <w:rsid w:val="00BC5219"/>
    <w:rsid w:val="00BC5236"/>
    <w:rsid w:val="00BC55A7"/>
    <w:rsid w:val="00BC61C9"/>
    <w:rsid w:val="00BC63E5"/>
    <w:rsid w:val="00BC65D8"/>
    <w:rsid w:val="00BC6B5D"/>
    <w:rsid w:val="00BC7230"/>
    <w:rsid w:val="00BC744F"/>
    <w:rsid w:val="00BC75DD"/>
    <w:rsid w:val="00BC7606"/>
    <w:rsid w:val="00BC7717"/>
    <w:rsid w:val="00BC7D32"/>
    <w:rsid w:val="00BC7DA6"/>
    <w:rsid w:val="00BC7EE2"/>
    <w:rsid w:val="00BD0109"/>
    <w:rsid w:val="00BD020C"/>
    <w:rsid w:val="00BD06BE"/>
    <w:rsid w:val="00BD08F9"/>
    <w:rsid w:val="00BD0A29"/>
    <w:rsid w:val="00BD128E"/>
    <w:rsid w:val="00BD1415"/>
    <w:rsid w:val="00BD16AC"/>
    <w:rsid w:val="00BD1AD4"/>
    <w:rsid w:val="00BD226B"/>
    <w:rsid w:val="00BD316B"/>
    <w:rsid w:val="00BD36AE"/>
    <w:rsid w:val="00BD3763"/>
    <w:rsid w:val="00BD3AFE"/>
    <w:rsid w:val="00BD4227"/>
    <w:rsid w:val="00BD4511"/>
    <w:rsid w:val="00BD4653"/>
    <w:rsid w:val="00BD4663"/>
    <w:rsid w:val="00BD4A36"/>
    <w:rsid w:val="00BD4BFE"/>
    <w:rsid w:val="00BD4D50"/>
    <w:rsid w:val="00BD4DF9"/>
    <w:rsid w:val="00BD5221"/>
    <w:rsid w:val="00BD560B"/>
    <w:rsid w:val="00BD5FF3"/>
    <w:rsid w:val="00BD6062"/>
    <w:rsid w:val="00BD6475"/>
    <w:rsid w:val="00BD6E28"/>
    <w:rsid w:val="00BD7437"/>
    <w:rsid w:val="00BD78FD"/>
    <w:rsid w:val="00BD79C4"/>
    <w:rsid w:val="00BD7B50"/>
    <w:rsid w:val="00BD7D02"/>
    <w:rsid w:val="00BE0523"/>
    <w:rsid w:val="00BE088D"/>
    <w:rsid w:val="00BE0DEF"/>
    <w:rsid w:val="00BE0E1F"/>
    <w:rsid w:val="00BE0E50"/>
    <w:rsid w:val="00BE1746"/>
    <w:rsid w:val="00BE1C43"/>
    <w:rsid w:val="00BE1DE9"/>
    <w:rsid w:val="00BE1EBF"/>
    <w:rsid w:val="00BE23D7"/>
    <w:rsid w:val="00BE2499"/>
    <w:rsid w:val="00BE2AA1"/>
    <w:rsid w:val="00BE4054"/>
    <w:rsid w:val="00BE41C4"/>
    <w:rsid w:val="00BE58D4"/>
    <w:rsid w:val="00BE593A"/>
    <w:rsid w:val="00BE5CF0"/>
    <w:rsid w:val="00BE60E0"/>
    <w:rsid w:val="00BE63D6"/>
    <w:rsid w:val="00BE64D3"/>
    <w:rsid w:val="00BE6721"/>
    <w:rsid w:val="00BE6726"/>
    <w:rsid w:val="00BE6DE7"/>
    <w:rsid w:val="00BE7F6F"/>
    <w:rsid w:val="00BF0271"/>
    <w:rsid w:val="00BF06DD"/>
    <w:rsid w:val="00BF0700"/>
    <w:rsid w:val="00BF12C4"/>
    <w:rsid w:val="00BF12CA"/>
    <w:rsid w:val="00BF13EF"/>
    <w:rsid w:val="00BF15F8"/>
    <w:rsid w:val="00BF1933"/>
    <w:rsid w:val="00BF1DFA"/>
    <w:rsid w:val="00BF20EE"/>
    <w:rsid w:val="00BF27AE"/>
    <w:rsid w:val="00BF2C0E"/>
    <w:rsid w:val="00BF3040"/>
    <w:rsid w:val="00BF42C5"/>
    <w:rsid w:val="00BF4857"/>
    <w:rsid w:val="00BF4B35"/>
    <w:rsid w:val="00BF4C25"/>
    <w:rsid w:val="00BF5717"/>
    <w:rsid w:val="00BF598C"/>
    <w:rsid w:val="00BF59F1"/>
    <w:rsid w:val="00BF5ADB"/>
    <w:rsid w:val="00BF5B3D"/>
    <w:rsid w:val="00BF5E3E"/>
    <w:rsid w:val="00BF5E81"/>
    <w:rsid w:val="00BF6416"/>
    <w:rsid w:val="00BF64AE"/>
    <w:rsid w:val="00BF6523"/>
    <w:rsid w:val="00BF65CA"/>
    <w:rsid w:val="00BF6609"/>
    <w:rsid w:val="00BF705E"/>
    <w:rsid w:val="00BF7A9F"/>
    <w:rsid w:val="00C005CA"/>
    <w:rsid w:val="00C006AF"/>
    <w:rsid w:val="00C01123"/>
    <w:rsid w:val="00C01699"/>
    <w:rsid w:val="00C01973"/>
    <w:rsid w:val="00C01EB6"/>
    <w:rsid w:val="00C03631"/>
    <w:rsid w:val="00C0395B"/>
    <w:rsid w:val="00C03A52"/>
    <w:rsid w:val="00C03BD6"/>
    <w:rsid w:val="00C0484A"/>
    <w:rsid w:val="00C04B3F"/>
    <w:rsid w:val="00C0503E"/>
    <w:rsid w:val="00C051B6"/>
    <w:rsid w:val="00C05231"/>
    <w:rsid w:val="00C05311"/>
    <w:rsid w:val="00C053B5"/>
    <w:rsid w:val="00C05DF7"/>
    <w:rsid w:val="00C05E6B"/>
    <w:rsid w:val="00C064FA"/>
    <w:rsid w:val="00C07184"/>
    <w:rsid w:val="00C07BAD"/>
    <w:rsid w:val="00C07C4E"/>
    <w:rsid w:val="00C07FE6"/>
    <w:rsid w:val="00C102D5"/>
    <w:rsid w:val="00C108A3"/>
    <w:rsid w:val="00C1110D"/>
    <w:rsid w:val="00C11403"/>
    <w:rsid w:val="00C115DB"/>
    <w:rsid w:val="00C1164B"/>
    <w:rsid w:val="00C127B1"/>
    <w:rsid w:val="00C12D06"/>
    <w:rsid w:val="00C130A4"/>
    <w:rsid w:val="00C134B7"/>
    <w:rsid w:val="00C13670"/>
    <w:rsid w:val="00C13721"/>
    <w:rsid w:val="00C1386F"/>
    <w:rsid w:val="00C139BD"/>
    <w:rsid w:val="00C13F40"/>
    <w:rsid w:val="00C14961"/>
    <w:rsid w:val="00C14986"/>
    <w:rsid w:val="00C14B5E"/>
    <w:rsid w:val="00C150A9"/>
    <w:rsid w:val="00C15E87"/>
    <w:rsid w:val="00C16007"/>
    <w:rsid w:val="00C161C7"/>
    <w:rsid w:val="00C165C5"/>
    <w:rsid w:val="00C175D0"/>
    <w:rsid w:val="00C17D38"/>
    <w:rsid w:val="00C2096B"/>
    <w:rsid w:val="00C21273"/>
    <w:rsid w:val="00C218DD"/>
    <w:rsid w:val="00C21A8D"/>
    <w:rsid w:val="00C21E2C"/>
    <w:rsid w:val="00C21F92"/>
    <w:rsid w:val="00C22302"/>
    <w:rsid w:val="00C22425"/>
    <w:rsid w:val="00C22A2B"/>
    <w:rsid w:val="00C22B73"/>
    <w:rsid w:val="00C22D8B"/>
    <w:rsid w:val="00C23063"/>
    <w:rsid w:val="00C23594"/>
    <w:rsid w:val="00C236D7"/>
    <w:rsid w:val="00C239E7"/>
    <w:rsid w:val="00C23E81"/>
    <w:rsid w:val="00C2434F"/>
    <w:rsid w:val="00C243D9"/>
    <w:rsid w:val="00C24628"/>
    <w:rsid w:val="00C2481F"/>
    <w:rsid w:val="00C2498B"/>
    <w:rsid w:val="00C24D5C"/>
    <w:rsid w:val="00C24DB0"/>
    <w:rsid w:val="00C24EF8"/>
    <w:rsid w:val="00C25335"/>
    <w:rsid w:val="00C260CD"/>
    <w:rsid w:val="00C261BA"/>
    <w:rsid w:val="00C26258"/>
    <w:rsid w:val="00C26B1C"/>
    <w:rsid w:val="00C26D61"/>
    <w:rsid w:val="00C274AA"/>
    <w:rsid w:val="00C27783"/>
    <w:rsid w:val="00C2797C"/>
    <w:rsid w:val="00C279F6"/>
    <w:rsid w:val="00C27A02"/>
    <w:rsid w:val="00C30394"/>
    <w:rsid w:val="00C30D1D"/>
    <w:rsid w:val="00C31117"/>
    <w:rsid w:val="00C31C0D"/>
    <w:rsid w:val="00C31CBD"/>
    <w:rsid w:val="00C31E74"/>
    <w:rsid w:val="00C320C4"/>
    <w:rsid w:val="00C32564"/>
    <w:rsid w:val="00C330B5"/>
    <w:rsid w:val="00C331FB"/>
    <w:rsid w:val="00C33304"/>
    <w:rsid w:val="00C335CE"/>
    <w:rsid w:val="00C3426D"/>
    <w:rsid w:val="00C34325"/>
    <w:rsid w:val="00C34655"/>
    <w:rsid w:val="00C34A74"/>
    <w:rsid w:val="00C35093"/>
    <w:rsid w:val="00C350B9"/>
    <w:rsid w:val="00C357C2"/>
    <w:rsid w:val="00C35809"/>
    <w:rsid w:val="00C35E10"/>
    <w:rsid w:val="00C35E82"/>
    <w:rsid w:val="00C362AF"/>
    <w:rsid w:val="00C36612"/>
    <w:rsid w:val="00C37962"/>
    <w:rsid w:val="00C37F4A"/>
    <w:rsid w:val="00C4069D"/>
    <w:rsid w:val="00C40C82"/>
    <w:rsid w:val="00C40D1C"/>
    <w:rsid w:val="00C41C88"/>
    <w:rsid w:val="00C42C5F"/>
    <w:rsid w:val="00C43168"/>
    <w:rsid w:val="00C4316C"/>
    <w:rsid w:val="00C4348A"/>
    <w:rsid w:val="00C43631"/>
    <w:rsid w:val="00C43654"/>
    <w:rsid w:val="00C43662"/>
    <w:rsid w:val="00C43E0E"/>
    <w:rsid w:val="00C44025"/>
    <w:rsid w:val="00C44A0B"/>
    <w:rsid w:val="00C44ADA"/>
    <w:rsid w:val="00C4529B"/>
    <w:rsid w:val="00C45A33"/>
    <w:rsid w:val="00C45D94"/>
    <w:rsid w:val="00C46060"/>
    <w:rsid w:val="00C46200"/>
    <w:rsid w:val="00C47783"/>
    <w:rsid w:val="00C478F7"/>
    <w:rsid w:val="00C47B17"/>
    <w:rsid w:val="00C5053C"/>
    <w:rsid w:val="00C50711"/>
    <w:rsid w:val="00C50D54"/>
    <w:rsid w:val="00C50D8E"/>
    <w:rsid w:val="00C5102C"/>
    <w:rsid w:val="00C5104C"/>
    <w:rsid w:val="00C5127B"/>
    <w:rsid w:val="00C516CA"/>
    <w:rsid w:val="00C523C6"/>
    <w:rsid w:val="00C525BA"/>
    <w:rsid w:val="00C525FB"/>
    <w:rsid w:val="00C5293C"/>
    <w:rsid w:val="00C52D72"/>
    <w:rsid w:val="00C52F65"/>
    <w:rsid w:val="00C53065"/>
    <w:rsid w:val="00C536F1"/>
    <w:rsid w:val="00C53AB1"/>
    <w:rsid w:val="00C53D08"/>
    <w:rsid w:val="00C53D95"/>
    <w:rsid w:val="00C5402A"/>
    <w:rsid w:val="00C54156"/>
    <w:rsid w:val="00C54204"/>
    <w:rsid w:val="00C54388"/>
    <w:rsid w:val="00C555F7"/>
    <w:rsid w:val="00C55661"/>
    <w:rsid w:val="00C55974"/>
    <w:rsid w:val="00C562F5"/>
    <w:rsid w:val="00C56446"/>
    <w:rsid w:val="00C56650"/>
    <w:rsid w:val="00C56A6A"/>
    <w:rsid w:val="00C56CCF"/>
    <w:rsid w:val="00C575C1"/>
    <w:rsid w:val="00C57835"/>
    <w:rsid w:val="00C57858"/>
    <w:rsid w:val="00C57974"/>
    <w:rsid w:val="00C579C9"/>
    <w:rsid w:val="00C60171"/>
    <w:rsid w:val="00C60863"/>
    <w:rsid w:val="00C60ACA"/>
    <w:rsid w:val="00C6106D"/>
    <w:rsid w:val="00C610C6"/>
    <w:rsid w:val="00C61918"/>
    <w:rsid w:val="00C61AEB"/>
    <w:rsid w:val="00C6285D"/>
    <w:rsid w:val="00C62A77"/>
    <w:rsid w:val="00C62FA4"/>
    <w:rsid w:val="00C63416"/>
    <w:rsid w:val="00C639E3"/>
    <w:rsid w:val="00C63C20"/>
    <w:rsid w:val="00C64821"/>
    <w:rsid w:val="00C65C3C"/>
    <w:rsid w:val="00C65CBF"/>
    <w:rsid w:val="00C65FFF"/>
    <w:rsid w:val="00C6657A"/>
    <w:rsid w:val="00C66928"/>
    <w:rsid w:val="00C67251"/>
    <w:rsid w:val="00C67394"/>
    <w:rsid w:val="00C679E9"/>
    <w:rsid w:val="00C70563"/>
    <w:rsid w:val="00C7076E"/>
    <w:rsid w:val="00C7090A"/>
    <w:rsid w:val="00C70D8B"/>
    <w:rsid w:val="00C71259"/>
    <w:rsid w:val="00C71292"/>
    <w:rsid w:val="00C71484"/>
    <w:rsid w:val="00C716CA"/>
    <w:rsid w:val="00C72770"/>
    <w:rsid w:val="00C72A06"/>
    <w:rsid w:val="00C72D1F"/>
    <w:rsid w:val="00C72E49"/>
    <w:rsid w:val="00C72E9E"/>
    <w:rsid w:val="00C73070"/>
    <w:rsid w:val="00C734D0"/>
    <w:rsid w:val="00C735A7"/>
    <w:rsid w:val="00C736B9"/>
    <w:rsid w:val="00C73D54"/>
    <w:rsid w:val="00C742D7"/>
    <w:rsid w:val="00C744D1"/>
    <w:rsid w:val="00C74BAA"/>
    <w:rsid w:val="00C75194"/>
    <w:rsid w:val="00C75966"/>
    <w:rsid w:val="00C76194"/>
    <w:rsid w:val="00C76880"/>
    <w:rsid w:val="00C76C8F"/>
    <w:rsid w:val="00C76FAC"/>
    <w:rsid w:val="00C77665"/>
    <w:rsid w:val="00C7790B"/>
    <w:rsid w:val="00C77CEC"/>
    <w:rsid w:val="00C77E29"/>
    <w:rsid w:val="00C8001A"/>
    <w:rsid w:val="00C80652"/>
    <w:rsid w:val="00C80CD4"/>
    <w:rsid w:val="00C8111B"/>
    <w:rsid w:val="00C8132E"/>
    <w:rsid w:val="00C813AE"/>
    <w:rsid w:val="00C81F0C"/>
    <w:rsid w:val="00C826C6"/>
    <w:rsid w:val="00C82BA1"/>
    <w:rsid w:val="00C82C58"/>
    <w:rsid w:val="00C8426F"/>
    <w:rsid w:val="00C842B7"/>
    <w:rsid w:val="00C8517B"/>
    <w:rsid w:val="00C85668"/>
    <w:rsid w:val="00C8566F"/>
    <w:rsid w:val="00C8655B"/>
    <w:rsid w:val="00C86983"/>
    <w:rsid w:val="00C86AE6"/>
    <w:rsid w:val="00C87959"/>
    <w:rsid w:val="00C87C43"/>
    <w:rsid w:val="00C87F77"/>
    <w:rsid w:val="00C900EC"/>
    <w:rsid w:val="00C9045F"/>
    <w:rsid w:val="00C90970"/>
    <w:rsid w:val="00C9163B"/>
    <w:rsid w:val="00C9185C"/>
    <w:rsid w:val="00C918CD"/>
    <w:rsid w:val="00C9191A"/>
    <w:rsid w:val="00C91BB3"/>
    <w:rsid w:val="00C92573"/>
    <w:rsid w:val="00C93BD5"/>
    <w:rsid w:val="00C94008"/>
    <w:rsid w:val="00C9407A"/>
    <w:rsid w:val="00C940DC"/>
    <w:rsid w:val="00C942E5"/>
    <w:rsid w:val="00C94983"/>
    <w:rsid w:val="00C9572B"/>
    <w:rsid w:val="00C95AFA"/>
    <w:rsid w:val="00C95E02"/>
    <w:rsid w:val="00C963B3"/>
    <w:rsid w:val="00C96469"/>
    <w:rsid w:val="00C96B7D"/>
    <w:rsid w:val="00C97505"/>
    <w:rsid w:val="00C979D0"/>
    <w:rsid w:val="00CA0120"/>
    <w:rsid w:val="00CA0163"/>
    <w:rsid w:val="00CA056D"/>
    <w:rsid w:val="00CA057D"/>
    <w:rsid w:val="00CA062F"/>
    <w:rsid w:val="00CA0BF1"/>
    <w:rsid w:val="00CA0F95"/>
    <w:rsid w:val="00CA1816"/>
    <w:rsid w:val="00CA1A22"/>
    <w:rsid w:val="00CA1BB0"/>
    <w:rsid w:val="00CA2472"/>
    <w:rsid w:val="00CA2ACF"/>
    <w:rsid w:val="00CA30A0"/>
    <w:rsid w:val="00CA3BB2"/>
    <w:rsid w:val="00CA403B"/>
    <w:rsid w:val="00CA410E"/>
    <w:rsid w:val="00CA428F"/>
    <w:rsid w:val="00CA447E"/>
    <w:rsid w:val="00CA507B"/>
    <w:rsid w:val="00CA548A"/>
    <w:rsid w:val="00CA5757"/>
    <w:rsid w:val="00CA5A48"/>
    <w:rsid w:val="00CA5D4C"/>
    <w:rsid w:val="00CA5F74"/>
    <w:rsid w:val="00CA6357"/>
    <w:rsid w:val="00CA6422"/>
    <w:rsid w:val="00CA6773"/>
    <w:rsid w:val="00CA691A"/>
    <w:rsid w:val="00CA7B24"/>
    <w:rsid w:val="00CA7C22"/>
    <w:rsid w:val="00CB014F"/>
    <w:rsid w:val="00CB0272"/>
    <w:rsid w:val="00CB092D"/>
    <w:rsid w:val="00CB0CDF"/>
    <w:rsid w:val="00CB0FE7"/>
    <w:rsid w:val="00CB105F"/>
    <w:rsid w:val="00CB12BC"/>
    <w:rsid w:val="00CB13B3"/>
    <w:rsid w:val="00CB1B11"/>
    <w:rsid w:val="00CB245C"/>
    <w:rsid w:val="00CB24BE"/>
    <w:rsid w:val="00CB27AE"/>
    <w:rsid w:val="00CB2AAB"/>
    <w:rsid w:val="00CB313C"/>
    <w:rsid w:val="00CB39C0"/>
    <w:rsid w:val="00CB4079"/>
    <w:rsid w:val="00CB4BB3"/>
    <w:rsid w:val="00CB4DE3"/>
    <w:rsid w:val="00CB5170"/>
    <w:rsid w:val="00CB51E9"/>
    <w:rsid w:val="00CB528D"/>
    <w:rsid w:val="00CB52D8"/>
    <w:rsid w:val="00CB5617"/>
    <w:rsid w:val="00CB58A8"/>
    <w:rsid w:val="00CB6079"/>
    <w:rsid w:val="00CB6099"/>
    <w:rsid w:val="00CB614B"/>
    <w:rsid w:val="00CB7321"/>
    <w:rsid w:val="00CB75F4"/>
    <w:rsid w:val="00CB7E0A"/>
    <w:rsid w:val="00CC00D4"/>
    <w:rsid w:val="00CC017F"/>
    <w:rsid w:val="00CC0D17"/>
    <w:rsid w:val="00CC16B4"/>
    <w:rsid w:val="00CC2035"/>
    <w:rsid w:val="00CC203A"/>
    <w:rsid w:val="00CC2149"/>
    <w:rsid w:val="00CC2A88"/>
    <w:rsid w:val="00CC2DA9"/>
    <w:rsid w:val="00CC2E7E"/>
    <w:rsid w:val="00CC30D1"/>
    <w:rsid w:val="00CC33C8"/>
    <w:rsid w:val="00CC358D"/>
    <w:rsid w:val="00CC421B"/>
    <w:rsid w:val="00CC465B"/>
    <w:rsid w:val="00CC47DA"/>
    <w:rsid w:val="00CC631B"/>
    <w:rsid w:val="00CC6589"/>
    <w:rsid w:val="00CC664A"/>
    <w:rsid w:val="00CC6A74"/>
    <w:rsid w:val="00CC7782"/>
    <w:rsid w:val="00CC7BEC"/>
    <w:rsid w:val="00CD0890"/>
    <w:rsid w:val="00CD11C1"/>
    <w:rsid w:val="00CD19FE"/>
    <w:rsid w:val="00CD1B38"/>
    <w:rsid w:val="00CD1BC6"/>
    <w:rsid w:val="00CD1D90"/>
    <w:rsid w:val="00CD2B6B"/>
    <w:rsid w:val="00CD304D"/>
    <w:rsid w:val="00CD324E"/>
    <w:rsid w:val="00CD36FB"/>
    <w:rsid w:val="00CD3C95"/>
    <w:rsid w:val="00CD4092"/>
    <w:rsid w:val="00CD430A"/>
    <w:rsid w:val="00CD47CB"/>
    <w:rsid w:val="00CD4978"/>
    <w:rsid w:val="00CD4D25"/>
    <w:rsid w:val="00CD6033"/>
    <w:rsid w:val="00CD6C21"/>
    <w:rsid w:val="00CD7CCB"/>
    <w:rsid w:val="00CE07EE"/>
    <w:rsid w:val="00CE0FA2"/>
    <w:rsid w:val="00CE10BD"/>
    <w:rsid w:val="00CE11CF"/>
    <w:rsid w:val="00CE1680"/>
    <w:rsid w:val="00CE1B68"/>
    <w:rsid w:val="00CE1F17"/>
    <w:rsid w:val="00CE2662"/>
    <w:rsid w:val="00CE30C0"/>
    <w:rsid w:val="00CE3A20"/>
    <w:rsid w:val="00CE3EE5"/>
    <w:rsid w:val="00CE43A1"/>
    <w:rsid w:val="00CE55ED"/>
    <w:rsid w:val="00CE58B7"/>
    <w:rsid w:val="00CE5AA8"/>
    <w:rsid w:val="00CE617F"/>
    <w:rsid w:val="00CE6213"/>
    <w:rsid w:val="00CE6301"/>
    <w:rsid w:val="00CE6361"/>
    <w:rsid w:val="00CE6563"/>
    <w:rsid w:val="00CE7063"/>
    <w:rsid w:val="00CE7877"/>
    <w:rsid w:val="00CE7D6F"/>
    <w:rsid w:val="00CE7F13"/>
    <w:rsid w:val="00CF0B9E"/>
    <w:rsid w:val="00CF1B26"/>
    <w:rsid w:val="00CF1BBC"/>
    <w:rsid w:val="00CF20A5"/>
    <w:rsid w:val="00CF2FB9"/>
    <w:rsid w:val="00CF3229"/>
    <w:rsid w:val="00CF33BA"/>
    <w:rsid w:val="00CF371D"/>
    <w:rsid w:val="00CF3980"/>
    <w:rsid w:val="00CF3FB2"/>
    <w:rsid w:val="00CF4AF1"/>
    <w:rsid w:val="00CF58FA"/>
    <w:rsid w:val="00CF642D"/>
    <w:rsid w:val="00CF68BA"/>
    <w:rsid w:val="00D00495"/>
    <w:rsid w:val="00D004BE"/>
    <w:rsid w:val="00D006FA"/>
    <w:rsid w:val="00D007D4"/>
    <w:rsid w:val="00D00DBC"/>
    <w:rsid w:val="00D011F1"/>
    <w:rsid w:val="00D0133B"/>
    <w:rsid w:val="00D01549"/>
    <w:rsid w:val="00D01902"/>
    <w:rsid w:val="00D01942"/>
    <w:rsid w:val="00D01A6B"/>
    <w:rsid w:val="00D01CF3"/>
    <w:rsid w:val="00D026CE"/>
    <w:rsid w:val="00D02D47"/>
    <w:rsid w:val="00D02EBA"/>
    <w:rsid w:val="00D034DA"/>
    <w:rsid w:val="00D03586"/>
    <w:rsid w:val="00D03588"/>
    <w:rsid w:val="00D03E1F"/>
    <w:rsid w:val="00D0404D"/>
    <w:rsid w:val="00D049CD"/>
    <w:rsid w:val="00D04F81"/>
    <w:rsid w:val="00D050FC"/>
    <w:rsid w:val="00D05674"/>
    <w:rsid w:val="00D05726"/>
    <w:rsid w:val="00D05B21"/>
    <w:rsid w:val="00D05C6B"/>
    <w:rsid w:val="00D05C7E"/>
    <w:rsid w:val="00D05F5A"/>
    <w:rsid w:val="00D065A0"/>
    <w:rsid w:val="00D066D2"/>
    <w:rsid w:val="00D068F5"/>
    <w:rsid w:val="00D0691C"/>
    <w:rsid w:val="00D06C6B"/>
    <w:rsid w:val="00D06DED"/>
    <w:rsid w:val="00D06F71"/>
    <w:rsid w:val="00D07150"/>
    <w:rsid w:val="00D07191"/>
    <w:rsid w:val="00D07398"/>
    <w:rsid w:val="00D075C6"/>
    <w:rsid w:val="00D10AA7"/>
    <w:rsid w:val="00D10B2F"/>
    <w:rsid w:val="00D10D6C"/>
    <w:rsid w:val="00D110D9"/>
    <w:rsid w:val="00D11281"/>
    <w:rsid w:val="00D11FDE"/>
    <w:rsid w:val="00D12373"/>
    <w:rsid w:val="00D1296E"/>
    <w:rsid w:val="00D131A4"/>
    <w:rsid w:val="00D13369"/>
    <w:rsid w:val="00D136F0"/>
    <w:rsid w:val="00D13972"/>
    <w:rsid w:val="00D14832"/>
    <w:rsid w:val="00D14E2D"/>
    <w:rsid w:val="00D14FB9"/>
    <w:rsid w:val="00D151FF"/>
    <w:rsid w:val="00D15608"/>
    <w:rsid w:val="00D15725"/>
    <w:rsid w:val="00D15C1A"/>
    <w:rsid w:val="00D16090"/>
    <w:rsid w:val="00D16CF7"/>
    <w:rsid w:val="00D16EE5"/>
    <w:rsid w:val="00D1755E"/>
    <w:rsid w:val="00D177D8"/>
    <w:rsid w:val="00D17B27"/>
    <w:rsid w:val="00D20084"/>
    <w:rsid w:val="00D201E2"/>
    <w:rsid w:val="00D205AA"/>
    <w:rsid w:val="00D20A08"/>
    <w:rsid w:val="00D20FA8"/>
    <w:rsid w:val="00D21147"/>
    <w:rsid w:val="00D213E9"/>
    <w:rsid w:val="00D21DC9"/>
    <w:rsid w:val="00D224AC"/>
    <w:rsid w:val="00D22660"/>
    <w:rsid w:val="00D23552"/>
    <w:rsid w:val="00D249D4"/>
    <w:rsid w:val="00D25B76"/>
    <w:rsid w:val="00D265D4"/>
    <w:rsid w:val="00D26A37"/>
    <w:rsid w:val="00D27204"/>
    <w:rsid w:val="00D272C0"/>
    <w:rsid w:val="00D27656"/>
    <w:rsid w:val="00D27B39"/>
    <w:rsid w:val="00D27BC3"/>
    <w:rsid w:val="00D307B5"/>
    <w:rsid w:val="00D30E72"/>
    <w:rsid w:val="00D30E7E"/>
    <w:rsid w:val="00D31823"/>
    <w:rsid w:val="00D31BB5"/>
    <w:rsid w:val="00D32105"/>
    <w:rsid w:val="00D324BD"/>
    <w:rsid w:val="00D32710"/>
    <w:rsid w:val="00D32819"/>
    <w:rsid w:val="00D32C63"/>
    <w:rsid w:val="00D32FF4"/>
    <w:rsid w:val="00D338A1"/>
    <w:rsid w:val="00D3431C"/>
    <w:rsid w:val="00D3442C"/>
    <w:rsid w:val="00D3454C"/>
    <w:rsid w:val="00D34AA7"/>
    <w:rsid w:val="00D34FA3"/>
    <w:rsid w:val="00D3518D"/>
    <w:rsid w:val="00D355EE"/>
    <w:rsid w:val="00D36E00"/>
    <w:rsid w:val="00D36FBE"/>
    <w:rsid w:val="00D370BD"/>
    <w:rsid w:val="00D3745B"/>
    <w:rsid w:val="00D37EAE"/>
    <w:rsid w:val="00D37F45"/>
    <w:rsid w:val="00D40777"/>
    <w:rsid w:val="00D40FC5"/>
    <w:rsid w:val="00D4105E"/>
    <w:rsid w:val="00D41175"/>
    <w:rsid w:val="00D411B5"/>
    <w:rsid w:val="00D4132C"/>
    <w:rsid w:val="00D41709"/>
    <w:rsid w:val="00D417B3"/>
    <w:rsid w:val="00D41C9A"/>
    <w:rsid w:val="00D42E24"/>
    <w:rsid w:val="00D43071"/>
    <w:rsid w:val="00D4365E"/>
    <w:rsid w:val="00D4490D"/>
    <w:rsid w:val="00D45410"/>
    <w:rsid w:val="00D4553E"/>
    <w:rsid w:val="00D455D9"/>
    <w:rsid w:val="00D45625"/>
    <w:rsid w:val="00D4598B"/>
    <w:rsid w:val="00D45A62"/>
    <w:rsid w:val="00D45D68"/>
    <w:rsid w:val="00D46107"/>
    <w:rsid w:val="00D464F3"/>
    <w:rsid w:val="00D477B6"/>
    <w:rsid w:val="00D47A88"/>
    <w:rsid w:val="00D5065E"/>
    <w:rsid w:val="00D50854"/>
    <w:rsid w:val="00D50899"/>
    <w:rsid w:val="00D5131E"/>
    <w:rsid w:val="00D513BF"/>
    <w:rsid w:val="00D516E5"/>
    <w:rsid w:val="00D51716"/>
    <w:rsid w:val="00D51B20"/>
    <w:rsid w:val="00D52350"/>
    <w:rsid w:val="00D5261A"/>
    <w:rsid w:val="00D527D7"/>
    <w:rsid w:val="00D52AD0"/>
    <w:rsid w:val="00D52C42"/>
    <w:rsid w:val="00D53221"/>
    <w:rsid w:val="00D5351E"/>
    <w:rsid w:val="00D53AEE"/>
    <w:rsid w:val="00D53D33"/>
    <w:rsid w:val="00D54158"/>
    <w:rsid w:val="00D54287"/>
    <w:rsid w:val="00D544F2"/>
    <w:rsid w:val="00D55344"/>
    <w:rsid w:val="00D5549F"/>
    <w:rsid w:val="00D555A0"/>
    <w:rsid w:val="00D555C3"/>
    <w:rsid w:val="00D556BE"/>
    <w:rsid w:val="00D55BDF"/>
    <w:rsid w:val="00D56525"/>
    <w:rsid w:val="00D566D9"/>
    <w:rsid w:val="00D56B85"/>
    <w:rsid w:val="00D56E72"/>
    <w:rsid w:val="00D577C6"/>
    <w:rsid w:val="00D603D5"/>
    <w:rsid w:val="00D609D9"/>
    <w:rsid w:val="00D60A28"/>
    <w:rsid w:val="00D60DAA"/>
    <w:rsid w:val="00D60F3F"/>
    <w:rsid w:val="00D611A1"/>
    <w:rsid w:val="00D6124E"/>
    <w:rsid w:val="00D61B18"/>
    <w:rsid w:val="00D63D53"/>
    <w:rsid w:val="00D63E28"/>
    <w:rsid w:val="00D63F41"/>
    <w:rsid w:val="00D6424D"/>
    <w:rsid w:val="00D6479C"/>
    <w:rsid w:val="00D648ED"/>
    <w:rsid w:val="00D64985"/>
    <w:rsid w:val="00D64A41"/>
    <w:rsid w:val="00D650EB"/>
    <w:rsid w:val="00D651C2"/>
    <w:rsid w:val="00D653C5"/>
    <w:rsid w:val="00D65870"/>
    <w:rsid w:val="00D65ADF"/>
    <w:rsid w:val="00D65E86"/>
    <w:rsid w:val="00D6634B"/>
    <w:rsid w:val="00D66CEB"/>
    <w:rsid w:val="00D676E2"/>
    <w:rsid w:val="00D67B45"/>
    <w:rsid w:val="00D67C54"/>
    <w:rsid w:val="00D710D8"/>
    <w:rsid w:val="00D714A5"/>
    <w:rsid w:val="00D718D1"/>
    <w:rsid w:val="00D72181"/>
    <w:rsid w:val="00D721F7"/>
    <w:rsid w:val="00D72869"/>
    <w:rsid w:val="00D72B71"/>
    <w:rsid w:val="00D73400"/>
    <w:rsid w:val="00D7387F"/>
    <w:rsid w:val="00D7396F"/>
    <w:rsid w:val="00D73A8C"/>
    <w:rsid w:val="00D73D9E"/>
    <w:rsid w:val="00D743CA"/>
    <w:rsid w:val="00D752A9"/>
    <w:rsid w:val="00D756F0"/>
    <w:rsid w:val="00D7593F"/>
    <w:rsid w:val="00D76A33"/>
    <w:rsid w:val="00D7749E"/>
    <w:rsid w:val="00D77B33"/>
    <w:rsid w:val="00D803B0"/>
    <w:rsid w:val="00D80583"/>
    <w:rsid w:val="00D805F9"/>
    <w:rsid w:val="00D80A66"/>
    <w:rsid w:val="00D811DE"/>
    <w:rsid w:val="00D81AF1"/>
    <w:rsid w:val="00D81DCD"/>
    <w:rsid w:val="00D82059"/>
    <w:rsid w:val="00D83766"/>
    <w:rsid w:val="00D83973"/>
    <w:rsid w:val="00D83F3D"/>
    <w:rsid w:val="00D8417F"/>
    <w:rsid w:val="00D84256"/>
    <w:rsid w:val="00D842A8"/>
    <w:rsid w:val="00D843D7"/>
    <w:rsid w:val="00D843E1"/>
    <w:rsid w:val="00D8463E"/>
    <w:rsid w:val="00D84E4B"/>
    <w:rsid w:val="00D85A07"/>
    <w:rsid w:val="00D85B31"/>
    <w:rsid w:val="00D85B3F"/>
    <w:rsid w:val="00D85C1D"/>
    <w:rsid w:val="00D85EE4"/>
    <w:rsid w:val="00D85F6A"/>
    <w:rsid w:val="00D86248"/>
    <w:rsid w:val="00D86426"/>
    <w:rsid w:val="00D86923"/>
    <w:rsid w:val="00D86990"/>
    <w:rsid w:val="00D8755D"/>
    <w:rsid w:val="00D87604"/>
    <w:rsid w:val="00D8782A"/>
    <w:rsid w:val="00D87CA2"/>
    <w:rsid w:val="00D9016E"/>
    <w:rsid w:val="00D90345"/>
    <w:rsid w:val="00D9179C"/>
    <w:rsid w:val="00D91C11"/>
    <w:rsid w:val="00D91DA2"/>
    <w:rsid w:val="00D92A4E"/>
    <w:rsid w:val="00D92C5D"/>
    <w:rsid w:val="00D93008"/>
    <w:rsid w:val="00D930F4"/>
    <w:rsid w:val="00D93318"/>
    <w:rsid w:val="00D935DF"/>
    <w:rsid w:val="00D935EB"/>
    <w:rsid w:val="00D939CF"/>
    <w:rsid w:val="00D93FAC"/>
    <w:rsid w:val="00D944FA"/>
    <w:rsid w:val="00D9556C"/>
    <w:rsid w:val="00D961A2"/>
    <w:rsid w:val="00D961F8"/>
    <w:rsid w:val="00D966E3"/>
    <w:rsid w:val="00D96B28"/>
    <w:rsid w:val="00D96CE6"/>
    <w:rsid w:val="00D96E60"/>
    <w:rsid w:val="00D971B2"/>
    <w:rsid w:val="00D97802"/>
    <w:rsid w:val="00D97D5E"/>
    <w:rsid w:val="00D97E0D"/>
    <w:rsid w:val="00DA043B"/>
    <w:rsid w:val="00DA077D"/>
    <w:rsid w:val="00DA140A"/>
    <w:rsid w:val="00DA1562"/>
    <w:rsid w:val="00DA2361"/>
    <w:rsid w:val="00DA2918"/>
    <w:rsid w:val="00DA2B6E"/>
    <w:rsid w:val="00DA36E1"/>
    <w:rsid w:val="00DA3E76"/>
    <w:rsid w:val="00DA4017"/>
    <w:rsid w:val="00DA41AF"/>
    <w:rsid w:val="00DA4CB2"/>
    <w:rsid w:val="00DA4D70"/>
    <w:rsid w:val="00DA4F04"/>
    <w:rsid w:val="00DA5945"/>
    <w:rsid w:val="00DA5B94"/>
    <w:rsid w:val="00DA64CB"/>
    <w:rsid w:val="00DA64CE"/>
    <w:rsid w:val="00DA6E0C"/>
    <w:rsid w:val="00DA72DC"/>
    <w:rsid w:val="00DA768B"/>
    <w:rsid w:val="00DA7817"/>
    <w:rsid w:val="00DA78C3"/>
    <w:rsid w:val="00DA7EDB"/>
    <w:rsid w:val="00DB00D4"/>
    <w:rsid w:val="00DB10A5"/>
    <w:rsid w:val="00DB16B6"/>
    <w:rsid w:val="00DB16ED"/>
    <w:rsid w:val="00DB24D7"/>
    <w:rsid w:val="00DB2518"/>
    <w:rsid w:val="00DB2B6F"/>
    <w:rsid w:val="00DB314C"/>
    <w:rsid w:val="00DB31D2"/>
    <w:rsid w:val="00DB31E8"/>
    <w:rsid w:val="00DB3376"/>
    <w:rsid w:val="00DB348F"/>
    <w:rsid w:val="00DB4B98"/>
    <w:rsid w:val="00DB4F04"/>
    <w:rsid w:val="00DB5316"/>
    <w:rsid w:val="00DB5405"/>
    <w:rsid w:val="00DB5916"/>
    <w:rsid w:val="00DB5C76"/>
    <w:rsid w:val="00DB6129"/>
    <w:rsid w:val="00DB6483"/>
    <w:rsid w:val="00DB69C9"/>
    <w:rsid w:val="00DB74C4"/>
    <w:rsid w:val="00DC0159"/>
    <w:rsid w:val="00DC02BE"/>
    <w:rsid w:val="00DC0500"/>
    <w:rsid w:val="00DC0DE2"/>
    <w:rsid w:val="00DC0FBC"/>
    <w:rsid w:val="00DC1B3B"/>
    <w:rsid w:val="00DC2541"/>
    <w:rsid w:val="00DC2A2E"/>
    <w:rsid w:val="00DC2E5E"/>
    <w:rsid w:val="00DC362E"/>
    <w:rsid w:val="00DC3787"/>
    <w:rsid w:val="00DC4409"/>
    <w:rsid w:val="00DC4882"/>
    <w:rsid w:val="00DC5090"/>
    <w:rsid w:val="00DC565F"/>
    <w:rsid w:val="00DC5C18"/>
    <w:rsid w:val="00DC6F9D"/>
    <w:rsid w:val="00DC7B2E"/>
    <w:rsid w:val="00DC7D82"/>
    <w:rsid w:val="00DC7E34"/>
    <w:rsid w:val="00DC7EAB"/>
    <w:rsid w:val="00DD0200"/>
    <w:rsid w:val="00DD0537"/>
    <w:rsid w:val="00DD0E1F"/>
    <w:rsid w:val="00DD1675"/>
    <w:rsid w:val="00DD17CD"/>
    <w:rsid w:val="00DD1854"/>
    <w:rsid w:val="00DD1AE5"/>
    <w:rsid w:val="00DD1E68"/>
    <w:rsid w:val="00DD28B9"/>
    <w:rsid w:val="00DD2ADB"/>
    <w:rsid w:val="00DD2B27"/>
    <w:rsid w:val="00DD2C74"/>
    <w:rsid w:val="00DD349A"/>
    <w:rsid w:val="00DD3D6C"/>
    <w:rsid w:val="00DD47D3"/>
    <w:rsid w:val="00DD57D8"/>
    <w:rsid w:val="00DD5B9F"/>
    <w:rsid w:val="00DD6710"/>
    <w:rsid w:val="00DD684D"/>
    <w:rsid w:val="00DD6C2B"/>
    <w:rsid w:val="00DD6D90"/>
    <w:rsid w:val="00DD6E4A"/>
    <w:rsid w:val="00DD73AD"/>
    <w:rsid w:val="00DD776A"/>
    <w:rsid w:val="00DD78BE"/>
    <w:rsid w:val="00DD7B80"/>
    <w:rsid w:val="00DD7C4B"/>
    <w:rsid w:val="00DE0123"/>
    <w:rsid w:val="00DE0197"/>
    <w:rsid w:val="00DE08EB"/>
    <w:rsid w:val="00DE095D"/>
    <w:rsid w:val="00DE0D64"/>
    <w:rsid w:val="00DE1592"/>
    <w:rsid w:val="00DE1D4F"/>
    <w:rsid w:val="00DE261E"/>
    <w:rsid w:val="00DE2F97"/>
    <w:rsid w:val="00DE35B8"/>
    <w:rsid w:val="00DE3BCB"/>
    <w:rsid w:val="00DE4075"/>
    <w:rsid w:val="00DE43E2"/>
    <w:rsid w:val="00DE4DEA"/>
    <w:rsid w:val="00DE5042"/>
    <w:rsid w:val="00DE52DC"/>
    <w:rsid w:val="00DE569D"/>
    <w:rsid w:val="00DE59B4"/>
    <w:rsid w:val="00DE62F8"/>
    <w:rsid w:val="00DE636F"/>
    <w:rsid w:val="00DE655F"/>
    <w:rsid w:val="00DE70F8"/>
    <w:rsid w:val="00DE7144"/>
    <w:rsid w:val="00DE726D"/>
    <w:rsid w:val="00DE73D0"/>
    <w:rsid w:val="00DE7681"/>
    <w:rsid w:val="00DE7FE3"/>
    <w:rsid w:val="00DF0238"/>
    <w:rsid w:val="00DF0AE0"/>
    <w:rsid w:val="00DF0AED"/>
    <w:rsid w:val="00DF163F"/>
    <w:rsid w:val="00DF1D2F"/>
    <w:rsid w:val="00DF3569"/>
    <w:rsid w:val="00DF3BAD"/>
    <w:rsid w:val="00DF43A4"/>
    <w:rsid w:val="00DF4CDC"/>
    <w:rsid w:val="00DF54F4"/>
    <w:rsid w:val="00DF5590"/>
    <w:rsid w:val="00DF5754"/>
    <w:rsid w:val="00DF584B"/>
    <w:rsid w:val="00DF666A"/>
    <w:rsid w:val="00DF6AD4"/>
    <w:rsid w:val="00DF6D6B"/>
    <w:rsid w:val="00DF73E4"/>
    <w:rsid w:val="00E001D8"/>
    <w:rsid w:val="00E004AC"/>
    <w:rsid w:val="00E005F8"/>
    <w:rsid w:val="00E00867"/>
    <w:rsid w:val="00E00B87"/>
    <w:rsid w:val="00E00C82"/>
    <w:rsid w:val="00E00F58"/>
    <w:rsid w:val="00E00FC1"/>
    <w:rsid w:val="00E01649"/>
    <w:rsid w:val="00E01A63"/>
    <w:rsid w:val="00E01BE2"/>
    <w:rsid w:val="00E02B41"/>
    <w:rsid w:val="00E02D7F"/>
    <w:rsid w:val="00E0325A"/>
    <w:rsid w:val="00E03918"/>
    <w:rsid w:val="00E03A55"/>
    <w:rsid w:val="00E03A9D"/>
    <w:rsid w:val="00E04CA0"/>
    <w:rsid w:val="00E04E2B"/>
    <w:rsid w:val="00E05040"/>
    <w:rsid w:val="00E052E3"/>
    <w:rsid w:val="00E05D95"/>
    <w:rsid w:val="00E079DA"/>
    <w:rsid w:val="00E07A0E"/>
    <w:rsid w:val="00E07D79"/>
    <w:rsid w:val="00E1108D"/>
    <w:rsid w:val="00E1135A"/>
    <w:rsid w:val="00E1138B"/>
    <w:rsid w:val="00E12326"/>
    <w:rsid w:val="00E12664"/>
    <w:rsid w:val="00E12DF9"/>
    <w:rsid w:val="00E12FFA"/>
    <w:rsid w:val="00E13364"/>
    <w:rsid w:val="00E13429"/>
    <w:rsid w:val="00E13DD0"/>
    <w:rsid w:val="00E140C6"/>
    <w:rsid w:val="00E145F4"/>
    <w:rsid w:val="00E14E53"/>
    <w:rsid w:val="00E14EE7"/>
    <w:rsid w:val="00E1517E"/>
    <w:rsid w:val="00E1555A"/>
    <w:rsid w:val="00E156CA"/>
    <w:rsid w:val="00E15984"/>
    <w:rsid w:val="00E15A86"/>
    <w:rsid w:val="00E15A93"/>
    <w:rsid w:val="00E16034"/>
    <w:rsid w:val="00E16428"/>
    <w:rsid w:val="00E1655A"/>
    <w:rsid w:val="00E165AA"/>
    <w:rsid w:val="00E1665B"/>
    <w:rsid w:val="00E17AA6"/>
    <w:rsid w:val="00E20437"/>
    <w:rsid w:val="00E2054F"/>
    <w:rsid w:val="00E2062D"/>
    <w:rsid w:val="00E209AF"/>
    <w:rsid w:val="00E21683"/>
    <w:rsid w:val="00E216A6"/>
    <w:rsid w:val="00E21830"/>
    <w:rsid w:val="00E2270A"/>
    <w:rsid w:val="00E2329B"/>
    <w:rsid w:val="00E23532"/>
    <w:rsid w:val="00E235BD"/>
    <w:rsid w:val="00E23A0B"/>
    <w:rsid w:val="00E24101"/>
    <w:rsid w:val="00E24146"/>
    <w:rsid w:val="00E245DC"/>
    <w:rsid w:val="00E24634"/>
    <w:rsid w:val="00E2472F"/>
    <w:rsid w:val="00E2481C"/>
    <w:rsid w:val="00E24CEB"/>
    <w:rsid w:val="00E25C0F"/>
    <w:rsid w:val="00E270D5"/>
    <w:rsid w:val="00E2749E"/>
    <w:rsid w:val="00E27523"/>
    <w:rsid w:val="00E308F8"/>
    <w:rsid w:val="00E30CA0"/>
    <w:rsid w:val="00E314DC"/>
    <w:rsid w:val="00E31515"/>
    <w:rsid w:val="00E315DF"/>
    <w:rsid w:val="00E318AA"/>
    <w:rsid w:val="00E31D2D"/>
    <w:rsid w:val="00E32006"/>
    <w:rsid w:val="00E33093"/>
    <w:rsid w:val="00E332F7"/>
    <w:rsid w:val="00E3330E"/>
    <w:rsid w:val="00E33720"/>
    <w:rsid w:val="00E33827"/>
    <w:rsid w:val="00E33F61"/>
    <w:rsid w:val="00E3410B"/>
    <w:rsid w:val="00E3491E"/>
    <w:rsid w:val="00E34E7B"/>
    <w:rsid w:val="00E35240"/>
    <w:rsid w:val="00E35555"/>
    <w:rsid w:val="00E35B18"/>
    <w:rsid w:val="00E35B75"/>
    <w:rsid w:val="00E35C73"/>
    <w:rsid w:val="00E35DBF"/>
    <w:rsid w:val="00E36302"/>
    <w:rsid w:val="00E3657D"/>
    <w:rsid w:val="00E36CA7"/>
    <w:rsid w:val="00E36F79"/>
    <w:rsid w:val="00E373B1"/>
    <w:rsid w:val="00E374E0"/>
    <w:rsid w:val="00E378E1"/>
    <w:rsid w:val="00E40A37"/>
    <w:rsid w:val="00E40D18"/>
    <w:rsid w:val="00E40EDC"/>
    <w:rsid w:val="00E411E5"/>
    <w:rsid w:val="00E41A9E"/>
    <w:rsid w:val="00E41E06"/>
    <w:rsid w:val="00E4228F"/>
    <w:rsid w:val="00E422A4"/>
    <w:rsid w:val="00E42AF8"/>
    <w:rsid w:val="00E43D7C"/>
    <w:rsid w:val="00E43FCC"/>
    <w:rsid w:val="00E440FD"/>
    <w:rsid w:val="00E44B85"/>
    <w:rsid w:val="00E454BA"/>
    <w:rsid w:val="00E45A01"/>
    <w:rsid w:val="00E45BE6"/>
    <w:rsid w:val="00E46A64"/>
    <w:rsid w:val="00E46A74"/>
    <w:rsid w:val="00E46AFD"/>
    <w:rsid w:val="00E46B81"/>
    <w:rsid w:val="00E47092"/>
    <w:rsid w:val="00E47430"/>
    <w:rsid w:val="00E475A6"/>
    <w:rsid w:val="00E4775F"/>
    <w:rsid w:val="00E47A47"/>
    <w:rsid w:val="00E50341"/>
    <w:rsid w:val="00E50484"/>
    <w:rsid w:val="00E5125C"/>
    <w:rsid w:val="00E523F8"/>
    <w:rsid w:val="00E52C30"/>
    <w:rsid w:val="00E53B62"/>
    <w:rsid w:val="00E542C4"/>
    <w:rsid w:val="00E54497"/>
    <w:rsid w:val="00E54A61"/>
    <w:rsid w:val="00E54AAA"/>
    <w:rsid w:val="00E54AD1"/>
    <w:rsid w:val="00E54C6A"/>
    <w:rsid w:val="00E55082"/>
    <w:rsid w:val="00E55955"/>
    <w:rsid w:val="00E55BF7"/>
    <w:rsid w:val="00E562D6"/>
    <w:rsid w:val="00E56742"/>
    <w:rsid w:val="00E57220"/>
    <w:rsid w:val="00E57312"/>
    <w:rsid w:val="00E5737D"/>
    <w:rsid w:val="00E57935"/>
    <w:rsid w:val="00E57D67"/>
    <w:rsid w:val="00E600AC"/>
    <w:rsid w:val="00E60155"/>
    <w:rsid w:val="00E602D6"/>
    <w:rsid w:val="00E6067E"/>
    <w:rsid w:val="00E609E5"/>
    <w:rsid w:val="00E60A46"/>
    <w:rsid w:val="00E60E17"/>
    <w:rsid w:val="00E612F9"/>
    <w:rsid w:val="00E62A17"/>
    <w:rsid w:val="00E62A99"/>
    <w:rsid w:val="00E6309B"/>
    <w:rsid w:val="00E63132"/>
    <w:rsid w:val="00E6415C"/>
    <w:rsid w:val="00E64280"/>
    <w:rsid w:val="00E64589"/>
    <w:rsid w:val="00E647E9"/>
    <w:rsid w:val="00E64E01"/>
    <w:rsid w:val="00E64EF6"/>
    <w:rsid w:val="00E65201"/>
    <w:rsid w:val="00E6528C"/>
    <w:rsid w:val="00E65759"/>
    <w:rsid w:val="00E659A3"/>
    <w:rsid w:val="00E65C09"/>
    <w:rsid w:val="00E65D0A"/>
    <w:rsid w:val="00E65EC9"/>
    <w:rsid w:val="00E669FD"/>
    <w:rsid w:val="00E67217"/>
    <w:rsid w:val="00E67377"/>
    <w:rsid w:val="00E679D0"/>
    <w:rsid w:val="00E67E65"/>
    <w:rsid w:val="00E705B5"/>
    <w:rsid w:val="00E7162A"/>
    <w:rsid w:val="00E718AD"/>
    <w:rsid w:val="00E71B1E"/>
    <w:rsid w:val="00E71E4A"/>
    <w:rsid w:val="00E723F9"/>
    <w:rsid w:val="00E72802"/>
    <w:rsid w:val="00E72A16"/>
    <w:rsid w:val="00E72FCB"/>
    <w:rsid w:val="00E731D7"/>
    <w:rsid w:val="00E736B1"/>
    <w:rsid w:val="00E7381E"/>
    <w:rsid w:val="00E73BDB"/>
    <w:rsid w:val="00E73F1F"/>
    <w:rsid w:val="00E744B0"/>
    <w:rsid w:val="00E74793"/>
    <w:rsid w:val="00E74852"/>
    <w:rsid w:val="00E7494C"/>
    <w:rsid w:val="00E749AA"/>
    <w:rsid w:val="00E74C24"/>
    <w:rsid w:val="00E74E17"/>
    <w:rsid w:val="00E7632D"/>
    <w:rsid w:val="00E764A6"/>
    <w:rsid w:val="00E76CF7"/>
    <w:rsid w:val="00E77019"/>
    <w:rsid w:val="00E779DE"/>
    <w:rsid w:val="00E800CC"/>
    <w:rsid w:val="00E80481"/>
    <w:rsid w:val="00E80598"/>
    <w:rsid w:val="00E80C79"/>
    <w:rsid w:val="00E811EE"/>
    <w:rsid w:val="00E812AD"/>
    <w:rsid w:val="00E81464"/>
    <w:rsid w:val="00E81486"/>
    <w:rsid w:val="00E814AC"/>
    <w:rsid w:val="00E81528"/>
    <w:rsid w:val="00E81C52"/>
    <w:rsid w:val="00E821CB"/>
    <w:rsid w:val="00E82A7A"/>
    <w:rsid w:val="00E82CA3"/>
    <w:rsid w:val="00E83897"/>
    <w:rsid w:val="00E841A4"/>
    <w:rsid w:val="00E844CA"/>
    <w:rsid w:val="00E849D1"/>
    <w:rsid w:val="00E84FCC"/>
    <w:rsid w:val="00E8595D"/>
    <w:rsid w:val="00E85BC6"/>
    <w:rsid w:val="00E863D7"/>
    <w:rsid w:val="00E87984"/>
    <w:rsid w:val="00E879AB"/>
    <w:rsid w:val="00E87F29"/>
    <w:rsid w:val="00E90607"/>
    <w:rsid w:val="00E917E1"/>
    <w:rsid w:val="00E91B82"/>
    <w:rsid w:val="00E9253B"/>
    <w:rsid w:val="00E926AF"/>
    <w:rsid w:val="00E92C22"/>
    <w:rsid w:val="00E92D5A"/>
    <w:rsid w:val="00E92D6D"/>
    <w:rsid w:val="00E92F00"/>
    <w:rsid w:val="00E93F98"/>
    <w:rsid w:val="00E9420E"/>
    <w:rsid w:val="00E943B8"/>
    <w:rsid w:val="00E9446F"/>
    <w:rsid w:val="00E9496D"/>
    <w:rsid w:val="00E94C45"/>
    <w:rsid w:val="00E94CDD"/>
    <w:rsid w:val="00E9537D"/>
    <w:rsid w:val="00E95402"/>
    <w:rsid w:val="00E95BAA"/>
    <w:rsid w:val="00E9605D"/>
    <w:rsid w:val="00E965A5"/>
    <w:rsid w:val="00E972BC"/>
    <w:rsid w:val="00E9758C"/>
    <w:rsid w:val="00E97592"/>
    <w:rsid w:val="00E975F7"/>
    <w:rsid w:val="00E97C48"/>
    <w:rsid w:val="00EA045E"/>
    <w:rsid w:val="00EA0FDE"/>
    <w:rsid w:val="00EA1CEA"/>
    <w:rsid w:val="00EA25A1"/>
    <w:rsid w:val="00EA2A81"/>
    <w:rsid w:val="00EA2E5C"/>
    <w:rsid w:val="00EA2F63"/>
    <w:rsid w:val="00EA3071"/>
    <w:rsid w:val="00EA35D6"/>
    <w:rsid w:val="00EA3897"/>
    <w:rsid w:val="00EA38AB"/>
    <w:rsid w:val="00EA4096"/>
    <w:rsid w:val="00EA47F7"/>
    <w:rsid w:val="00EA4990"/>
    <w:rsid w:val="00EA4F8C"/>
    <w:rsid w:val="00EA5118"/>
    <w:rsid w:val="00EA54B6"/>
    <w:rsid w:val="00EA558D"/>
    <w:rsid w:val="00EA55DB"/>
    <w:rsid w:val="00EA5F1D"/>
    <w:rsid w:val="00EA638C"/>
    <w:rsid w:val="00EA6F3B"/>
    <w:rsid w:val="00EA732E"/>
    <w:rsid w:val="00EA7472"/>
    <w:rsid w:val="00EA7477"/>
    <w:rsid w:val="00EA770E"/>
    <w:rsid w:val="00EA77F3"/>
    <w:rsid w:val="00EA7E6A"/>
    <w:rsid w:val="00EB0798"/>
    <w:rsid w:val="00EB1806"/>
    <w:rsid w:val="00EB1939"/>
    <w:rsid w:val="00EB1B14"/>
    <w:rsid w:val="00EB204E"/>
    <w:rsid w:val="00EB25A7"/>
    <w:rsid w:val="00EB2690"/>
    <w:rsid w:val="00EB2CC2"/>
    <w:rsid w:val="00EB30FD"/>
    <w:rsid w:val="00EB3387"/>
    <w:rsid w:val="00EB3673"/>
    <w:rsid w:val="00EB4DF2"/>
    <w:rsid w:val="00EB535E"/>
    <w:rsid w:val="00EB5535"/>
    <w:rsid w:val="00EB5CF5"/>
    <w:rsid w:val="00EB5D6A"/>
    <w:rsid w:val="00EB5FF4"/>
    <w:rsid w:val="00EB6223"/>
    <w:rsid w:val="00EB6B22"/>
    <w:rsid w:val="00EB6B2B"/>
    <w:rsid w:val="00EB79D8"/>
    <w:rsid w:val="00EC0B9A"/>
    <w:rsid w:val="00EC0C03"/>
    <w:rsid w:val="00EC0E50"/>
    <w:rsid w:val="00EC107F"/>
    <w:rsid w:val="00EC14FB"/>
    <w:rsid w:val="00EC1791"/>
    <w:rsid w:val="00EC2568"/>
    <w:rsid w:val="00EC28C6"/>
    <w:rsid w:val="00EC2A22"/>
    <w:rsid w:val="00EC2BBA"/>
    <w:rsid w:val="00EC323C"/>
    <w:rsid w:val="00EC3F55"/>
    <w:rsid w:val="00EC4C54"/>
    <w:rsid w:val="00EC4FD0"/>
    <w:rsid w:val="00EC5033"/>
    <w:rsid w:val="00EC5116"/>
    <w:rsid w:val="00EC5D8C"/>
    <w:rsid w:val="00EC6285"/>
    <w:rsid w:val="00EC63EE"/>
    <w:rsid w:val="00EC64EB"/>
    <w:rsid w:val="00EC66D5"/>
    <w:rsid w:val="00EC7549"/>
    <w:rsid w:val="00EC7DB9"/>
    <w:rsid w:val="00EC7FE7"/>
    <w:rsid w:val="00ED0125"/>
    <w:rsid w:val="00ED021C"/>
    <w:rsid w:val="00ED0566"/>
    <w:rsid w:val="00ED05A8"/>
    <w:rsid w:val="00ED0A79"/>
    <w:rsid w:val="00ED114E"/>
    <w:rsid w:val="00ED143B"/>
    <w:rsid w:val="00ED1885"/>
    <w:rsid w:val="00ED22A3"/>
    <w:rsid w:val="00ED2884"/>
    <w:rsid w:val="00ED2955"/>
    <w:rsid w:val="00ED2B8D"/>
    <w:rsid w:val="00ED2C9C"/>
    <w:rsid w:val="00ED2ED2"/>
    <w:rsid w:val="00ED31C3"/>
    <w:rsid w:val="00ED384A"/>
    <w:rsid w:val="00ED3921"/>
    <w:rsid w:val="00ED3982"/>
    <w:rsid w:val="00ED41E9"/>
    <w:rsid w:val="00ED501B"/>
    <w:rsid w:val="00ED51B0"/>
    <w:rsid w:val="00ED567D"/>
    <w:rsid w:val="00ED59AA"/>
    <w:rsid w:val="00ED60E4"/>
    <w:rsid w:val="00ED63C9"/>
    <w:rsid w:val="00ED6B40"/>
    <w:rsid w:val="00ED6D8B"/>
    <w:rsid w:val="00ED7152"/>
    <w:rsid w:val="00ED7D08"/>
    <w:rsid w:val="00EE0104"/>
    <w:rsid w:val="00EE04DD"/>
    <w:rsid w:val="00EE0694"/>
    <w:rsid w:val="00EE11DA"/>
    <w:rsid w:val="00EE149D"/>
    <w:rsid w:val="00EE24A4"/>
    <w:rsid w:val="00EE25F0"/>
    <w:rsid w:val="00EE3D8C"/>
    <w:rsid w:val="00EE415F"/>
    <w:rsid w:val="00EE4933"/>
    <w:rsid w:val="00EE4AA4"/>
    <w:rsid w:val="00EE4B4D"/>
    <w:rsid w:val="00EE575A"/>
    <w:rsid w:val="00EE5FD5"/>
    <w:rsid w:val="00EE65EC"/>
    <w:rsid w:val="00EE69EE"/>
    <w:rsid w:val="00EE6EF4"/>
    <w:rsid w:val="00EE6F0D"/>
    <w:rsid w:val="00EE756E"/>
    <w:rsid w:val="00EE76FD"/>
    <w:rsid w:val="00EE77DA"/>
    <w:rsid w:val="00EE78EF"/>
    <w:rsid w:val="00EE79C9"/>
    <w:rsid w:val="00EE7C49"/>
    <w:rsid w:val="00EE7F04"/>
    <w:rsid w:val="00EE7F1B"/>
    <w:rsid w:val="00EF002D"/>
    <w:rsid w:val="00EF074E"/>
    <w:rsid w:val="00EF0800"/>
    <w:rsid w:val="00EF0C1D"/>
    <w:rsid w:val="00EF1615"/>
    <w:rsid w:val="00EF1C6B"/>
    <w:rsid w:val="00EF1F37"/>
    <w:rsid w:val="00EF2D40"/>
    <w:rsid w:val="00EF37F6"/>
    <w:rsid w:val="00EF3AB5"/>
    <w:rsid w:val="00EF44E8"/>
    <w:rsid w:val="00EF60EB"/>
    <w:rsid w:val="00EF6180"/>
    <w:rsid w:val="00EF663D"/>
    <w:rsid w:val="00EF6E86"/>
    <w:rsid w:val="00EF7EF2"/>
    <w:rsid w:val="00EF7F2E"/>
    <w:rsid w:val="00F0000F"/>
    <w:rsid w:val="00F00799"/>
    <w:rsid w:val="00F00AF7"/>
    <w:rsid w:val="00F00DB3"/>
    <w:rsid w:val="00F01066"/>
    <w:rsid w:val="00F01185"/>
    <w:rsid w:val="00F01360"/>
    <w:rsid w:val="00F019C1"/>
    <w:rsid w:val="00F033E6"/>
    <w:rsid w:val="00F03630"/>
    <w:rsid w:val="00F0367F"/>
    <w:rsid w:val="00F037EC"/>
    <w:rsid w:val="00F04285"/>
    <w:rsid w:val="00F044FE"/>
    <w:rsid w:val="00F047C4"/>
    <w:rsid w:val="00F04C58"/>
    <w:rsid w:val="00F059F1"/>
    <w:rsid w:val="00F05F67"/>
    <w:rsid w:val="00F05F9A"/>
    <w:rsid w:val="00F06094"/>
    <w:rsid w:val="00F06287"/>
    <w:rsid w:val="00F06328"/>
    <w:rsid w:val="00F0719B"/>
    <w:rsid w:val="00F07206"/>
    <w:rsid w:val="00F07290"/>
    <w:rsid w:val="00F07694"/>
    <w:rsid w:val="00F07987"/>
    <w:rsid w:val="00F07BDD"/>
    <w:rsid w:val="00F07EB7"/>
    <w:rsid w:val="00F1049B"/>
    <w:rsid w:val="00F104CC"/>
    <w:rsid w:val="00F1066D"/>
    <w:rsid w:val="00F10674"/>
    <w:rsid w:val="00F114B8"/>
    <w:rsid w:val="00F11CBC"/>
    <w:rsid w:val="00F11DF2"/>
    <w:rsid w:val="00F12CBC"/>
    <w:rsid w:val="00F12D19"/>
    <w:rsid w:val="00F1354D"/>
    <w:rsid w:val="00F13727"/>
    <w:rsid w:val="00F13AFA"/>
    <w:rsid w:val="00F1412A"/>
    <w:rsid w:val="00F144DB"/>
    <w:rsid w:val="00F1554D"/>
    <w:rsid w:val="00F1571E"/>
    <w:rsid w:val="00F1588F"/>
    <w:rsid w:val="00F16153"/>
    <w:rsid w:val="00F163D7"/>
    <w:rsid w:val="00F16F45"/>
    <w:rsid w:val="00F1716A"/>
    <w:rsid w:val="00F171EE"/>
    <w:rsid w:val="00F173EF"/>
    <w:rsid w:val="00F174A7"/>
    <w:rsid w:val="00F17EC7"/>
    <w:rsid w:val="00F21213"/>
    <w:rsid w:val="00F218B3"/>
    <w:rsid w:val="00F21C6D"/>
    <w:rsid w:val="00F226C2"/>
    <w:rsid w:val="00F22952"/>
    <w:rsid w:val="00F22DED"/>
    <w:rsid w:val="00F22E1C"/>
    <w:rsid w:val="00F236CA"/>
    <w:rsid w:val="00F23978"/>
    <w:rsid w:val="00F245FF"/>
    <w:rsid w:val="00F255A7"/>
    <w:rsid w:val="00F2562E"/>
    <w:rsid w:val="00F256AD"/>
    <w:rsid w:val="00F25D74"/>
    <w:rsid w:val="00F26082"/>
    <w:rsid w:val="00F26E7B"/>
    <w:rsid w:val="00F27017"/>
    <w:rsid w:val="00F2788C"/>
    <w:rsid w:val="00F27EEE"/>
    <w:rsid w:val="00F303BB"/>
    <w:rsid w:val="00F30E31"/>
    <w:rsid w:val="00F310D8"/>
    <w:rsid w:val="00F319E5"/>
    <w:rsid w:val="00F31B79"/>
    <w:rsid w:val="00F31CFA"/>
    <w:rsid w:val="00F325FC"/>
    <w:rsid w:val="00F32E00"/>
    <w:rsid w:val="00F3385A"/>
    <w:rsid w:val="00F33BCB"/>
    <w:rsid w:val="00F33CCC"/>
    <w:rsid w:val="00F33DFD"/>
    <w:rsid w:val="00F34295"/>
    <w:rsid w:val="00F344C5"/>
    <w:rsid w:val="00F34659"/>
    <w:rsid w:val="00F346B7"/>
    <w:rsid w:val="00F34DB8"/>
    <w:rsid w:val="00F34F85"/>
    <w:rsid w:val="00F34F99"/>
    <w:rsid w:val="00F352F4"/>
    <w:rsid w:val="00F354C6"/>
    <w:rsid w:val="00F3553F"/>
    <w:rsid w:val="00F35C03"/>
    <w:rsid w:val="00F3682F"/>
    <w:rsid w:val="00F36844"/>
    <w:rsid w:val="00F36B4E"/>
    <w:rsid w:val="00F36DC2"/>
    <w:rsid w:val="00F36E4A"/>
    <w:rsid w:val="00F3715E"/>
    <w:rsid w:val="00F3749D"/>
    <w:rsid w:val="00F3752E"/>
    <w:rsid w:val="00F40BE4"/>
    <w:rsid w:val="00F40D02"/>
    <w:rsid w:val="00F410E3"/>
    <w:rsid w:val="00F42328"/>
    <w:rsid w:val="00F42671"/>
    <w:rsid w:val="00F429C5"/>
    <w:rsid w:val="00F42D16"/>
    <w:rsid w:val="00F431CE"/>
    <w:rsid w:val="00F43DA2"/>
    <w:rsid w:val="00F44183"/>
    <w:rsid w:val="00F442D0"/>
    <w:rsid w:val="00F4430A"/>
    <w:rsid w:val="00F4451E"/>
    <w:rsid w:val="00F44C64"/>
    <w:rsid w:val="00F44EB0"/>
    <w:rsid w:val="00F45FBC"/>
    <w:rsid w:val="00F473CA"/>
    <w:rsid w:val="00F47579"/>
    <w:rsid w:val="00F4763C"/>
    <w:rsid w:val="00F4766C"/>
    <w:rsid w:val="00F476D0"/>
    <w:rsid w:val="00F47E6D"/>
    <w:rsid w:val="00F503AA"/>
    <w:rsid w:val="00F50573"/>
    <w:rsid w:val="00F50CB0"/>
    <w:rsid w:val="00F50EA4"/>
    <w:rsid w:val="00F51ED7"/>
    <w:rsid w:val="00F52DD8"/>
    <w:rsid w:val="00F532E9"/>
    <w:rsid w:val="00F533E4"/>
    <w:rsid w:val="00F53880"/>
    <w:rsid w:val="00F54612"/>
    <w:rsid w:val="00F54657"/>
    <w:rsid w:val="00F547F2"/>
    <w:rsid w:val="00F54931"/>
    <w:rsid w:val="00F54FF6"/>
    <w:rsid w:val="00F55FBA"/>
    <w:rsid w:val="00F55FD8"/>
    <w:rsid w:val="00F56302"/>
    <w:rsid w:val="00F56738"/>
    <w:rsid w:val="00F56885"/>
    <w:rsid w:val="00F56C0D"/>
    <w:rsid w:val="00F56DC0"/>
    <w:rsid w:val="00F57139"/>
    <w:rsid w:val="00F5753D"/>
    <w:rsid w:val="00F57B27"/>
    <w:rsid w:val="00F6012B"/>
    <w:rsid w:val="00F60452"/>
    <w:rsid w:val="00F610C7"/>
    <w:rsid w:val="00F61226"/>
    <w:rsid w:val="00F612C8"/>
    <w:rsid w:val="00F6137D"/>
    <w:rsid w:val="00F61C1C"/>
    <w:rsid w:val="00F61DE6"/>
    <w:rsid w:val="00F6209B"/>
    <w:rsid w:val="00F6322C"/>
    <w:rsid w:val="00F65021"/>
    <w:rsid w:val="00F66113"/>
    <w:rsid w:val="00F6676C"/>
    <w:rsid w:val="00F6677A"/>
    <w:rsid w:val="00F66828"/>
    <w:rsid w:val="00F66FE7"/>
    <w:rsid w:val="00F677BF"/>
    <w:rsid w:val="00F67C31"/>
    <w:rsid w:val="00F67F21"/>
    <w:rsid w:val="00F7000C"/>
    <w:rsid w:val="00F70052"/>
    <w:rsid w:val="00F704F0"/>
    <w:rsid w:val="00F706DB"/>
    <w:rsid w:val="00F71008"/>
    <w:rsid w:val="00F714F7"/>
    <w:rsid w:val="00F7162C"/>
    <w:rsid w:val="00F71930"/>
    <w:rsid w:val="00F71C7E"/>
    <w:rsid w:val="00F721B7"/>
    <w:rsid w:val="00F7237E"/>
    <w:rsid w:val="00F729B3"/>
    <w:rsid w:val="00F72D29"/>
    <w:rsid w:val="00F7367C"/>
    <w:rsid w:val="00F73729"/>
    <w:rsid w:val="00F73EDC"/>
    <w:rsid w:val="00F74AC6"/>
    <w:rsid w:val="00F74C16"/>
    <w:rsid w:val="00F74C2F"/>
    <w:rsid w:val="00F74D08"/>
    <w:rsid w:val="00F75396"/>
    <w:rsid w:val="00F75823"/>
    <w:rsid w:val="00F75ADB"/>
    <w:rsid w:val="00F76553"/>
    <w:rsid w:val="00F76710"/>
    <w:rsid w:val="00F76DF1"/>
    <w:rsid w:val="00F77230"/>
    <w:rsid w:val="00F776DC"/>
    <w:rsid w:val="00F77808"/>
    <w:rsid w:val="00F77E4A"/>
    <w:rsid w:val="00F80307"/>
    <w:rsid w:val="00F80546"/>
    <w:rsid w:val="00F806DE"/>
    <w:rsid w:val="00F808E1"/>
    <w:rsid w:val="00F80BBC"/>
    <w:rsid w:val="00F813A7"/>
    <w:rsid w:val="00F818F2"/>
    <w:rsid w:val="00F81978"/>
    <w:rsid w:val="00F81E1F"/>
    <w:rsid w:val="00F81F61"/>
    <w:rsid w:val="00F81FD5"/>
    <w:rsid w:val="00F82492"/>
    <w:rsid w:val="00F826D4"/>
    <w:rsid w:val="00F827EB"/>
    <w:rsid w:val="00F82A6D"/>
    <w:rsid w:val="00F82D22"/>
    <w:rsid w:val="00F82DB2"/>
    <w:rsid w:val="00F82ED8"/>
    <w:rsid w:val="00F82FCA"/>
    <w:rsid w:val="00F8353D"/>
    <w:rsid w:val="00F83FF2"/>
    <w:rsid w:val="00F8421E"/>
    <w:rsid w:val="00F84337"/>
    <w:rsid w:val="00F844F2"/>
    <w:rsid w:val="00F84A29"/>
    <w:rsid w:val="00F85025"/>
    <w:rsid w:val="00F85882"/>
    <w:rsid w:val="00F858EC"/>
    <w:rsid w:val="00F85DC2"/>
    <w:rsid w:val="00F86552"/>
    <w:rsid w:val="00F86689"/>
    <w:rsid w:val="00F868DB"/>
    <w:rsid w:val="00F86D4F"/>
    <w:rsid w:val="00F87143"/>
    <w:rsid w:val="00F87215"/>
    <w:rsid w:val="00F872BA"/>
    <w:rsid w:val="00F878AA"/>
    <w:rsid w:val="00F9025E"/>
    <w:rsid w:val="00F9058F"/>
    <w:rsid w:val="00F91011"/>
    <w:rsid w:val="00F913C1"/>
    <w:rsid w:val="00F9151E"/>
    <w:rsid w:val="00F918F6"/>
    <w:rsid w:val="00F92AD4"/>
    <w:rsid w:val="00F93304"/>
    <w:rsid w:val="00F938D6"/>
    <w:rsid w:val="00F93CA6"/>
    <w:rsid w:val="00F9492F"/>
    <w:rsid w:val="00F94A25"/>
    <w:rsid w:val="00F94D4F"/>
    <w:rsid w:val="00F953F4"/>
    <w:rsid w:val="00F96999"/>
    <w:rsid w:val="00F96B4C"/>
    <w:rsid w:val="00F979B9"/>
    <w:rsid w:val="00F97BD8"/>
    <w:rsid w:val="00FA02FD"/>
    <w:rsid w:val="00FA03CE"/>
    <w:rsid w:val="00FA081C"/>
    <w:rsid w:val="00FA0B20"/>
    <w:rsid w:val="00FA1546"/>
    <w:rsid w:val="00FA1623"/>
    <w:rsid w:val="00FA2508"/>
    <w:rsid w:val="00FA2F03"/>
    <w:rsid w:val="00FA323E"/>
    <w:rsid w:val="00FA374C"/>
    <w:rsid w:val="00FA3BFD"/>
    <w:rsid w:val="00FA5028"/>
    <w:rsid w:val="00FA50EB"/>
    <w:rsid w:val="00FA61B8"/>
    <w:rsid w:val="00FA6523"/>
    <w:rsid w:val="00FA6533"/>
    <w:rsid w:val="00FA6E11"/>
    <w:rsid w:val="00FA6EE7"/>
    <w:rsid w:val="00FA6F47"/>
    <w:rsid w:val="00FA72A2"/>
    <w:rsid w:val="00FA7CA6"/>
    <w:rsid w:val="00FA7F3E"/>
    <w:rsid w:val="00FB022D"/>
    <w:rsid w:val="00FB0CB8"/>
    <w:rsid w:val="00FB10E6"/>
    <w:rsid w:val="00FB1742"/>
    <w:rsid w:val="00FB1B94"/>
    <w:rsid w:val="00FB246F"/>
    <w:rsid w:val="00FB2E95"/>
    <w:rsid w:val="00FB33D1"/>
    <w:rsid w:val="00FB3682"/>
    <w:rsid w:val="00FB3EDD"/>
    <w:rsid w:val="00FB4173"/>
    <w:rsid w:val="00FB4759"/>
    <w:rsid w:val="00FB48D4"/>
    <w:rsid w:val="00FB4B56"/>
    <w:rsid w:val="00FB50C1"/>
    <w:rsid w:val="00FB65C9"/>
    <w:rsid w:val="00FB75C5"/>
    <w:rsid w:val="00FB7819"/>
    <w:rsid w:val="00FB7DD7"/>
    <w:rsid w:val="00FC0423"/>
    <w:rsid w:val="00FC04BE"/>
    <w:rsid w:val="00FC0871"/>
    <w:rsid w:val="00FC08C4"/>
    <w:rsid w:val="00FC0B0E"/>
    <w:rsid w:val="00FC0EAE"/>
    <w:rsid w:val="00FC0FA8"/>
    <w:rsid w:val="00FC13CF"/>
    <w:rsid w:val="00FC1D2B"/>
    <w:rsid w:val="00FC1EFD"/>
    <w:rsid w:val="00FC1F83"/>
    <w:rsid w:val="00FC2012"/>
    <w:rsid w:val="00FC24C7"/>
    <w:rsid w:val="00FC27B2"/>
    <w:rsid w:val="00FC3CD4"/>
    <w:rsid w:val="00FC3ED5"/>
    <w:rsid w:val="00FC4870"/>
    <w:rsid w:val="00FC4D09"/>
    <w:rsid w:val="00FC51A6"/>
    <w:rsid w:val="00FC547A"/>
    <w:rsid w:val="00FC5C4C"/>
    <w:rsid w:val="00FC5FF6"/>
    <w:rsid w:val="00FC6300"/>
    <w:rsid w:val="00FC6644"/>
    <w:rsid w:val="00FC67FF"/>
    <w:rsid w:val="00FC68FE"/>
    <w:rsid w:val="00FC6AED"/>
    <w:rsid w:val="00FC6D83"/>
    <w:rsid w:val="00FC730C"/>
    <w:rsid w:val="00FC7941"/>
    <w:rsid w:val="00FC7C26"/>
    <w:rsid w:val="00FD026E"/>
    <w:rsid w:val="00FD0278"/>
    <w:rsid w:val="00FD02D0"/>
    <w:rsid w:val="00FD0423"/>
    <w:rsid w:val="00FD068B"/>
    <w:rsid w:val="00FD06DB"/>
    <w:rsid w:val="00FD13E8"/>
    <w:rsid w:val="00FD1627"/>
    <w:rsid w:val="00FD17CF"/>
    <w:rsid w:val="00FD1AA8"/>
    <w:rsid w:val="00FD1CCE"/>
    <w:rsid w:val="00FD2057"/>
    <w:rsid w:val="00FD2945"/>
    <w:rsid w:val="00FD2C97"/>
    <w:rsid w:val="00FD2DCB"/>
    <w:rsid w:val="00FD2F7C"/>
    <w:rsid w:val="00FD2F9B"/>
    <w:rsid w:val="00FD311C"/>
    <w:rsid w:val="00FD3336"/>
    <w:rsid w:val="00FD33ED"/>
    <w:rsid w:val="00FD34FD"/>
    <w:rsid w:val="00FD3A79"/>
    <w:rsid w:val="00FD3D3B"/>
    <w:rsid w:val="00FD4046"/>
    <w:rsid w:val="00FD4F1B"/>
    <w:rsid w:val="00FD5117"/>
    <w:rsid w:val="00FD5248"/>
    <w:rsid w:val="00FD59EF"/>
    <w:rsid w:val="00FD6289"/>
    <w:rsid w:val="00FD642E"/>
    <w:rsid w:val="00FD6679"/>
    <w:rsid w:val="00FD6AFA"/>
    <w:rsid w:val="00FD6F1F"/>
    <w:rsid w:val="00FD7249"/>
    <w:rsid w:val="00FD76E9"/>
    <w:rsid w:val="00FD7812"/>
    <w:rsid w:val="00FD7F39"/>
    <w:rsid w:val="00FE0E56"/>
    <w:rsid w:val="00FE131C"/>
    <w:rsid w:val="00FE17BD"/>
    <w:rsid w:val="00FE1CD6"/>
    <w:rsid w:val="00FE1D7B"/>
    <w:rsid w:val="00FE2F45"/>
    <w:rsid w:val="00FE3277"/>
    <w:rsid w:val="00FE349E"/>
    <w:rsid w:val="00FE3D16"/>
    <w:rsid w:val="00FE4128"/>
    <w:rsid w:val="00FE4342"/>
    <w:rsid w:val="00FE4438"/>
    <w:rsid w:val="00FE4A2A"/>
    <w:rsid w:val="00FE5111"/>
    <w:rsid w:val="00FE519C"/>
    <w:rsid w:val="00FE551C"/>
    <w:rsid w:val="00FE57C2"/>
    <w:rsid w:val="00FE59E7"/>
    <w:rsid w:val="00FE69EC"/>
    <w:rsid w:val="00FE79F1"/>
    <w:rsid w:val="00FE7D01"/>
    <w:rsid w:val="00FF002A"/>
    <w:rsid w:val="00FF00E6"/>
    <w:rsid w:val="00FF06BF"/>
    <w:rsid w:val="00FF09A1"/>
    <w:rsid w:val="00FF0A1F"/>
    <w:rsid w:val="00FF1201"/>
    <w:rsid w:val="00FF17D1"/>
    <w:rsid w:val="00FF18D8"/>
    <w:rsid w:val="00FF1E32"/>
    <w:rsid w:val="00FF3563"/>
    <w:rsid w:val="00FF35E2"/>
    <w:rsid w:val="00FF3743"/>
    <w:rsid w:val="00FF419B"/>
    <w:rsid w:val="00FF41BA"/>
    <w:rsid w:val="00FF42BA"/>
    <w:rsid w:val="00FF47F1"/>
    <w:rsid w:val="00FF4D52"/>
    <w:rsid w:val="00FF4E89"/>
    <w:rsid w:val="00FF5AC2"/>
    <w:rsid w:val="00FF60E9"/>
    <w:rsid w:val="00FF61DE"/>
    <w:rsid w:val="00FF6364"/>
    <w:rsid w:val="00FF64A7"/>
    <w:rsid w:val="00FF73B9"/>
    <w:rsid w:val="00FF7B4E"/>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1FDA2204"/>
  <w15:chartTrackingRefBased/>
  <w15:docId w15:val="{626DB0DE-2D0A-42C9-8FCB-4E1A60EC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D6A"/>
    <w:pPr>
      <w:widowControl w:val="0"/>
      <w:spacing w:after="0" w:line="240" w:lineRule="auto"/>
    </w:pPr>
    <w:rPr>
      <w:rFonts w:ascii="Times New Roman" w:hAnsi="Times New Roman" w:cs="Times New Roman"/>
      <w:sz w:val="26"/>
    </w:rPr>
  </w:style>
  <w:style w:type="paragraph" w:styleId="Heading1">
    <w:name w:val="heading 1"/>
    <w:basedOn w:val="Normal"/>
    <w:next w:val="FERCparanumber"/>
    <w:link w:val="Heading1Char"/>
    <w:qFormat/>
    <w:rsid w:val="00A5227A"/>
    <w:pPr>
      <w:keepNext/>
      <w:keepLines/>
      <w:widowControl/>
      <w:numPr>
        <w:numId w:val="15"/>
      </w:numPr>
      <w:spacing w:after="260"/>
      <w:outlineLvl w:val="0"/>
    </w:pPr>
    <w:rPr>
      <w:rFonts w:eastAsiaTheme="majorEastAsia"/>
      <w:b/>
      <w:kern w:val="32"/>
      <w:szCs w:val="32"/>
      <w:u w:val="single"/>
    </w:rPr>
  </w:style>
  <w:style w:type="paragraph" w:styleId="Heading2">
    <w:name w:val="heading 2"/>
    <w:basedOn w:val="Normal"/>
    <w:next w:val="FERCparanumber"/>
    <w:link w:val="Heading2Char"/>
    <w:unhideWhenUsed/>
    <w:qFormat/>
    <w:rsid w:val="00A5227A"/>
    <w:pPr>
      <w:keepNext/>
      <w:keepLines/>
      <w:widowControl/>
      <w:numPr>
        <w:ilvl w:val="1"/>
        <w:numId w:val="15"/>
      </w:numPr>
      <w:spacing w:after="260"/>
      <w:outlineLvl w:val="1"/>
    </w:pPr>
    <w:rPr>
      <w:rFonts w:eastAsiaTheme="majorEastAsia"/>
      <w:b/>
      <w:kern w:val="32"/>
      <w:szCs w:val="26"/>
      <w:u w:val="single"/>
    </w:rPr>
  </w:style>
  <w:style w:type="paragraph" w:styleId="Heading3">
    <w:name w:val="heading 3"/>
    <w:basedOn w:val="Normal"/>
    <w:next w:val="FERCparanumber"/>
    <w:unhideWhenUsed/>
    <w:qFormat/>
    <w:rsid w:val="00A5227A"/>
    <w:pPr>
      <w:keepNext/>
      <w:keepLines/>
      <w:widowControl/>
      <w:numPr>
        <w:ilvl w:val="2"/>
        <w:numId w:val="15"/>
      </w:numPr>
      <w:spacing w:after="260"/>
      <w:outlineLvl w:val="2"/>
    </w:pPr>
    <w:rPr>
      <w:rFonts w:eastAsiaTheme="majorEastAsia"/>
      <w:b/>
      <w:kern w:val="32"/>
      <w:szCs w:val="24"/>
      <w:u w:val="single"/>
    </w:rPr>
  </w:style>
  <w:style w:type="paragraph" w:styleId="Heading4">
    <w:name w:val="heading 4"/>
    <w:basedOn w:val="Normal"/>
    <w:next w:val="FERCparanumber"/>
    <w:unhideWhenUsed/>
    <w:qFormat/>
    <w:rsid w:val="002261B3"/>
    <w:pPr>
      <w:keepNext/>
      <w:keepLines/>
      <w:widowControl/>
      <w:numPr>
        <w:ilvl w:val="3"/>
        <w:numId w:val="15"/>
      </w:numPr>
      <w:spacing w:after="260"/>
      <w:outlineLvl w:val="3"/>
    </w:pPr>
    <w:rPr>
      <w:rFonts w:eastAsiaTheme="majorEastAsia"/>
      <w:b/>
      <w:iCs/>
      <w:kern w:val="32"/>
      <w:u w:val="single"/>
    </w:rPr>
  </w:style>
  <w:style w:type="paragraph" w:styleId="Heading5">
    <w:name w:val="heading 5"/>
    <w:basedOn w:val="Normal"/>
    <w:next w:val="FERCparanumber"/>
    <w:uiPriority w:val="9"/>
    <w:semiHidden/>
    <w:unhideWhenUsed/>
    <w:qFormat/>
    <w:rsid w:val="002261B3"/>
    <w:pPr>
      <w:keepNext/>
      <w:keepLines/>
      <w:widowControl/>
      <w:numPr>
        <w:ilvl w:val="4"/>
        <w:numId w:val="15"/>
      </w:numPr>
      <w:spacing w:after="260"/>
      <w:outlineLvl w:val="4"/>
    </w:pPr>
    <w:rPr>
      <w:rFonts w:eastAsiaTheme="majorEastAsia"/>
      <w:b/>
      <w:kern w:val="32"/>
      <w:u w:val="single"/>
    </w:rPr>
  </w:style>
  <w:style w:type="paragraph" w:styleId="Heading6">
    <w:name w:val="heading 6"/>
    <w:basedOn w:val="Normal"/>
    <w:next w:val="FERCparanumber"/>
    <w:uiPriority w:val="9"/>
    <w:semiHidden/>
    <w:unhideWhenUsed/>
    <w:qFormat/>
    <w:rsid w:val="00A5227A"/>
    <w:pPr>
      <w:keepNext/>
      <w:keepLines/>
      <w:widowControl/>
      <w:numPr>
        <w:ilvl w:val="5"/>
        <w:numId w:val="15"/>
      </w:numPr>
      <w:spacing w:after="260"/>
      <w:outlineLvl w:val="5"/>
    </w:pPr>
    <w:rPr>
      <w:rFonts w:eastAsiaTheme="majorEastAsia"/>
      <w:b/>
      <w:kern w:val="32"/>
      <w:u w:val="single"/>
    </w:rPr>
  </w:style>
  <w:style w:type="paragraph" w:styleId="Heading7">
    <w:name w:val="heading 7"/>
    <w:basedOn w:val="Normal"/>
    <w:next w:val="FERCparanumber"/>
    <w:uiPriority w:val="9"/>
    <w:semiHidden/>
    <w:unhideWhenUsed/>
    <w:qFormat/>
    <w:rsid w:val="00A5227A"/>
    <w:pPr>
      <w:keepNext/>
      <w:keepLines/>
      <w:widowControl/>
      <w:numPr>
        <w:ilvl w:val="6"/>
        <w:numId w:val="15"/>
      </w:numPr>
      <w:spacing w:after="260"/>
      <w:outlineLvl w:val="6"/>
    </w:pPr>
    <w:rPr>
      <w:rFonts w:eastAsiaTheme="majorEastAsia"/>
      <w:b/>
      <w:iCs/>
      <w:kern w:val="32"/>
      <w:u w:val="single"/>
    </w:rPr>
  </w:style>
  <w:style w:type="paragraph" w:styleId="Heading8">
    <w:name w:val="heading 8"/>
    <w:basedOn w:val="Normal"/>
    <w:next w:val="FERCparanumber"/>
    <w:uiPriority w:val="9"/>
    <w:semiHidden/>
    <w:unhideWhenUsed/>
    <w:qFormat/>
    <w:rsid w:val="00A5227A"/>
    <w:pPr>
      <w:keepNext/>
      <w:keepLines/>
      <w:widowControl/>
      <w:numPr>
        <w:ilvl w:val="7"/>
        <w:numId w:val="15"/>
      </w:numPr>
      <w:spacing w:after="260"/>
      <w:outlineLvl w:val="7"/>
    </w:pPr>
    <w:rPr>
      <w:rFonts w:eastAsiaTheme="majorEastAsia"/>
      <w:b/>
      <w:kern w:val="32"/>
      <w:szCs w:val="21"/>
      <w:u w:val="single"/>
    </w:rPr>
  </w:style>
  <w:style w:type="paragraph" w:styleId="Heading9">
    <w:name w:val="heading 9"/>
    <w:basedOn w:val="Normal"/>
    <w:next w:val="FERCparanumber"/>
    <w:uiPriority w:val="9"/>
    <w:semiHidden/>
    <w:unhideWhenUsed/>
    <w:qFormat/>
    <w:rsid w:val="00A5227A"/>
    <w:pPr>
      <w:keepNext/>
      <w:keepLines/>
      <w:widowControl/>
      <w:numPr>
        <w:ilvl w:val="8"/>
        <w:numId w:val="15"/>
      </w:numPr>
      <w:spacing w:after="260"/>
      <w:outlineLvl w:val="8"/>
    </w:pPr>
    <w:rPr>
      <w:rFonts w:eastAsiaTheme="majorEastAsia"/>
      <w:b/>
      <w:iCs/>
      <w:kern w:val="32"/>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TOC1">
    <w:name w:val="myTOC 1"/>
    <w:basedOn w:val="Normal"/>
    <w:next w:val="Normal"/>
    <w:rsid w:val="004C456B"/>
    <w:pPr>
      <w:tabs>
        <w:tab w:val="right" w:leader="dot" w:pos="9360"/>
      </w:tabs>
      <w:autoSpaceDE w:val="0"/>
      <w:autoSpaceDN w:val="0"/>
      <w:adjustRightInd w:val="0"/>
      <w:spacing w:before="120"/>
    </w:pPr>
    <w:rPr>
      <w:rFonts w:eastAsia="Times New Roman"/>
      <w:szCs w:val="26"/>
    </w:rPr>
  </w:style>
  <w:style w:type="paragraph" w:customStyle="1" w:styleId="myTOC2">
    <w:name w:val="myTOC 2"/>
    <w:basedOn w:val="Normal"/>
    <w:next w:val="Normal"/>
    <w:rsid w:val="004C456B"/>
    <w:pPr>
      <w:tabs>
        <w:tab w:val="right" w:leader="dot" w:pos="9360"/>
      </w:tabs>
      <w:autoSpaceDE w:val="0"/>
      <w:autoSpaceDN w:val="0"/>
      <w:adjustRightInd w:val="0"/>
      <w:ind w:left="288"/>
    </w:pPr>
    <w:rPr>
      <w:rFonts w:eastAsia="Times New Roman"/>
      <w:szCs w:val="26"/>
    </w:rPr>
  </w:style>
  <w:style w:type="paragraph" w:customStyle="1" w:styleId="myTOC3">
    <w:name w:val="myTOC 3"/>
    <w:basedOn w:val="Normal"/>
    <w:next w:val="Normal"/>
    <w:rsid w:val="004C456B"/>
    <w:pPr>
      <w:tabs>
        <w:tab w:val="right" w:leader="dot" w:pos="9360"/>
      </w:tabs>
      <w:autoSpaceDE w:val="0"/>
      <w:autoSpaceDN w:val="0"/>
      <w:adjustRightInd w:val="0"/>
      <w:ind w:left="576"/>
    </w:pPr>
    <w:rPr>
      <w:rFonts w:eastAsia="Times New Roman"/>
      <w:szCs w:val="26"/>
    </w:rPr>
  </w:style>
  <w:style w:type="paragraph" w:customStyle="1" w:styleId="myTOC4">
    <w:name w:val="myTOC 4"/>
    <w:basedOn w:val="Normal"/>
    <w:next w:val="Normal"/>
    <w:rsid w:val="004C456B"/>
    <w:pPr>
      <w:tabs>
        <w:tab w:val="right" w:leader="dot" w:pos="9360"/>
      </w:tabs>
      <w:autoSpaceDE w:val="0"/>
      <w:autoSpaceDN w:val="0"/>
      <w:adjustRightInd w:val="0"/>
      <w:ind w:left="864"/>
    </w:pPr>
    <w:rPr>
      <w:rFonts w:eastAsia="Times New Roman"/>
      <w:szCs w:val="26"/>
    </w:rPr>
  </w:style>
  <w:style w:type="paragraph" w:customStyle="1" w:styleId="myTOC5">
    <w:name w:val="myTOC 5"/>
    <w:basedOn w:val="Normal"/>
    <w:next w:val="Normal"/>
    <w:rsid w:val="004C456B"/>
    <w:pPr>
      <w:tabs>
        <w:tab w:val="right" w:leader="dot" w:pos="9360"/>
      </w:tabs>
      <w:autoSpaceDE w:val="0"/>
      <w:autoSpaceDN w:val="0"/>
      <w:adjustRightInd w:val="0"/>
      <w:ind w:left="1152"/>
    </w:pPr>
    <w:rPr>
      <w:rFonts w:eastAsia="Times New Roman"/>
      <w:szCs w:val="26"/>
    </w:rPr>
  </w:style>
  <w:style w:type="paragraph" w:customStyle="1" w:styleId="myTOC6">
    <w:name w:val="myTOC 6"/>
    <w:basedOn w:val="Normal"/>
    <w:next w:val="Normal"/>
    <w:rsid w:val="004C456B"/>
    <w:pPr>
      <w:tabs>
        <w:tab w:val="right" w:leader="dot" w:pos="9360"/>
      </w:tabs>
      <w:ind w:left="1440"/>
    </w:pPr>
    <w:rPr>
      <w:rFonts w:eastAsia="Times New Roman"/>
      <w:szCs w:val="26"/>
    </w:rPr>
  </w:style>
  <w:style w:type="paragraph" w:customStyle="1" w:styleId="myTOC7">
    <w:name w:val="myTOC 7"/>
    <w:basedOn w:val="Normal"/>
    <w:next w:val="Normal"/>
    <w:rsid w:val="004C456B"/>
    <w:pPr>
      <w:tabs>
        <w:tab w:val="right" w:leader="dot" w:pos="9360"/>
      </w:tabs>
      <w:ind w:left="1728"/>
    </w:pPr>
    <w:rPr>
      <w:rFonts w:eastAsia="Times New Roman"/>
      <w:szCs w:val="26"/>
    </w:rPr>
  </w:style>
  <w:style w:type="paragraph" w:customStyle="1" w:styleId="myTOC8">
    <w:name w:val="myTOC 8"/>
    <w:basedOn w:val="Normal"/>
    <w:next w:val="Normal"/>
    <w:rsid w:val="004C456B"/>
    <w:pPr>
      <w:tabs>
        <w:tab w:val="right" w:leader="dot" w:pos="9360"/>
      </w:tabs>
      <w:ind w:left="2016"/>
    </w:pPr>
    <w:rPr>
      <w:rFonts w:eastAsia="Times New Roman"/>
      <w:szCs w:val="26"/>
    </w:rPr>
  </w:style>
  <w:style w:type="paragraph" w:customStyle="1" w:styleId="myTOC9">
    <w:name w:val="myTOC 9"/>
    <w:basedOn w:val="Normal"/>
    <w:next w:val="Normal"/>
    <w:rsid w:val="004C456B"/>
    <w:pPr>
      <w:tabs>
        <w:tab w:val="right" w:leader="dot" w:pos="9360"/>
      </w:tabs>
      <w:ind w:left="2304"/>
    </w:pPr>
    <w:rPr>
      <w:rFonts w:eastAsia="Times New Roman"/>
      <w:szCs w:val="26"/>
    </w:rPr>
  </w:style>
  <w:style w:type="paragraph" w:customStyle="1" w:styleId="Non-TOCStyle">
    <w:name w:val="Non-TOC Style"/>
    <w:basedOn w:val="Normal"/>
    <w:next w:val="FERCparanumber"/>
    <w:rsid w:val="004C456B"/>
    <w:pPr>
      <w:keepNext/>
      <w:keepLines/>
      <w:numPr>
        <w:numId w:val="21"/>
      </w:numPr>
      <w:autoSpaceDE w:val="0"/>
      <w:autoSpaceDN w:val="0"/>
      <w:adjustRightInd w:val="0"/>
      <w:jc w:val="center"/>
      <w:outlineLvl w:val="4"/>
    </w:pPr>
    <w:rPr>
      <w:rFonts w:eastAsia="Times New Roman"/>
      <w:b/>
      <w:szCs w:val="26"/>
      <w:u w:val="single"/>
    </w:rPr>
  </w:style>
  <w:style w:type="paragraph" w:styleId="BalloonText">
    <w:name w:val="Balloon Text"/>
    <w:basedOn w:val="Normal"/>
    <w:link w:val="BalloonTextChar"/>
    <w:uiPriority w:val="99"/>
    <w:semiHidden/>
    <w:unhideWhenUsed/>
    <w:rsid w:val="00CE7F13"/>
    <w:rPr>
      <w:rFonts w:ascii="Arial" w:hAnsi="Arial" w:cs="Arial"/>
      <w:sz w:val="20"/>
      <w:szCs w:val="18"/>
    </w:rPr>
  </w:style>
  <w:style w:type="character" w:customStyle="1" w:styleId="BalloonTextChar">
    <w:name w:val="Balloon Text Char"/>
    <w:basedOn w:val="DefaultParagraphFont"/>
    <w:link w:val="BalloonText"/>
    <w:uiPriority w:val="99"/>
    <w:semiHidden/>
    <w:rsid w:val="00CE7F13"/>
    <w:rPr>
      <w:rFonts w:ascii="Arial" w:hAnsi="Arial" w:cs="Arial"/>
      <w:sz w:val="20"/>
      <w:szCs w:val="18"/>
    </w:rPr>
  </w:style>
  <w:style w:type="paragraph" w:styleId="Bibliography">
    <w:name w:val="Bibliography"/>
    <w:basedOn w:val="Normal"/>
    <w:next w:val="Normal"/>
    <w:uiPriority w:val="37"/>
    <w:semiHidden/>
    <w:unhideWhenUsed/>
    <w:rsid w:val="00CE7F13"/>
  </w:style>
  <w:style w:type="paragraph" w:styleId="BlockText">
    <w:name w:val="Block Text"/>
    <w:basedOn w:val="Normal"/>
    <w:uiPriority w:val="99"/>
    <w:semiHidden/>
    <w:unhideWhenUsed/>
    <w:rsid w:val="00CE7F1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unhideWhenUsed/>
    <w:rsid w:val="009E214D"/>
    <w:pPr>
      <w:spacing w:after="240"/>
      <w:ind w:firstLine="720"/>
    </w:pPr>
  </w:style>
  <w:style w:type="character" w:customStyle="1" w:styleId="BodyTextChar">
    <w:name w:val="Body Text Char"/>
    <w:basedOn w:val="DefaultParagraphFont"/>
    <w:link w:val="BodyText"/>
    <w:uiPriority w:val="99"/>
    <w:rsid w:val="009E214D"/>
    <w:rPr>
      <w:rFonts w:ascii="Times New Roman" w:hAnsi="Times New Roman"/>
      <w:sz w:val="26"/>
    </w:rPr>
  </w:style>
  <w:style w:type="paragraph" w:styleId="BodyText2">
    <w:name w:val="Body Text 2"/>
    <w:basedOn w:val="Normal"/>
    <w:link w:val="BodyText2Char"/>
    <w:uiPriority w:val="99"/>
    <w:semiHidden/>
    <w:unhideWhenUsed/>
    <w:rsid w:val="00CE7F13"/>
    <w:pPr>
      <w:spacing w:after="120" w:line="480" w:lineRule="auto"/>
    </w:pPr>
  </w:style>
  <w:style w:type="character" w:customStyle="1" w:styleId="BodyText2Char">
    <w:name w:val="Body Text 2 Char"/>
    <w:basedOn w:val="DefaultParagraphFont"/>
    <w:link w:val="BodyText2"/>
    <w:uiPriority w:val="99"/>
    <w:semiHidden/>
    <w:rsid w:val="00CE7F13"/>
  </w:style>
  <w:style w:type="paragraph" w:styleId="BodyText3">
    <w:name w:val="Body Text 3"/>
    <w:basedOn w:val="Normal"/>
    <w:link w:val="BodyText3Char"/>
    <w:uiPriority w:val="99"/>
    <w:semiHidden/>
    <w:unhideWhenUsed/>
    <w:rsid w:val="00CE7F13"/>
    <w:pPr>
      <w:spacing w:after="120"/>
    </w:pPr>
    <w:rPr>
      <w:sz w:val="16"/>
      <w:szCs w:val="16"/>
    </w:rPr>
  </w:style>
  <w:style w:type="character" w:customStyle="1" w:styleId="BodyText3Char">
    <w:name w:val="Body Text 3 Char"/>
    <w:basedOn w:val="DefaultParagraphFont"/>
    <w:link w:val="BodyText3"/>
    <w:uiPriority w:val="99"/>
    <w:semiHidden/>
    <w:rsid w:val="00CE7F13"/>
    <w:rPr>
      <w:sz w:val="16"/>
      <w:szCs w:val="16"/>
    </w:rPr>
  </w:style>
  <w:style w:type="paragraph" w:styleId="BodyTextFirstIndent">
    <w:name w:val="Body Text First Indent"/>
    <w:basedOn w:val="BodyText"/>
    <w:link w:val="BodyTextFirstIndentChar"/>
    <w:uiPriority w:val="99"/>
    <w:semiHidden/>
    <w:unhideWhenUsed/>
    <w:rsid w:val="00CE7F13"/>
    <w:pPr>
      <w:spacing w:after="160"/>
      <w:ind w:firstLine="360"/>
    </w:pPr>
  </w:style>
  <w:style w:type="character" w:customStyle="1" w:styleId="BodyTextFirstIndentChar">
    <w:name w:val="Body Text First Indent Char"/>
    <w:basedOn w:val="BodyTextChar"/>
    <w:link w:val="BodyTextFirstIndent"/>
    <w:uiPriority w:val="99"/>
    <w:semiHidden/>
    <w:rsid w:val="00CE7F13"/>
    <w:rPr>
      <w:rFonts w:ascii="Times New Roman" w:hAnsi="Times New Roman"/>
      <w:sz w:val="26"/>
    </w:rPr>
  </w:style>
  <w:style w:type="paragraph" w:styleId="BodyTextIndent">
    <w:name w:val="Body Text Indent"/>
    <w:basedOn w:val="Normal"/>
    <w:link w:val="BodyTextIndentChar"/>
    <w:uiPriority w:val="99"/>
    <w:semiHidden/>
    <w:unhideWhenUsed/>
    <w:rsid w:val="00CE7F13"/>
    <w:pPr>
      <w:spacing w:after="120"/>
      <w:ind w:left="360"/>
    </w:pPr>
  </w:style>
  <w:style w:type="character" w:customStyle="1" w:styleId="BodyTextIndentChar">
    <w:name w:val="Body Text Indent Char"/>
    <w:basedOn w:val="DefaultParagraphFont"/>
    <w:link w:val="BodyTextIndent"/>
    <w:uiPriority w:val="99"/>
    <w:semiHidden/>
    <w:rsid w:val="00CE7F13"/>
  </w:style>
  <w:style w:type="paragraph" w:styleId="BodyTextFirstIndent2">
    <w:name w:val="Body Text First Indent 2"/>
    <w:basedOn w:val="BodyTextIndent"/>
    <w:link w:val="BodyTextFirstIndent2Char"/>
    <w:uiPriority w:val="99"/>
    <w:semiHidden/>
    <w:unhideWhenUsed/>
    <w:rsid w:val="00CE7F13"/>
    <w:pPr>
      <w:spacing w:after="160"/>
      <w:ind w:firstLine="360"/>
    </w:pPr>
  </w:style>
  <w:style w:type="character" w:customStyle="1" w:styleId="BodyTextFirstIndent2Char">
    <w:name w:val="Body Text First Indent 2 Char"/>
    <w:basedOn w:val="BodyTextIndentChar"/>
    <w:link w:val="BodyTextFirstIndent2"/>
    <w:uiPriority w:val="99"/>
    <w:semiHidden/>
    <w:rsid w:val="00CE7F13"/>
  </w:style>
  <w:style w:type="paragraph" w:styleId="BodyTextIndent2">
    <w:name w:val="Body Text Indent 2"/>
    <w:basedOn w:val="Normal"/>
    <w:link w:val="BodyTextIndent2Char"/>
    <w:uiPriority w:val="99"/>
    <w:semiHidden/>
    <w:unhideWhenUsed/>
    <w:rsid w:val="00CE7F13"/>
    <w:pPr>
      <w:spacing w:after="120" w:line="480" w:lineRule="auto"/>
      <w:ind w:left="360"/>
    </w:pPr>
  </w:style>
  <w:style w:type="character" w:customStyle="1" w:styleId="BodyTextIndent2Char">
    <w:name w:val="Body Text Indent 2 Char"/>
    <w:basedOn w:val="DefaultParagraphFont"/>
    <w:link w:val="BodyTextIndent2"/>
    <w:uiPriority w:val="99"/>
    <w:semiHidden/>
    <w:rsid w:val="00CE7F13"/>
  </w:style>
  <w:style w:type="paragraph" w:styleId="BodyTextIndent3">
    <w:name w:val="Body Text Indent 3"/>
    <w:basedOn w:val="Normal"/>
    <w:link w:val="BodyTextIndent3Char"/>
    <w:uiPriority w:val="99"/>
    <w:semiHidden/>
    <w:unhideWhenUsed/>
    <w:rsid w:val="00CE7F1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E7F13"/>
    <w:rPr>
      <w:sz w:val="16"/>
      <w:szCs w:val="16"/>
    </w:rPr>
  </w:style>
  <w:style w:type="paragraph" w:styleId="Caption">
    <w:name w:val="caption"/>
    <w:basedOn w:val="Normal"/>
    <w:next w:val="Normal"/>
    <w:uiPriority w:val="35"/>
    <w:unhideWhenUsed/>
    <w:qFormat/>
    <w:rsid w:val="009E0EA2"/>
    <w:pPr>
      <w:spacing w:after="200"/>
    </w:pPr>
    <w:rPr>
      <w:iCs/>
      <w:szCs w:val="18"/>
    </w:rPr>
  </w:style>
  <w:style w:type="paragraph" w:styleId="Closing">
    <w:name w:val="Closing"/>
    <w:basedOn w:val="Normal"/>
    <w:link w:val="ClosingChar"/>
    <w:uiPriority w:val="99"/>
    <w:semiHidden/>
    <w:unhideWhenUsed/>
    <w:rsid w:val="00CE7F13"/>
    <w:pPr>
      <w:ind w:left="4320"/>
    </w:pPr>
  </w:style>
  <w:style w:type="character" w:customStyle="1" w:styleId="ClosingChar">
    <w:name w:val="Closing Char"/>
    <w:basedOn w:val="DefaultParagraphFont"/>
    <w:link w:val="Closing"/>
    <w:uiPriority w:val="99"/>
    <w:semiHidden/>
    <w:rsid w:val="00CE7F13"/>
  </w:style>
  <w:style w:type="paragraph" w:styleId="CommentText">
    <w:name w:val="annotation text"/>
    <w:basedOn w:val="Normal"/>
    <w:link w:val="CommentTextChar"/>
    <w:uiPriority w:val="99"/>
    <w:unhideWhenUsed/>
    <w:rsid w:val="00AF2305"/>
    <w:rPr>
      <w:rFonts w:ascii="Arial" w:hAnsi="Arial" w:cs="Arial"/>
      <w:sz w:val="20"/>
      <w:szCs w:val="20"/>
    </w:rPr>
  </w:style>
  <w:style w:type="character" w:customStyle="1" w:styleId="CommentTextChar">
    <w:name w:val="Comment Text Char"/>
    <w:basedOn w:val="DefaultParagraphFont"/>
    <w:link w:val="CommentText"/>
    <w:uiPriority w:val="99"/>
    <w:rsid w:val="00AF230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E7F13"/>
    <w:rPr>
      <w:b/>
      <w:bCs/>
    </w:rPr>
  </w:style>
  <w:style w:type="character" w:customStyle="1" w:styleId="CommentSubjectChar">
    <w:name w:val="Comment Subject Char"/>
    <w:basedOn w:val="CommentTextChar"/>
    <w:link w:val="CommentSubject"/>
    <w:uiPriority w:val="99"/>
    <w:semiHidden/>
    <w:rsid w:val="00CE7F13"/>
    <w:rPr>
      <w:rFonts w:ascii="Times New Roman" w:hAnsi="Times New Roman" w:cs="Arial"/>
      <w:b/>
      <w:bCs/>
      <w:sz w:val="20"/>
      <w:szCs w:val="20"/>
    </w:rPr>
  </w:style>
  <w:style w:type="paragraph" w:styleId="Date">
    <w:name w:val="Date"/>
    <w:basedOn w:val="Normal"/>
    <w:next w:val="Normal"/>
    <w:link w:val="DateChar"/>
    <w:uiPriority w:val="99"/>
    <w:semiHidden/>
    <w:unhideWhenUsed/>
    <w:rsid w:val="00CE7F13"/>
  </w:style>
  <w:style w:type="character" w:customStyle="1" w:styleId="DateChar">
    <w:name w:val="Date Char"/>
    <w:basedOn w:val="DefaultParagraphFont"/>
    <w:link w:val="Date"/>
    <w:uiPriority w:val="99"/>
    <w:semiHidden/>
    <w:rsid w:val="00CE7F13"/>
  </w:style>
  <w:style w:type="paragraph" w:styleId="DocumentMap">
    <w:name w:val="Document Map"/>
    <w:basedOn w:val="Normal"/>
    <w:link w:val="DocumentMapChar"/>
    <w:uiPriority w:val="99"/>
    <w:semiHidden/>
    <w:unhideWhenUsed/>
    <w:rsid w:val="00CE7F1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E7F13"/>
    <w:rPr>
      <w:rFonts w:ascii="Segoe UI" w:hAnsi="Segoe UI" w:cs="Segoe UI"/>
      <w:sz w:val="16"/>
      <w:szCs w:val="16"/>
    </w:rPr>
  </w:style>
  <w:style w:type="paragraph" w:styleId="E-mailSignature">
    <w:name w:val="E-mail Signature"/>
    <w:basedOn w:val="Normal"/>
    <w:link w:val="E-mailSignatureChar"/>
    <w:uiPriority w:val="99"/>
    <w:semiHidden/>
    <w:unhideWhenUsed/>
    <w:rsid w:val="00CE7F13"/>
  </w:style>
  <w:style w:type="character" w:customStyle="1" w:styleId="E-mailSignatureChar">
    <w:name w:val="E-mail Signature Char"/>
    <w:basedOn w:val="DefaultParagraphFont"/>
    <w:link w:val="E-mailSignature"/>
    <w:uiPriority w:val="99"/>
    <w:semiHidden/>
    <w:rsid w:val="00CE7F13"/>
  </w:style>
  <w:style w:type="paragraph" w:styleId="EndnoteText">
    <w:name w:val="endnote text"/>
    <w:basedOn w:val="Normal"/>
    <w:link w:val="EndnoteTextChar"/>
    <w:uiPriority w:val="99"/>
    <w:semiHidden/>
    <w:unhideWhenUsed/>
    <w:rsid w:val="00CE7F13"/>
    <w:rPr>
      <w:sz w:val="20"/>
      <w:szCs w:val="20"/>
    </w:rPr>
  </w:style>
  <w:style w:type="character" w:customStyle="1" w:styleId="EndnoteTextChar">
    <w:name w:val="Endnote Text Char"/>
    <w:basedOn w:val="DefaultParagraphFont"/>
    <w:link w:val="EndnoteText"/>
    <w:uiPriority w:val="99"/>
    <w:semiHidden/>
    <w:rsid w:val="00CE7F13"/>
    <w:rPr>
      <w:sz w:val="20"/>
      <w:szCs w:val="20"/>
    </w:rPr>
  </w:style>
  <w:style w:type="paragraph" w:styleId="EnvelopeAddress">
    <w:name w:val="envelope address"/>
    <w:basedOn w:val="Normal"/>
    <w:uiPriority w:val="99"/>
    <w:semiHidden/>
    <w:unhideWhenUsed/>
    <w:rsid w:val="00CE7F1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E7F13"/>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CE7F13"/>
    <w:pPr>
      <w:tabs>
        <w:tab w:val="center" w:pos="4680"/>
        <w:tab w:val="right" w:pos="9360"/>
      </w:tabs>
    </w:pPr>
  </w:style>
  <w:style w:type="character" w:customStyle="1" w:styleId="FooterChar">
    <w:name w:val="Footer Char"/>
    <w:basedOn w:val="DefaultParagraphFont"/>
    <w:link w:val="Footer"/>
    <w:uiPriority w:val="99"/>
    <w:rsid w:val="00CE7F13"/>
  </w:style>
  <w:style w:type="paragraph" w:styleId="Header">
    <w:name w:val="header"/>
    <w:basedOn w:val="Normal"/>
    <w:link w:val="HeaderChar"/>
    <w:uiPriority w:val="99"/>
    <w:unhideWhenUsed/>
    <w:rsid w:val="00CE7F13"/>
    <w:pPr>
      <w:tabs>
        <w:tab w:val="center" w:pos="4680"/>
        <w:tab w:val="right" w:pos="9360"/>
      </w:tabs>
    </w:pPr>
  </w:style>
  <w:style w:type="character" w:customStyle="1" w:styleId="HeaderChar">
    <w:name w:val="Header Char"/>
    <w:basedOn w:val="DefaultParagraphFont"/>
    <w:link w:val="Header"/>
    <w:uiPriority w:val="99"/>
    <w:rsid w:val="00CE7F13"/>
  </w:style>
  <w:style w:type="character" w:customStyle="1" w:styleId="9">
    <w:name w:val="9"/>
    <w:basedOn w:val="DefaultParagraphFont"/>
    <w:uiPriority w:val="9"/>
    <w:semiHidden/>
    <w:rsid w:val="00CE7F13"/>
    <w:rPr>
      <w:rFonts w:asciiTheme="majorHAnsi" w:eastAsiaTheme="majorEastAsia" w:hAnsiTheme="majorHAnsi" w:cstheme="majorBidi"/>
      <w:color w:val="2E74B5" w:themeColor="accent1" w:themeShade="BF"/>
      <w:sz w:val="26"/>
      <w:szCs w:val="26"/>
    </w:rPr>
  </w:style>
  <w:style w:type="character" w:customStyle="1" w:styleId="8">
    <w:name w:val="8"/>
    <w:basedOn w:val="DefaultParagraphFont"/>
    <w:uiPriority w:val="9"/>
    <w:semiHidden/>
    <w:rsid w:val="00CE7F13"/>
    <w:rPr>
      <w:rFonts w:asciiTheme="majorHAnsi" w:eastAsiaTheme="majorEastAsia" w:hAnsiTheme="majorHAnsi" w:cstheme="majorBidi"/>
      <w:color w:val="1F4D78" w:themeColor="accent1" w:themeShade="7F"/>
      <w:sz w:val="24"/>
      <w:szCs w:val="24"/>
    </w:rPr>
  </w:style>
  <w:style w:type="character" w:customStyle="1" w:styleId="7">
    <w:name w:val="7"/>
    <w:basedOn w:val="DefaultParagraphFont"/>
    <w:uiPriority w:val="9"/>
    <w:semiHidden/>
    <w:rsid w:val="00CE7F13"/>
    <w:rPr>
      <w:rFonts w:asciiTheme="majorHAnsi" w:eastAsiaTheme="majorEastAsia" w:hAnsiTheme="majorHAnsi" w:cstheme="majorBidi"/>
      <w:i/>
      <w:iCs/>
      <w:color w:val="2E74B5" w:themeColor="accent1" w:themeShade="BF"/>
    </w:rPr>
  </w:style>
  <w:style w:type="character" w:customStyle="1" w:styleId="6">
    <w:name w:val="6"/>
    <w:basedOn w:val="DefaultParagraphFont"/>
    <w:uiPriority w:val="9"/>
    <w:semiHidden/>
    <w:rsid w:val="00CE7F13"/>
    <w:rPr>
      <w:rFonts w:asciiTheme="majorHAnsi" w:eastAsiaTheme="majorEastAsia" w:hAnsiTheme="majorHAnsi" w:cstheme="majorBidi"/>
      <w:color w:val="2E74B5" w:themeColor="accent1" w:themeShade="BF"/>
    </w:rPr>
  </w:style>
  <w:style w:type="character" w:customStyle="1" w:styleId="5">
    <w:name w:val="5"/>
    <w:basedOn w:val="DefaultParagraphFont"/>
    <w:uiPriority w:val="9"/>
    <w:semiHidden/>
    <w:rsid w:val="00CE7F13"/>
    <w:rPr>
      <w:rFonts w:asciiTheme="majorHAnsi" w:eastAsiaTheme="majorEastAsia" w:hAnsiTheme="majorHAnsi" w:cstheme="majorBidi"/>
      <w:color w:val="1F4D78" w:themeColor="accent1" w:themeShade="7F"/>
    </w:rPr>
  </w:style>
  <w:style w:type="character" w:customStyle="1" w:styleId="4">
    <w:name w:val="4"/>
    <w:basedOn w:val="DefaultParagraphFont"/>
    <w:uiPriority w:val="9"/>
    <w:semiHidden/>
    <w:rsid w:val="00CE7F13"/>
    <w:rPr>
      <w:rFonts w:asciiTheme="majorHAnsi" w:eastAsiaTheme="majorEastAsia" w:hAnsiTheme="majorHAnsi" w:cstheme="majorBidi"/>
      <w:i/>
      <w:iCs/>
      <w:color w:val="1F4D78" w:themeColor="accent1" w:themeShade="7F"/>
    </w:rPr>
  </w:style>
  <w:style w:type="character" w:customStyle="1" w:styleId="3">
    <w:name w:val="3"/>
    <w:basedOn w:val="DefaultParagraphFont"/>
    <w:uiPriority w:val="9"/>
    <w:semiHidden/>
    <w:rsid w:val="00CE7F13"/>
    <w:rPr>
      <w:rFonts w:asciiTheme="majorHAnsi" w:eastAsiaTheme="majorEastAsia" w:hAnsiTheme="majorHAnsi" w:cstheme="majorBidi"/>
      <w:color w:val="272727" w:themeColor="text1" w:themeTint="D8"/>
      <w:sz w:val="21"/>
      <w:szCs w:val="21"/>
    </w:rPr>
  </w:style>
  <w:style w:type="character" w:customStyle="1" w:styleId="2">
    <w:name w:val="2"/>
    <w:basedOn w:val="DefaultParagraphFont"/>
    <w:uiPriority w:val="9"/>
    <w:semiHidden/>
    <w:rsid w:val="00CE7F1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E7F13"/>
    <w:rPr>
      <w:i/>
      <w:iCs/>
    </w:rPr>
  </w:style>
  <w:style w:type="character" w:customStyle="1" w:styleId="HTMLAddressChar">
    <w:name w:val="HTML Address Char"/>
    <w:basedOn w:val="DefaultParagraphFont"/>
    <w:link w:val="HTMLAddress"/>
    <w:uiPriority w:val="99"/>
    <w:semiHidden/>
    <w:rsid w:val="00CE7F13"/>
    <w:rPr>
      <w:i/>
      <w:iCs/>
    </w:rPr>
  </w:style>
  <w:style w:type="paragraph" w:styleId="HTMLPreformatted">
    <w:name w:val="HTML Preformatted"/>
    <w:basedOn w:val="Normal"/>
    <w:link w:val="HTMLPreformattedChar"/>
    <w:uiPriority w:val="99"/>
    <w:semiHidden/>
    <w:unhideWhenUsed/>
    <w:rsid w:val="00CE7F1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E7F13"/>
    <w:rPr>
      <w:rFonts w:ascii="Consolas" w:hAnsi="Consolas" w:cs="Consolas"/>
      <w:sz w:val="20"/>
      <w:szCs w:val="20"/>
    </w:rPr>
  </w:style>
  <w:style w:type="paragraph" w:styleId="Index1">
    <w:name w:val="index 1"/>
    <w:basedOn w:val="Normal"/>
    <w:next w:val="Normal"/>
    <w:uiPriority w:val="99"/>
    <w:semiHidden/>
    <w:unhideWhenUsed/>
    <w:rsid w:val="00CE7F13"/>
    <w:pPr>
      <w:ind w:left="220" w:hanging="220"/>
    </w:pPr>
  </w:style>
  <w:style w:type="paragraph" w:styleId="Index2">
    <w:name w:val="index 2"/>
    <w:basedOn w:val="Normal"/>
    <w:next w:val="Normal"/>
    <w:uiPriority w:val="99"/>
    <w:semiHidden/>
    <w:unhideWhenUsed/>
    <w:rsid w:val="00CE7F13"/>
    <w:pPr>
      <w:ind w:left="440" w:hanging="220"/>
    </w:pPr>
  </w:style>
  <w:style w:type="paragraph" w:styleId="Index3">
    <w:name w:val="index 3"/>
    <w:basedOn w:val="Normal"/>
    <w:next w:val="Normal"/>
    <w:uiPriority w:val="99"/>
    <w:semiHidden/>
    <w:unhideWhenUsed/>
    <w:rsid w:val="00CE7F13"/>
    <w:pPr>
      <w:ind w:left="660" w:hanging="220"/>
    </w:pPr>
  </w:style>
  <w:style w:type="paragraph" w:styleId="Index4">
    <w:name w:val="index 4"/>
    <w:basedOn w:val="Normal"/>
    <w:next w:val="Normal"/>
    <w:uiPriority w:val="99"/>
    <w:semiHidden/>
    <w:unhideWhenUsed/>
    <w:rsid w:val="00CE7F13"/>
    <w:pPr>
      <w:ind w:left="880" w:hanging="220"/>
    </w:pPr>
  </w:style>
  <w:style w:type="paragraph" w:styleId="Index5">
    <w:name w:val="index 5"/>
    <w:basedOn w:val="Normal"/>
    <w:next w:val="Normal"/>
    <w:uiPriority w:val="99"/>
    <w:semiHidden/>
    <w:unhideWhenUsed/>
    <w:rsid w:val="00CE7F13"/>
    <w:pPr>
      <w:ind w:left="1100" w:hanging="220"/>
    </w:pPr>
  </w:style>
  <w:style w:type="paragraph" w:styleId="Index6">
    <w:name w:val="index 6"/>
    <w:basedOn w:val="Normal"/>
    <w:next w:val="Normal"/>
    <w:uiPriority w:val="99"/>
    <w:semiHidden/>
    <w:unhideWhenUsed/>
    <w:rsid w:val="00CE7F13"/>
    <w:pPr>
      <w:ind w:left="1320" w:hanging="220"/>
    </w:pPr>
  </w:style>
  <w:style w:type="paragraph" w:styleId="Index7">
    <w:name w:val="index 7"/>
    <w:basedOn w:val="Normal"/>
    <w:next w:val="Normal"/>
    <w:uiPriority w:val="99"/>
    <w:semiHidden/>
    <w:unhideWhenUsed/>
    <w:rsid w:val="00CE7F13"/>
    <w:pPr>
      <w:ind w:left="1540" w:hanging="220"/>
    </w:pPr>
  </w:style>
  <w:style w:type="paragraph" w:styleId="Index8">
    <w:name w:val="index 8"/>
    <w:basedOn w:val="Normal"/>
    <w:next w:val="Normal"/>
    <w:uiPriority w:val="99"/>
    <w:semiHidden/>
    <w:unhideWhenUsed/>
    <w:rsid w:val="00CE7F13"/>
    <w:pPr>
      <w:ind w:left="1760" w:hanging="220"/>
    </w:pPr>
  </w:style>
  <w:style w:type="paragraph" w:styleId="Index9">
    <w:name w:val="index 9"/>
    <w:basedOn w:val="Normal"/>
    <w:next w:val="Normal"/>
    <w:uiPriority w:val="99"/>
    <w:semiHidden/>
    <w:unhideWhenUsed/>
    <w:rsid w:val="00CE7F13"/>
    <w:pPr>
      <w:ind w:left="1980" w:hanging="220"/>
    </w:pPr>
  </w:style>
  <w:style w:type="paragraph" w:styleId="IndexHeading">
    <w:name w:val="index heading"/>
    <w:basedOn w:val="Normal"/>
    <w:next w:val="Index1"/>
    <w:uiPriority w:val="99"/>
    <w:semiHidden/>
    <w:unhideWhenUsed/>
    <w:rsid w:val="00CE7F1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E7F1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7F13"/>
    <w:rPr>
      <w:i/>
      <w:iCs/>
      <w:color w:val="5B9BD5" w:themeColor="accent1"/>
    </w:rPr>
  </w:style>
  <w:style w:type="paragraph" w:styleId="List">
    <w:name w:val="List"/>
    <w:basedOn w:val="Normal"/>
    <w:uiPriority w:val="99"/>
    <w:semiHidden/>
    <w:unhideWhenUsed/>
    <w:rsid w:val="00CE7F13"/>
    <w:pPr>
      <w:ind w:left="360" w:hanging="360"/>
      <w:contextualSpacing/>
    </w:pPr>
  </w:style>
  <w:style w:type="paragraph" w:styleId="List2">
    <w:name w:val="List 2"/>
    <w:basedOn w:val="Normal"/>
    <w:uiPriority w:val="99"/>
    <w:semiHidden/>
    <w:unhideWhenUsed/>
    <w:rsid w:val="00CE7F13"/>
    <w:pPr>
      <w:ind w:left="720" w:hanging="360"/>
      <w:contextualSpacing/>
    </w:pPr>
  </w:style>
  <w:style w:type="paragraph" w:styleId="List3">
    <w:name w:val="List 3"/>
    <w:basedOn w:val="Normal"/>
    <w:uiPriority w:val="99"/>
    <w:semiHidden/>
    <w:unhideWhenUsed/>
    <w:rsid w:val="00CE7F13"/>
    <w:pPr>
      <w:ind w:left="1080" w:hanging="360"/>
      <w:contextualSpacing/>
    </w:pPr>
  </w:style>
  <w:style w:type="paragraph" w:styleId="List4">
    <w:name w:val="List 4"/>
    <w:basedOn w:val="Normal"/>
    <w:uiPriority w:val="99"/>
    <w:semiHidden/>
    <w:unhideWhenUsed/>
    <w:rsid w:val="00CE7F13"/>
    <w:pPr>
      <w:ind w:left="1440" w:hanging="360"/>
      <w:contextualSpacing/>
    </w:pPr>
  </w:style>
  <w:style w:type="paragraph" w:styleId="List5">
    <w:name w:val="List 5"/>
    <w:basedOn w:val="Normal"/>
    <w:uiPriority w:val="99"/>
    <w:semiHidden/>
    <w:unhideWhenUsed/>
    <w:rsid w:val="00CE7F13"/>
    <w:pPr>
      <w:ind w:left="1800" w:hanging="360"/>
      <w:contextualSpacing/>
    </w:pPr>
  </w:style>
  <w:style w:type="paragraph" w:styleId="ListBullet">
    <w:name w:val="List Bullet"/>
    <w:basedOn w:val="Normal"/>
    <w:uiPriority w:val="99"/>
    <w:semiHidden/>
    <w:unhideWhenUsed/>
    <w:rsid w:val="00CE7F13"/>
    <w:pPr>
      <w:numPr>
        <w:numId w:val="1"/>
      </w:numPr>
      <w:contextualSpacing/>
    </w:pPr>
  </w:style>
  <w:style w:type="paragraph" w:styleId="ListBullet2">
    <w:name w:val="List Bullet 2"/>
    <w:basedOn w:val="Normal"/>
    <w:uiPriority w:val="99"/>
    <w:semiHidden/>
    <w:unhideWhenUsed/>
    <w:rsid w:val="00CE7F13"/>
    <w:pPr>
      <w:numPr>
        <w:numId w:val="2"/>
      </w:numPr>
      <w:contextualSpacing/>
    </w:pPr>
  </w:style>
  <w:style w:type="paragraph" w:styleId="ListBullet3">
    <w:name w:val="List Bullet 3"/>
    <w:basedOn w:val="Normal"/>
    <w:uiPriority w:val="99"/>
    <w:semiHidden/>
    <w:unhideWhenUsed/>
    <w:rsid w:val="00CE7F13"/>
    <w:pPr>
      <w:numPr>
        <w:numId w:val="3"/>
      </w:numPr>
      <w:contextualSpacing/>
    </w:pPr>
  </w:style>
  <w:style w:type="paragraph" w:styleId="ListBullet4">
    <w:name w:val="List Bullet 4"/>
    <w:basedOn w:val="Normal"/>
    <w:uiPriority w:val="99"/>
    <w:semiHidden/>
    <w:unhideWhenUsed/>
    <w:rsid w:val="00CE7F13"/>
    <w:pPr>
      <w:numPr>
        <w:numId w:val="4"/>
      </w:numPr>
      <w:contextualSpacing/>
    </w:pPr>
  </w:style>
  <w:style w:type="paragraph" w:styleId="ListBullet5">
    <w:name w:val="List Bullet 5"/>
    <w:basedOn w:val="Normal"/>
    <w:uiPriority w:val="1"/>
    <w:unhideWhenUsed/>
    <w:rsid w:val="00CE7F13"/>
    <w:pPr>
      <w:numPr>
        <w:numId w:val="5"/>
      </w:numPr>
      <w:contextualSpacing/>
    </w:pPr>
  </w:style>
  <w:style w:type="paragraph" w:styleId="ListContinue">
    <w:name w:val="List Continue"/>
    <w:basedOn w:val="Normal"/>
    <w:uiPriority w:val="99"/>
    <w:semiHidden/>
    <w:unhideWhenUsed/>
    <w:rsid w:val="00CE7F13"/>
    <w:pPr>
      <w:spacing w:after="120"/>
      <w:ind w:left="360"/>
      <w:contextualSpacing/>
    </w:pPr>
  </w:style>
  <w:style w:type="paragraph" w:styleId="ListContinue2">
    <w:name w:val="List Continue 2"/>
    <w:basedOn w:val="Normal"/>
    <w:uiPriority w:val="99"/>
    <w:semiHidden/>
    <w:unhideWhenUsed/>
    <w:rsid w:val="00CE7F13"/>
    <w:pPr>
      <w:spacing w:after="120"/>
      <w:ind w:left="720"/>
      <w:contextualSpacing/>
    </w:pPr>
  </w:style>
  <w:style w:type="paragraph" w:styleId="ListContinue3">
    <w:name w:val="List Continue 3"/>
    <w:basedOn w:val="Normal"/>
    <w:uiPriority w:val="99"/>
    <w:semiHidden/>
    <w:unhideWhenUsed/>
    <w:rsid w:val="00CE7F13"/>
    <w:pPr>
      <w:spacing w:after="120"/>
      <w:ind w:left="1080"/>
      <w:contextualSpacing/>
    </w:pPr>
  </w:style>
  <w:style w:type="paragraph" w:styleId="ListContinue4">
    <w:name w:val="List Continue 4"/>
    <w:basedOn w:val="Normal"/>
    <w:uiPriority w:val="99"/>
    <w:semiHidden/>
    <w:unhideWhenUsed/>
    <w:rsid w:val="00CE7F13"/>
    <w:pPr>
      <w:spacing w:after="120"/>
      <w:ind w:left="1440"/>
      <w:contextualSpacing/>
    </w:pPr>
  </w:style>
  <w:style w:type="paragraph" w:styleId="ListContinue5">
    <w:name w:val="List Continue 5"/>
    <w:basedOn w:val="Normal"/>
    <w:uiPriority w:val="99"/>
    <w:semiHidden/>
    <w:unhideWhenUsed/>
    <w:rsid w:val="00CE7F13"/>
    <w:pPr>
      <w:spacing w:after="120"/>
      <w:ind w:left="1800"/>
      <w:contextualSpacing/>
    </w:pPr>
  </w:style>
  <w:style w:type="paragraph" w:styleId="ListNumber">
    <w:name w:val="List Number"/>
    <w:basedOn w:val="Normal"/>
    <w:uiPriority w:val="99"/>
    <w:semiHidden/>
    <w:unhideWhenUsed/>
    <w:rsid w:val="00CE7F13"/>
    <w:pPr>
      <w:numPr>
        <w:numId w:val="6"/>
      </w:numPr>
      <w:contextualSpacing/>
    </w:pPr>
  </w:style>
  <w:style w:type="paragraph" w:styleId="ListNumber2">
    <w:name w:val="List Number 2"/>
    <w:basedOn w:val="Normal"/>
    <w:uiPriority w:val="99"/>
    <w:semiHidden/>
    <w:unhideWhenUsed/>
    <w:rsid w:val="00CE7F13"/>
    <w:pPr>
      <w:numPr>
        <w:numId w:val="7"/>
      </w:numPr>
      <w:contextualSpacing/>
    </w:pPr>
  </w:style>
  <w:style w:type="paragraph" w:styleId="ListNumber3">
    <w:name w:val="List Number 3"/>
    <w:basedOn w:val="Normal"/>
    <w:uiPriority w:val="99"/>
    <w:semiHidden/>
    <w:unhideWhenUsed/>
    <w:rsid w:val="00CE7F13"/>
    <w:pPr>
      <w:numPr>
        <w:numId w:val="8"/>
      </w:numPr>
      <w:contextualSpacing/>
    </w:pPr>
  </w:style>
  <w:style w:type="paragraph" w:styleId="ListNumber4">
    <w:name w:val="List Number 4"/>
    <w:basedOn w:val="Normal"/>
    <w:uiPriority w:val="99"/>
    <w:semiHidden/>
    <w:unhideWhenUsed/>
    <w:rsid w:val="00CE7F13"/>
    <w:pPr>
      <w:numPr>
        <w:numId w:val="9"/>
      </w:numPr>
      <w:contextualSpacing/>
    </w:pPr>
  </w:style>
  <w:style w:type="paragraph" w:styleId="ListNumber5">
    <w:name w:val="List Number 5"/>
    <w:basedOn w:val="Normal"/>
    <w:uiPriority w:val="99"/>
    <w:semiHidden/>
    <w:unhideWhenUsed/>
    <w:rsid w:val="00CE7F13"/>
    <w:pPr>
      <w:numPr>
        <w:numId w:val="10"/>
      </w:numPr>
      <w:contextualSpacing/>
    </w:pPr>
  </w:style>
  <w:style w:type="paragraph" w:styleId="ListParagraph">
    <w:name w:val="List Paragraph"/>
    <w:basedOn w:val="Normal"/>
    <w:uiPriority w:val="34"/>
    <w:qFormat/>
    <w:rsid w:val="00CE7F13"/>
    <w:pPr>
      <w:ind w:left="720"/>
      <w:contextualSpacing/>
    </w:pPr>
  </w:style>
  <w:style w:type="paragraph" w:styleId="MacroText">
    <w:name w:val="macro"/>
    <w:link w:val="MacroTextChar"/>
    <w:uiPriority w:val="99"/>
    <w:semiHidden/>
    <w:unhideWhenUsed/>
    <w:rsid w:val="00CE7F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E7F13"/>
    <w:rPr>
      <w:rFonts w:ascii="Consolas" w:hAnsi="Consolas" w:cs="Consolas"/>
      <w:sz w:val="20"/>
      <w:szCs w:val="20"/>
    </w:rPr>
  </w:style>
  <w:style w:type="paragraph" w:styleId="MessageHeader">
    <w:name w:val="Message Header"/>
    <w:basedOn w:val="Normal"/>
    <w:link w:val="MessageHeaderChar"/>
    <w:uiPriority w:val="99"/>
    <w:semiHidden/>
    <w:unhideWhenUsed/>
    <w:rsid w:val="00CE7F1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E7F13"/>
    <w:rPr>
      <w:rFonts w:asciiTheme="majorHAnsi" w:eastAsiaTheme="majorEastAsia" w:hAnsiTheme="majorHAnsi" w:cstheme="majorBidi"/>
      <w:sz w:val="24"/>
      <w:szCs w:val="24"/>
      <w:shd w:val="pct20" w:color="auto" w:fill="auto"/>
    </w:rPr>
  </w:style>
  <w:style w:type="paragraph" w:styleId="NoSpacing">
    <w:name w:val="No Spacing"/>
    <w:uiPriority w:val="3"/>
    <w:qFormat/>
    <w:rsid w:val="00CE7F13"/>
    <w:pPr>
      <w:spacing w:after="0" w:line="240" w:lineRule="auto"/>
    </w:pPr>
  </w:style>
  <w:style w:type="paragraph" w:styleId="NormalWeb">
    <w:name w:val="Normal (Web)"/>
    <w:basedOn w:val="Normal"/>
    <w:uiPriority w:val="99"/>
    <w:unhideWhenUsed/>
    <w:rsid w:val="00CE7F13"/>
    <w:rPr>
      <w:sz w:val="24"/>
      <w:szCs w:val="24"/>
    </w:rPr>
  </w:style>
  <w:style w:type="paragraph" w:styleId="NormalIndent">
    <w:name w:val="Normal Indent"/>
    <w:basedOn w:val="Normal"/>
    <w:uiPriority w:val="99"/>
    <w:semiHidden/>
    <w:unhideWhenUsed/>
    <w:rsid w:val="00CE7F13"/>
    <w:pPr>
      <w:ind w:left="720"/>
    </w:pPr>
  </w:style>
  <w:style w:type="paragraph" w:styleId="NoteHeading">
    <w:name w:val="Note Heading"/>
    <w:basedOn w:val="Normal"/>
    <w:next w:val="Normal"/>
    <w:link w:val="NoteHeadingChar"/>
    <w:uiPriority w:val="99"/>
    <w:semiHidden/>
    <w:unhideWhenUsed/>
    <w:rsid w:val="00CE7F13"/>
  </w:style>
  <w:style w:type="character" w:customStyle="1" w:styleId="NoteHeadingChar">
    <w:name w:val="Note Heading Char"/>
    <w:basedOn w:val="DefaultParagraphFont"/>
    <w:link w:val="NoteHeading"/>
    <w:uiPriority w:val="99"/>
    <w:semiHidden/>
    <w:rsid w:val="00CE7F13"/>
  </w:style>
  <w:style w:type="paragraph" w:styleId="PlainText">
    <w:name w:val="Plain Text"/>
    <w:basedOn w:val="Normal"/>
    <w:link w:val="PlainTextChar"/>
    <w:uiPriority w:val="99"/>
    <w:semiHidden/>
    <w:unhideWhenUsed/>
    <w:rsid w:val="00CE7F13"/>
    <w:rPr>
      <w:rFonts w:ascii="Consolas" w:hAnsi="Consolas" w:cs="Consolas"/>
      <w:sz w:val="21"/>
      <w:szCs w:val="21"/>
    </w:rPr>
  </w:style>
  <w:style w:type="character" w:customStyle="1" w:styleId="PlainTextChar">
    <w:name w:val="Plain Text Char"/>
    <w:basedOn w:val="DefaultParagraphFont"/>
    <w:link w:val="PlainText"/>
    <w:uiPriority w:val="99"/>
    <w:semiHidden/>
    <w:rsid w:val="00CE7F13"/>
    <w:rPr>
      <w:rFonts w:ascii="Consolas" w:hAnsi="Consolas" w:cs="Consolas"/>
      <w:sz w:val="21"/>
      <w:szCs w:val="21"/>
    </w:rPr>
  </w:style>
  <w:style w:type="paragraph" w:styleId="Quote">
    <w:name w:val="Quote"/>
    <w:basedOn w:val="Normal"/>
    <w:next w:val="Normal"/>
    <w:link w:val="QuoteChar"/>
    <w:uiPriority w:val="29"/>
    <w:qFormat/>
    <w:rsid w:val="00CE7F1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7F13"/>
    <w:rPr>
      <w:i/>
      <w:iCs/>
      <w:color w:val="404040" w:themeColor="text1" w:themeTint="BF"/>
    </w:rPr>
  </w:style>
  <w:style w:type="paragraph" w:styleId="Salutation">
    <w:name w:val="Salutation"/>
    <w:basedOn w:val="Normal"/>
    <w:next w:val="Normal"/>
    <w:link w:val="SalutationChar"/>
    <w:uiPriority w:val="99"/>
    <w:semiHidden/>
    <w:unhideWhenUsed/>
    <w:rsid w:val="00CE7F13"/>
  </w:style>
  <w:style w:type="character" w:customStyle="1" w:styleId="SalutationChar">
    <w:name w:val="Salutation Char"/>
    <w:basedOn w:val="DefaultParagraphFont"/>
    <w:link w:val="Salutation"/>
    <w:uiPriority w:val="99"/>
    <w:semiHidden/>
    <w:rsid w:val="00CE7F13"/>
  </w:style>
  <w:style w:type="paragraph" w:styleId="Signature">
    <w:name w:val="Signature"/>
    <w:basedOn w:val="Normal"/>
    <w:link w:val="SignatureChar"/>
    <w:uiPriority w:val="99"/>
    <w:semiHidden/>
    <w:unhideWhenUsed/>
    <w:rsid w:val="00CE7F13"/>
    <w:pPr>
      <w:ind w:left="4320"/>
    </w:pPr>
  </w:style>
  <w:style w:type="character" w:customStyle="1" w:styleId="SignatureChar">
    <w:name w:val="Signature Char"/>
    <w:basedOn w:val="DefaultParagraphFont"/>
    <w:link w:val="Signature"/>
    <w:uiPriority w:val="99"/>
    <w:semiHidden/>
    <w:rsid w:val="00CE7F13"/>
  </w:style>
  <w:style w:type="paragraph" w:styleId="Subtitle">
    <w:name w:val="Subtitle"/>
    <w:basedOn w:val="Normal"/>
    <w:next w:val="Normal"/>
    <w:link w:val="SubtitleChar"/>
    <w:uiPriority w:val="11"/>
    <w:qFormat/>
    <w:rsid w:val="00CE7F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7F13"/>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E7F13"/>
    <w:pPr>
      <w:ind w:left="220" w:hanging="220"/>
    </w:pPr>
  </w:style>
  <w:style w:type="paragraph" w:styleId="TableofFigures">
    <w:name w:val="table of figures"/>
    <w:basedOn w:val="Normal"/>
    <w:next w:val="Normal"/>
    <w:uiPriority w:val="99"/>
    <w:semiHidden/>
    <w:unhideWhenUsed/>
    <w:rsid w:val="00CE7F13"/>
  </w:style>
  <w:style w:type="paragraph" w:styleId="Title">
    <w:name w:val="Title"/>
    <w:basedOn w:val="Normal"/>
    <w:next w:val="Normal"/>
    <w:link w:val="TitleChar"/>
    <w:uiPriority w:val="10"/>
    <w:qFormat/>
    <w:rsid w:val="00CE7F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F1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E7F13"/>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CE7F13"/>
    <w:pPr>
      <w:spacing w:after="100"/>
    </w:pPr>
  </w:style>
  <w:style w:type="paragraph" w:styleId="TOC2">
    <w:name w:val="toc 2"/>
    <w:basedOn w:val="Normal"/>
    <w:next w:val="Normal"/>
    <w:uiPriority w:val="39"/>
    <w:semiHidden/>
    <w:unhideWhenUsed/>
    <w:rsid w:val="00CE7F13"/>
    <w:pPr>
      <w:spacing w:after="100"/>
      <w:ind w:left="220"/>
    </w:pPr>
  </w:style>
  <w:style w:type="paragraph" w:styleId="TOC3">
    <w:name w:val="toc 3"/>
    <w:basedOn w:val="Normal"/>
    <w:next w:val="Normal"/>
    <w:uiPriority w:val="39"/>
    <w:semiHidden/>
    <w:unhideWhenUsed/>
    <w:rsid w:val="00CE7F13"/>
    <w:pPr>
      <w:spacing w:after="100"/>
      <w:ind w:left="440"/>
    </w:pPr>
  </w:style>
  <w:style w:type="paragraph" w:styleId="TOC4">
    <w:name w:val="toc 4"/>
    <w:basedOn w:val="Normal"/>
    <w:next w:val="Normal"/>
    <w:uiPriority w:val="39"/>
    <w:semiHidden/>
    <w:unhideWhenUsed/>
    <w:rsid w:val="00CE7F13"/>
    <w:pPr>
      <w:spacing w:after="100"/>
      <w:ind w:left="660"/>
    </w:pPr>
  </w:style>
  <w:style w:type="paragraph" w:styleId="TOC5">
    <w:name w:val="toc 5"/>
    <w:basedOn w:val="Normal"/>
    <w:next w:val="Normal"/>
    <w:uiPriority w:val="39"/>
    <w:semiHidden/>
    <w:unhideWhenUsed/>
    <w:rsid w:val="00CE7F13"/>
    <w:pPr>
      <w:spacing w:after="100"/>
      <w:ind w:left="880"/>
    </w:pPr>
  </w:style>
  <w:style w:type="paragraph" w:styleId="TOC6">
    <w:name w:val="toc 6"/>
    <w:basedOn w:val="Normal"/>
    <w:next w:val="Normal"/>
    <w:uiPriority w:val="39"/>
    <w:semiHidden/>
    <w:unhideWhenUsed/>
    <w:rsid w:val="00CE7F13"/>
    <w:pPr>
      <w:spacing w:after="100"/>
      <w:ind w:left="1100"/>
    </w:pPr>
  </w:style>
  <w:style w:type="paragraph" w:styleId="TOC7">
    <w:name w:val="toc 7"/>
    <w:basedOn w:val="Normal"/>
    <w:next w:val="Normal"/>
    <w:uiPriority w:val="39"/>
    <w:semiHidden/>
    <w:unhideWhenUsed/>
    <w:rsid w:val="00CE7F13"/>
    <w:pPr>
      <w:spacing w:after="100"/>
      <w:ind w:left="1320"/>
    </w:pPr>
  </w:style>
  <w:style w:type="paragraph" w:styleId="TOC8">
    <w:name w:val="toc 8"/>
    <w:basedOn w:val="Normal"/>
    <w:next w:val="Normal"/>
    <w:uiPriority w:val="39"/>
    <w:semiHidden/>
    <w:unhideWhenUsed/>
    <w:rsid w:val="00CE7F13"/>
    <w:pPr>
      <w:spacing w:after="100"/>
      <w:ind w:left="1540"/>
    </w:pPr>
  </w:style>
  <w:style w:type="paragraph" w:styleId="TOC9">
    <w:name w:val="toc 9"/>
    <w:basedOn w:val="Normal"/>
    <w:next w:val="Normal"/>
    <w:uiPriority w:val="39"/>
    <w:semiHidden/>
    <w:unhideWhenUsed/>
    <w:rsid w:val="00CE7F13"/>
    <w:pPr>
      <w:spacing w:after="100"/>
      <w:ind w:left="1760"/>
    </w:pPr>
  </w:style>
  <w:style w:type="paragraph" w:styleId="TOCHeading">
    <w:name w:val="TOC Heading"/>
    <w:basedOn w:val="Heading1"/>
    <w:next w:val="Normal"/>
    <w:uiPriority w:val="39"/>
    <w:semiHidden/>
    <w:unhideWhenUsed/>
    <w:qFormat/>
    <w:rsid w:val="00CE7F13"/>
    <w:pPr>
      <w:numPr>
        <w:numId w:val="0"/>
      </w:numPr>
      <w:outlineLvl w:val="9"/>
    </w:pPr>
  </w:style>
  <w:style w:type="paragraph" w:customStyle="1" w:styleId="FERCparanumber">
    <w:name w:val="FERC paranumber"/>
    <w:basedOn w:val="Normal"/>
    <w:link w:val="FERCparanumberChar"/>
    <w:qFormat/>
    <w:rsid w:val="00C274AA"/>
    <w:pPr>
      <w:widowControl/>
      <w:numPr>
        <w:numId w:val="11"/>
      </w:numPr>
      <w:spacing w:after="260"/>
    </w:pPr>
  </w:style>
  <w:style w:type="character" w:customStyle="1" w:styleId="FERCparanumberChar">
    <w:name w:val="FERC paranumber Char"/>
    <w:basedOn w:val="DefaultParagraphFont"/>
    <w:link w:val="FERCparanumber"/>
    <w:rsid w:val="00C274AA"/>
    <w:rPr>
      <w:rFonts w:ascii="Times New Roman" w:hAnsi="Times New Roman" w:cs="Times New Roman"/>
      <w:sz w:val="26"/>
    </w:rPr>
  </w:style>
  <w:style w:type="character" w:styleId="PageNumber">
    <w:name w:val="page number"/>
    <w:basedOn w:val="DefaultParagraphFont"/>
    <w:uiPriority w:val="2"/>
    <w:rsid w:val="0048020B"/>
  </w:style>
  <w:style w:type="table" w:styleId="TableGrid">
    <w:name w:val="Table Grid"/>
    <w:basedOn w:val="TableNormal"/>
    <w:rsid w:val="0048020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20B"/>
    <w:rPr>
      <w:color w:val="0563C1" w:themeColor="hyperlink"/>
      <w:u w:val="single"/>
    </w:rPr>
  </w:style>
  <w:style w:type="character" w:customStyle="1" w:styleId="Heading1Char">
    <w:name w:val="Heading 1 Char"/>
    <w:basedOn w:val="DefaultParagraphFont"/>
    <w:link w:val="Heading1"/>
    <w:rsid w:val="00EB5D6A"/>
    <w:rPr>
      <w:rFonts w:ascii="Times New Roman" w:eastAsiaTheme="majorEastAsia" w:hAnsi="Times New Roman" w:cs="Times New Roman"/>
      <w:b/>
      <w:kern w:val="32"/>
      <w:sz w:val="26"/>
      <w:szCs w:val="32"/>
      <w:u w:val="single"/>
    </w:rPr>
  </w:style>
  <w:style w:type="character" w:customStyle="1" w:styleId="Heading2Char">
    <w:name w:val="Heading 2 Char"/>
    <w:basedOn w:val="DefaultParagraphFont"/>
    <w:link w:val="Heading2"/>
    <w:rsid w:val="00EB5D6A"/>
    <w:rPr>
      <w:rFonts w:ascii="Times New Roman" w:eastAsiaTheme="majorEastAsia" w:hAnsi="Times New Roman" w:cs="Times New Roman"/>
      <w:b/>
      <w:kern w:val="32"/>
      <w:sz w:val="26"/>
      <w:szCs w:val="26"/>
      <w:u w:val="single"/>
    </w:rPr>
  </w:style>
  <w:style w:type="paragraph" w:styleId="FootnoteText">
    <w:name w:val="footnote text"/>
    <w:basedOn w:val="Normal"/>
    <w:link w:val="FootnoteTextChar"/>
    <w:uiPriority w:val="1"/>
    <w:unhideWhenUsed/>
    <w:qFormat/>
    <w:rsid w:val="00A65F1E"/>
    <w:pPr>
      <w:spacing w:after="260"/>
      <w:ind w:firstLine="720"/>
    </w:pPr>
    <w:rPr>
      <w:szCs w:val="20"/>
    </w:rPr>
  </w:style>
  <w:style w:type="character" w:customStyle="1" w:styleId="FootnoteTextChar">
    <w:name w:val="Footnote Text Char"/>
    <w:basedOn w:val="DefaultParagraphFont"/>
    <w:link w:val="FootnoteText"/>
    <w:uiPriority w:val="1"/>
    <w:rsid w:val="00EB5D6A"/>
    <w:rPr>
      <w:rFonts w:ascii="Times New Roman" w:hAnsi="Times New Roman" w:cs="Times New Roman"/>
      <w:sz w:val="26"/>
      <w:szCs w:val="20"/>
    </w:rPr>
  </w:style>
  <w:style w:type="character" w:styleId="FootnoteReference">
    <w:name w:val="footnote reference"/>
    <w:aliases w:val="o,fr,Style 13,Style 12,Style 15,Style 17,Style 9,o1,fr1,o2,fr2,o3,fr3,Style 18,(NECG) Footnote Reference,Style 20,Style 7,Style 8,Style 19,Style 28,Style 11,Style 16,Styl,Footnote Reference (EIS),fnr,Footnote reference (EA),Style 30,."/>
    <w:basedOn w:val="DefaultParagraphFont"/>
    <w:uiPriority w:val="1"/>
    <w:unhideWhenUsed/>
    <w:qFormat/>
    <w:rsid w:val="00A65F1E"/>
    <w:rPr>
      <w:rFonts w:ascii="Times New Roman" w:hAnsi="Times New Roman" w:cs="Times New Roman"/>
      <w:b/>
      <w:sz w:val="26"/>
      <w:vertAlign w:val="superscript"/>
    </w:rPr>
  </w:style>
  <w:style w:type="paragraph" w:customStyle="1" w:styleId="FERCNopara">
    <w:name w:val="FERC Nopara"/>
    <w:basedOn w:val="Normal"/>
    <w:uiPriority w:val="1"/>
    <w:qFormat/>
    <w:rsid w:val="00FE519C"/>
    <w:pPr>
      <w:spacing w:after="260"/>
      <w:ind w:firstLine="720"/>
    </w:pPr>
  </w:style>
  <w:style w:type="character" w:styleId="CommentReference">
    <w:name w:val="annotation reference"/>
    <w:basedOn w:val="DefaultParagraphFont"/>
    <w:uiPriority w:val="99"/>
    <w:semiHidden/>
    <w:unhideWhenUsed/>
    <w:rsid w:val="00407EE0"/>
    <w:rPr>
      <w:sz w:val="16"/>
      <w:szCs w:val="16"/>
    </w:rPr>
  </w:style>
  <w:style w:type="character" w:customStyle="1" w:styleId="NoindentChar">
    <w:name w:val="No indent Char"/>
    <w:basedOn w:val="DefaultParagraphFont"/>
    <w:link w:val="Noindent"/>
    <w:locked/>
    <w:rsid w:val="002C1AFC"/>
    <w:rPr>
      <w:rFonts w:ascii="Calibri" w:hAnsi="Calibri" w:cs="Calibri"/>
      <w:sz w:val="26"/>
      <w:szCs w:val="26"/>
    </w:rPr>
  </w:style>
  <w:style w:type="paragraph" w:customStyle="1" w:styleId="Noindent">
    <w:name w:val="No indent"/>
    <w:basedOn w:val="Normal"/>
    <w:link w:val="NoindentChar"/>
    <w:qFormat/>
    <w:rsid w:val="002C1AFC"/>
    <w:pPr>
      <w:widowControl/>
      <w:spacing w:after="260"/>
    </w:pPr>
    <w:rPr>
      <w:rFonts w:ascii="Calibri" w:hAnsi="Calibri" w:cs="Calibri"/>
      <w:szCs w:val="26"/>
    </w:rPr>
  </w:style>
  <w:style w:type="paragraph" w:styleId="Revision">
    <w:name w:val="Revision"/>
    <w:hidden/>
    <w:uiPriority w:val="99"/>
    <w:semiHidden/>
    <w:rsid w:val="000761A3"/>
    <w:pPr>
      <w:spacing w:after="0" w:line="240" w:lineRule="auto"/>
    </w:pPr>
    <w:rPr>
      <w:rFonts w:ascii="Times New Roman" w:hAnsi="Times New Roman" w:cs="Times New Roman"/>
      <w:sz w:val="26"/>
    </w:rPr>
  </w:style>
  <w:style w:type="character" w:styleId="EndnoteReference">
    <w:name w:val="endnote reference"/>
    <w:basedOn w:val="DefaultParagraphFont"/>
    <w:uiPriority w:val="99"/>
    <w:semiHidden/>
    <w:unhideWhenUsed/>
    <w:rsid w:val="000761A3"/>
    <w:rPr>
      <w:vertAlign w:val="superscript"/>
    </w:rPr>
  </w:style>
  <w:style w:type="character" w:customStyle="1" w:styleId="apple-converted-space">
    <w:name w:val="apple-converted-space"/>
    <w:rsid w:val="000761A3"/>
  </w:style>
  <w:style w:type="character" w:styleId="FollowedHyperlink">
    <w:name w:val="FollowedHyperlink"/>
    <w:basedOn w:val="DefaultParagraphFont"/>
    <w:uiPriority w:val="99"/>
    <w:semiHidden/>
    <w:unhideWhenUsed/>
    <w:rsid w:val="000761A3"/>
    <w:rPr>
      <w:color w:val="954F72" w:themeColor="followedHyperlink"/>
      <w:u w:val="single"/>
    </w:rPr>
  </w:style>
  <w:style w:type="character" w:styleId="SubtleEmphasis">
    <w:name w:val="Subtle Emphasis"/>
    <w:basedOn w:val="DefaultParagraphFont"/>
    <w:uiPriority w:val="19"/>
    <w:qFormat/>
    <w:rsid w:val="00B87E85"/>
    <w:rPr>
      <w:i/>
      <w:iCs/>
      <w:color w:val="404040" w:themeColor="text1" w:themeTint="BF"/>
    </w:rPr>
  </w:style>
  <w:style w:type="paragraph" w:customStyle="1" w:styleId="BlockIndent">
    <w:name w:val="Block Indent"/>
    <w:basedOn w:val="Normal"/>
    <w:next w:val="FERCparanumber"/>
    <w:link w:val="BlockIndentChar"/>
    <w:rsid w:val="006E2223"/>
    <w:pPr>
      <w:widowControl/>
      <w:spacing w:after="240"/>
      <w:ind w:left="1440" w:right="1440"/>
    </w:pPr>
  </w:style>
  <w:style w:type="character" w:customStyle="1" w:styleId="BlockIndentChar">
    <w:name w:val="Block Indent Char"/>
    <w:basedOn w:val="DefaultParagraphFont"/>
    <w:link w:val="BlockIndent"/>
    <w:rsid w:val="006E2223"/>
    <w:rPr>
      <w:rFonts w:ascii="Times New Roman" w:hAnsi="Times New Roman" w:cs="Times New Roman"/>
      <w:sz w:val="26"/>
    </w:rPr>
  </w:style>
  <w:style w:type="character" w:styleId="PlaceholderText">
    <w:name w:val="Placeholder Text"/>
    <w:basedOn w:val="DefaultParagraphFont"/>
    <w:uiPriority w:val="99"/>
    <w:semiHidden/>
    <w:rsid w:val="007C14CE"/>
    <w:rPr>
      <w:color w:val="808080"/>
    </w:rPr>
  </w:style>
  <w:style w:type="paragraph" w:customStyle="1" w:styleId="Default">
    <w:name w:val="Default"/>
    <w:rsid w:val="007C14CE"/>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7C14CE"/>
    <w:rPr>
      <w:color w:val="605E5C"/>
      <w:shd w:val="clear" w:color="auto" w:fill="E1DFDD"/>
    </w:rPr>
  </w:style>
  <w:style w:type="character" w:customStyle="1" w:styleId="UnresolvedMention2">
    <w:name w:val="Unresolved Mention2"/>
    <w:basedOn w:val="DefaultParagraphFont"/>
    <w:uiPriority w:val="99"/>
    <w:semiHidden/>
    <w:unhideWhenUsed/>
    <w:rsid w:val="00A047B1"/>
    <w:rPr>
      <w:color w:val="605E5C"/>
      <w:shd w:val="clear" w:color="auto" w:fill="E1DFDD"/>
    </w:rPr>
  </w:style>
  <w:style w:type="character" w:customStyle="1" w:styleId="UnresolvedMention3">
    <w:name w:val="Unresolved Mention3"/>
    <w:basedOn w:val="DefaultParagraphFont"/>
    <w:uiPriority w:val="99"/>
    <w:semiHidden/>
    <w:unhideWhenUsed/>
    <w:rsid w:val="00F8353D"/>
    <w:rPr>
      <w:color w:val="605E5C"/>
      <w:shd w:val="clear" w:color="auto" w:fill="E1DFDD"/>
    </w:rPr>
  </w:style>
  <w:style w:type="character" w:customStyle="1" w:styleId="UnresolvedMention4">
    <w:name w:val="Unresolved Mention4"/>
    <w:basedOn w:val="DefaultParagraphFont"/>
    <w:uiPriority w:val="99"/>
    <w:semiHidden/>
    <w:unhideWhenUsed/>
    <w:rsid w:val="00FD2DCB"/>
    <w:rPr>
      <w:color w:val="605E5C"/>
      <w:shd w:val="clear" w:color="auto" w:fill="E1DFDD"/>
    </w:rPr>
  </w:style>
  <w:style w:type="character" w:customStyle="1" w:styleId="UnresolvedMention5">
    <w:name w:val="Unresolved Mention5"/>
    <w:basedOn w:val="DefaultParagraphFont"/>
    <w:uiPriority w:val="99"/>
    <w:semiHidden/>
    <w:unhideWhenUsed/>
    <w:rsid w:val="006C1DDA"/>
    <w:rPr>
      <w:color w:val="605E5C"/>
      <w:shd w:val="clear" w:color="auto" w:fill="E1DFDD"/>
    </w:rPr>
  </w:style>
  <w:style w:type="character" w:customStyle="1" w:styleId="UnresolvedMention6">
    <w:name w:val="Unresolved Mention6"/>
    <w:basedOn w:val="DefaultParagraphFont"/>
    <w:uiPriority w:val="99"/>
    <w:semiHidden/>
    <w:unhideWhenUsed/>
    <w:rsid w:val="0082243B"/>
    <w:rPr>
      <w:color w:val="605E5C"/>
      <w:shd w:val="clear" w:color="auto" w:fill="E1DFDD"/>
    </w:rPr>
  </w:style>
  <w:style w:type="character" w:customStyle="1" w:styleId="UnresolvedMention7">
    <w:name w:val="Unresolved Mention7"/>
    <w:basedOn w:val="DefaultParagraphFont"/>
    <w:uiPriority w:val="99"/>
    <w:semiHidden/>
    <w:unhideWhenUsed/>
    <w:rsid w:val="00E314DC"/>
    <w:rPr>
      <w:color w:val="605E5C"/>
      <w:shd w:val="clear" w:color="auto" w:fill="E1DFDD"/>
    </w:rPr>
  </w:style>
  <w:style w:type="character" w:customStyle="1" w:styleId="UnresolvedMention8">
    <w:name w:val="Unresolved Mention8"/>
    <w:basedOn w:val="DefaultParagraphFont"/>
    <w:uiPriority w:val="99"/>
    <w:semiHidden/>
    <w:unhideWhenUsed/>
    <w:rsid w:val="007D6B27"/>
    <w:rPr>
      <w:color w:val="605E5C"/>
      <w:shd w:val="clear" w:color="auto" w:fill="E1DFDD"/>
    </w:rPr>
  </w:style>
  <w:style w:type="character" w:styleId="UnresolvedMention">
    <w:name w:val="Unresolved Mention"/>
    <w:basedOn w:val="DefaultParagraphFont"/>
    <w:uiPriority w:val="99"/>
    <w:semiHidden/>
    <w:unhideWhenUsed/>
    <w:rsid w:val="00283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3599">
      <w:bodyDiv w:val="1"/>
      <w:marLeft w:val="0"/>
      <w:marRight w:val="0"/>
      <w:marTop w:val="0"/>
      <w:marBottom w:val="0"/>
      <w:divBdr>
        <w:top w:val="none" w:sz="0" w:space="0" w:color="auto"/>
        <w:left w:val="none" w:sz="0" w:space="0" w:color="auto"/>
        <w:bottom w:val="none" w:sz="0" w:space="0" w:color="auto"/>
        <w:right w:val="none" w:sz="0" w:space="0" w:color="auto"/>
      </w:divBdr>
    </w:div>
    <w:div w:id="81493612">
      <w:bodyDiv w:val="1"/>
      <w:marLeft w:val="0"/>
      <w:marRight w:val="0"/>
      <w:marTop w:val="0"/>
      <w:marBottom w:val="0"/>
      <w:divBdr>
        <w:top w:val="none" w:sz="0" w:space="0" w:color="auto"/>
        <w:left w:val="none" w:sz="0" w:space="0" w:color="auto"/>
        <w:bottom w:val="none" w:sz="0" w:space="0" w:color="auto"/>
        <w:right w:val="none" w:sz="0" w:space="0" w:color="auto"/>
      </w:divBdr>
      <w:divsChild>
        <w:div w:id="1914700136">
          <w:marLeft w:val="240"/>
          <w:marRight w:val="0"/>
          <w:marTop w:val="60"/>
          <w:marBottom w:val="60"/>
          <w:divBdr>
            <w:top w:val="none" w:sz="0" w:space="0" w:color="auto"/>
            <w:left w:val="none" w:sz="0" w:space="0" w:color="auto"/>
            <w:bottom w:val="none" w:sz="0" w:space="0" w:color="auto"/>
            <w:right w:val="none" w:sz="0" w:space="0" w:color="auto"/>
          </w:divBdr>
          <w:divsChild>
            <w:div w:id="1989043443">
              <w:marLeft w:val="0"/>
              <w:marRight w:val="0"/>
              <w:marTop w:val="0"/>
              <w:marBottom w:val="0"/>
              <w:divBdr>
                <w:top w:val="none" w:sz="0" w:space="0" w:color="auto"/>
                <w:left w:val="none" w:sz="0" w:space="0" w:color="auto"/>
                <w:bottom w:val="none" w:sz="0" w:space="0" w:color="auto"/>
                <w:right w:val="none" w:sz="0" w:space="0" w:color="auto"/>
              </w:divBdr>
            </w:div>
          </w:divsChild>
        </w:div>
        <w:div w:id="542181813">
          <w:marLeft w:val="240"/>
          <w:marRight w:val="0"/>
          <w:marTop w:val="60"/>
          <w:marBottom w:val="60"/>
          <w:divBdr>
            <w:top w:val="none" w:sz="0" w:space="0" w:color="auto"/>
            <w:left w:val="none" w:sz="0" w:space="0" w:color="auto"/>
            <w:bottom w:val="none" w:sz="0" w:space="0" w:color="auto"/>
            <w:right w:val="none" w:sz="0" w:space="0" w:color="auto"/>
          </w:divBdr>
          <w:divsChild>
            <w:div w:id="1930458117">
              <w:marLeft w:val="0"/>
              <w:marRight w:val="0"/>
              <w:marTop w:val="0"/>
              <w:marBottom w:val="0"/>
              <w:divBdr>
                <w:top w:val="none" w:sz="0" w:space="0" w:color="auto"/>
                <w:left w:val="none" w:sz="0" w:space="0" w:color="auto"/>
                <w:bottom w:val="none" w:sz="0" w:space="0" w:color="auto"/>
                <w:right w:val="none" w:sz="0" w:space="0" w:color="auto"/>
              </w:divBdr>
            </w:div>
          </w:divsChild>
        </w:div>
        <w:div w:id="1803301641">
          <w:marLeft w:val="662"/>
          <w:marRight w:val="0"/>
          <w:marTop w:val="0"/>
          <w:marBottom w:val="0"/>
          <w:divBdr>
            <w:top w:val="none" w:sz="0" w:space="0" w:color="auto"/>
            <w:left w:val="none" w:sz="0" w:space="0" w:color="auto"/>
            <w:bottom w:val="none" w:sz="0" w:space="0" w:color="auto"/>
            <w:right w:val="none" w:sz="0" w:space="0" w:color="auto"/>
          </w:divBdr>
        </w:div>
      </w:divsChild>
    </w:div>
    <w:div w:id="148209060">
      <w:bodyDiv w:val="1"/>
      <w:marLeft w:val="0"/>
      <w:marRight w:val="0"/>
      <w:marTop w:val="0"/>
      <w:marBottom w:val="0"/>
      <w:divBdr>
        <w:top w:val="none" w:sz="0" w:space="0" w:color="auto"/>
        <w:left w:val="none" w:sz="0" w:space="0" w:color="auto"/>
        <w:bottom w:val="none" w:sz="0" w:space="0" w:color="auto"/>
        <w:right w:val="none" w:sz="0" w:space="0" w:color="auto"/>
      </w:divBdr>
    </w:div>
    <w:div w:id="159009528">
      <w:bodyDiv w:val="1"/>
      <w:marLeft w:val="0"/>
      <w:marRight w:val="0"/>
      <w:marTop w:val="0"/>
      <w:marBottom w:val="0"/>
      <w:divBdr>
        <w:top w:val="none" w:sz="0" w:space="0" w:color="auto"/>
        <w:left w:val="none" w:sz="0" w:space="0" w:color="auto"/>
        <w:bottom w:val="none" w:sz="0" w:space="0" w:color="auto"/>
        <w:right w:val="none" w:sz="0" w:space="0" w:color="auto"/>
      </w:divBdr>
      <w:divsChild>
        <w:div w:id="1800605267">
          <w:marLeft w:val="0"/>
          <w:marRight w:val="0"/>
          <w:marTop w:val="0"/>
          <w:marBottom w:val="0"/>
          <w:divBdr>
            <w:top w:val="none" w:sz="0" w:space="0" w:color="auto"/>
            <w:left w:val="none" w:sz="0" w:space="0" w:color="auto"/>
            <w:bottom w:val="none" w:sz="0" w:space="0" w:color="auto"/>
            <w:right w:val="none" w:sz="0" w:space="0" w:color="auto"/>
          </w:divBdr>
        </w:div>
      </w:divsChild>
    </w:div>
    <w:div w:id="189683294">
      <w:bodyDiv w:val="1"/>
      <w:marLeft w:val="0"/>
      <w:marRight w:val="0"/>
      <w:marTop w:val="0"/>
      <w:marBottom w:val="0"/>
      <w:divBdr>
        <w:top w:val="none" w:sz="0" w:space="0" w:color="auto"/>
        <w:left w:val="none" w:sz="0" w:space="0" w:color="auto"/>
        <w:bottom w:val="none" w:sz="0" w:space="0" w:color="auto"/>
        <w:right w:val="none" w:sz="0" w:space="0" w:color="auto"/>
      </w:divBdr>
    </w:div>
    <w:div w:id="202712564">
      <w:bodyDiv w:val="1"/>
      <w:marLeft w:val="0"/>
      <w:marRight w:val="0"/>
      <w:marTop w:val="0"/>
      <w:marBottom w:val="0"/>
      <w:divBdr>
        <w:top w:val="none" w:sz="0" w:space="0" w:color="auto"/>
        <w:left w:val="none" w:sz="0" w:space="0" w:color="auto"/>
        <w:bottom w:val="none" w:sz="0" w:space="0" w:color="auto"/>
        <w:right w:val="none" w:sz="0" w:space="0" w:color="auto"/>
      </w:divBdr>
    </w:div>
    <w:div w:id="294797818">
      <w:bodyDiv w:val="1"/>
      <w:marLeft w:val="0"/>
      <w:marRight w:val="0"/>
      <w:marTop w:val="0"/>
      <w:marBottom w:val="0"/>
      <w:divBdr>
        <w:top w:val="none" w:sz="0" w:space="0" w:color="auto"/>
        <w:left w:val="none" w:sz="0" w:space="0" w:color="auto"/>
        <w:bottom w:val="none" w:sz="0" w:space="0" w:color="auto"/>
        <w:right w:val="none" w:sz="0" w:space="0" w:color="auto"/>
      </w:divBdr>
    </w:div>
    <w:div w:id="365101689">
      <w:bodyDiv w:val="1"/>
      <w:marLeft w:val="0"/>
      <w:marRight w:val="0"/>
      <w:marTop w:val="0"/>
      <w:marBottom w:val="0"/>
      <w:divBdr>
        <w:top w:val="none" w:sz="0" w:space="0" w:color="auto"/>
        <w:left w:val="none" w:sz="0" w:space="0" w:color="auto"/>
        <w:bottom w:val="none" w:sz="0" w:space="0" w:color="auto"/>
        <w:right w:val="none" w:sz="0" w:space="0" w:color="auto"/>
      </w:divBdr>
    </w:div>
    <w:div w:id="381760057">
      <w:bodyDiv w:val="1"/>
      <w:marLeft w:val="0"/>
      <w:marRight w:val="0"/>
      <w:marTop w:val="0"/>
      <w:marBottom w:val="0"/>
      <w:divBdr>
        <w:top w:val="none" w:sz="0" w:space="0" w:color="auto"/>
        <w:left w:val="none" w:sz="0" w:space="0" w:color="auto"/>
        <w:bottom w:val="none" w:sz="0" w:space="0" w:color="auto"/>
        <w:right w:val="none" w:sz="0" w:space="0" w:color="auto"/>
      </w:divBdr>
    </w:div>
    <w:div w:id="398292055">
      <w:bodyDiv w:val="1"/>
      <w:marLeft w:val="0"/>
      <w:marRight w:val="0"/>
      <w:marTop w:val="0"/>
      <w:marBottom w:val="0"/>
      <w:divBdr>
        <w:top w:val="none" w:sz="0" w:space="0" w:color="auto"/>
        <w:left w:val="none" w:sz="0" w:space="0" w:color="auto"/>
        <w:bottom w:val="none" w:sz="0" w:space="0" w:color="auto"/>
        <w:right w:val="none" w:sz="0" w:space="0" w:color="auto"/>
      </w:divBdr>
    </w:div>
    <w:div w:id="486239858">
      <w:bodyDiv w:val="1"/>
      <w:marLeft w:val="0"/>
      <w:marRight w:val="0"/>
      <w:marTop w:val="0"/>
      <w:marBottom w:val="0"/>
      <w:divBdr>
        <w:top w:val="none" w:sz="0" w:space="0" w:color="auto"/>
        <w:left w:val="none" w:sz="0" w:space="0" w:color="auto"/>
        <w:bottom w:val="none" w:sz="0" w:space="0" w:color="auto"/>
        <w:right w:val="none" w:sz="0" w:space="0" w:color="auto"/>
      </w:divBdr>
    </w:div>
    <w:div w:id="521288836">
      <w:bodyDiv w:val="1"/>
      <w:marLeft w:val="0"/>
      <w:marRight w:val="0"/>
      <w:marTop w:val="0"/>
      <w:marBottom w:val="0"/>
      <w:divBdr>
        <w:top w:val="none" w:sz="0" w:space="0" w:color="auto"/>
        <w:left w:val="none" w:sz="0" w:space="0" w:color="auto"/>
        <w:bottom w:val="none" w:sz="0" w:space="0" w:color="auto"/>
        <w:right w:val="none" w:sz="0" w:space="0" w:color="auto"/>
      </w:divBdr>
    </w:div>
    <w:div w:id="664474391">
      <w:bodyDiv w:val="1"/>
      <w:marLeft w:val="0"/>
      <w:marRight w:val="0"/>
      <w:marTop w:val="0"/>
      <w:marBottom w:val="0"/>
      <w:divBdr>
        <w:top w:val="none" w:sz="0" w:space="0" w:color="auto"/>
        <w:left w:val="none" w:sz="0" w:space="0" w:color="auto"/>
        <w:bottom w:val="none" w:sz="0" w:space="0" w:color="auto"/>
        <w:right w:val="none" w:sz="0" w:space="0" w:color="auto"/>
      </w:divBdr>
    </w:div>
    <w:div w:id="756245474">
      <w:bodyDiv w:val="1"/>
      <w:marLeft w:val="0"/>
      <w:marRight w:val="0"/>
      <w:marTop w:val="0"/>
      <w:marBottom w:val="0"/>
      <w:divBdr>
        <w:top w:val="none" w:sz="0" w:space="0" w:color="auto"/>
        <w:left w:val="none" w:sz="0" w:space="0" w:color="auto"/>
        <w:bottom w:val="none" w:sz="0" w:space="0" w:color="auto"/>
        <w:right w:val="none" w:sz="0" w:space="0" w:color="auto"/>
      </w:divBdr>
      <w:divsChild>
        <w:div w:id="125974686">
          <w:marLeft w:val="0"/>
          <w:marRight w:val="0"/>
          <w:marTop w:val="0"/>
          <w:marBottom w:val="0"/>
          <w:divBdr>
            <w:top w:val="none" w:sz="0" w:space="0" w:color="auto"/>
            <w:left w:val="none" w:sz="0" w:space="0" w:color="auto"/>
            <w:bottom w:val="none" w:sz="0" w:space="0" w:color="auto"/>
            <w:right w:val="none" w:sz="0" w:space="0" w:color="auto"/>
          </w:divBdr>
        </w:div>
      </w:divsChild>
    </w:div>
    <w:div w:id="816343973">
      <w:bodyDiv w:val="1"/>
      <w:marLeft w:val="0"/>
      <w:marRight w:val="0"/>
      <w:marTop w:val="0"/>
      <w:marBottom w:val="0"/>
      <w:divBdr>
        <w:top w:val="none" w:sz="0" w:space="0" w:color="auto"/>
        <w:left w:val="none" w:sz="0" w:space="0" w:color="auto"/>
        <w:bottom w:val="none" w:sz="0" w:space="0" w:color="auto"/>
        <w:right w:val="none" w:sz="0" w:space="0" w:color="auto"/>
      </w:divBdr>
    </w:div>
    <w:div w:id="820467659">
      <w:bodyDiv w:val="1"/>
      <w:marLeft w:val="0"/>
      <w:marRight w:val="0"/>
      <w:marTop w:val="0"/>
      <w:marBottom w:val="0"/>
      <w:divBdr>
        <w:top w:val="none" w:sz="0" w:space="0" w:color="auto"/>
        <w:left w:val="none" w:sz="0" w:space="0" w:color="auto"/>
        <w:bottom w:val="none" w:sz="0" w:space="0" w:color="auto"/>
        <w:right w:val="none" w:sz="0" w:space="0" w:color="auto"/>
      </w:divBdr>
    </w:div>
    <w:div w:id="876429508">
      <w:bodyDiv w:val="1"/>
      <w:marLeft w:val="0"/>
      <w:marRight w:val="0"/>
      <w:marTop w:val="0"/>
      <w:marBottom w:val="0"/>
      <w:divBdr>
        <w:top w:val="none" w:sz="0" w:space="0" w:color="auto"/>
        <w:left w:val="none" w:sz="0" w:space="0" w:color="auto"/>
        <w:bottom w:val="none" w:sz="0" w:space="0" w:color="auto"/>
        <w:right w:val="none" w:sz="0" w:space="0" w:color="auto"/>
      </w:divBdr>
    </w:div>
    <w:div w:id="876703217">
      <w:bodyDiv w:val="1"/>
      <w:marLeft w:val="0"/>
      <w:marRight w:val="0"/>
      <w:marTop w:val="0"/>
      <w:marBottom w:val="0"/>
      <w:divBdr>
        <w:top w:val="none" w:sz="0" w:space="0" w:color="auto"/>
        <w:left w:val="none" w:sz="0" w:space="0" w:color="auto"/>
        <w:bottom w:val="none" w:sz="0" w:space="0" w:color="auto"/>
        <w:right w:val="none" w:sz="0" w:space="0" w:color="auto"/>
      </w:divBdr>
    </w:div>
    <w:div w:id="937103444">
      <w:bodyDiv w:val="1"/>
      <w:marLeft w:val="0"/>
      <w:marRight w:val="0"/>
      <w:marTop w:val="0"/>
      <w:marBottom w:val="0"/>
      <w:divBdr>
        <w:top w:val="none" w:sz="0" w:space="0" w:color="auto"/>
        <w:left w:val="none" w:sz="0" w:space="0" w:color="auto"/>
        <w:bottom w:val="none" w:sz="0" w:space="0" w:color="auto"/>
        <w:right w:val="none" w:sz="0" w:space="0" w:color="auto"/>
      </w:divBdr>
    </w:div>
    <w:div w:id="947850644">
      <w:bodyDiv w:val="1"/>
      <w:marLeft w:val="0"/>
      <w:marRight w:val="0"/>
      <w:marTop w:val="0"/>
      <w:marBottom w:val="0"/>
      <w:divBdr>
        <w:top w:val="none" w:sz="0" w:space="0" w:color="auto"/>
        <w:left w:val="none" w:sz="0" w:space="0" w:color="auto"/>
        <w:bottom w:val="none" w:sz="0" w:space="0" w:color="auto"/>
        <w:right w:val="none" w:sz="0" w:space="0" w:color="auto"/>
      </w:divBdr>
    </w:div>
    <w:div w:id="964503500">
      <w:bodyDiv w:val="1"/>
      <w:marLeft w:val="0"/>
      <w:marRight w:val="0"/>
      <w:marTop w:val="0"/>
      <w:marBottom w:val="0"/>
      <w:divBdr>
        <w:top w:val="none" w:sz="0" w:space="0" w:color="auto"/>
        <w:left w:val="none" w:sz="0" w:space="0" w:color="auto"/>
        <w:bottom w:val="none" w:sz="0" w:space="0" w:color="auto"/>
        <w:right w:val="none" w:sz="0" w:space="0" w:color="auto"/>
      </w:divBdr>
    </w:div>
    <w:div w:id="995651438">
      <w:bodyDiv w:val="1"/>
      <w:marLeft w:val="0"/>
      <w:marRight w:val="0"/>
      <w:marTop w:val="0"/>
      <w:marBottom w:val="0"/>
      <w:divBdr>
        <w:top w:val="none" w:sz="0" w:space="0" w:color="auto"/>
        <w:left w:val="none" w:sz="0" w:space="0" w:color="auto"/>
        <w:bottom w:val="none" w:sz="0" w:space="0" w:color="auto"/>
        <w:right w:val="none" w:sz="0" w:space="0" w:color="auto"/>
      </w:divBdr>
    </w:div>
    <w:div w:id="1069038901">
      <w:bodyDiv w:val="1"/>
      <w:marLeft w:val="0"/>
      <w:marRight w:val="0"/>
      <w:marTop w:val="0"/>
      <w:marBottom w:val="0"/>
      <w:divBdr>
        <w:top w:val="none" w:sz="0" w:space="0" w:color="auto"/>
        <w:left w:val="none" w:sz="0" w:space="0" w:color="auto"/>
        <w:bottom w:val="none" w:sz="0" w:space="0" w:color="auto"/>
        <w:right w:val="none" w:sz="0" w:space="0" w:color="auto"/>
      </w:divBdr>
    </w:div>
    <w:div w:id="1121921651">
      <w:bodyDiv w:val="1"/>
      <w:marLeft w:val="0"/>
      <w:marRight w:val="0"/>
      <w:marTop w:val="0"/>
      <w:marBottom w:val="0"/>
      <w:divBdr>
        <w:top w:val="none" w:sz="0" w:space="0" w:color="auto"/>
        <w:left w:val="none" w:sz="0" w:space="0" w:color="auto"/>
        <w:bottom w:val="none" w:sz="0" w:space="0" w:color="auto"/>
        <w:right w:val="none" w:sz="0" w:space="0" w:color="auto"/>
      </w:divBdr>
    </w:div>
    <w:div w:id="1285304162">
      <w:bodyDiv w:val="1"/>
      <w:marLeft w:val="0"/>
      <w:marRight w:val="0"/>
      <w:marTop w:val="0"/>
      <w:marBottom w:val="0"/>
      <w:divBdr>
        <w:top w:val="none" w:sz="0" w:space="0" w:color="auto"/>
        <w:left w:val="none" w:sz="0" w:space="0" w:color="auto"/>
        <w:bottom w:val="none" w:sz="0" w:space="0" w:color="auto"/>
        <w:right w:val="none" w:sz="0" w:space="0" w:color="auto"/>
      </w:divBdr>
    </w:div>
    <w:div w:id="1287276977">
      <w:bodyDiv w:val="1"/>
      <w:marLeft w:val="0"/>
      <w:marRight w:val="0"/>
      <w:marTop w:val="0"/>
      <w:marBottom w:val="0"/>
      <w:divBdr>
        <w:top w:val="none" w:sz="0" w:space="0" w:color="auto"/>
        <w:left w:val="none" w:sz="0" w:space="0" w:color="auto"/>
        <w:bottom w:val="none" w:sz="0" w:space="0" w:color="auto"/>
        <w:right w:val="none" w:sz="0" w:space="0" w:color="auto"/>
      </w:divBdr>
    </w:div>
    <w:div w:id="1345329829">
      <w:bodyDiv w:val="1"/>
      <w:marLeft w:val="0"/>
      <w:marRight w:val="0"/>
      <w:marTop w:val="0"/>
      <w:marBottom w:val="0"/>
      <w:divBdr>
        <w:top w:val="none" w:sz="0" w:space="0" w:color="auto"/>
        <w:left w:val="none" w:sz="0" w:space="0" w:color="auto"/>
        <w:bottom w:val="none" w:sz="0" w:space="0" w:color="auto"/>
        <w:right w:val="none" w:sz="0" w:space="0" w:color="auto"/>
      </w:divBdr>
    </w:div>
    <w:div w:id="1364748789">
      <w:bodyDiv w:val="1"/>
      <w:marLeft w:val="0"/>
      <w:marRight w:val="0"/>
      <w:marTop w:val="0"/>
      <w:marBottom w:val="0"/>
      <w:divBdr>
        <w:top w:val="none" w:sz="0" w:space="0" w:color="auto"/>
        <w:left w:val="none" w:sz="0" w:space="0" w:color="auto"/>
        <w:bottom w:val="none" w:sz="0" w:space="0" w:color="auto"/>
        <w:right w:val="none" w:sz="0" w:space="0" w:color="auto"/>
      </w:divBdr>
    </w:div>
    <w:div w:id="1364819516">
      <w:bodyDiv w:val="1"/>
      <w:marLeft w:val="0"/>
      <w:marRight w:val="0"/>
      <w:marTop w:val="0"/>
      <w:marBottom w:val="0"/>
      <w:divBdr>
        <w:top w:val="none" w:sz="0" w:space="0" w:color="auto"/>
        <w:left w:val="none" w:sz="0" w:space="0" w:color="auto"/>
        <w:bottom w:val="none" w:sz="0" w:space="0" w:color="auto"/>
        <w:right w:val="none" w:sz="0" w:space="0" w:color="auto"/>
      </w:divBdr>
    </w:div>
    <w:div w:id="1393886931">
      <w:bodyDiv w:val="1"/>
      <w:marLeft w:val="0"/>
      <w:marRight w:val="0"/>
      <w:marTop w:val="0"/>
      <w:marBottom w:val="0"/>
      <w:divBdr>
        <w:top w:val="none" w:sz="0" w:space="0" w:color="auto"/>
        <w:left w:val="none" w:sz="0" w:space="0" w:color="auto"/>
        <w:bottom w:val="none" w:sz="0" w:space="0" w:color="auto"/>
        <w:right w:val="none" w:sz="0" w:space="0" w:color="auto"/>
      </w:divBdr>
    </w:div>
    <w:div w:id="1417820672">
      <w:bodyDiv w:val="1"/>
      <w:marLeft w:val="0"/>
      <w:marRight w:val="0"/>
      <w:marTop w:val="0"/>
      <w:marBottom w:val="0"/>
      <w:divBdr>
        <w:top w:val="none" w:sz="0" w:space="0" w:color="auto"/>
        <w:left w:val="none" w:sz="0" w:space="0" w:color="auto"/>
        <w:bottom w:val="none" w:sz="0" w:space="0" w:color="auto"/>
        <w:right w:val="none" w:sz="0" w:space="0" w:color="auto"/>
      </w:divBdr>
    </w:div>
    <w:div w:id="1421869197">
      <w:bodyDiv w:val="1"/>
      <w:marLeft w:val="0"/>
      <w:marRight w:val="0"/>
      <w:marTop w:val="0"/>
      <w:marBottom w:val="0"/>
      <w:divBdr>
        <w:top w:val="none" w:sz="0" w:space="0" w:color="auto"/>
        <w:left w:val="none" w:sz="0" w:space="0" w:color="auto"/>
        <w:bottom w:val="none" w:sz="0" w:space="0" w:color="auto"/>
        <w:right w:val="none" w:sz="0" w:space="0" w:color="auto"/>
      </w:divBdr>
    </w:div>
    <w:div w:id="1427847561">
      <w:bodyDiv w:val="1"/>
      <w:marLeft w:val="0"/>
      <w:marRight w:val="0"/>
      <w:marTop w:val="0"/>
      <w:marBottom w:val="0"/>
      <w:divBdr>
        <w:top w:val="none" w:sz="0" w:space="0" w:color="auto"/>
        <w:left w:val="none" w:sz="0" w:space="0" w:color="auto"/>
        <w:bottom w:val="none" w:sz="0" w:space="0" w:color="auto"/>
        <w:right w:val="none" w:sz="0" w:space="0" w:color="auto"/>
      </w:divBdr>
      <w:divsChild>
        <w:div w:id="1460763532">
          <w:marLeft w:val="240"/>
          <w:marRight w:val="0"/>
          <w:marTop w:val="60"/>
          <w:marBottom w:val="60"/>
          <w:divBdr>
            <w:top w:val="none" w:sz="0" w:space="0" w:color="auto"/>
            <w:left w:val="none" w:sz="0" w:space="0" w:color="auto"/>
            <w:bottom w:val="none" w:sz="0" w:space="0" w:color="auto"/>
            <w:right w:val="none" w:sz="0" w:space="0" w:color="auto"/>
          </w:divBdr>
          <w:divsChild>
            <w:div w:id="2060979503">
              <w:marLeft w:val="0"/>
              <w:marRight w:val="0"/>
              <w:marTop w:val="0"/>
              <w:marBottom w:val="0"/>
              <w:divBdr>
                <w:top w:val="none" w:sz="0" w:space="0" w:color="auto"/>
                <w:left w:val="none" w:sz="0" w:space="0" w:color="auto"/>
                <w:bottom w:val="none" w:sz="0" w:space="0" w:color="auto"/>
                <w:right w:val="none" w:sz="0" w:space="0" w:color="auto"/>
              </w:divBdr>
            </w:div>
          </w:divsChild>
        </w:div>
        <w:div w:id="901210303">
          <w:marLeft w:val="240"/>
          <w:marRight w:val="0"/>
          <w:marTop w:val="60"/>
          <w:marBottom w:val="60"/>
          <w:divBdr>
            <w:top w:val="none" w:sz="0" w:space="0" w:color="auto"/>
            <w:left w:val="none" w:sz="0" w:space="0" w:color="auto"/>
            <w:bottom w:val="none" w:sz="0" w:space="0" w:color="auto"/>
            <w:right w:val="none" w:sz="0" w:space="0" w:color="auto"/>
          </w:divBdr>
          <w:divsChild>
            <w:div w:id="1646592115">
              <w:marLeft w:val="0"/>
              <w:marRight w:val="0"/>
              <w:marTop w:val="0"/>
              <w:marBottom w:val="0"/>
              <w:divBdr>
                <w:top w:val="none" w:sz="0" w:space="0" w:color="auto"/>
                <w:left w:val="none" w:sz="0" w:space="0" w:color="auto"/>
                <w:bottom w:val="none" w:sz="0" w:space="0" w:color="auto"/>
                <w:right w:val="none" w:sz="0" w:space="0" w:color="auto"/>
              </w:divBdr>
            </w:div>
          </w:divsChild>
        </w:div>
        <w:div w:id="868687229">
          <w:marLeft w:val="662"/>
          <w:marRight w:val="0"/>
          <w:marTop w:val="0"/>
          <w:marBottom w:val="0"/>
          <w:divBdr>
            <w:top w:val="none" w:sz="0" w:space="0" w:color="auto"/>
            <w:left w:val="none" w:sz="0" w:space="0" w:color="auto"/>
            <w:bottom w:val="none" w:sz="0" w:space="0" w:color="auto"/>
            <w:right w:val="none" w:sz="0" w:space="0" w:color="auto"/>
          </w:divBdr>
        </w:div>
      </w:divsChild>
    </w:div>
    <w:div w:id="1444764358">
      <w:bodyDiv w:val="1"/>
      <w:marLeft w:val="0"/>
      <w:marRight w:val="0"/>
      <w:marTop w:val="0"/>
      <w:marBottom w:val="0"/>
      <w:divBdr>
        <w:top w:val="none" w:sz="0" w:space="0" w:color="auto"/>
        <w:left w:val="none" w:sz="0" w:space="0" w:color="auto"/>
        <w:bottom w:val="none" w:sz="0" w:space="0" w:color="auto"/>
        <w:right w:val="none" w:sz="0" w:space="0" w:color="auto"/>
      </w:divBdr>
    </w:div>
    <w:div w:id="1474518376">
      <w:bodyDiv w:val="1"/>
      <w:marLeft w:val="0"/>
      <w:marRight w:val="0"/>
      <w:marTop w:val="0"/>
      <w:marBottom w:val="0"/>
      <w:divBdr>
        <w:top w:val="none" w:sz="0" w:space="0" w:color="auto"/>
        <w:left w:val="none" w:sz="0" w:space="0" w:color="auto"/>
        <w:bottom w:val="none" w:sz="0" w:space="0" w:color="auto"/>
        <w:right w:val="none" w:sz="0" w:space="0" w:color="auto"/>
      </w:divBdr>
    </w:div>
    <w:div w:id="1481388460">
      <w:bodyDiv w:val="1"/>
      <w:marLeft w:val="0"/>
      <w:marRight w:val="0"/>
      <w:marTop w:val="0"/>
      <w:marBottom w:val="0"/>
      <w:divBdr>
        <w:top w:val="none" w:sz="0" w:space="0" w:color="auto"/>
        <w:left w:val="none" w:sz="0" w:space="0" w:color="auto"/>
        <w:bottom w:val="none" w:sz="0" w:space="0" w:color="auto"/>
        <w:right w:val="none" w:sz="0" w:space="0" w:color="auto"/>
      </w:divBdr>
    </w:div>
    <w:div w:id="1491755425">
      <w:bodyDiv w:val="1"/>
      <w:marLeft w:val="0"/>
      <w:marRight w:val="0"/>
      <w:marTop w:val="0"/>
      <w:marBottom w:val="0"/>
      <w:divBdr>
        <w:top w:val="none" w:sz="0" w:space="0" w:color="auto"/>
        <w:left w:val="none" w:sz="0" w:space="0" w:color="auto"/>
        <w:bottom w:val="none" w:sz="0" w:space="0" w:color="auto"/>
        <w:right w:val="none" w:sz="0" w:space="0" w:color="auto"/>
      </w:divBdr>
    </w:div>
    <w:div w:id="1537310263">
      <w:bodyDiv w:val="1"/>
      <w:marLeft w:val="0"/>
      <w:marRight w:val="0"/>
      <w:marTop w:val="0"/>
      <w:marBottom w:val="0"/>
      <w:divBdr>
        <w:top w:val="none" w:sz="0" w:space="0" w:color="auto"/>
        <w:left w:val="none" w:sz="0" w:space="0" w:color="auto"/>
        <w:bottom w:val="none" w:sz="0" w:space="0" w:color="auto"/>
        <w:right w:val="none" w:sz="0" w:space="0" w:color="auto"/>
      </w:divBdr>
    </w:div>
    <w:div w:id="1596209873">
      <w:bodyDiv w:val="1"/>
      <w:marLeft w:val="0"/>
      <w:marRight w:val="0"/>
      <w:marTop w:val="0"/>
      <w:marBottom w:val="0"/>
      <w:divBdr>
        <w:top w:val="none" w:sz="0" w:space="0" w:color="auto"/>
        <w:left w:val="none" w:sz="0" w:space="0" w:color="auto"/>
        <w:bottom w:val="none" w:sz="0" w:space="0" w:color="auto"/>
        <w:right w:val="none" w:sz="0" w:space="0" w:color="auto"/>
      </w:divBdr>
    </w:div>
    <w:div w:id="1652756608">
      <w:bodyDiv w:val="1"/>
      <w:marLeft w:val="0"/>
      <w:marRight w:val="0"/>
      <w:marTop w:val="0"/>
      <w:marBottom w:val="0"/>
      <w:divBdr>
        <w:top w:val="none" w:sz="0" w:space="0" w:color="auto"/>
        <w:left w:val="none" w:sz="0" w:space="0" w:color="auto"/>
        <w:bottom w:val="none" w:sz="0" w:space="0" w:color="auto"/>
        <w:right w:val="none" w:sz="0" w:space="0" w:color="auto"/>
      </w:divBdr>
    </w:div>
    <w:div w:id="1662544378">
      <w:bodyDiv w:val="1"/>
      <w:marLeft w:val="0"/>
      <w:marRight w:val="0"/>
      <w:marTop w:val="0"/>
      <w:marBottom w:val="0"/>
      <w:divBdr>
        <w:top w:val="none" w:sz="0" w:space="0" w:color="auto"/>
        <w:left w:val="none" w:sz="0" w:space="0" w:color="auto"/>
        <w:bottom w:val="none" w:sz="0" w:space="0" w:color="auto"/>
        <w:right w:val="none" w:sz="0" w:space="0" w:color="auto"/>
      </w:divBdr>
    </w:div>
    <w:div w:id="1715539218">
      <w:bodyDiv w:val="1"/>
      <w:marLeft w:val="0"/>
      <w:marRight w:val="0"/>
      <w:marTop w:val="0"/>
      <w:marBottom w:val="0"/>
      <w:divBdr>
        <w:top w:val="none" w:sz="0" w:space="0" w:color="auto"/>
        <w:left w:val="none" w:sz="0" w:space="0" w:color="auto"/>
        <w:bottom w:val="none" w:sz="0" w:space="0" w:color="auto"/>
        <w:right w:val="none" w:sz="0" w:space="0" w:color="auto"/>
      </w:divBdr>
    </w:div>
    <w:div w:id="1726221447">
      <w:bodyDiv w:val="1"/>
      <w:marLeft w:val="0"/>
      <w:marRight w:val="0"/>
      <w:marTop w:val="0"/>
      <w:marBottom w:val="0"/>
      <w:divBdr>
        <w:top w:val="none" w:sz="0" w:space="0" w:color="auto"/>
        <w:left w:val="none" w:sz="0" w:space="0" w:color="auto"/>
        <w:bottom w:val="none" w:sz="0" w:space="0" w:color="auto"/>
        <w:right w:val="none" w:sz="0" w:space="0" w:color="auto"/>
      </w:divBdr>
    </w:div>
    <w:div w:id="1776243419">
      <w:bodyDiv w:val="1"/>
      <w:marLeft w:val="0"/>
      <w:marRight w:val="0"/>
      <w:marTop w:val="0"/>
      <w:marBottom w:val="0"/>
      <w:divBdr>
        <w:top w:val="none" w:sz="0" w:space="0" w:color="auto"/>
        <w:left w:val="none" w:sz="0" w:space="0" w:color="auto"/>
        <w:bottom w:val="none" w:sz="0" w:space="0" w:color="auto"/>
        <w:right w:val="none" w:sz="0" w:space="0" w:color="auto"/>
      </w:divBdr>
    </w:div>
    <w:div w:id="1777478273">
      <w:bodyDiv w:val="1"/>
      <w:marLeft w:val="0"/>
      <w:marRight w:val="0"/>
      <w:marTop w:val="0"/>
      <w:marBottom w:val="0"/>
      <w:divBdr>
        <w:top w:val="none" w:sz="0" w:space="0" w:color="auto"/>
        <w:left w:val="none" w:sz="0" w:space="0" w:color="auto"/>
        <w:bottom w:val="none" w:sz="0" w:space="0" w:color="auto"/>
        <w:right w:val="none" w:sz="0" w:space="0" w:color="auto"/>
      </w:divBdr>
    </w:div>
    <w:div w:id="1799688128">
      <w:bodyDiv w:val="1"/>
      <w:marLeft w:val="0"/>
      <w:marRight w:val="0"/>
      <w:marTop w:val="0"/>
      <w:marBottom w:val="0"/>
      <w:divBdr>
        <w:top w:val="none" w:sz="0" w:space="0" w:color="auto"/>
        <w:left w:val="none" w:sz="0" w:space="0" w:color="auto"/>
        <w:bottom w:val="none" w:sz="0" w:space="0" w:color="auto"/>
        <w:right w:val="none" w:sz="0" w:space="0" w:color="auto"/>
      </w:divBdr>
    </w:div>
    <w:div w:id="1819104325">
      <w:bodyDiv w:val="1"/>
      <w:marLeft w:val="0"/>
      <w:marRight w:val="0"/>
      <w:marTop w:val="0"/>
      <w:marBottom w:val="0"/>
      <w:divBdr>
        <w:top w:val="none" w:sz="0" w:space="0" w:color="auto"/>
        <w:left w:val="none" w:sz="0" w:space="0" w:color="auto"/>
        <w:bottom w:val="none" w:sz="0" w:space="0" w:color="auto"/>
        <w:right w:val="none" w:sz="0" w:space="0" w:color="auto"/>
      </w:divBdr>
    </w:div>
    <w:div w:id="1860001767">
      <w:bodyDiv w:val="1"/>
      <w:marLeft w:val="0"/>
      <w:marRight w:val="0"/>
      <w:marTop w:val="0"/>
      <w:marBottom w:val="0"/>
      <w:divBdr>
        <w:top w:val="none" w:sz="0" w:space="0" w:color="auto"/>
        <w:left w:val="none" w:sz="0" w:space="0" w:color="auto"/>
        <w:bottom w:val="none" w:sz="0" w:space="0" w:color="auto"/>
        <w:right w:val="none" w:sz="0" w:space="0" w:color="auto"/>
      </w:divBdr>
    </w:div>
    <w:div w:id="1876504574">
      <w:bodyDiv w:val="1"/>
      <w:marLeft w:val="0"/>
      <w:marRight w:val="0"/>
      <w:marTop w:val="0"/>
      <w:marBottom w:val="0"/>
      <w:divBdr>
        <w:top w:val="none" w:sz="0" w:space="0" w:color="auto"/>
        <w:left w:val="none" w:sz="0" w:space="0" w:color="auto"/>
        <w:bottom w:val="none" w:sz="0" w:space="0" w:color="auto"/>
        <w:right w:val="none" w:sz="0" w:space="0" w:color="auto"/>
      </w:divBdr>
    </w:div>
    <w:div w:id="1914974836">
      <w:bodyDiv w:val="1"/>
      <w:marLeft w:val="0"/>
      <w:marRight w:val="0"/>
      <w:marTop w:val="0"/>
      <w:marBottom w:val="0"/>
      <w:divBdr>
        <w:top w:val="none" w:sz="0" w:space="0" w:color="auto"/>
        <w:left w:val="none" w:sz="0" w:space="0" w:color="auto"/>
        <w:bottom w:val="none" w:sz="0" w:space="0" w:color="auto"/>
        <w:right w:val="none" w:sz="0" w:space="0" w:color="auto"/>
      </w:divBdr>
    </w:div>
    <w:div w:id="1922177992">
      <w:bodyDiv w:val="1"/>
      <w:marLeft w:val="0"/>
      <w:marRight w:val="0"/>
      <w:marTop w:val="0"/>
      <w:marBottom w:val="0"/>
      <w:divBdr>
        <w:top w:val="none" w:sz="0" w:space="0" w:color="auto"/>
        <w:left w:val="none" w:sz="0" w:space="0" w:color="auto"/>
        <w:bottom w:val="none" w:sz="0" w:space="0" w:color="auto"/>
        <w:right w:val="none" w:sz="0" w:space="0" w:color="auto"/>
      </w:divBdr>
    </w:div>
    <w:div w:id="1924219459">
      <w:bodyDiv w:val="1"/>
      <w:marLeft w:val="0"/>
      <w:marRight w:val="0"/>
      <w:marTop w:val="0"/>
      <w:marBottom w:val="0"/>
      <w:divBdr>
        <w:top w:val="none" w:sz="0" w:space="0" w:color="auto"/>
        <w:left w:val="none" w:sz="0" w:space="0" w:color="auto"/>
        <w:bottom w:val="none" w:sz="0" w:space="0" w:color="auto"/>
        <w:right w:val="none" w:sz="0" w:space="0" w:color="auto"/>
      </w:divBdr>
    </w:div>
    <w:div w:id="1997568290">
      <w:bodyDiv w:val="1"/>
      <w:marLeft w:val="0"/>
      <w:marRight w:val="0"/>
      <w:marTop w:val="0"/>
      <w:marBottom w:val="0"/>
      <w:divBdr>
        <w:top w:val="none" w:sz="0" w:space="0" w:color="auto"/>
        <w:left w:val="none" w:sz="0" w:space="0" w:color="auto"/>
        <w:bottom w:val="none" w:sz="0" w:space="0" w:color="auto"/>
        <w:right w:val="none" w:sz="0" w:space="0" w:color="auto"/>
      </w:divBdr>
    </w:div>
    <w:div w:id="2044934488">
      <w:bodyDiv w:val="1"/>
      <w:marLeft w:val="0"/>
      <w:marRight w:val="0"/>
      <w:marTop w:val="0"/>
      <w:marBottom w:val="0"/>
      <w:divBdr>
        <w:top w:val="none" w:sz="0" w:space="0" w:color="auto"/>
        <w:left w:val="none" w:sz="0" w:space="0" w:color="auto"/>
        <w:bottom w:val="none" w:sz="0" w:space="0" w:color="auto"/>
        <w:right w:val="none" w:sz="0" w:space="0" w:color="auto"/>
      </w:divBdr>
    </w:div>
    <w:div w:id="20925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erc.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ferc.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vlpubs.nist.gov/nistpubs/CSWP/NIST.CSWP.0416201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ker3\AppData\Roaming\Microsoft\Templates\Ord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4a4cd09-5f17-433b-814a-38e7e9115d1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EAFD1436C9B142BC22EF673CB43A92" ma:contentTypeVersion="7" ma:contentTypeDescription="Create a new document." ma:contentTypeScope="" ma:versionID="ef0d83dfe95e78cc9cdbbc540d4b11db">
  <xsd:schema xmlns:xsd="http://www.w3.org/2001/XMLSchema" xmlns:xs="http://www.w3.org/2001/XMLSchema" xmlns:p="http://schemas.microsoft.com/office/2006/metadata/properties" xmlns:ns2="http://schemas.microsoft.com/sharepoint/v4" targetNamespace="http://schemas.microsoft.com/office/2006/metadata/properties" ma:root="true" ma:fieldsID="f973574190343ea668a964aa582d24a8"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96050-D3C1-44D8-B0E0-FAA4DC0CD3F4}">
  <ds:schemaRefs>
    <ds:schemaRef ds:uri="http://schemas.microsoft.com/sharepoint/v3/contenttype/forms"/>
  </ds:schemaRefs>
</ds:datastoreItem>
</file>

<file path=customXml/itemProps2.xml><?xml version="1.0" encoding="utf-8"?>
<ds:datastoreItem xmlns:ds="http://schemas.openxmlformats.org/officeDocument/2006/customXml" ds:itemID="{E9148971-7E56-4FF0-9C82-398A0F36DAA8}">
  <ds:schemaRefs>
    <ds:schemaRef ds:uri="Microsoft.SharePoint.Taxonomy.ContentTypeSync"/>
  </ds:schemaRefs>
</ds:datastoreItem>
</file>

<file path=customXml/itemProps3.xml><?xml version="1.0" encoding="utf-8"?>
<ds:datastoreItem xmlns:ds="http://schemas.openxmlformats.org/officeDocument/2006/customXml" ds:itemID="{67CCD0D5-2D77-4320-A559-DB9E2B7683F5}">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830DA663-4D06-44D1-9EAE-69ED501AD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BD38A7-15A1-4E53-A11C-563379EA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Template>
  <TotalTime>0</TotalTime>
  <Pages>32</Pages>
  <Words>9013</Words>
  <Characters>52008</Characters>
  <Application>Microsoft Office Word</Application>
  <DocSecurity>4</DocSecurity>
  <Lines>1106</Lines>
  <Paragraphs>469</Paragraphs>
  <ScaleCrop>false</ScaleCrop>
  <HeadingPairs>
    <vt:vector size="2" baseType="variant">
      <vt:variant>
        <vt:lpstr>Title</vt:lpstr>
      </vt:variant>
      <vt:variant>
        <vt:i4>1</vt:i4>
      </vt:variant>
    </vt:vector>
  </HeadingPairs>
  <TitlesOfParts>
    <vt:vector size="1" baseType="lpstr">
      <vt:lpstr>FERC Issuance</vt:lpstr>
    </vt:vector>
  </TitlesOfParts>
  <Company/>
  <LinksUpToDate>false</LinksUpToDate>
  <CharactersWithSpaces>60552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FERC Issuance</dc:title>
  <dc:subject/>
  <dc:creator>Jessica Cockrell</dc:creator>
  <cp:keywords/>
  <dc:description/>
  <cp:lastModifiedBy>Kayla Williams</cp:lastModifiedBy>
  <cp:revision>2</cp:revision>
  <dcterms:created xsi:type="dcterms:W3CDTF">2021-02-12T20:24:00Z</dcterms:created>
  <dcterms:modified xsi:type="dcterms:W3CDTF">2021-02-12T20:24:00Z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0x010100E4EAFD1436C9B142BC22EF673CB43A92</vt:lpwstr>
  </property>
  <property fmtid="{D5CDD505-2E9C-101B-9397-08002B2CF9AE}" pid="3" name="MSIP_Label_6155a89b-0f08-4a93-8ea2-8a916d6643b5_Enabled">
    <vt:lpwstr>True</vt:lpwstr>
  </property>
  <property fmtid="{D5CDD505-2E9C-101B-9397-08002B2CF9AE}" pid="4" name="MSIP_Label_6155a89b-0f08-4a93-8ea2-8a916d6643b5_SiteId">
    <vt:lpwstr>19caa9e9-04ff-43fa-885f-d77fac387903</vt:lpwstr>
  </property>
  <property fmtid="{D5CDD505-2E9C-101B-9397-08002B2CF9AE}" pid="5" name="MSIP_Label_6155a89b-0f08-4a93-8ea2-8a916d6643b5_Owner">
    <vt:lpwstr>Barry.Kuehnle@ferc.gov</vt:lpwstr>
  </property>
  <property fmtid="{D5CDD505-2E9C-101B-9397-08002B2CF9AE}" pid="6" name="MSIP_Label_6155a89b-0f08-4a93-8ea2-8a916d6643b5_SetDate">
    <vt:lpwstr>2020-03-23T13:27:44.0567134Z</vt:lpwstr>
  </property>
  <property fmtid="{D5CDD505-2E9C-101B-9397-08002B2CF9AE}" pid="7" name="MSIP_Label_6155a89b-0f08-4a93-8ea2-8a916d6643b5_Name">
    <vt:lpwstr>General</vt:lpwstr>
  </property>
  <property fmtid="{D5CDD505-2E9C-101B-9397-08002B2CF9AE}" pid="8" name="MSIP_Label_6155a89b-0f08-4a93-8ea2-8a916d6643b5_Application">
    <vt:lpwstr>Microsoft Azure Information Protection</vt:lpwstr>
  </property>
  <property fmtid="{D5CDD505-2E9C-101B-9397-08002B2CF9AE}" pid="9" name="MSIP_Label_6155a89b-0f08-4a93-8ea2-8a916d6643b5_ActionId">
    <vt:lpwstr>9507ffb3-afc7-485f-8e27-0d2e18977c2d</vt:lpwstr>
  </property>
  <property fmtid="{D5CDD505-2E9C-101B-9397-08002B2CF9AE}" pid="10" name="MSIP_Label_6155a89b-0f08-4a93-8ea2-8a916d6643b5_Extended_MSFT_Method">
    <vt:lpwstr>Manual</vt:lpwstr>
  </property>
  <property fmtid="{D5CDD505-2E9C-101B-9397-08002B2CF9AE}" pid="11" name="Sensitivity">
    <vt:lpwstr>General</vt:lpwstr>
  </property>
</Properties>
</file>