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3A" w:rsidRDefault="00E7100E" w14:paraId="5F1FB5B3" w14:textId="77777777">
      <w:pPr>
        <w:jc w:val="center"/>
      </w:pPr>
      <w:bookmarkStart w:name="_Hlk64391871" w:id="0"/>
      <w:bookmarkStart w:name="_GoBack" w:id="1"/>
      <w:bookmarkEnd w:id="1"/>
      <w:r>
        <w:t>174 FERC ¶ 61,103</w:t>
      </w:r>
    </w:p>
    <w:bookmarkEnd w:id="0"/>
    <w:p w:rsidRPr="00B61165" w:rsidR="00832085" w:rsidP="00260E66" w:rsidRDefault="00832085" w14:paraId="72CB5842" w14:textId="77777777">
      <w:pPr>
        <w:jc w:val="center"/>
      </w:pPr>
      <w:r w:rsidRPr="00B61165">
        <w:t>DEPARTMENT OF ENERGY</w:t>
      </w:r>
    </w:p>
    <w:p w:rsidR="00832085" w:rsidP="00260E66" w:rsidRDefault="00832085" w14:paraId="7E05D2BC" w14:textId="0A2C9A9E">
      <w:pPr>
        <w:jc w:val="center"/>
      </w:pPr>
      <w:r w:rsidRPr="00B61165">
        <w:t>Federal Energy Regulatory Commission</w:t>
      </w:r>
    </w:p>
    <w:p w:rsidRPr="00B61165" w:rsidR="00E15B79" w:rsidP="00260E66" w:rsidRDefault="00E15B79" w14:paraId="6C344EFA" w14:textId="77777777">
      <w:pPr>
        <w:jc w:val="center"/>
      </w:pPr>
    </w:p>
    <w:p w:rsidR="00832085" w:rsidP="00260E66" w:rsidRDefault="00832085" w14:paraId="01A924B8" w14:textId="2DC6B3C6">
      <w:pPr>
        <w:jc w:val="center"/>
      </w:pPr>
      <w:r w:rsidRPr="00B61165">
        <w:t xml:space="preserve">18 CFR Part </w:t>
      </w:r>
      <w:r w:rsidR="000D7934">
        <w:t>284</w:t>
      </w:r>
    </w:p>
    <w:p w:rsidRPr="00B61165" w:rsidR="00832085" w:rsidP="00260E66" w:rsidRDefault="00832085" w14:paraId="50F248B6" w14:textId="77777777">
      <w:pPr>
        <w:jc w:val="center"/>
      </w:pPr>
    </w:p>
    <w:p w:rsidR="00832085" w:rsidP="00260E66" w:rsidRDefault="00832085" w14:paraId="79DC4BDA" w14:textId="77174F2B">
      <w:pPr>
        <w:jc w:val="center"/>
      </w:pPr>
      <w:r w:rsidRPr="00B61165">
        <w:t>[</w:t>
      </w:r>
      <w:r>
        <w:t xml:space="preserve">Docket No. </w:t>
      </w:r>
      <w:r w:rsidR="001C369E">
        <w:t>RM96-1-042</w:t>
      </w:r>
      <w:r w:rsidRPr="00B61165">
        <w:t>]</w:t>
      </w:r>
    </w:p>
    <w:p w:rsidR="00832085" w:rsidP="00260E66" w:rsidRDefault="00832085" w14:paraId="1356D86B" w14:textId="77777777">
      <w:pPr>
        <w:jc w:val="center"/>
      </w:pPr>
    </w:p>
    <w:p w:rsidR="00832085" w:rsidP="00E15B79" w:rsidRDefault="00E15B79" w14:paraId="05B93BD8" w14:textId="7CBC37B9">
      <w:pPr>
        <w:widowControl/>
        <w:jc w:val="center"/>
      </w:pPr>
      <w:r w:rsidRPr="00E15B79">
        <w:t>(Issued February 1</w:t>
      </w:r>
      <w:r>
        <w:t>8</w:t>
      </w:r>
      <w:r w:rsidRPr="00E15B79">
        <w:t>, 2021)</w:t>
      </w:r>
    </w:p>
    <w:p w:rsidRPr="00E15B79" w:rsidR="00E15B79" w:rsidP="00E15B79" w:rsidRDefault="00E15B79" w14:paraId="301DDAA2" w14:textId="77777777">
      <w:pPr>
        <w:widowControl/>
      </w:pPr>
    </w:p>
    <w:p w:rsidRPr="001C369E" w:rsidR="001C369E" w:rsidP="001C369E" w:rsidRDefault="001C369E" w14:paraId="18B7645D" w14:textId="77777777">
      <w:pPr>
        <w:jc w:val="center"/>
      </w:pPr>
      <w:r w:rsidRPr="001C369E">
        <w:t>Standards for Business Practices of Interstate Natural Gas Pipelines</w:t>
      </w:r>
    </w:p>
    <w:p w:rsidRPr="00B61165" w:rsidR="00832085" w:rsidP="00260E66" w:rsidRDefault="00832085" w14:paraId="2E397F13" w14:textId="77777777">
      <w:pPr>
        <w:jc w:val="center"/>
      </w:pPr>
    </w:p>
    <w:p w:rsidRPr="00B61165" w:rsidR="00832085" w:rsidP="00260E66" w:rsidRDefault="00832085" w14:paraId="3EDB1D9E" w14:textId="77777777">
      <w:pPr>
        <w:jc w:val="center"/>
      </w:pPr>
    </w:p>
    <w:p w:rsidRPr="00B61165" w:rsidR="00832085" w:rsidP="00260E66" w:rsidRDefault="00832085" w14:paraId="770BFB41" w14:textId="77777777">
      <w:pPr>
        <w:spacing w:line="480" w:lineRule="auto"/>
      </w:pPr>
      <w:r w:rsidRPr="00B61165">
        <w:rPr>
          <w:u w:val="single"/>
        </w:rPr>
        <w:t>AGENCY</w:t>
      </w:r>
      <w:r w:rsidRPr="00B61165">
        <w:t>:  Federal Energy Regulatory Commission.</w:t>
      </w:r>
    </w:p>
    <w:p w:rsidRPr="00B61165" w:rsidR="00832085" w:rsidP="00260E66" w:rsidRDefault="00832085" w14:paraId="21B2EA0C" w14:textId="6D35761E">
      <w:pPr>
        <w:spacing w:line="480" w:lineRule="auto"/>
      </w:pPr>
      <w:r w:rsidRPr="00B61165">
        <w:rPr>
          <w:u w:val="single"/>
        </w:rPr>
        <w:t>ACTION</w:t>
      </w:r>
      <w:r w:rsidRPr="00B61165">
        <w:t xml:space="preserve">:  Notice of </w:t>
      </w:r>
      <w:r w:rsidR="004146E8">
        <w:t>p</w:t>
      </w:r>
      <w:r w:rsidRPr="00B61165">
        <w:t xml:space="preserve">roposed </w:t>
      </w:r>
      <w:r w:rsidR="004146E8">
        <w:t>r</w:t>
      </w:r>
      <w:r w:rsidRPr="00B61165">
        <w:t>ulemaking.</w:t>
      </w:r>
    </w:p>
    <w:p w:rsidRPr="00B61165" w:rsidR="009A5487" w:rsidP="00260E66" w:rsidRDefault="00832085" w14:paraId="5EF38178" w14:textId="2F453BFE">
      <w:pPr>
        <w:spacing w:line="480" w:lineRule="auto"/>
      </w:pPr>
      <w:r w:rsidRPr="00B61165">
        <w:rPr>
          <w:u w:val="single"/>
        </w:rPr>
        <w:t>SUMMARY</w:t>
      </w:r>
      <w:r w:rsidRPr="00B61165">
        <w:t xml:space="preserve">:  </w:t>
      </w:r>
      <w:r w:rsidR="000D7934">
        <w:t xml:space="preserve">The Federal Energy Regulatory Commission </w:t>
      </w:r>
      <w:r w:rsidR="009A5487">
        <w:t xml:space="preserve">is </w:t>
      </w:r>
      <w:r w:rsidR="008D67B5">
        <w:t>prop</w:t>
      </w:r>
      <w:r w:rsidR="000D7934">
        <w:t>os</w:t>
      </w:r>
      <w:r w:rsidR="009A5487">
        <w:t>ing</w:t>
      </w:r>
      <w:r w:rsidR="000D7934">
        <w:t xml:space="preserve"> to amend its regulations to incorporate by reference</w:t>
      </w:r>
      <w:r w:rsidR="009A5487">
        <w:t>, with certain enumerated exceptions,</w:t>
      </w:r>
      <w:r w:rsidR="000D7934">
        <w:t xml:space="preserve"> the </w:t>
      </w:r>
      <w:r w:rsidR="009A5487">
        <w:t>latest version (</w:t>
      </w:r>
      <w:r w:rsidR="008D67B5">
        <w:t>V</w:t>
      </w:r>
      <w:r w:rsidR="000D7934">
        <w:t>ersion 3.2</w:t>
      </w:r>
      <w:r w:rsidR="009A5487">
        <w:t>)</w:t>
      </w:r>
      <w:r w:rsidR="000D7934">
        <w:t xml:space="preserve"> </w:t>
      </w:r>
      <w:r w:rsidR="008D67B5">
        <w:t xml:space="preserve">of </w:t>
      </w:r>
      <w:r w:rsidR="009A5487">
        <w:t xml:space="preserve">business practice standards </w:t>
      </w:r>
      <w:r w:rsidR="00D81924">
        <w:t xml:space="preserve">adopted by </w:t>
      </w:r>
      <w:r w:rsidR="000D7934">
        <w:t>the Wholesale Gas Quadrant</w:t>
      </w:r>
      <w:r w:rsidR="00304ACB">
        <w:t xml:space="preserve"> </w:t>
      </w:r>
      <w:r w:rsidR="000D7934">
        <w:t>of the North American Energy Standards Board (NAESB)</w:t>
      </w:r>
      <w:r w:rsidR="00D81924">
        <w:t xml:space="preserve"> applicable to </w:t>
      </w:r>
      <w:r w:rsidR="002752DF">
        <w:br/>
      </w:r>
      <w:r w:rsidR="00D81924">
        <w:t>natural gas pipelines in place of the currently incorporated version (Version 3.</w:t>
      </w:r>
      <w:r w:rsidR="00F277DC">
        <w:t>1</w:t>
      </w:r>
      <w:r w:rsidR="00D81924">
        <w:t xml:space="preserve">) of </w:t>
      </w:r>
      <w:r w:rsidR="002752DF">
        <w:br/>
      </w:r>
      <w:r w:rsidR="00D81924">
        <w:t>those business practice standards</w:t>
      </w:r>
      <w:r w:rsidR="008D67B5">
        <w:t xml:space="preserve">.  </w:t>
      </w:r>
      <w:r w:rsidR="00D81924">
        <w:t xml:space="preserve">The revisions made by NAESB in this version of </w:t>
      </w:r>
      <w:r w:rsidR="002752DF">
        <w:br/>
      </w:r>
      <w:r w:rsidR="00D81924">
        <w:t xml:space="preserve">the </w:t>
      </w:r>
      <w:r w:rsidR="008D67B5">
        <w:t xml:space="preserve">standards </w:t>
      </w:r>
      <w:bookmarkStart w:name="_Hlk52555725" w:id="2"/>
      <w:r w:rsidR="00D81924">
        <w:t xml:space="preserve">are designed to </w:t>
      </w:r>
      <w:r w:rsidR="0074028B">
        <w:t xml:space="preserve">enhance </w:t>
      </w:r>
      <w:r w:rsidR="00BB013C">
        <w:t xml:space="preserve">the natural gas industries’ </w:t>
      </w:r>
      <w:r w:rsidR="0074028B">
        <w:t xml:space="preserve">system </w:t>
      </w:r>
      <w:r w:rsidR="00E60306">
        <w:t xml:space="preserve">and software </w:t>
      </w:r>
      <w:r w:rsidR="0074028B">
        <w:t xml:space="preserve">security measures and </w:t>
      </w:r>
      <w:r w:rsidR="00B22BA1">
        <w:t xml:space="preserve">to </w:t>
      </w:r>
      <w:r w:rsidR="00D81924">
        <w:t>clarify the processing of certain business transactions.</w:t>
      </w:r>
      <w:bookmarkEnd w:id="2"/>
    </w:p>
    <w:p w:rsidRPr="00B61165" w:rsidR="00832085" w:rsidP="00260E66" w:rsidRDefault="00832085" w14:paraId="38EE3BC2" w14:textId="0E1B4509">
      <w:pPr>
        <w:spacing w:line="480" w:lineRule="auto"/>
      </w:pPr>
      <w:r w:rsidRPr="00B61165">
        <w:rPr>
          <w:u w:val="single"/>
        </w:rPr>
        <w:t>DATES</w:t>
      </w:r>
      <w:r w:rsidRPr="00B61165">
        <w:t>:  Comments are due</w:t>
      </w:r>
      <w:r w:rsidRPr="00B61165">
        <w:rPr>
          <w:b/>
        </w:rPr>
        <w:t xml:space="preserve"> [INSERT DATE </w:t>
      </w:r>
      <w:r w:rsidR="00B42E1A">
        <w:rPr>
          <w:b/>
        </w:rPr>
        <w:t xml:space="preserve">45 </w:t>
      </w:r>
      <w:r w:rsidR="006B7951">
        <w:rPr>
          <w:b/>
        </w:rPr>
        <w:t xml:space="preserve">days </w:t>
      </w:r>
      <w:r w:rsidRPr="00B61165">
        <w:rPr>
          <w:b/>
        </w:rPr>
        <w:t>after</w:t>
      </w:r>
      <w:r w:rsidR="00C862F0">
        <w:rPr>
          <w:b/>
        </w:rPr>
        <w:t xml:space="preserve"> date of</w:t>
      </w:r>
      <w:r w:rsidRPr="00B61165">
        <w:rPr>
          <w:b/>
        </w:rPr>
        <w:t xml:space="preserve"> publication in </w:t>
      </w:r>
      <w:r w:rsidR="002752DF">
        <w:rPr>
          <w:b/>
        </w:rPr>
        <w:br/>
      </w:r>
      <w:r w:rsidRPr="00B61165">
        <w:rPr>
          <w:b/>
        </w:rPr>
        <w:t>the FEDERAL REGISTER]</w:t>
      </w:r>
    </w:p>
    <w:p w:rsidRPr="00B61165" w:rsidR="00FD3A9B" w:rsidP="00260E66" w:rsidRDefault="00832085" w14:paraId="7BDEA56E" w14:textId="473421DE">
      <w:pPr>
        <w:spacing w:line="480" w:lineRule="auto"/>
      </w:pPr>
      <w:bookmarkStart w:name="_Hlk58245890" w:id="3"/>
      <w:r w:rsidRPr="00B61165">
        <w:rPr>
          <w:u w:val="single"/>
        </w:rPr>
        <w:t>ADDRESSES</w:t>
      </w:r>
      <w:r w:rsidRPr="00B61165">
        <w:t xml:space="preserve">:  </w:t>
      </w:r>
      <w:r w:rsidRPr="007D6683">
        <w:t xml:space="preserve">Comments, identified by </w:t>
      </w:r>
      <w:r w:rsidR="00FD3A9B">
        <w:t xml:space="preserve">the </w:t>
      </w:r>
      <w:r w:rsidRPr="007D6683">
        <w:t>docket numb</w:t>
      </w:r>
      <w:r>
        <w:t>er</w:t>
      </w:r>
      <w:r w:rsidR="00FD3A9B">
        <w:t xml:space="preserve"> of this proceeding</w:t>
      </w:r>
      <w:r>
        <w:t>, may be filed electronically</w:t>
      </w:r>
      <w:r w:rsidRPr="007D6683">
        <w:t xml:space="preserve"> at </w:t>
      </w:r>
      <w:hyperlink w:history="1" r:id="rId12">
        <w:r w:rsidRPr="00C862F0" w:rsidR="006B7951">
          <w:rPr>
            <w:rStyle w:val="Hyperlink"/>
            <w:color w:val="auto"/>
            <w:u w:val="none"/>
          </w:rPr>
          <w:t>https://www.ferc.gov/</w:t>
        </w:r>
      </w:hyperlink>
      <w:r w:rsidR="006B7951">
        <w:t xml:space="preserve"> </w:t>
      </w:r>
      <w:r>
        <w:t>in acceptable native applications and print-to-PDF, but not in</w:t>
      </w:r>
      <w:r w:rsidRPr="007D6683">
        <w:t xml:space="preserve"> scanned </w:t>
      </w:r>
      <w:r>
        <w:t xml:space="preserve">or picture </w:t>
      </w:r>
      <w:r w:rsidRPr="007D6683">
        <w:t xml:space="preserve">format.  </w:t>
      </w:r>
      <w:r w:rsidRPr="008C44FF" w:rsidR="008C44FF">
        <w:t xml:space="preserve">For those unable to file electronically, </w:t>
      </w:r>
      <w:r w:rsidRPr="008C44FF" w:rsidR="008C44FF">
        <w:lastRenderedPageBreak/>
        <w:t xml:space="preserve">comments may be filed by mail or may be hand delivered.  Mailed comments should be addressed to: Federal Energy Regulatory Commission, Secretary of the Commission, </w:t>
      </w:r>
      <w:r w:rsidR="002752DF">
        <w:br/>
      </w:r>
      <w:r w:rsidRPr="008C44FF" w:rsidR="008C44FF">
        <w:t xml:space="preserve">888 First Street, N.E., Washington, DC </w:t>
      </w:r>
      <w:r w:rsidR="00C862F0">
        <w:t xml:space="preserve"> </w:t>
      </w:r>
      <w:r w:rsidRPr="008C44FF" w:rsidR="008C44FF">
        <w:t>20426.  Hand-delivered comments should be delivered to: Federal Energy Regulatory Commission, 12225 Wilkins Avenue, Rockville, Maryland 20852.  The Comment Procedures Section of this document contains more detailed filing procedures</w:t>
      </w:r>
      <w:r w:rsidR="002C0FD0">
        <w:t>.</w:t>
      </w:r>
      <w:r>
        <w:t xml:space="preserve">  The </w:t>
      </w:r>
      <w:r w:rsidRPr="00B61165">
        <w:t>Comment Proc</w:t>
      </w:r>
      <w:r>
        <w:t>edures Section of this document contains more detailed filing procedures.</w:t>
      </w:r>
      <w:bookmarkEnd w:id="3"/>
    </w:p>
    <w:p w:rsidRPr="00B61165" w:rsidR="00832085" w:rsidP="00260E66" w:rsidRDefault="00832085" w14:paraId="4CA93C14" w14:textId="77777777">
      <w:r w:rsidRPr="00B61165">
        <w:rPr>
          <w:u w:val="single"/>
        </w:rPr>
        <w:t>FOR FURTHER INFORMATION CONTACT</w:t>
      </w:r>
      <w:r w:rsidRPr="00B61165">
        <w:t>:</w:t>
      </w:r>
    </w:p>
    <w:p w:rsidR="001C369E" w:rsidP="008D67B5" w:rsidRDefault="001C369E" w14:paraId="07C4EDCA" w14:textId="77777777"/>
    <w:p w:rsidR="00832085" w:rsidP="008D67B5" w:rsidRDefault="008D67B5" w14:paraId="1372B1B2" w14:textId="7A0AB4BF">
      <w:r>
        <w:t>Stanley Wolf (Technical Issues)</w:t>
      </w:r>
    </w:p>
    <w:p w:rsidR="008D67B5" w:rsidP="008D67B5" w:rsidRDefault="008D67B5" w14:paraId="16D98D86" w14:textId="5D2E68C6">
      <w:r>
        <w:t>Office of Energy Policy and Information</w:t>
      </w:r>
    </w:p>
    <w:p w:rsidRPr="00D223D0" w:rsidR="001C369E" w:rsidP="001C369E" w:rsidRDefault="00832085" w14:paraId="16116CD4" w14:textId="0A4D3D62">
      <w:r w:rsidRPr="00B61165">
        <w:fldChar w:fldCharType="begin"/>
      </w:r>
      <w:r w:rsidRPr="00B61165">
        <w:instrText xml:space="preserve"> MACROBUTTON  AcceptAllChangesInDoc </w:instrText>
      </w:r>
      <w:r w:rsidRPr="00B61165">
        <w:fldChar w:fldCharType="end"/>
      </w:r>
      <w:r w:rsidRPr="00B61165">
        <w:fldChar w:fldCharType="begin"/>
      </w:r>
      <w:r w:rsidRPr="00B61165">
        <w:instrText xml:space="preserve"> MACROBUTTON  AcceptAllChangesInDoc </w:instrText>
      </w:r>
      <w:r w:rsidRPr="00B61165">
        <w:fldChar w:fldCharType="end"/>
      </w:r>
      <w:r w:rsidRPr="00D223D0" w:rsidR="001C369E">
        <w:t>Federal Energy Regulatory Commission</w:t>
      </w:r>
    </w:p>
    <w:p w:rsidR="008D67B5" w:rsidP="008D67B5" w:rsidRDefault="008D67B5" w14:paraId="4E352CF0" w14:textId="494DA35E">
      <w:r>
        <w:t>888 First Street, NE</w:t>
      </w:r>
    </w:p>
    <w:p w:rsidR="00832085" w:rsidP="008D67B5" w:rsidRDefault="008D67B5" w14:paraId="3217B8C1" w14:textId="7EEEAEC2">
      <w:r>
        <w:t>Washington, DC  20426</w:t>
      </w:r>
    </w:p>
    <w:p w:rsidR="006B7951" w:rsidP="008D67B5" w:rsidRDefault="008D67B5" w14:paraId="5DAA258A" w14:textId="1D1FA9EE">
      <w:r>
        <w:t>(202) 502-6841</w:t>
      </w:r>
    </w:p>
    <w:p w:rsidR="008D67B5" w:rsidP="008D67B5" w:rsidRDefault="008D67B5" w14:paraId="35C2ABA8" w14:textId="6CDC2096"/>
    <w:p w:rsidRPr="00D223D0" w:rsidR="00342504" w:rsidP="00342504" w:rsidRDefault="00342504" w14:paraId="1A7E01E4" w14:textId="77777777">
      <w:r w:rsidRPr="00D223D0">
        <w:t>Oscar F. Santillana (</w:t>
      </w:r>
      <w:r>
        <w:t>T</w:t>
      </w:r>
      <w:r w:rsidRPr="00D223D0">
        <w:t xml:space="preserve">echnical </w:t>
      </w:r>
      <w:r>
        <w:t>I</w:t>
      </w:r>
      <w:r w:rsidRPr="00D223D0">
        <w:t>ssues)</w:t>
      </w:r>
    </w:p>
    <w:p w:rsidRPr="00D223D0" w:rsidR="00342504" w:rsidP="00342504" w:rsidRDefault="00342504" w14:paraId="6F1B5706" w14:textId="77777777">
      <w:r w:rsidRPr="00D223D0">
        <w:t>Office of Energy Market Regulation</w:t>
      </w:r>
    </w:p>
    <w:p w:rsidRPr="00D223D0" w:rsidR="00342504" w:rsidP="00342504" w:rsidRDefault="00342504" w14:paraId="06E68129" w14:textId="77777777">
      <w:r w:rsidRPr="00D223D0">
        <w:t>Federal Energy Regulatory Commission</w:t>
      </w:r>
    </w:p>
    <w:p w:rsidRPr="00D223D0" w:rsidR="00342504" w:rsidP="00342504" w:rsidRDefault="00342504" w14:paraId="53F5BEA9" w14:textId="77777777">
      <w:r w:rsidRPr="00D223D0">
        <w:t>888 First Street, NE</w:t>
      </w:r>
    </w:p>
    <w:p w:rsidRPr="00D223D0" w:rsidR="00342504" w:rsidP="00342504" w:rsidRDefault="00342504" w14:paraId="15A03F26" w14:textId="77777777">
      <w:r w:rsidRPr="00D223D0">
        <w:t>Washington, DC  20426</w:t>
      </w:r>
    </w:p>
    <w:p w:rsidRPr="00B61165" w:rsidR="00342504" w:rsidP="00342504" w:rsidRDefault="00342504" w14:paraId="3FA361E8" w14:textId="77777777">
      <w:r w:rsidRPr="00D223D0">
        <w:t>(202) 502-6392</w:t>
      </w:r>
    </w:p>
    <w:p w:rsidR="00A44CAF" w:rsidP="008D67B5" w:rsidRDefault="00A44CAF" w14:paraId="53DB0F01" w14:textId="77777777"/>
    <w:p w:rsidR="008D67B5" w:rsidP="008D67B5" w:rsidRDefault="008D67B5" w14:paraId="210AC166" w14:textId="68092BF6">
      <w:r>
        <w:t>Robert McLean (Legal Issues)</w:t>
      </w:r>
    </w:p>
    <w:p w:rsidR="008D67B5" w:rsidP="008D67B5" w:rsidRDefault="008D67B5" w14:paraId="42E86A36" w14:textId="11C77457">
      <w:r>
        <w:t>Office of the General Counsel</w:t>
      </w:r>
    </w:p>
    <w:p w:rsidRPr="00D223D0" w:rsidR="001C369E" w:rsidP="001C369E" w:rsidRDefault="001C369E" w14:paraId="793397FD" w14:textId="77777777">
      <w:r w:rsidRPr="00D223D0">
        <w:t>Federal Energy Regulatory Commission</w:t>
      </w:r>
    </w:p>
    <w:p w:rsidR="008D67B5" w:rsidP="008D67B5" w:rsidRDefault="008D67B5" w14:paraId="2BC6E102" w14:textId="7AE82387">
      <w:r>
        <w:t>888 First Street, NE</w:t>
      </w:r>
    </w:p>
    <w:p w:rsidR="008D67B5" w:rsidP="008D67B5" w:rsidRDefault="008D67B5" w14:paraId="36A7F88A" w14:textId="4F68B1E6">
      <w:r>
        <w:t>Washington, DC  20426</w:t>
      </w:r>
    </w:p>
    <w:p w:rsidR="006D7C06" w:rsidP="008D67B5" w:rsidRDefault="006D7C06" w14:paraId="7E7D93C0" w14:textId="5CE6A7CB"/>
    <w:p w:rsidRPr="00B61165" w:rsidR="00832085" w:rsidP="00260E66" w:rsidRDefault="00832085" w14:paraId="33C84CBC" w14:textId="77777777"/>
    <w:p w:rsidRPr="00B61165" w:rsidR="00832085" w:rsidP="00260E66" w:rsidRDefault="00832085" w14:paraId="686AF27E" w14:textId="11E857DE">
      <w:pPr>
        <w:sectPr w:rsidRPr="00B61165" w:rsidR="00832085" w:rsidSect="0083208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1440" w:gutter="0"/>
          <w:pgNumType w:fmt="lowerRoman" w:start="1"/>
          <w:cols w:space="720"/>
          <w:noEndnote/>
          <w:titlePg/>
          <w:docGrid w:linePitch="354"/>
        </w:sectPr>
      </w:pPr>
      <w:r w:rsidRPr="00B61165">
        <w:rPr>
          <w:u w:val="single"/>
        </w:rPr>
        <w:t>SUPPLEMENTARY INFORMATION</w:t>
      </w:r>
    </w:p>
    <w:p w:rsidR="00CD4AE5" w:rsidP="00CD4AE5" w:rsidRDefault="00CD4AE5" w14:paraId="05BB1D0C" w14:textId="77777777">
      <w:pPr>
        <w:jc w:val="center"/>
      </w:pPr>
      <w:r>
        <w:lastRenderedPageBreak/>
        <w:t>174 FERC ¶ 61,103</w:t>
      </w:r>
    </w:p>
    <w:p w:rsidRPr="00B61165" w:rsidR="00B32AF7" w:rsidP="00B32AF7" w:rsidRDefault="00B32AF7" w14:paraId="48AEF4A0" w14:textId="73525BED">
      <w:pPr>
        <w:jc w:val="center"/>
      </w:pPr>
      <w:r w:rsidRPr="00B61165">
        <w:t>UNITED STATES OF AMERICA</w:t>
      </w:r>
    </w:p>
    <w:p w:rsidR="00B32AF7" w:rsidP="00B32AF7" w:rsidRDefault="00B32AF7" w14:paraId="7AEB7198" w14:textId="4B1EF955">
      <w:pPr>
        <w:jc w:val="center"/>
      </w:pPr>
      <w:r w:rsidRPr="00B61165">
        <w:t>FEDERAL ENERGY REGULATORY COMMISSION</w:t>
      </w:r>
    </w:p>
    <w:p w:rsidRPr="00B61165" w:rsidR="00E15B79" w:rsidP="00B32AF7" w:rsidRDefault="00E15B79" w14:paraId="7E50056C" w14:textId="77777777">
      <w:pPr>
        <w:jc w:val="center"/>
      </w:pPr>
    </w:p>
    <w:p w:rsidRPr="00B61165" w:rsidR="00B32AF7" w:rsidP="00B32AF7" w:rsidRDefault="00B32AF7" w14:paraId="0EC0CA10" w14:textId="77777777">
      <w:pPr>
        <w:jc w:val="cen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
      <w:tblGrid>
        <w:gridCol w:w="5928"/>
        <w:gridCol w:w="1537"/>
        <w:gridCol w:w="1895"/>
      </w:tblGrid>
      <w:tr w:rsidRPr="00B61165" w:rsidR="00B32AF7" w:rsidTr="00EF6C41" w14:paraId="6B75121A" w14:textId="77777777">
        <w:tc>
          <w:tcPr>
            <w:tcW w:w="6088" w:type="dxa"/>
            <w:shd w:val="clear" w:color="auto" w:fill="auto"/>
          </w:tcPr>
          <w:p w:rsidRPr="001C369E" w:rsidR="00B32AF7" w:rsidP="00EF6C41" w:rsidRDefault="00B32AF7" w14:paraId="151487E1" w14:textId="77777777">
            <w:r w:rsidRPr="001C369E">
              <w:t>Standards for Business Practices of</w:t>
            </w:r>
          </w:p>
          <w:p w:rsidRPr="00B61165" w:rsidR="00B32AF7" w:rsidP="00EF6C41" w:rsidRDefault="00B32AF7" w14:paraId="4FAD81D4" w14:textId="77777777">
            <w:r w:rsidRPr="001C369E">
              <w:t xml:space="preserve">  Interstate Natural Gas Pipelines</w:t>
            </w:r>
            <w:r w:rsidRPr="001C369E" w:rsidDel="001C369E">
              <w:t xml:space="preserve"> </w:t>
            </w:r>
          </w:p>
        </w:tc>
        <w:tc>
          <w:tcPr>
            <w:tcW w:w="1560" w:type="dxa"/>
            <w:shd w:val="clear" w:color="auto" w:fill="auto"/>
            <w:tcMar>
              <w:left w:w="72" w:type="dxa"/>
            </w:tcMar>
          </w:tcPr>
          <w:p w:rsidRPr="00B61165" w:rsidR="00B32AF7" w:rsidP="00EF6C41" w:rsidRDefault="00B32AF7" w14:paraId="4E5A799B" w14:textId="77777777">
            <w:r>
              <w:t>Docket No.</w:t>
            </w:r>
          </w:p>
        </w:tc>
        <w:tc>
          <w:tcPr>
            <w:tcW w:w="1928" w:type="dxa"/>
            <w:shd w:val="clear" w:color="auto" w:fill="auto"/>
            <w:tcMar>
              <w:left w:w="144" w:type="dxa"/>
            </w:tcMar>
          </w:tcPr>
          <w:p w:rsidRPr="00B61165" w:rsidR="00B32AF7" w:rsidP="00EF6C41" w:rsidRDefault="00B32AF7" w14:paraId="7FF8161B" w14:textId="77777777">
            <w:r>
              <w:t>RM96-1-042</w:t>
            </w:r>
          </w:p>
        </w:tc>
      </w:tr>
    </w:tbl>
    <w:p w:rsidR="00B32AF7" w:rsidP="00B32AF7" w:rsidRDefault="00B32AF7" w14:paraId="054458E0" w14:textId="5EECEE61">
      <w:pPr>
        <w:jc w:val="center"/>
      </w:pPr>
    </w:p>
    <w:p w:rsidRPr="00B61165" w:rsidR="00E15B79" w:rsidP="00B32AF7" w:rsidRDefault="00E15B79" w14:paraId="4281D9AD" w14:textId="77777777">
      <w:pPr>
        <w:jc w:val="center"/>
      </w:pPr>
    </w:p>
    <w:p w:rsidR="00B32AF7" w:rsidP="00B32AF7" w:rsidRDefault="00B32AF7" w14:paraId="163CE552" w14:textId="1C3F0B9C">
      <w:pPr>
        <w:jc w:val="center"/>
      </w:pPr>
      <w:r w:rsidRPr="00B61165">
        <w:t>NOTICE OF PROPOSED RULEMAKING</w:t>
      </w:r>
    </w:p>
    <w:p w:rsidR="004146E8" w:rsidP="00B32AF7" w:rsidRDefault="004146E8" w14:paraId="39AD2AFA" w14:textId="77777777">
      <w:pPr>
        <w:jc w:val="center"/>
      </w:pPr>
    </w:p>
    <w:p w:rsidR="004146E8" w:rsidP="004146E8" w:rsidRDefault="004146E8" w14:paraId="45D9F42E" w14:textId="68AD2CF0">
      <w:pPr>
        <w:widowControl/>
        <w:jc w:val="center"/>
      </w:pPr>
      <w:r w:rsidRPr="004146E8">
        <w:t>(Issued February 1</w:t>
      </w:r>
      <w:r>
        <w:t>8</w:t>
      </w:r>
      <w:r w:rsidRPr="004146E8">
        <w:t>, 2021)</w:t>
      </w:r>
    </w:p>
    <w:p w:rsidRPr="00B61165" w:rsidR="00E15B79" w:rsidP="00B32AF7" w:rsidRDefault="00E15B79" w14:paraId="372B10B4" w14:textId="77777777"/>
    <w:p w:rsidR="00D46FB6" w:rsidP="00843F08" w:rsidRDefault="00843F08" w14:paraId="534E6442" w14:textId="317D10B0">
      <w:pPr>
        <w:pStyle w:val="FERCparanumber"/>
        <w:numPr>
          <w:ilvl w:val="0"/>
          <w:numId w:val="0"/>
        </w:numPr>
        <w:tabs>
          <w:tab w:val="right" w:pos="9360"/>
        </w:tabs>
        <w:spacing w:line="240" w:lineRule="auto"/>
      </w:pPr>
      <w:r>
        <w:tab/>
      </w:r>
      <w:r>
        <w:rPr>
          <w:u w:val="single"/>
        </w:rPr>
        <w:t>Paragraph Numbers</w:t>
      </w:r>
    </w:p>
    <w:p w:rsidR="00843F08" w:rsidP="00843F08" w:rsidRDefault="00843F08" w14:paraId="25F6105F" w14:textId="5C2BB0AD">
      <w:pPr>
        <w:pStyle w:val="FERCparanumber"/>
        <w:numPr>
          <w:ilvl w:val="0"/>
          <w:numId w:val="0"/>
        </w:numPr>
        <w:tabs>
          <w:tab w:val="right" w:pos="9360"/>
        </w:tabs>
        <w:spacing w:line="240" w:lineRule="auto"/>
      </w:pPr>
      <w:bookmarkStart w:name="_Start_TOC" w:id="4"/>
      <w:bookmarkEnd w:id="4"/>
    </w:p>
    <w:p w:rsidR="009732E2" w:rsidP="009732E2" w:rsidRDefault="009732E2" w14:paraId="1325B14B" w14:textId="4ED87384">
      <w:pPr>
        <w:pStyle w:val="myTOC1"/>
      </w:pPr>
      <w:r>
        <w:t>I. Background</w:t>
      </w:r>
      <w:r>
        <w:tab/>
      </w:r>
      <w:hyperlink w:history="1" w:anchor="_bmk1">
        <w:r>
          <w:rPr>
            <w:rStyle w:val="Hyperlink"/>
            <w:rFonts w:eastAsiaTheme="minorHAnsi"/>
            <w:szCs w:val="22"/>
          </w:rPr>
          <w:t>2.</w:t>
        </w:r>
      </w:hyperlink>
    </w:p>
    <w:p w:rsidR="009732E2" w:rsidP="009732E2" w:rsidRDefault="009732E2" w14:paraId="60D461E6" w14:textId="711A3783">
      <w:pPr>
        <w:pStyle w:val="myTOC1"/>
      </w:pPr>
      <w:r>
        <w:t>II. Discussion</w:t>
      </w:r>
      <w:r>
        <w:tab/>
      </w:r>
      <w:hyperlink w:history="1" w:anchor="_bmk2">
        <w:r>
          <w:rPr>
            <w:rStyle w:val="Hyperlink"/>
            <w:rFonts w:eastAsiaTheme="minorHAnsi"/>
            <w:szCs w:val="22"/>
          </w:rPr>
          <w:t>5.</w:t>
        </w:r>
      </w:hyperlink>
    </w:p>
    <w:p w:rsidR="009732E2" w:rsidP="009732E2" w:rsidRDefault="009732E2" w14:paraId="15D08BF0" w14:textId="48BBA831">
      <w:pPr>
        <w:pStyle w:val="myTOC2"/>
      </w:pPr>
      <w:r>
        <w:t>A. Modifications to Previous Version of Standards</w:t>
      </w:r>
      <w:r>
        <w:tab/>
      </w:r>
      <w:hyperlink w:history="1" w:anchor="_bmk3">
        <w:r>
          <w:rPr>
            <w:rStyle w:val="Hyperlink"/>
            <w:rFonts w:eastAsiaTheme="minorHAnsi"/>
            <w:szCs w:val="22"/>
          </w:rPr>
          <w:t>8.</w:t>
        </w:r>
      </w:hyperlink>
    </w:p>
    <w:p w:rsidR="009732E2" w:rsidP="009732E2" w:rsidRDefault="009732E2" w14:paraId="623041A8" w14:textId="0D77DC67">
      <w:pPr>
        <w:pStyle w:val="myTOC3"/>
      </w:pPr>
      <w:r>
        <w:t>1. Modifications in Response to the Sandia Surety Assessment</w:t>
      </w:r>
      <w:r>
        <w:tab/>
      </w:r>
      <w:hyperlink w:history="1" w:anchor="_bmk4">
        <w:r>
          <w:rPr>
            <w:rStyle w:val="Hyperlink"/>
            <w:rFonts w:eastAsiaTheme="minorHAnsi"/>
            <w:szCs w:val="22"/>
          </w:rPr>
          <w:t>8.</w:t>
        </w:r>
      </w:hyperlink>
    </w:p>
    <w:p w:rsidR="009732E2" w:rsidP="009732E2" w:rsidRDefault="009732E2" w14:paraId="4A4F1B42" w14:textId="035E95ED">
      <w:pPr>
        <w:pStyle w:val="myTOC3"/>
      </w:pPr>
      <w:r>
        <w:t>2. Modifications in Response to Industry Request</w:t>
      </w:r>
      <w:r>
        <w:tab/>
      </w:r>
      <w:hyperlink w:history="1" w:anchor="_bmk5">
        <w:r>
          <w:rPr>
            <w:rStyle w:val="Hyperlink"/>
            <w:rFonts w:eastAsiaTheme="minorHAnsi"/>
            <w:szCs w:val="22"/>
          </w:rPr>
          <w:t>12.</w:t>
        </w:r>
      </w:hyperlink>
    </w:p>
    <w:p w:rsidR="009732E2" w:rsidP="009732E2" w:rsidRDefault="009732E2" w14:paraId="5EAA5041" w14:textId="11400BFB">
      <w:pPr>
        <w:pStyle w:val="myTOC2"/>
      </w:pPr>
      <w:r>
        <w:t>B. Standards Proposed Not to be Incorporated by Reference</w:t>
      </w:r>
      <w:r>
        <w:tab/>
      </w:r>
      <w:hyperlink w:history="1" w:anchor="_bmk6">
        <w:r>
          <w:rPr>
            <w:rStyle w:val="Hyperlink"/>
            <w:rFonts w:eastAsiaTheme="minorHAnsi"/>
            <w:szCs w:val="22"/>
          </w:rPr>
          <w:t>18.</w:t>
        </w:r>
      </w:hyperlink>
    </w:p>
    <w:p w:rsidR="009732E2" w:rsidP="009732E2" w:rsidRDefault="009732E2" w14:paraId="61184B29" w14:textId="1A50C996">
      <w:pPr>
        <w:pStyle w:val="myTOC2"/>
      </w:pPr>
      <w:r>
        <w:t>C. Proposed Implementation Procedures</w:t>
      </w:r>
      <w:r>
        <w:tab/>
      </w:r>
      <w:hyperlink w:history="1" w:anchor="_bmk7">
        <w:r>
          <w:rPr>
            <w:rStyle w:val="Hyperlink"/>
            <w:rFonts w:eastAsiaTheme="minorHAnsi"/>
            <w:szCs w:val="22"/>
          </w:rPr>
          <w:t>19.</w:t>
        </w:r>
      </w:hyperlink>
    </w:p>
    <w:p w:rsidR="009732E2" w:rsidP="009732E2" w:rsidRDefault="009732E2" w14:paraId="28523EE2" w14:textId="3B6B282A">
      <w:pPr>
        <w:pStyle w:val="myTOC1"/>
      </w:pPr>
      <w:r>
        <w:t>III. Notice of Use of Voluntary Consensus Standards</w:t>
      </w:r>
      <w:r>
        <w:tab/>
      </w:r>
      <w:hyperlink w:history="1" w:anchor="_bmk8">
        <w:r>
          <w:rPr>
            <w:rStyle w:val="Hyperlink"/>
            <w:rFonts w:eastAsiaTheme="minorHAnsi"/>
            <w:szCs w:val="22"/>
          </w:rPr>
          <w:t>24.</w:t>
        </w:r>
      </w:hyperlink>
    </w:p>
    <w:p w:rsidR="009732E2" w:rsidP="009732E2" w:rsidRDefault="009732E2" w14:paraId="18F0A455" w14:textId="59B44128">
      <w:pPr>
        <w:pStyle w:val="myTOC1"/>
      </w:pPr>
      <w:r>
        <w:t>IV. Incorporation by Reference</w:t>
      </w:r>
      <w:r>
        <w:tab/>
      </w:r>
      <w:hyperlink w:history="1" w:anchor="_bmk9">
        <w:r>
          <w:rPr>
            <w:rStyle w:val="Hyperlink"/>
            <w:rFonts w:eastAsiaTheme="minorHAnsi"/>
            <w:szCs w:val="22"/>
          </w:rPr>
          <w:t>25.</w:t>
        </w:r>
      </w:hyperlink>
    </w:p>
    <w:p w:rsidR="009732E2" w:rsidP="009732E2" w:rsidRDefault="009732E2" w14:paraId="733487F3" w14:textId="664B89CD">
      <w:pPr>
        <w:pStyle w:val="myTOC1"/>
      </w:pPr>
      <w:r>
        <w:t>V. Information Collection Statement</w:t>
      </w:r>
      <w:r>
        <w:tab/>
      </w:r>
      <w:hyperlink w:history="1" w:anchor="_bmk10">
        <w:r>
          <w:rPr>
            <w:rStyle w:val="Hyperlink"/>
            <w:rFonts w:eastAsiaTheme="minorHAnsi"/>
            <w:szCs w:val="22"/>
          </w:rPr>
          <w:t>35.</w:t>
        </w:r>
      </w:hyperlink>
    </w:p>
    <w:p w:rsidR="009732E2" w:rsidP="009732E2" w:rsidRDefault="009732E2" w14:paraId="7AF26731" w14:textId="25477C53">
      <w:pPr>
        <w:pStyle w:val="myTOC1"/>
      </w:pPr>
      <w:r>
        <w:t>VI. Environmental Analysis</w:t>
      </w:r>
      <w:r>
        <w:tab/>
      </w:r>
      <w:hyperlink w:history="1" w:anchor="_bmk11">
        <w:r>
          <w:rPr>
            <w:rStyle w:val="Hyperlink"/>
            <w:rFonts w:eastAsiaTheme="minorHAnsi"/>
            <w:szCs w:val="22"/>
          </w:rPr>
          <w:t>42.</w:t>
        </w:r>
      </w:hyperlink>
    </w:p>
    <w:p w:rsidR="009732E2" w:rsidP="009732E2" w:rsidRDefault="009732E2" w14:paraId="42794415" w14:textId="6813657F">
      <w:pPr>
        <w:pStyle w:val="myTOC1"/>
      </w:pPr>
      <w:r>
        <w:t>VII. Regulatory Flexibility Act</w:t>
      </w:r>
      <w:r>
        <w:tab/>
      </w:r>
      <w:hyperlink w:history="1" w:anchor="_bmk12">
        <w:r>
          <w:rPr>
            <w:rStyle w:val="Hyperlink"/>
            <w:rFonts w:eastAsiaTheme="minorHAnsi"/>
            <w:szCs w:val="22"/>
          </w:rPr>
          <w:t>43.</w:t>
        </w:r>
      </w:hyperlink>
    </w:p>
    <w:p w:rsidR="009732E2" w:rsidP="009732E2" w:rsidRDefault="009732E2" w14:paraId="4B29AE53" w14:textId="5FC073ED">
      <w:pPr>
        <w:pStyle w:val="myTOC1"/>
      </w:pPr>
      <w:r>
        <w:t>VIII. Comment Procedures</w:t>
      </w:r>
      <w:r>
        <w:tab/>
      </w:r>
      <w:hyperlink w:history="1" w:anchor="_bmk13">
        <w:r>
          <w:rPr>
            <w:rStyle w:val="Hyperlink"/>
            <w:rFonts w:eastAsiaTheme="minorHAnsi"/>
            <w:szCs w:val="22"/>
          </w:rPr>
          <w:t>46.</w:t>
        </w:r>
      </w:hyperlink>
    </w:p>
    <w:p w:rsidRPr="009732E2" w:rsidR="009732E2" w:rsidP="009732E2" w:rsidRDefault="009732E2" w14:paraId="752C232C" w14:textId="06861140">
      <w:pPr>
        <w:pStyle w:val="myTOC1"/>
      </w:pPr>
      <w:r>
        <w:t>IX. Document Availability</w:t>
      </w:r>
      <w:r>
        <w:tab/>
      </w:r>
      <w:hyperlink w:history="1" w:anchor="_bmk14">
        <w:r>
          <w:rPr>
            <w:rStyle w:val="Hyperlink"/>
            <w:rFonts w:eastAsiaTheme="minorHAnsi"/>
            <w:szCs w:val="22"/>
          </w:rPr>
          <w:t>50.</w:t>
        </w:r>
      </w:hyperlink>
    </w:p>
    <w:p w:rsidR="00D46FB6" w:rsidP="000603CD" w:rsidRDefault="00D46FB6" w14:paraId="5D1FE68F" w14:textId="13A0E810">
      <w:pPr>
        <w:pStyle w:val="FERCparanumber"/>
        <w:numPr>
          <w:ilvl w:val="0"/>
          <w:numId w:val="0"/>
        </w:numPr>
      </w:pPr>
    </w:p>
    <w:p w:rsidR="00CD4AE5" w:rsidP="00CC1259" w:rsidRDefault="00102580" w14:paraId="25026D7E" w14:textId="77777777">
      <w:pPr>
        <w:pStyle w:val="FERCparanumber"/>
      </w:pPr>
      <w:r>
        <w:t>The Federal Energy Regulatory Commission (Commission) proposes to amend</w:t>
      </w:r>
      <w:r w:rsidR="00AF1B00">
        <w:t xml:space="preserve"> </w:t>
      </w:r>
      <w:r w:rsidR="00CD4AE5">
        <w:br/>
      </w:r>
      <w:r>
        <w:t xml:space="preserve">its regulations </w:t>
      </w:r>
      <w:r w:rsidR="00AF1B00">
        <w:t xml:space="preserve">at 18 CFR 284.12 </w:t>
      </w:r>
      <w:r w:rsidR="009B768E">
        <w:t>to incorporate by reference</w:t>
      </w:r>
      <w:r w:rsidR="00AF1B00">
        <w:t>, with certain enumerated</w:t>
      </w:r>
    </w:p>
    <w:p w:rsidR="00CD4AE5" w:rsidRDefault="00CD4AE5" w14:paraId="53AC0C4C" w14:textId="77777777">
      <w:pPr>
        <w:widowControl/>
        <w:spacing w:after="160" w:line="259" w:lineRule="auto"/>
      </w:pPr>
      <w:r>
        <w:br w:type="page"/>
      </w:r>
    </w:p>
    <w:p w:rsidR="00AF1B00" w:rsidP="00CC1259" w:rsidRDefault="00AF1B00" w14:paraId="1AF10D06" w14:textId="692F3909">
      <w:pPr>
        <w:pStyle w:val="FERCparanumber"/>
      </w:pPr>
      <w:r>
        <w:lastRenderedPageBreak/>
        <w:t xml:space="preserve"> exceptions,</w:t>
      </w:r>
      <w:r w:rsidRPr="00932257">
        <w:rPr>
          <w:rStyle w:val="FootnoteReference"/>
        </w:rPr>
        <w:footnoteReference w:id="2"/>
      </w:r>
      <w:r w:rsidR="009B768E">
        <w:t xml:space="preserve"> the </w:t>
      </w:r>
      <w:r>
        <w:t xml:space="preserve">latest </w:t>
      </w:r>
      <w:r w:rsidR="009B768E">
        <w:t>version</w:t>
      </w:r>
      <w:r>
        <w:t xml:space="preserve"> (</w:t>
      </w:r>
      <w:r w:rsidR="009B768E">
        <w:t>Version 3.2</w:t>
      </w:r>
      <w:r>
        <w:t>)</w:t>
      </w:r>
      <w:r w:rsidR="009B768E">
        <w:t xml:space="preserve"> of </w:t>
      </w:r>
      <w:r>
        <w:t xml:space="preserve">business practice </w:t>
      </w:r>
      <w:r w:rsidR="009B768E">
        <w:t>standards adopted by NAESB</w:t>
      </w:r>
      <w:r>
        <w:t xml:space="preserve">’s WGQ applicable to natural gas pipelines that NAESB reported to the Commission on August 17, 2020 </w:t>
      </w:r>
      <w:r w:rsidR="002B7AE5">
        <w:t>in place of the currently incorporated version (Version 3.1) of those business practice standards.  The implementation of these standards and regulations will promote the additional efficiency and reliability of the natural gas industries’ operations thereby helping the Commission to carry out its responsibilities under the Natural Gas Act</w:t>
      </w:r>
      <w:r w:rsidR="00561DE7">
        <w:t xml:space="preserve"> (NGA)</w:t>
      </w:r>
      <w:r w:rsidR="002B7AE5">
        <w:t>.  In addition, the proposed revisions are necessary to enhance the natural gas industries’ computer security requirements.</w:t>
      </w:r>
      <w:r w:rsidRPr="00932257" w:rsidR="00CC1259">
        <w:rPr>
          <w:rStyle w:val="FootnoteReference"/>
        </w:rPr>
        <w:footnoteReference w:id="3"/>
      </w:r>
    </w:p>
    <w:p w:rsidRPr="00B61165" w:rsidR="001C369E" w:rsidP="001C369E" w:rsidRDefault="001C369E" w14:paraId="2C19FC1D" w14:textId="7454A12F">
      <w:pPr>
        <w:pStyle w:val="Heading1"/>
      </w:pPr>
      <w:bookmarkStart w:name="_bmk1" w:id="5"/>
      <w:bookmarkStart w:name="_Toc52889998" w:id="6"/>
      <w:r w:rsidRPr="00F86749">
        <w:t>B</w:t>
      </w:r>
      <w:bookmarkEnd w:id="5"/>
      <w:r w:rsidRPr="00F86749">
        <w:t>ackground</w:t>
      </w:r>
      <w:bookmarkEnd w:id="6"/>
    </w:p>
    <w:p w:rsidRPr="00932257" w:rsidR="00B00CCC" w:rsidP="00937F4C" w:rsidRDefault="009B768E" w14:paraId="28F4A599" w14:textId="763D47BE">
      <w:pPr>
        <w:pStyle w:val="FERCparanumber"/>
      </w:pPr>
      <w:r>
        <w:t xml:space="preserve">Since 1996, the Commission </w:t>
      </w:r>
      <w:r w:rsidR="00B00CCC">
        <w:t xml:space="preserve">has </w:t>
      </w:r>
      <w:r>
        <w:t xml:space="preserve">adopted regulations to standardize the business practices and communication methodologies of interstate </w:t>
      </w:r>
      <w:r w:rsidR="00B00CCC">
        <w:t xml:space="preserve">natural gas </w:t>
      </w:r>
      <w:r>
        <w:t>pipelines</w:t>
      </w:r>
      <w:r w:rsidR="00DF0E02">
        <w:t xml:space="preserve"> to create a more integrated and efficient pipeline grid.  </w:t>
      </w:r>
      <w:r w:rsidR="00B00CCC">
        <w:t xml:space="preserve">These regulations have been promulgated in the Order No. 587 </w:t>
      </w:r>
      <w:r w:rsidR="00DF0E02">
        <w:t>series of orders,</w:t>
      </w:r>
      <w:r w:rsidRPr="00932257" w:rsidR="00B00CCC">
        <w:rPr>
          <w:rStyle w:val="FootnoteReference"/>
        </w:rPr>
        <w:footnoteReference w:id="4"/>
      </w:r>
      <w:r w:rsidR="00DF0E02">
        <w:t xml:space="preserve"> </w:t>
      </w:r>
      <w:r w:rsidR="00B00CCC">
        <w:t xml:space="preserve">wherein </w:t>
      </w:r>
      <w:r w:rsidR="00DF0E02">
        <w:t xml:space="preserve">the Commission </w:t>
      </w:r>
      <w:r w:rsidR="00D66F30">
        <w:t xml:space="preserve">has </w:t>
      </w:r>
      <w:r w:rsidR="00DF0E02">
        <w:t xml:space="preserve">incorporated by reference standards </w:t>
      </w:r>
      <w:r w:rsidR="00D66F30">
        <w:t xml:space="preserve">for interstate natural gas pipeline business practices and electronic </w:t>
      </w:r>
      <w:r w:rsidR="00D66F30">
        <w:lastRenderedPageBreak/>
        <w:t xml:space="preserve">communications that were developed and adopted by NAESB’s WGQ.  Upon incorporation by reference, this version of the standards will replace the currently incorporated version (Version 3.1) </w:t>
      </w:r>
      <w:r w:rsidR="00937F4C">
        <w:t>of those business practice standards</w:t>
      </w:r>
      <w:r w:rsidR="00BA7E8A">
        <w:t>.</w:t>
      </w:r>
      <w:r w:rsidDel="00BA7E8A" w:rsidR="00BA7E8A">
        <w:t xml:space="preserve"> </w:t>
      </w:r>
    </w:p>
    <w:p w:rsidR="0000262C" w:rsidP="0016103E" w:rsidRDefault="00DF0E02" w14:paraId="7060D965" w14:textId="3446D9D8">
      <w:pPr>
        <w:pStyle w:val="FERCparanumber"/>
      </w:pPr>
      <w:r>
        <w:t xml:space="preserve">On August 17, 2020, </w:t>
      </w:r>
      <w:r w:rsidR="006C5B02">
        <w:t xml:space="preserve">NAESB </w:t>
      </w:r>
      <w:r w:rsidR="00BA1F44">
        <w:t>filed</w:t>
      </w:r>
      <w:r w:rsidR="006C5B02">
        <w:t xml:space="preserve"> a report </w:t>
      </w:r>
      <w:r w:rsidR="00BA1F44">
        <w:t xml:space="preserve">informing </w:t>
      </w:r>
      <w:r w:rsidR="006C5B02">
        <w:t xml:space="preserve">the Commission that it had adopted </w:t>
      </w:r>
      <w:r w:rsidR="00BA1F44">
        <w:t xml:space="preserve">and ratified WGQ </w:t>
      </w:r>
      <w:r w:rsidR="006C5B02">
        <w:t>Version 3.2</w:t>
      </w:r>
      <w:r w:rsidR="00BA1F44">
        <w:t xml:space="preserve"> of its business practice standards applicable to interstate natural gas pipelines.  </w:t>
      </w:r>
      <w:r w:rsidR="006C5B02">
        <w:t xml:space="preserve">Version 3.2 </w:t>
      </w:r>
      <w:r w:rsidR="0000262C">
        <w:t xml:space="preserve">of the WGQ </w:t>
      </w:r>
      <w:r w:rsidR="006C5B02">
        <w:t xml:space="preserve">includes </w:t>
      </w:r>
      <w:r w:rsidR="0000262C">
        <w:t xml:space="preserve">business practice </w:t>
      </w:r>
      <w:r w:rsidR="006C5B02">
        <w:t xml:space="preserve">standards developed </w:t>
      </w:r>
      <w:r w:rsidR="0000262C">
        <w:t xml:space="preserve">and modified </w:t>
      </w:r>
      <w:r w:rsidR="006C5B02">
        <w:t xml:space="preserve">in </w:t>
      </w:r>
      <w:r w:rsidR="0000262C">
        <w:t xml:space="preserve">response to industry requests and directives from the NAESB Board of Directors.  </w:t>
      </w:r>
      <w:r w:rsidR="00B62936">
        <w:t xml:space="preserve">This version also includes the standards developed in response to the </w:t>
      </w:r>
      <w:r w:rsidR="006C5B02">
        <w:t xml:space="preserve">recommendations of </w:t>
      </w:r>
      <w:r w:rsidR="003D23BC">
        <w:t>Sandia National Laboratory (Sandia)</w:t>
      </w:r>
      <w:r w:rsidR="008B0552">
        <w:t>,</w:t>
      </w:r>
      <w:r w:rsidR="00C57038">
        <w:rPr>
          <w:rStyle w:val="FootnoteReference"/>
        </w:rPr>
        <w:footnoteReference w:id="5"/>
      </w:r>
      <w:r w:rsidR="008B0552">
        <w:t xml:space="preserve"> which in 2019 issued a </w:t>
      </w:r>
      <w:r w:rsidR="006C5B02">
        <w:t>cybersecurity surety assessment</w:t>
      </w:r>
      <w:r w:rsidR="00B62936">
        <w:t xml:space="preserve"> of the NAESB standards sponsored by DOE </w:t>
      </w:r>
      <w:r w:rsidR="00B251E8">
        <w:t>(Sandia Surety Assessment)</w:t>
      </w:r>
      <w:r w:rsidR="00991DDB">
        <w:t>,</w:t>
      </w:r>
      <w:r w:rsidR="00315BCF">
        <w:rPr>
          <w:rStyle w:val="FootnoteReference"/>
          <w:szCs w:val="26"/>
        </w:rPr>
        <w:footnoteReference w:id="6"/>
      </w:r>
      <w:r w:rsidR="00B251E8">
        <w:t xml:space="preserve"> </w:t>
      </w:r>
      <w:r w:rsidR="00B62936">
        <w:t xml:space="preserve">and the standards developed </w:t>
      </w:r>
      <w:r w:rsidR="0016103E">
        <w:t>to enable the u</w:t>
      </w:r>
      <w:r w:rsidR="00CE273A">
        <w:t>se</w:t>
      </w:r>
      <w:r w:rsidR="0016103E">
        <w:t xml:space="preserve"> of distributed </w:t>
      </w:r>
      <w:r w:rsidR="0016103E">
        <w:lastRenderedPageBreak/>
        <w:t>ledger technologies when transacting the NAESB Base Contract for Sale and Purchase of Natural Gas.</w:t>
      </w:r>
    </w:p>
    <w:p w:rsidR="00BA1F44" w:rsidP="0079213E" w:rsidRDefault="0016103E" w14:paraId="241FC8D4" w14:textId="1C31FCB9">
      <w:pPr>
        <w:pStyle w:val="FERCparanumber"/>
      </w:pPr>
      <w:r w:rsidRPr="008B4388">
        <w:t>The</w:t>
      </w:r>
      <w:r>
        <w:t xml:space="preserve"> NAESB report identifies all the changes made to the WGQ Version 3.1 Standards and summarizes the deliberations that led to the changes being made.  It also identifies changes to the existing standards that were considered but not adopted due to a lack of consensus or other reasons.</w:t>
      </w:r>
    </w:p>
    <w:p w:rsidRPr="00B61165" w:rsidR="00832085" w:rsidP="00832085" w:rsidRDefault="00832085" w14:paraId="19E4720D" w14:textId="77777777">
      <w:pPr>
        <w:pStyle w:val="Heading1"/>
      </w:pPr>
      <w:bookmarkStart w:name="_bmk2" w:id="7"/>
      <w:bookmarkStart w:name="_Toc52889999" w:id="8"/>
      <w:r w:rsidRPr="00F86749">
        <w:t>D</w:t>
      </w:r>
      <w:bookmarkEnd w:id="7"/>
      <w:r w:rsidRPr="00F86749">
        <w:t>iscussion</w:t>
      </w:r>
      <w:bookmarkEnd w:id="8"/>
    </w:p>
    <w:p w:rsidRPr="00260EFA" w:rsidR="00F87F26" w:rsidP="00260EFA" w:rsidRDefault="00147B62" w14:paraId="1A729769" w14:textId="2AB1A51B">
      <w:pPr>
        <w:pStyle w:val="FERCparanumber"/>
        <w:rPr>
          <w:szCs w:val="26"/>
        </w:rPr>
      </w:pPr>
      <w:r>
        <w:rPr>
          <w:szCs w:val="26"/>
        </w:rPr>
        <w:t>In this NOPR, we propose to incorporate by reference, in our regulations, Version 3.2 of the NAESB WGQ consensus business practice standards, with certain exceptions.</w:t>
      </w:r>
      <w:r w:rsidRPr="00932257">
        <w:rPr>
          <w:rStyle w:val="FootnoteReference"/>
        </w:rPr>
        <w:footnoteReference w:id="7"/>
      </w:r>
      <w:r w:rsidR="00456E27">
        <w:rPr>
          <w:szCs w:val="26"/>
        </w:rPr>
        <w:t xml:space="preserve">  </w:t>
      </w:r>
      <w:r w:rsidR="00C71244">
        <w:rPr>
          <w:szCs w:val="26"/>
        </w:rPr>
        <w:t>We propose that compliance filings made in accordance with a final rule be made 120 days after issuance of a final rule in this proceeding or on the first business day thereafter if falling on a weekend or holiday</w:t>
      </w:r>
      <w:r w:rsidR="00555FE6">
        <w:rPr>
          <w:szCs w:val="26"/>
        </w:rPr>
        <w:t>,</w:t>
      </w:r>
      <w:r w:rsidR="001D6722">
        <w:rPr>
          <w:szCs w:val="26"/>
        </w:rPr>
        <w:t xml:space="preserve"> with an effective date 1</w:t>
      </w:r>
      <w:r w:rsidR="00536289">
        <w:rPr>
          <w:szCs w:val="26"/>
        </w:rPr>
        <w:t>8</w:t>
      </w:r>
      <w:r w:rsidR="001D6722">
        <w:rPr>
          <w:szCs w:val="26"/>
        </w:rPr>
        <w:t>0 days from the date compliance fil</w:t>
      </w:r>
      <w:r w:rsidR="005D7246">
        <w:rPr>
          <w:szCs w:val="26"/>
        </w:rPr>
        <w:t>i</w:t>
      </w:r>
      <w:r w:rsidR="001D6722">
        <w:rPr>
          <w:szCs w:val="26"/>
        </w:rPr>
        <w:t>ng</w:t>
      </w:r>
      <w:r w:rsidR="00F22E17">
        <w:rPr>
          <w:szCs w:val="26"/>
        </w:rPr>
        <w:t>s are due in this proceeding or the first business day thereafter if falling on a weekend or holiday</w:t>
      </w:r>
      <w:r w:rsidR="001D6722">
        <w:rPr>
          <w:szCs w:val="26"/>
        </w:rPr>
        <w:t>.</w:t>
      </w:r>
      <w:r w:rsidR="00260EFA">
        <w:rPr>
          <w:szCs w:val="26"/>
        </w:rPr>
        <w:t xml:space="preserve">  This will allow time for the Commission to process the compliance filings before the effective date of the new standards.</w:t>
      </w:r>
      <w:r w:rsidRPr="00932257" w:rsidDel="00F22E17" w:rsidR="00F22E17">
        <w:rPr>
          <w:rStyle w:val="FootnoteReference"/>
        </w:rPr>
        <w:t xml:space="preserve"> </w:t>
      </w:r>
    </w:p>
    <w:p w:rsidR="00F87F26" w:rsidP="00F87F26" w:rsidRDefault="00F87F26" w14:paraId="39274F44" w14:textId="3395544C">
      <w:pPr>
        <w:pStyle w:val="FERCparanumber"/>
      </w:pPr>
      <w:r w:rsidRPr="00932257">
        <w:t xml:space="preserve">As the Commission found in Order No. 587, adoption of consensus standards is appropriate, because the consensus process helps ensure the reasonableness of the standards by requiring that the standards draw support from a broad spectrum of industry participants representing all segments of the industry.  Moreover, because the industry </w:t>
      </w:r>
      <w:r w:rsidRPr="00932257">
        <w:lastRenderedPageBreak/>
        <w:t>conducts business under these standards, the Commission's regulations should reflect those standards that have the widest possible support.  In section 12(d) of the National Technology Transfer and Advancement Act of 1995, Congress affirmatively requires federal agencies to use technical standards developed by voluntary consensus standards organizations, like NAESB, to carry out policy objectives or activities.</w:t>
      </w:r>
    </w:p>
    <w:p w:rsidR="00F87F26" w:rsidP="00260EFA" w:rsidRDefault="00260EFA" w14:paraId="785BCAEA" w14:textId="70793A6A">
      <w:pPr>
        <w:pStyle w:val="FERCparanumber"/>
      </w:pPr>
      <w:r>
        <w:t>We discuss below some specific aspects of NAESB’s report.</w:t>
      </w:r>
    </w:p>
    <w:p w:rsidR="00F91CF6" w:rsidP="00F91CF6" w:rsidRDefault="00B45243" w14:paraId="6259A701" w14:textId="77777777">
      <w:pPr>
        <w:pStyle w:val="Heading2"/>
      </w:pPr>
      <w:bookmarkStart w:name="_bmk3" w:id="9"/>
      <w:bookmarkStart w:name="_Toc52890000" w:id="10"/>
      <w:r>
        <w:t>M</w:t>
      </w:r>
      <w:bookmarkEnd w:id="9"/>
      <w:r>
        <w:t>odifications to Previous Version of Standards</w:t>
      </w:r>
      <w:bookmarkEnd w:id="10"/>
    </w:p>
    <w:p w:rsidRPr="00F91CF6" w:rsidR="00B45243" w:rsidP="00F91CF6" w:rsidRDefault="00B45243" w14:paraId="4C00B778" w14:textId="3A07C831">
      <w:pPr>
        <w:pStyle w:val="Heading3"/>
      </w:pPr>
      <w:bookmarkStart w:name="_bmk4" w:id="11"/>
      <w:bookmarkStart w:name="_Toc52890001" w:id="12"/>
      <w:r w:rsidRPr="00F91CF6">
        <w:t>M</w:t>
      </w:r>
      <w:bookmarkEnd w:id="11"/>
      <w:r w:rsidRPr="00F91CF6">
        <w:t xml:space="preserve">odifications </w:t>
      </w:r>
      <w:r w:rsidRPr="00F91CF6" w:rsidR="00B251E8">
        <w:t>in Response to the Sandia Surety Assessment</w:t>
      </w:r>
      <w:bookmarkEnd w:id="12"/>
    </w:p>
    <w:p w:rsidRPr="00A261FE" w:rsidR="00A261FE" w:rsidP="00A261FE" w:rsidRDefault="00B251E8" w14:paraId="082A2E0E" w14:textId="62496A1B">
      <w:pPr>
        <w:pStyle w:val="FERCparanumber"/>
        <w:rPr>
          <w:szCs w:val="26"/>
        </w:rPr>
      </w:pPr>
      <w:r>
        <w:rPr>
          <w:szCs w:val="26"/>
        </w:rPr>
        <w:t xml:space="preserve">NAESB </w:t>
      </w:r>
      <w:r w:rsidR="00FB3734">
        <w:rPr>
          <w:szCs w:val="26"/>
        </w:rPr>
        <w:t xml:space="preserve">revised </w:t>
      </w:r>
      <w:r>
        <w:rPr>
          <w:szCs w:val="26"/>
        </w:rPr>
        <w:t xml:space="preserve">previously incorporated standards and </w:t>
      </w:r>
      <w:r>
        <w:t xml:space="preserve">developed new standards in response to the </w:t>
      </w:r>
      <w:r w:rsidR="007611BB">
        <w:t xml:space="preserve">recommendations in the </w:t>
      </w:r>
      <w:r>
        <w:t>Sandia</w:t>
      </w:r>
      <w:r w:rsidR="008E396F">
        <w:t xml:space="preserve"> S</w:t>
      </w:r>
      <w:r>
        <w:t xml:space="preserve">urety </w:t>
      </w:r>
      <w:r w:rsidR="008E396F">
        <w:t>A</w:t>
      </w:r>
      <w:r>
        <w:t xml:space="preserve">ssessment.  Specifically, </w:t>
      </w:r>
      <w:r w:rsidRPr="00FB3734" w:rsidR="00FB3734">
        <w:rPr>
          <w:szCs w:val="26"/>
        </w:rPr>
        <w:t xml:space="preserve">NAESB adopted revisions to the WGQ EDM Related </w:t>
      </w:r>
      <w:r w:rsidR="00FB3734">
        <w:rPr>
          <w:szCs w:val="26"/>
        </w:rPr>
        <w:t xml:space="preserve">Business Practice </w:t>
      </w:r>
      <w:r w:rsidRPr="00FB3734" w:rsidR="00FB3734">
        <w:rPr>
          <w:szCs w:val="26"/>
        </w:rPr>
        <w:t xml:space="preserve">Standards, which establish the framework for the electronic dissemination and communication of information between parties in the North American </w:t>
      </w:r>
      <w:r w:rsidR="00DB693F">
        <w:rPr>
          <w:szCs w:val="26"/>
        </w:rPr>
        <w:t>w</w:t>
      </w:r>
      <w:r w:rsidRPr="00FB3734" w:rsidR="00FB3734">
        <w:rPr>
          <w:szCs w:val="26"/>
        </w:rPr>
        <w:t xml:space="preserve">holesale </w:t>
      </w:r>
      <w:r w:rsidR="00DB693F">
        <w:rPr>
          <w:szCs w:val="26"/>
        </w:rPr>
        <w:t>g</w:t>
      </w:r>
      <w:r w:rsidRPr="00FB3734" w:rsidR="00FB3734">
        <w:rPr>
          <w:szCs w:val="26"/>
        </w:rPr>
        <w:t>as marketplace</w:t>
      </w:r>
      <w:r w:rsidR="00FB3734">
        <w:rPr>
          <w:szCs w:val="26"/>
        </w:rPr>
        <w:t xml:space="preserve">, and to the WGQ IET Related Business Practice Standards, which </w:t>
      </w:r>
      <w:r w:rsidRPr="00932257" w:rsidR="00FB3734">
        <w:t>define the implementation of various technologies necessary to communicate transactions and other electronic data using standard protocols for electronic commerce over the internet between trading partners</w:t>
      </w:r>
      <w:r w:rsidRPr="00FB3734" w:rsidR="00FB3734">
        <w:rPr>
          <w:szCs w:val="26"/>
        </w:rPr>
        <w:t xml:space="preserve">.  First, </w:t>
      </w:r>
      <w:r w:rsidRPr="006C565E" w:rsidR="004E7CAF">
        <w:rPr>
          <w:szCs w:val="26"/>
        </w:rPr>
        <w:t xml:space="preserve">NAESB </w:t>
      </w:r>
      <w:r w:rsidR="006C565E">
        <w:rPr>
          <w:szCs w:val="26"/>
        </w:rPr>
        <w:t xml:space="preserve">adopted </w:t>
      </w:r>
      <w:r w:rsidRPr="006C565E" w:rsidR="004E7CAF">
        <w:rPr>
          <w:szCs w:val="26"/>
        </w:rPr>
        <w:t>two new standards, 4.3.109 and</w:t>
      </w:r>
      <w:r w:rsidR="006C565E">
        <w:rPr>
          <w:szCs w:val="26"/>
        </w:rPr>
        <w:t xml:space="preserve"> </w:t>
      </w:r>
      <w:r w:rsidRPr="006C565E" w:rsidR="004E7CAF">
        <w:rPr>
          <w:szCs w:val="26"/>
        </w:rPr>
        <w:t>10.3.28</w:t>
      </w:r>
      <w:r w:rsidR="006C565E">
        <w:rPr>
          <w:szCs w:val="26"/>
        </w:rPr>
        <w:t xml:space="preserve">, to provide </w:t>
      </w:r>
      <w:r w:rsidRPr="006C565E" w:rsidR="004E7CAF">
        <w:rPr>
          <w:szCs w:val="26"/>
        </w:rPr>
        <w:t xml:space="preserve">that trading partners should evaluate software fixes or patches for known vulnerabilities within 30 days and implement the fix or patch as soon as reasonably practicable based on the severity of the risk.  </w:t>
      </w:r>
      <w:r w:rsidR="006C565E">
        <w:rPr>
          <w:szCs w:val="26"/>
        </w:rPr>
        <w:t xml:space="preserve">Second, NAESB adopted </w:t>
      </w:r>
      <w:r w:rsidRPr="006C565E" w:rsidR="004E7CAF">
        <w:rPr>
          <w:szCs w:val="26"/>
        </w:rPr>
        <w:t xml:space="preserve">two new standards, 4.3.110 and 10.3.29, </w:t>
      </w:r>
      <w:r w:rsidR="006C565E">
        <w:rPr>
          <w:szCs w:val="26"/>
        </w:rPr>
        <w:t xml:space="preserve">to provide </w:t>
      </w:r>
      <w:r w:rsidRPr="006C565E" w:rsidR="004E7CAF">
        <w:rPr>
          <w:szCs w:val="26"/>
        </w:rPr>
        <w:t>that trading partners should mutually agree to the version of the EDM and IET to be u</w:t>
      </w:r>
      <w:r w:rsidR="004A34F2">
        <w:rPr>
          <w:szCs w:val="26"/>
        </w:rPr>
        <w:t>se</w:t>
      </w:r>
      <w:r w:rsidRPr="006C565E" w:rsidR="004E7CAF">
        <w:rPr>
          <w:szCs w:val="26"/>
        </w:rPr>
        <w:t>d.</w:t>
      </w:r>
      <w:r w:rsidR="006C565E">
        <w:rPr>
          <w:szCs w:val="26"/>
        </w:rPr>
        <w:t xml:space="preserve">  </w:t>
      </w:r>
      <w:r w:rsidR="00E60306">
        <w:rPr>
          <w:szCs w:val="26"/>
        </w:rPr>
        <w:t xml:space="preserve">Third, </w:t>
      </w:r>
      <w:r w:rsidRPr="00E60306" w:rsidR="004E7CAF">
        <w:rPr>
          <w:szCs w:val="26"/>
        </w:rPr>
        <w:t xml:space="preserve">the new standards specify notification </w:t>
      </w:r>
      <w:r w:rsidR="00BF4944">
        <w:rPr>
          <w:szCs w:val="26"/>
        </w:rPr>
        <w:t xml:space="preserve">and coordination </w:t>
      </w:r>
      <w:r w:rsidRPr="00E60306" w:rsidR="004E7CAF">
        <w:rPr>
          <w:szCs w:val="26"/>
        </w:rPr>
        <w:lastRenderedPageBreak/>
        <w:t>timelines</w:t>
      </w:r>
      <w:r w:rsidR="00E60306">
        <w:rPr>
          <w:szCs w:val="26"/>
        </w:rPr>
        <w:t xml:space="preserve"> </w:t>
      </w:r>
      <w:r w:rsidR="000B4781">
        <w:rPr>
          <w:szCs w:val="26"/>
        </w:rPr>
        <w:t xml:space="preserve">with </w:t>
      </w:r>
      <w:r w:rsidR="00E60306">
        <w:rPr>
          <w:szCs w:val="26"/>
        </w:rPr>
        <w:t>trading partners</w:t>
      </w:r>
      <w:r w:rsidRPr="00E60306" w:rsidR="004E7CAF">
        <w:rPr>
          <w:szCs w:val="26"/>
        </w:rPr>
        <w:t xml:space="preserve">, where applicable, </w:t>
      </w:r>
      <w:r w:rsidR="00E60306">
        <w:rPr>
          <w:szCs w:val="26"/>
        </w:rPr>
        <w:t xml:space="preserve">to address </w:t>
      </w:r>
      <w:r w:rsidR="00BF4944">
        <w:rPr>
          <w:szCs w:val="26"/>
        </w:rPr>
        <w:t xml:space="preserve">vulnerable </w:t>
      </w:r>
      <w:r w:rsidR="00E60306">
        <w:rPr>
          <w:szCs w:val="26"/>
        </w:rPr>
        <w:t xml:space="preserve">systems or software </w:t>
      </w:r>
      <w:r w:rsidRPr="00E60306" w:rsidR="004E7CAF">
        <w:rPr>
          <w:szCs w:val="26"/>
        </w:rPr>
        <w:t>as soon as possible</w:t>
      </w:r>
      <w:r w:rsidR="00BF4944">
        <w:rPr>
          <w:szCs w:val="26"/>
        </w:rPr>
        <w:t>.</w:t>
      </w:r>
      <w:r w:rsidR="000B4781">
        <w:rPr>
          <w:szCs w:val="26"/>
        </w:rPr>
        <w:t xml:space="preserve">  F</w:t>
      </w:r>
      <w:r w:rsidR="000006B6">
        <w:rPr>
          <w:szCs w:val="26"/>
        </w:rPr>
        <w:t>ourth</w:t>
      </w:r>
      <w:r w:rsidR="000B4781">
        <w:rPr>
          <w:szCs w:val="26"/>
        </w:rPr>
        <w:t xml:space="preserve">, </w:t>
      </w:r>
      <w:r w:rsidR="00A261FE">
        <w:rPr>
          <w:szCs w:val="26"/>
        </w:rPr>
        <w:t xml:space="preserve">the Sandia Surety Assessment </w:t>
      </w:r>
      <w:r w:rsidR="00F7109A">
        <w:rPr>
          <w:szCs w:val="26"/>
        </w:rPr>
        <w:t xml:space="preserve">recommended that </w:t>
      </w:r>
      <w:r w:rsidR="00A261FE">
        <w:rPr>
          <w:szCs w:val="26"/>
        </w:rPr>
        <w:t>NAESB consider guidelines for configuration and logging, network traffic monitoring, alerting systems, and manual continuity of operations in the event of abnormal behavior or failure conditions within the system</w:t>
      </w:r>
      <w:r w:rsidR="003D4561">
        <w:rPr>
          <w:szCs w:val="26"/>
        </w:rPr>
        <w:t>.</w:t>
      </w:r>
      <w:r w:rsidR="00A261FE">
        <w:rPr>
          <w:szCs w:val="26"/>
        </w:rPr>
        <w:t xml:space="preserve"> </w:t>
      </w:r>
      <w:r w:rsidR="00F7109A">
        <w:rPr>
          <w:szCs w:val="26"/>
        </w:rPr>
        <w:t xml:space="preserve"> In response, </w:t>
      </w:r>
      <w:r w:rsidR="00A261FE">
        <w:rPr>
          <w:szCs w:val="26"/>
        </w:rPr>
        <w:t xml:space="preserve">NAESB added language to </w:t>
      </w:r>
      <w:r w:rsidR="000B4781">
        <w:rPr>
          <w:szCs w:val="26"/>
        </w:rPr>
        <w:t xml:space="preserve">new </w:t>
      </w:r>
      <w:r w:rsidR="00683FFB">
        <w:rPr>
          <w:szCs w:val="26"/>
        </w:rPr>
        <w:t>S</w:t>
      </w:r>
      <w:r w:rsidR="000B4781">
        <w:rPr>
          <w:szCs w:val="26"/>
        </w:rPr>
        <w:t xml:space="preserve">tandards 4.3.110 and 10.3.28 </w:t>
      </w:r>
      <w:r w:rsidR="00A261FE">
        <w:rPr>
          <w:szCs w:val="26"/>
        </w:rPr>
        <w:t xml:space="preserve">to </w:t>
      </w:r>
      <w:r w:rsidRPr="000B4781" w:rsidR="000B4781">
        <w:rPr>
          <w:szCs w:val="26"/>
        </w:rPr>
        <w:t xml:space="preserve">include both specific and broad adoptions of </w:t>
      </w:r>
      <w:r w:rsidR="00CA62A9">
        <w:rPr>
          <w:szCs w:val="26"/>
        </w:rPr>
        <w:t xml:space="preserve">such </w:t>
      </w:r>
      <w:r w:rsidRPr="000B4781" w:rsidR="000B4781">
        <w:rPr>
          <w:szCs w:val="26"/>
        </w:rPr>
        <w:t>system security</w:t>
      </w:r>
      <w:r w:rsidR="003F11BD">
        <w:rPr>
          <w:szCs w:val="26"/>
        </w:rPr>
        <w:t xml:space="preserve"> </w:t>
      </w:r>
      <w:proofErr w:type="gramStart"/>
      <w:r w:rsidR="003F11BD">
        <w:rPr>
          <w:szCs w:val="26"/>
        </w:rPr>
        <w:t>measures</w:t>
      </w:r>
      <w:proofErr w:type="gramEnd"/>
      <w:r w:rsidR="003F11BD">
        <w:rPr>
          <w:szCs w:val="26"/>
        </w:rPr>
        <w:t xml:space="preserve">. </w:t>
      </w:r>
    </w:p>
    <w:p w:rsidR="00243CE7" w:rsidP="00243CE7" w:rsidRDefault="007611BB" w14:paraId="06A341F0" w14:textId="466CF6C4">
      <w:pPr>
        <w:pStyle w:val="FERCparanumber"/>
        <w:rPr>
          <w:szCs w:val="26"/>
        </w:rPr>
      </w:pPr>
      <w:r>
        <w:rPr>
          <w:szCs w:val="26"/>
        </w:rPr>
        <w:t>Further</w:t>
      </w:r>
      <w:r w:rsidRPr="00243CE7" w:rsidR="004E7CAF">
        <w:rPr>
          <w:szCs w:val="26"/>
        </w:rPr>
        <w:t>,</w:t>
      </w:r>
      <w:r w:rsidR="002A43B6">
        <w:rPr>
          <w:szCs w:val="26"/>
        </w:rPr>
        <w:t xml:space="preserve"> NAESB added</w:t>
      </w:r>
      <w:r w:rsidRPr="00243CE7" w:rsidR="004E7CAF">
        <w:rPr>
          <w:szCs w:val="26"/>
        </w:rPr>
        <w:t xml:space="preserve"> </w:t>
      </w:r>
      <w:r w:rsidR="00F70CA0">
        <w:rPr>
          <w:szCs w:val="26"/>
        </w:rPr>
        <w:t xml:space="preserve">language to </w:t>
      </w:r>
      <w:r w:rsidR="00683FFB">
        <w:rPr>
          <w:szCs w:val="26"/>
        </w:rPr>
        <w:t xml:space="preserve">existing </w:t>
      </w:r>
      <w:r w:rsidR="00F70CA0">
        <w:rPr>
          <w:szCs w:val="26"/>
        </w:rPr>
        <w:t>Standards 4.3.60, 4.3.61, 10.2.33, and 10.3.25 to clarify the Transport Layer Security protocol,</w:t>
      </w:r>
      <w:r w:rsidRPr="00932257" w:rsidR="0014257B">
        <w:rPr>
          <w:rStyle w:val="FootnoteReference"/>
        </w:rPr>
        <w:footnoteReference w:id="8"/>
      </w:r>
      <w:r w:rsidR="00F70CA0">
        <w:rPr>
          <w:szCs w:val="26"/>
        </w:rPr>
        <w:t xml:space="preserve"> which encrypt</w:t>
      </w:r>
      <w:r w:rsidR="00CE5BFB">
        <w:rPr>
          <w:szCs w:val="26"/>
        </w:rPr>
        <w:t>s</w:t>
      </w:r>
      <w:r w:rsidR="00F70CA0">
        <w:rPr>
          <w:szCs w:val="26"/>
        </w:rPr>
        <w:t xml:space="preserve"> data to hide information from electronic observers on the internet.  </w:t>
      </w:r>
      <w:r w:rsidRPr="00243CE7" w:rsidR="004E7CAF">
        <w:rPr>
          <w:szCs w:val="26"/>
        </w:rPr>
        <w:t>NAESB</w:t>
      </w:r>
      <w:r w:rsidR="002A43B6">
        <w:rPr>
          <w:szCs w:val="26"/>
        </w:rPr>
        <w:t xml:space="preserve"> also</w:t>
      </w:r>
      <w:r w:rsidRPr="00243CE7" w:rsidR="004E7CAF">
        <w:rPr>
          <w:szCs w:val="26"/>
        </w:rPr>
        <w:t xml:space="preserve"> deleted all references to the S</w:t>
      </w:r>
      <w:r w:rsidR="00F70CA0">
        <w:rPr>
          <w:szCs w:val="26"/>
        </w:rPr>
        <w:t>ecure Sockets Layer</w:t>
      </w:r>
      <w:r w:rsidRPr="00243CE7" w:rsidR="004E7CAF">
        <w:rPr>
          <w:szCs w:val="26"/>
        </w:rPr>
        <w:t xml:space="preserve"> protocol in the standards.</w:t>
      </w:r>
    </w:p>
    <w:p w:rsidR="00CD4AE5" w:rsidP="00D15F60" w:rsidRDefault="00F443F6" w14:paraId="39E8400D" w14:textId="77777777">
      <w:pPr>
        <w:pStyle w:val="FERCparanumber"/>
        <w:rPr>
          <w:szCs w:val="26"/>
        </w:rPr>
      </w:pPr>
      <w:r>
        <w:rPr>
          <w:szCs w:val="26"/>
        </w:rPr>
        <w:t xml:space="preserve">Concerning </w:t>
      </w:r>
      <w:r w:rsidRPr="001E1911" w:rsidR="001E1911">
        <w:rPr>
          <w:szCs w:val="26"/>
        </w:rPr>
        <w:t xml:space="preserve">identification key lengths, the </w:t>
      </w:r>
      <w:r w:rsidRPr="00F443F6" w:rsidR="001E1911">
        <w:rPr>
          <w:szCs w:val="26"/>
        </w:rPr>
        <w:t xml:space="preserve">Sandia Surety Assessment recommended that </w:t>
      </w:r>
      <w:proofErr w:type="spellStart"/>
      <w:r w:rsidRPr="00F443F6" w:rsidR="001E1911">
        <w:rPr>
          <w:szCs w:val="26"/>
        </w:rPr>
        <w:t>Rivest</w:t>
      </w:r>
      <w:proofErr w:type="spellEnd"/>
      <w:r w:rsidRPr="00F443F6" w:rsidR="001E1911">
        <w:rPr>
          <w:szCs w:val="26"/>
        </w:rPr>
        <w:t>-Shamir-Adelman keys</w:t>
      </w:r>
      <w:r w:rsidR="001E1911">
        <w:rPr>
          <w:rStyle w:val="FootnoteReference"/>
          <w:szCs w:val="26"/>
        </w:rPr>
        <w:footnoteReference w:id="9"/>
      </w:r>
      <w:r w:rsidRPr="001E1911" w:rsidR="001E1911">
        <w:rPr>
          <w:szCs w:val="26"/>
        </w:rPr>
        <w:t xml:space="preserve"> must be no shorter than 2048 bits,</w:t>
      </w:r>
    </w:p>
    <w:p w:rsidR="00CD4AE5" w:rsidRDefault="00CD4AE5" w14:paraId="4D0668C8" w14:textId="77777777">
      <w:pPr>
        <w:widowControl/>
        <w:spacing w:after="160" w:line="259" w:lineRule="auto"/>
        <w:rPr>
          <w:szCs w:val="26"/>
        </w:rPr>
      </w:pPr>
      <w:r>
        <w:rPr>
          <w:szCs w:val="26"/>
        </w:rPr>
        <w:br w:type="page"/>
      </w:r>
    </w:p>
    <w:p w:rsidR="00D15F60" w:rsidP="00CD4AE5" w:rsidRDefault="001E1911" w14:paraId="44FBE314" w14:textId="6C3E1D8F">
      <w:pPr>
        <w:pStyle w:val="FERCparanumber"/>
        <w:numPr>
          <w:ilvl w:val="0"/>
          <w:numId w:val="0"/>
        </w:numPr>
        <w:rPr>
          <w:szCs w:val="26"/>
        </w:rPr>
      </w:pPr>
      <w:r w:rsidRPr="001E1911">
        <w:rPr>
          <w:szCs w:val="26"/>
        </w:rPr>
        <w:lastRenderedPageBreak/>
        <w:t>Elliptic Curve Digital Signature Algorithm keys</w:t>
      </w:r>
      <w:r>
        <w:rPr>
          <w:rStyle w:val="FootnoteReference"/>
          <w:szCs w:val="26"/>
        </w:rPr>
        <w:footnoteReference w:id="10"/>
      </w:r>
      <w:r w:rsidRPr="001E1911">
        <w:rPr>
          <w:szCs w:val="26"/>
        </w:rPr>
        <w:t xml:space="preserve"> must be no shorter than 224 bits, Hash</w:t>
      </w:r>
      <w:r w:rsidR="007F4499">
        <w:rPr>
          <w:rStyle w:val="FootnoteReference"/>
          <w:szCs w:val="26"/>
        </w:rPr>
        <w:footnoteReference w:id="11"/>
      </w:r>
      <w:r w:rsidRPr="001E1911">
        <w:rPr>
          <w:szCs w:val="26"/>
        </w:rPr>
        <w:t xml:space="preserve"> algorithms should be from the </w:t>
      </w:r>
      <w:r w:rsidR="00C20CA3">
        <w:rPr>
          <w:szCs w:val="26"/>
        </w:rPr>
        <w:t>Secure Hash Algorithm (</w:t>
      </w:r>
      <w:r w:rsidRPr="001E1911">
        <w:rPr>
          <w:szCs w:val="26"/>
        </w:rPr>
        <w:t>SHA</w:t>
      </w:r>
      <w:r w:rsidR="00C20CA3">
        <w:rPr>
          <w:szCs w:val="26"/>
        </w:rPr>
        <w:t>)</w:t>
      </w:r>
      <w:r w:rsidRPr="001E1911">
        <w:rPr>
          <w:szCs w:val="26"/>
        </w:rPr>
        <w:t>-2</w:t>
      </w:r>
      <w:r w:rsidR="00C20CA3">
        <w:rPr>
          <w:rStyle w:val="FootnoteReference"/>
          <w:szCs w:val="26"/>
        </w:rPr>
        <w:footnoteReference w:id="12"/>
      </w:r>
      <w:r w:rsidRPr="001E1911">
        <w:rPr>
          <w:szCs w:val="26"/>
        </w:rPr>
        <w:t xml:space="preserve"> or SHA-3 families, and acceptable Advanced Encryption Standard key lengths range from 128, to 192, to 256.  The </w:t>
      </w:r>
      <w:r w:rsidRPr="00F443F6">
        <w:rPr>
          <w:szCs w:val="26"/>
        </w:rPr>
        <w:t xml:space="preserve">Sandia Surety Assessment </w:t>
      </w:r>
      <w:r w:rsidR="00433AD7">
        <w:rPr>
          <w:szCs w:val="26"/>
        </w:rPr>
        <w:t xml:space="preserve">recommended </w:t>
      </w:r>
      <w:r w:rsidRPr="00F443F6">
        <w:rPr>
          <w:szCs w:val="26"/>
        </w:rPr>
        <w:t xml:space="preserve">that, in general, implementors use the largest feasible key length consistent with implementation of current business processes.  In response, NAESB deleted Standard 4.3.83 to </w:t>
      </w:r>
      <w:r w:rsidR="00F443F6">
        <w:rPr>
          <w:szCs w:val="26"/>
        </w:rPr>
        <w:t xml:space="preserve">remove legacy support references and </w:t>
      </w:r>
      <w:r>
        <w:rPr>
          <w:szCs w:val="26"/>
        </w:rPr>
        <w:t>maintain</w:t>
      </w:r>
      <w:r w:rsidRPr="001E1911">
        <w:rPr>
          <w:szCs w:val="26"/>
        </w:rPr>
        <w:t xml:space="preserve"> a</w:t>
      </w:r>
      <w:r>
        <w:rPr>
          <w:szCs w:val="26"/>
        </w:rPr>
        <w:t xml:space="preserve"> minimum encryption strength of</w:t>
      </w:r>
      <w:r w:rsidRPr="001E1911">
        <w:rPr>
          <w:szCs w:val="26"/>
        </w:rPr>
        <w:t xml:space="preserve"> 128</w:t>
      </w:r>
      <w:r>
        <w:rPr>
          <w:szCs w:val="26"/>
        </w:rPr>
        <w:t xml:space="preserve"> </w:t>
      </w:r>
      <w:r w:rsidRPr="001E1911">
        <w:rPr>
          <w:szCs w:val="26"/>
        </w:rPr>
        <w:t>bit</w:t>
      </w:r>
      <w:r>
        <w:rPr>
          <w:szCs w:val="26"/>
        </w:rPr>
        <w:t>s</w:t>
      </w:r>
      <w:r w:rsidR="00F443F6">
        <w:rPr>
          <w:szCs w:val="26"/>
        </w:rPr>
        <w:t xml:space="preserve">.  </w:t>
      </w:r>
      <w:r>
        <w:rPr>
          <w:szCs w:val="26"/>
        </w:rPr>
        <w:t xml:space="preserve">Further, </w:t>
      </w:r>
      <w:r w:rsidRPr="001E1911" w:rsidR="005B6D6B">
        <w:rPr>
          <w:szCs w:val="26"/>
        </w:rPr>
        <w:t xml:space="preserve">NAESB </w:t>
      </w:r>
      <w:r w:rsidRPr="001E1911" w:rsidR="00C876EA">
        <w:rPr>
          <w:szCs w:val="26"/>
        </w:rPr>
        <w:t xml:space="preserve">revised </w:t>
      </w:r>
      <w:r w:rsidRPr="001E1911" w:rsidR="00683FFB">
        <w:rPr>
          <w:szCs w:val="26"/>
        </w:rPr>
        <w:t xml:space="preserve">existing </w:t>
      </w:r>
      <w:r w:rsidRPr="001E1911" w:rsidR="004E7CAF">
        <w:rPr>
          <w:szCs w:val="26"/>
        </w:rPr>
        <w:t>Standard</w:t>
      </w:r>
      <w:r w:rsidRPr="001E1911" w:rsidR="00683FFB">
        <w:rPr>
          <w:szCs w:val="26"/>
        </w:rPr>
        <w:t>s</w:t>
      </w:r>
      <w:r w:rsidRPr="001E1911" w:rsidR="004E7CAF">
        <w:rPr>
          <w:szCs w:val="26"/>
        </w:rPr>
        <w:t xml:space="preserve"> 10.2.34 </w:t>
      </w:r>
      <w:r w:rsidRPr="001E1911" w:rsidR="00683FFB">
        <w:rPr>
          <w:szCs w:val="26"/>
        </w:rPr>
        <w:t xml:space="preserve">and 10.3.15 </w:t>
      </w:r>
      <w:r w:rsidRPr="001E1911" w:rsidR="004E7CAF">
        <w:rPr>
          <w:szCs w:val="26"/>
        </w:rPr>
        <w:t>to delete a</w:t>
      </w:r>
      <w:r w:rsidRPr="001E1911" w:rsidR="005B6D6B">
        <w:rPr>
          <w:szCs w:val="26"/>
        </w:rPr>
        <w:t xml:space="preserve"> </w:t>
      </w:r>
      <w:r w:rsidR="00710206">
        <w:rPr>
          <w:szCs w:val="26"/>
        </w:rPr>
        <w:t xml:space="preserve">proprietary </w:t>
      </w:r>
      <w:r w:rsidRPr="001E1911" w:rsidR="005B6D6B">
        <w:rPr>
          <w:szCs w:val="26"/>
        </w:rPr>
        <w:t>Pretty Good Privacy (</w:t>
      </w:r>
      <w:r w:rsidRPr="001E1911" w:rsidR="004E7CAF">
        <w:rPr>
          <w:szCs w:val="26"/>
        </w:rPr>
        <w:t>PGP</w:t>
      </w:r>
      <w:r w:rsidRPr="001E1911" w:rsidR="005B6D6B">
        <w:rPr>
          <w:szCs w:val="26"/>
        </w:rPr>
        <w:t>)</w:t>
      </w:r>
      <w:r w:rsidR="005B6D6B">
        <w:rPr>
          <w:rStyle w:val="FootnoteReference"/>
          <w:szCs w:val="26"/>
        </w:rPr>
        <w:footnoteReference w:id="13"/>
      </w:r>
      <w:r w:rsidR="001926C6">
        <w:rPr>
          <w:szCs w:val="26"/>
        </w:rPr>
        <w:noBreakHyphen/>
      </w:r>
      <w:r w:rsidRPr="001E1911" w:rsidR="004E7CAF">
        <w:rPr>
          <w:szCs w:val="26"/>
        </w:rPr>
        <w:t>related hyperlink</w:t>
      </w:r>
      <w:r w:rsidRPr="001E1911" w:rsidR="00683FFB">
        <w:rPr>
          <w:szCs w:val="26"/>
        </w:rPr>
        <w:t xml:space="preserve"> and to accommodate </w:t>
      </w:r>
      <w:r w:rsidR="00710206">
        <w:rPr>
          <w:szCs w:val="26"/>
        </w:rPr>
        <w:t xml:space="preserve">license-free </w:t>
      </w:r>
      <w:proofErr w:type="spellStart"/>
      <w:r w:rsidRPr="001E1911" w:rsidR="00683FFB">
        <w:rPr>
          <w:szCs w:val="26"/>
        </w:rPr>
        <w:t>OpenPGP</w:t>
      </w:r>
      <w:proofErr w:type="spellEnd"/>
      <w:r w:rsidRPr="001E1911" w:rsidR="00683FFB">
        <w:rPr>
          <w:szCs w:val="26"/>
        </w:rPr>
        <w:t>,</w:t>
      </w:r>
      <w:r w:rsidR="00C876EA">
        <w:rPr>
          <w:rStyle w:val="FootnoteReference"/>
          <w:szCs w:val="26"/>
        </w:rPr>
        <w:footnoteReference w:id="14"/>
      </w:r>
      <w:r w:rsidRPr="001E1911" w:rsidR="00683FFB">
        <w:rPr>
          <w:szCs w:val="26"/>
        </w:rPr>
        <w:t xml:space="preserve"> respectively.  </w:t>
      </w:r>
      <w:r w:rsidRPr="001E1911" w:rsidR="005B6D6B">
        <w:rPr>
          <w:szCs w:val="26"/>
        </w:rPr>
        <w:t xml:space="preserve">NAESB also adopted a </w:t>
      </w:r>
      <w:r w:rsidRPr="001E1911" w:rsidR="004E7CAF">
        <w:rPr>
          <w:szCs w:val="26"/>
        </w:rPr>
        <w:t xml:space="preserve">new </w:t>
      </w:r>
      <w:r w:rsidRPr="001E1911" w:rsidR="005B6D6B">
        <w:rPr>
          <w:szCs w:val="26"/>
        </w:rPr>
        <w:t>S</w:t>
      </w:r>
      <w:r w:rsidRPr="001E1911" w:rsidR="004E7CAF">
        <w:rPr>
          <w:szCs w:val="26"/>
        </w:rPr>
        <w:t xml:space="preserve">tandard </w:t>
      </w:r>
      <w:r w:rsidRPr="001E1911" w:rsidR="00683FFB">
        <w:rPr>
          <w:szCs w:val="26"/>
        </w:rPr>
        <w:t xml:space="preserve">10.2.39 </w:t>
      </w:r>
      <w:r w:rsidRPr="001E1911" w:rsidR="004E7CAF">
        <w:rPr>
          <w:szCs w:val="26"/>
        </w:rPr>
        <w:t xml:space="preserve">to specify that </w:t>
      </w:r>
      <w:proofErr w:type="spellStart"/>
      <w:r w:rsidRPr="001E1911" w:rsidR="004E7CAF">
        <w:rPr>
          <w:szCs w:val="26"/>
        </w:rPr>
        <w:t>OpenPGP</w:t>
      </w:r>
      <w:proofErr w:type="spellEnd"/>
      <w:r w:rsidRPr="001E1911" w:rsidR="004E7CAF">
        <w:rPr>
          <w:szCs w:val="26"/>
        </w:rPr>
        <w:t xml:space="preserve"> should be used to create public and private keys for privacy and digital signature applications.</w:t>
      </w:r>
    </w:p>
    <w:p w:rsidRPr="00D15F60" w:rsidR="00243CE7" w:rsidP="00D15F60" w:rsidRDefault="0058280F" w14:paraId="2AF9C3E3" w14:textId="5D439B76">
      <w:pPr>
        <w:pStyle w:val="FERCparanumber"/>
        <w:rPr>
          <w:szCs w:val="26"/>
        </w:rPr>
      </w:pPr>
      <w:r w:rsidRPr="00D15F60">
        <w:rPr>
          <w:szCs w:val="26"/>
        </w:rPr>
        <w:lastRenderedPageBreak/>
        <w:t>Further</w:t>
      </w:r>
      <w:r w:rsidRPr="00D15F60" w:rsidR="008844AF">
        <w:rPr>
          <w:szCs w:val="26"/>
        </w:rPr>
        <w:t xml:space="preserve">, </w:t>
      </w:r>
      <w:r w:rsidRPr="00D15F60" w:rsidR="004E7CAF">
        <w:rPr>
          <w:szCs w:val="26"/>
        </w:rPr>
        <w:t xml:space="preserve">NAESB </w:t>
      </w:r>
      <w:r w:rsidRPr="00D15F60" w:rsidR="000E0E4A">
        <w:rPr>
          <w:szCs w:val="26"/>
        </w:rPr>
        <w:t xml:space="preserve">revised </w:t>
      </w:r>
      <w:r w:rsidRPr="00D15F60" w:rsidR="008844AF">
        <w:rPr>
          <w:szCs w:val="26"/>
        </w:rPr>
        <w:t xml:space="preserve">existing </w:t>
      </w:r>
      <w:r w:rsidRPr="00D15F60" w:rsidR="004E7CAF">
        <w:rPr>
          <w:szCs w:val="26"/>
        </w:rPr>
        <w:t>Standard</w:t>
      </w:r>
      <w:r w:rsidRPr="00D15F60" w:rsidR="000E0E4A">
        <w:rPr>
          <w:szCs w:val="26"/>
        </w:rPr>
        <w:t>s</w:t>
      </w:r>
      <w:r w:rsidRPr="00D15F60" w:rsidR="008844AF">
        <w:rPr>
          <w:szCs w:val="26"/>
        </w:rPr>
        <w:t xml:space="preserve"> </w:t>
      </w:r>
      <w:r w:rsidRPr="00D15F60" w:rsidR="004E7CAF">
        <w:rPr>
          <w:szCs w:val="26"/>
        </w:rPr>
        <w:t>4.3.60, 4.3.84, 10.3.4, and 10.3.16</w:t>
      </w:r>
      <w:r w:rsidRPr="00D15F60" w:rsidR="000E0E4A">
        <w:rPr>
          <w:szCs w:val="26"/>
        </w:rPr>
        <w:t xml:space="preserve"> to specify Hyper-Text Transport Protocol Secure (HTTPS),</w:t>
      </w:r>
      <w:r w:rsidR="000E0E4A">
        <w:rPr>
          <w:rStyle w:val="FootnoteReference"/>
          <w:szCs w:val="26"/>
        </w:rPr>
        <w:footnoteReference w:id="15"/>
      </w:r>
      <w:r w:rsidRPr="00D15F60" w:rsidR="000E0E4A">
        <w:rPr>
          <w:szCs w:val="26"/>
        </w:rPr>
        <w:t xml:space="preserve"> </w:t>
      </w:r>
      <w:r w:rsidRPr="00D15F60" w:rsidR="007E2B80">
        <w:rPr>
          <w:szCs w:val="26"/>
        </w:rPr>
        <w:t xml:space="preserve">which is </w:t>
      </w:r>
      <w:r w:rsidRPr="00D15F60" w:rsidR="000E0E4A">
        <w:rPr>
          <w:szCs w:val="26"/>
        </w:rPr>
        <w:t>an encrypted version of Hyper-Text Transport Protocol (HTTP),</w:t>
      </w:r>
      <w:r w:rsidR="000E0E4A">
        <w:rPr>
          <w:rStyle w:val="FootnoteReference"/>
          <w:szCs w:val="26"/>
        </w:rPr>
        <w:footnoteReference w:id="16"/>
      </w:r>
      <w:r w:rsidRPr="00D15F60" w:rsidR="000E0E4A">
        <w:rPr>
          <w:szCs w:val="26"/>
        </w:rPr>
        <w:t xml:space="preserve"> whenever a secure communication is required to protect information in transit and support overall privacy needs.</w:t>
      </w:r>
      <w:r w:rsidRPr="00D15F60" w:rsidR="005D6D19">
        <w:rPr>
          <w:szCs w:val="26"/>
        </w:rPr>
        <w:t xml:space="preserve">  </w:t>
      </w:r>
      <w:r w:rsidRPr="00D15F60" w:rsidR="002C14E0">
        <w:rPr>
          <w:szCs w:val="26"/>
        </w:rPr>
        <w:t>Moreover, NAESB revised existing Standards 4.3.60 and 10.3.16 to require multi-factor (e.g.</w:t>
      </w:r>
      <w:r w:rsidRPr="00D15F60" w:rsidR="00A86F50">
        <w:rPr>
          <w:szCs w:val="26"/>
        </w:rPr>
        <w:t>,</w:t>
      </w:r>
      <w:r w:rsidRPr="00D15F60" w:rsidR="002C14E0">
        <w:rPr>
          <w:szCs w:val="26"/>
        </w:rPr>
        <w:t xml:space="preserve"> two-factor) authentication on an individual basis and state that secure web sites should employ individual user credentials.</w:t>
      </w:r>
    </w:p>
    <w:p w:rsidRPr="00F91CF6" w:rsidR="00F91CF6" w:rsidP="000603CD" w:rsidRDefault="00F91CF6" w14:paraId="4D04849A" w14:textId="1556E4BF">
      <w:pPr>
        <w:pStyle w:val="Heading3"/>
      </w:pPr>
      <w:bookmarkStart w:name="_bmk5" w:id="13"/>
      <w:bookmarkStart w:name="_Toc52890003" w:id="14"/>
      <w:r>
        <w:t>M</w:t>
      </w:r>
      <w:bookmarkEnd w:id="13"/>
      <w:r>
        <w:t>odifications in Response to Industry Request</w:t>
      </w:r>
      <w:bookmarkEnd w:id="14"/>
    </w:p>
    <w:p w:rsidR="00243CE7" w:rsidP="00243CE7" w:rsidRDefault="004E7CAF" w14:paraId="48D24E14" w14:textId="05AFEB0B">
      <w:pPr>
        <w:pStyle w:val="FERCparanumber"/>
        <w:rPr>
          <w:szCs w:val="26"/>
        </w:rPr>
      </w:pPr>
      <w:r w:rsidRPr="00243CE7">
        <w:rPr>
          <w:szCs w:val="26"/>
        </w:rPr>
        <w:t>The following section describes standards development efforts undertaken</w:t>
      </w:r>
      <w:r w:rsidR="000155A4">
        <w:rPr>
          <w:szCs w:val="26"/>
        </w:rPr>
        <w:t xml:space="preserve"> by </w:t>
      </w:r>
      <w:r w:rsidR="00B70979">
        <w:rPr>
          <w:szCs w:val="26"/>
        </w:rPr>
        <w:t>NAESB</w:t>
      </w:r>
      <w:r w:rsidRPr="00243CE7">
        <w:rPr>
          <w:szCs w:val="26"/>
        </w:rPr>
        <w:t xml:space="preserve"> in response to industry requests or through the normal course of WGQ activities that resulted in modifications to the Nomination Related Standards, QEDM Standards, and an effort that impacted multiple sets of standards.  </w:t>
      </w:r>
      <w:r w:rsidR="0043550A">
        <w:rPr>
          <w:szCs w:val="26"/>
        </w:rPr>
        <w:t>NAESB made c</w:t>
      </w:r>
      <w:r w:rsidRPr="00243CE7">
        <w:rPr>
          <w:szCs w:val="26"/>
        </w:rPr>
        <w:t>orresponding revisions, where appropriate, to the related data sets and technical implementation as part of the standards development effort.</w:t>
      </w:r>
    </w:p>
    <w:p w:rsidRPr="00243CE7" w:rsidR="00243CE7" w:rsidP="0079213E" w:rsidRDefault="00243CE7" w14:paraId="6E647D78" w14:textId="1746A4B6">
      <w:pPr>
        <w:pStyle w:val="Heading4"/>
      </w:pPr>
      <w:r w:rsidRPr="00243CE7">
        <w:lastRenderedPageBreak/>
        <w:t>Nomination Related Standards</w:t>
      </w:r>
    </w:p>
    <w:p w:rsidR="00243CE7" w:rsidP="00243CE7" w:rsidRDefault="004E7CAF" w14:paraId="2B69F992" w14:textId="5DB55FF2">
      <w:pPr>
        <w:pStyle w:val="FERCparanumber"/>
        <w:rPr>
          <w:szCs w:val="26"/>
        </w:rPr>
      </w:pPr>
      <w:r w:rsidRPr="00243CE7">
        <w:rPr>
          <w:szCs w:val="26"/>
        </w:rPr>
        <w:t>NAESB</w:t>
      </w:r>
      <w:r w:rsidR="008844AF">
        <w:rPr>
          <w:szCs w:val="26"/>
        </w:rPr>
        <w:t xml:space="preserve"> revised existing S</w:t>
      </w:r>
      <w:r w:rsidRPr="00243CE7">
        <w:rPr>
          <w:szCs w:val="26"/>
        </w:rPr>
        <w:t>tandard</w:t>
      </w:r>
      <w:r w:rsidR="00CB373E">
        <w:rPr>
          <w:szCs w:val="26"/>
        </w:rPr>
        <w:t>s</w:t>
      </w:r>
      <w:r w:rsidR="0095657E">
        <w:rPr>
          <w:szCs w:val="26"/>
        </w:rPr>
        <w:t xml:space="preserve"> </w:t>
      </w:r>
      <w:r w:rsidRPr="00243CE7">
        <w:rPr>
          <w:szCs w:val="26"/>
        </w:rPr>
        <w:t>1.3.27, 1.4.1, and 1.4</w:t>
      </w:r>
      <w:r w:rsidR="00CB373E">
        <w:rPr>
          <w:szCs w:val="26"/>
        </w:rPr>
        <w:t>.</w:t>
      </w:r>
      <w:r w:rsidRPr="00243CE7">
        <w:rPr>
          <w:szCs w:val="26"/>
        </w:rPr>
        <w:t xml:space="preserve">2 to </w:t>
      </w:r>
      <w:r w:rsidR="00CB373E">
        <w:rPr>
          <w:szCs w:val="26"/>
        </w:rPr>
        <w:t xml:space="preserve">add a new </w:t>
      </w:r>
      <w:r w:rsidRPr="00243CE7">
        <w:rPr>
          <w:szCs w:val="26"/>
        </w:rPr>
        <w:t>data element “Capacity Block ID”</w:t>
      </w:r>
      <w:r w:rsidR="00CB373E">
        <w:rPr>
          <w:szCs w:val="26"/>
        </w:rPr>
        <w:t xml:space="preserve"> to </w:t>
      </w:r>
      <w:r w:rsidRPr="00243CE7">
        <w:rPr>
          <w:szCs w:val="26"/>
        </w:rPr>
        <w:t xml:space="preserve">allow a Service Requester to determine which </w:t>
      </w:r>
      <w:r w:rsidR="000B3ABC">
        <w:rPr>
          <w:szCs w:val="26"/>
        </w:rPr>
        <w:t xml:space="preserve">primary point </w:t>
      </w:r>
      <w:r w:rsidRPr="00243CE7">
        <w:rPr>
          <w:szCs w:val="26"/>
        </w:rPr>
        <w:t>rights of the contract their segment</w:t>
      </w:r>
      <w:r w:rsidR="00CB373E">
        <w:rPr>
          <w:szCs w:val="26"/>
        </w:rPr>
        <w:t>ed</w:t>
      </w:r>
      <w:r w:rsidRPr="00243CE7">
        <w:rPr>
          <w:szCs w:val="26"/>
        </w:rPr>
        <w:t xml:space="preserve"> nomination</w:t>
      </w:r>
      <w:r w:rsidR="00A44CAF">
        <w:rPr>
          <w:rStyle w:val="FootnoteReference"/>
          <w:szCs w:val="26"/>
        </w:rPr>
        <w:footnoteReference w:id="17"/>
      </w:r>
      <w:r w:rsidRPr="00243CE7">
        <w:rPr>
          <w:szCs w:val="26"/>
        </w:rPr>
        <w:t xml:space="preserve"> is u</w:t>
      </w:r>
      <w:r w:rsidR="008027C5">
        <w:rPr>
          <w:szCs w:val="26"/>
        </w:rPr>
        <w:t>s</w:t>
      </w:r>
      <w:r w:rsidRPr="00243CE7">
        <w:rPr>
          <w:szCs w:val="26"/>
        </w:rPr>
        <w:t>ing</w:t>
      </w:r>
      <w:r w:rsidR="00A44CAF">
        <w:rPr>
          <w:szCs w:val="26"/>
        </w:rPr>
        <w:t xml:space="preserve"> and </w:t>
      </w:r>
      <w:r w:rsidR="00CB373E">
        <w:rPr>
          <w:szCs w:val="26"/>
        </w:rPr>
        <w:t xml:space="preserve">eliminate an existing manual business process from the </w:t>
      </w:r>
      <w:r w:rsidR="00A44CAF">
        <w:rPr>
          <w:szCs w:val="26"/>
        </w:rPr>
        <w:t>TSP to automate</w:t>
      </w:r>
      <w:r w:rsidR="000B3ABC">
        <w:rPr>
          <w:szCs w:val="26"/>
        </w:rPr>
        <w:t xml:space="preserve"> the business process</w:t>
      </w:r>
      <w:r w:rsidR="00A44CAF">
        <w:rPr>
          <w:szCs w:val="26"/>
        </w:rPr>
        <w:t>.</w:t>
      </w:r>
    </w:p>
    <w:p w:rsidRPr="00243CE7" w:rsidR="00243CE7" w:rsidP="0079213E" w:rsidRDefault="00243CE7" w14:paraId="338974ED" w14:textId="39460DA4">
      <w:pPr>
        <w:pStyle w:val="Heading4"/>
      </w:pPr>
      <w:r w:rsidRPr="00243CE7">
        <w:t>Quadrant Electronic Delivery Mechanisms Related Standards</w:t>
      </w:r>
    </w:p>
    <w:p w:rsidR="00243CE7" w:rsidP="00243CE7" w:rsidRDefault="004E7CAF" w14:paraId="58F44394" w14:textId="25EA6EF9">
      <w:pPr>
        <w:pStyle w:val="FERCparanumber"/>
        <w:rPr>
          <w:szCs w:val="26"/>
        </w:rPr>
      </w:pPr>
      <w:r w:rsidRPr="00243CE7">
        <w:rPr>
          <w:szCs w:val="26"/>
        </w:rPr>
        <w:t xml:space="preserve">NAESB developed two new standards, </w:t>
      </w:r>
      <w:r w:rsidR="00DF0597">
        <w:rPr>
          <w:szCs w:val="26"/>
        </w:rPr>
        <w:t>S</w:t>
      </w:r>
      <w:r w:rsidRPr="00243CE7">
        <w:rPr>
          <w:szCs w:val="26"/>
        </w:rPr>
        <w:t>tandard 4.3.107 to establish a standard data retention period for retrieval of Operationally Available data from the Informational Postings Web</w:t>
      </w:r>
      <w:r w:rsidR="00114A40">
        <w:rPr>
          <w:szCs w:val="26"/>
        </w:rPr>
        <w:t xml:space="preserve"> </w:t>
      </w:r>
      <w:r w:rsidRPr="00243CE7">
        <w:rPr>
          <w:szCs w:val="26"/>
        </w:rPr>
        <w:t xml:space="preserve">site, and </w:t>
      </w:r>
      <w:r w:rsidR="00DF0597">
        <w:rPr>
          <w:szCs w:val="26"/>
        </w:rPr>
        <w:t>S</w:t>
      </w:r>
      <w:r w:rsidRPr="00243CE7">
        <w:rPr>
          <w:szCs w:val="26"/>
        </w:rPr>
        <w:t>tandard 4.3.108, to establish a standard data retention period for retrieval of Notices for the subcategories of Critical, Non-Critical and Planned Service Outage from the Informational Postings Web</w:t>
      </w:r>
      <w:r w:rsidR="00114A40">
        <w:rPr>
          <w:szCs w:val="26"/>
        </w:rPr>
        <w:t xml:space="preserve"> </w:t>
      </w:r>
      <w:r w:rsidRPr="00243CE7">
        <w:rPr>
          <w:szCs w:val="26"/>
        </w:rPr>
        <w:t>site.</w:t>
      </w:r>
    </w:p>
    <w:p w:rsidRPr="00243CE7" w:rsidR="00243CE7" w:rsidP="0079213E" w:rsidRDefault="00260E66" w14:paraId="35C8E9F7" w14:textId="2DAFFDD5">
      <w:pPr>
        <w:pStyle w:val="Heading4"/>
      </w:pPr>
      <w:bookmarkStart w:name="_Toc52890004" w:id="15"/>
      <w:r>
        <w:t xml:space="preserve">Revisions </w:t>
      </w:r>
      <w:r w:rsidRPr="00243CE7" w:rsidR="00243CE7">
        <w:t>Impacting Multiple Standards</w:t>
      </w:r>
      <w:bookmarkEnd w:id="15"/>
    </w:p>
    <w:p w:rsidR="004E7CAF" w:rsidP="00243CE7" w:rsidRDefault="004E7CAF" w14:paraId="785BACD9" w14:textId="6AA5E757">
      <w:pPr>
        <w:pStyle w:val="FERCparanumber"/>
        <w:rPr>
          <w:szCs w:val="26"/>
        </w:rPr>
      </w:pPr>
      <w:r w:rsidRPr="00243CE7">
        <w:rPr>
          <w:szCs w:val="26"/>
        </w:rPr>
        <w:t xml:space="preserve">NAESB </w:t>
      </w:r>
      <w:r w:rsidR="00260E66">
        <w:rPr>
          <w:szCs w:val="26"/>
        </w:rPr>
        <w:t>revised multiple s</w:t>
      </w:r>
      <w:r w:rsidRPr="00243CE7">
        <w:rPr>
          <w:szCs w:val="26"/>
        </w:rPr>
        <w:t>tandards</w:t>
      </w:r>
      <w:r w:rsidR="00260E66">
        <w:rPr>
          <w:rStyle w:val="FootnoteReference"/>
          <w:szCs w:val="26"/>
        </w:rPr>
        <w:footnoteReference w:id="18"/>
      </w:r>
      <w:r w:rsidRPr="00243CE7">
        <w:rPr>
          <w:szCs w:val="26"/>
        </w:rPr>
        <w:t xml:space="preserve"> and data sets</w:t>
      </w:r>
      <w:r w:rsidR="00260E66">
        <w:rPr>
          <w:rStyle w:val="FootnoteReference"/>
          <w:szCs w:val="26"/>
        </w:rPr>
        <w:footnoteReference w:id="19"/>
      </w:r>
      <w:r w:rsidRPr="00243CE7">
        <w:rPr>
          <w:szCs w:val="26"/>
        </w:rPr>
        <w:t xml:space="preserve"> to remove references to</w:t>
      </w:r>
      <w:r w:rsidR="00260E66">
        <w:rPr>
          <w:szCs w:val="26"/>
        </w:rPr>
        <w:t xml:space="preserve"> the term</w:t>
      </w:r>
      <w:r w:rsidRPr="00243CE7">
        <w:rPr>
          <w:szCs w:val="26"/>
        </w:rPr>
        <w:t xml:space="preserve"> “</w:t>
      </w:r>
      <w:proofErr w:type="spellStart"/>
      <w:r w:rsidRPr="00243CE7">
        <w:rPr>
          <w:szCs w:val="26"/>
        </w:rPr>
        <w:t>gigacalories</w:t>
      </w:r>
      <w:proofErr w:type="spellEnd"/>
      <w:r w:rsidRPr="00243CE7">
        <w:rPr>
          <w:szCs w:val="26"/>
        </w:rPr>
        <w:t xml:space="preserve">” and add </w:t>
      </w:r>
      <w:r w:rsidR="00260E66">
        <w:rPr>
          <w:szCs w:val="26"/>
        </w:rPr>
        <w:t xml:space="preserve">the term </w:t>
      </w:r>
      <w:r w:rsidRPr="00243CE7">
        <w:rPr>
          <w:szCs w:val="26"/>
        </w:rPr>
        <w:t>“gigajoules</w:t>
      </w:r>
      <w:r w:rsidR="00260E66">
        <w:rPr>
          <w:szCs w:val="26"/>
        </w:rPr>
        <w:t>,</w:t>
      </w:r>
      <w:r w:rsidRPr="00243CE7">
        <w:rPr>
          <w:szCs w:val="26"/>
        </w:rPr>
        <w:t xml:space="preserve">” </w:t>
      </w:r>
      <w:r w:rsidR="00260E66">
        <w:rPr>
          <w:szCs w:val="26"/>
        </w:rPr>
        <w:t>consistent with t</w:t>
      </w:r>
      <w:r w:rsidRPr="00243CE7">
        <w:rPr>
          <w:szCs w:val="26"/>
        </w:rPr>
        <w:t>he standard quantity for nominations, confirmations, and scheduling in Mexico.</w:t>
      </w:r>
    </w:p>
    <w:p w:rsidRPr="00F91CF6" w:rsidR="00F91CF6" w:rsidP="0079213E" w:rsidRDefault="00F91CF6" w14:paraId="0B180B76" w14:textId="37DC1790">
      <w:pPr>
        <w:pStyle w:val="Heading4"/>
      </w:pPr>
      <w:bookmarkStart w:name="_Toc52890005" w:id="16"/>
      <w:r>
        <w:lastRenderedPageBreak/>
        <w:t>Other Material in NAESB’s Report</w:t>
      </w:r>
      <w:bookmarkEnd w:id="16"/>
    </w:p>
    <w:p w:rsidR="00243CE7" w:rsidP="00243CE7" w:rsidRDefault="00243CE7" w14:paraId="4D80EB98" w14:textId="4FAEAB0C">
      <w:pPr>
        <w:pStyle w:val="FERCparanumber"/>
      </w:pPr>
      <w:r>
        <w:t xml:space="preserve">NAESB </w:t>
      </w:r>
      <w:r w:rsidR="00C976A6">
        <w:t xml:space="preserve">revised </w:t>
      </w:r>
      <w:r>
        <w:t>multiple data sets</w:t>
      </w:r>
      <w:r w:rsidR="00C976A6">
        <w:t xml:space="preserve"> which </w:t>
      </w:r>
      <w:r>
        <w:t>impact</w:t>
      </w:r>
      <w:r w:rsidR="00C976A6">
        <w:t>ed</w:t>
      </w:r>
      <w:r>
        <w:t xml:space="preserve"> technical implementation documentation</w:t>
      </w:r>
      <w:r w:rsidR="00C976A6">
        <w:t xml:space="preserve"> only.</w:t>
      </w:r>
    </w:p>
    <w:p w:rsidR="00243CE7" w:rsidP="00243CE7" w:rsidRDefault="007F5C0F" w14:paraId="65DAF5CA" w14:textId="61A1DDDB">
      <w:pPr>
        <w:pStyle w:val="FERCparanumber"/>
      </w:pPr>
      <w:r>
        <w:t xml:space="preserve">Further, </w:t>
      </w:r>
      <w:r w:rsidR="00243CE7">
        <w:t>NAESB</w:t>
      </w:r>
      <w:r w:rsidR="00151B2E">
        <w:t xml:space="preserve"> revised </w:t>
      </w:r>
      <w:r w:rsidR="00243CE7">
        <w:t>its</w:t>
      </w:r>
      <w:r w:rsidR="00881E11">
        <w:t xml:space="preserve"> optional model contracts </w:t>
      </w:r>
      <w:r w:rsidR="00243CE7">
        <w:t xml:space="preserve">and </w:t>
      </w:r>
      <w:r w:rsidR="00151B2E">
        <w:t xml:space="preserve">corresponding </w:t>
      </w:r>
      <w:r w:rsidR="00243CE7">
        <w:t>Mexican and Canadian Addendums</w:t>
      </w:r>
      <w:r w:rsidR="00881E11">
        <w:t xml:space="preserve"> </w:t>
      </w:r>
      <w:r w:rsidR="00C976A6">
        <w:t xml:space="preserve">to </w:t>
      </w:r>
      <w:r w:rsidR="00151B2E">
        <w:t>reflect</w:t>
      </w:r>
      <w:r w:rsidR="00243CE7">
        <w:t xml:space="preserve"> a standard digital representation of natural gas trade events</w:t>
      </w:r>
      <w:r w:rsidR="00881E11">
        <w:t xml:space="preserve">.  NAESB states that these revisions are intended </w:t>
      </w:r>
      <w:r w:rsidR="00243CE7">
        <w:t>to capitalize on smart contracts and distributed ledger technologies.</w:t>
      </w:r>
    </w:p>
    <w:p w:rsidRPr="00151B2E" w:rsidR="00151B2E" w:rsidP="000603CD" w:rsidRDefault="00151B2E" w14:paraId="13DD9657" w14:textId="51605EC6">
      <w:pPr>
        <w:pStyle w:val="Heading2"/>
      </w:pPr>
      <w:bookmarkStart w:name="_bmk6" w:id="17"/>
      <w:bookmarkStart w:name="_Toc52890006" w:id="18"/>
      <w:r w:rsidRPr="00151B2E">
        <w:t>S</w:t>
      </w:r>
      <w:bookmarkEnd w:id="17"/>
      <w:r w:rsidRPr="00151B2E">
        <w:t>tandards Proposed Not to be Incorporated by Reference</w:t>
      </w:r>
      <w:bookmarkEnd w:id="18"/>
    </w:p>
    <w:p w:rsidRPr="00932257" w:rsidR="00151B2E" w:rsidP="00151B2E" w:rsidRDefault="00C976A6" w14:paraId="5E5184E8" w14:textId="27DA6157">
      <w:pPr>
        <w:pStyle w:val="FERCparanumber"/>
      </w:pPr>
      <w:r>
        <w:t xml:space="preserve">We </w:t>
      </w:r>
      <w:r w:rsidRPr="00932257" w:rsidR="00151B2E">
        <w:t xml:space="preserve">propose to continue </w:t>
      </w:r>
      <w:r>
        <w:t xml:space="preserve">our </w:t>
      </w:r>
      <w:r w:rsidRPr="00932257" w:rsidR="00151B2E">
        <w:t>past practice</w:t>
      </w:r>
      <w:r w:rsidRPr="00932257" w:rsidR="00151B2E">
        <w:rPr>
          <w:rStyle w:val="FootnoteReference"/>
        </w:rPr>
        <w:footnoteReference w:id="20"/>
      </w:r>
      <w:r w:rsidRPr="00932257" w:rsidR="00151B2E">
        <w:t xml:space="preserve"> of not incorporating by reference into </w:t>
      </w:r>
      <w:r w:rsidR="0039464E">
        <w:t xml:space="preserve">our </w:t>
      </w:r>
      <w:r w:rsidRPr="00932257" w:rsidR="00151B2E">
        <w:t xml:space="preserve">regulations any optional model contracts because </w:t>
      </w:r>
      <w:r w:rsidR="00881E11">
        <w:t xml:space="preserve">we </w:t>
      </w:r>
      <w:r w:rsidRPr="00932257" w:rsidR="00151B2E">
        <w:t>do not require the use of these contracts</w:t>
      </w:r>
      <w:r w:rsidR="00B42E1A">
        <w:t xml:space="preserve"> </w:t>
      </w:r>
      <w:r w:rsidRPr="003E4F40" w:rsidR="00B42E1A">
        <w:t>and therefore we do not need to include them in our regulations</w:t>
      </w:r>
      <w:r w:rsidRPr="00932257" w:rsidR="00151B2E">
        <w:t>.</w:t>
      </w:r>
      <w:r w:rsidRPr="00932257" w:rsidR="00151B2E">
        <w:rPr>
          <w:rStyle w:val="FootnoteReference"/>
        </w:rPr>
        <w:footnoteReference w:id="21"/>
      </w:r>
      <w:r w:rsidRPr="00932257" w:rsidR="00151B2E">
        <w:t xml:space="preserve">  In addition, consistent with our findings in past proceedings, </w:t>
      </w:r>
      <w:r w:rsidR="00786D48">
        <w:t xml:space="preserve">we are </w:t>
      </w:r>
      <w:r w:rsidRPr="00932257" w:rsidR="00151B2E">
        <w:t xml:space="preserve">not proposing to incorporate by reference the Wholesale Electric Quadrant/WGQ </w:t>
      </w:r>
      <w:proofErr w:type="spellStart"/>
      <w:r w:rsidRPr="00932257" w:rsidR="00151B2E">
        <w:t>eTariff</w:t>
      </w:r>
      <w:proofErr w:type="spellEnd"/>
      <w:r w:rsidRPr="00932257" w:rsidR="00151B2E">
        <w:t xml:space="preserve"> Related Standards because the Commission  adopted </w:t>
      </w:r>
      <w:r w:rsidR="001926C6">
        <w:t xml:space="preserve">and posted its </w:t>
      </w:r>
      <w:r w:rsidRPr="00932257" w:rsidR="00151B2E">
        <w:t>standards and protocols for electronic tariff filings</w:t>
      </w:r>
      <w:r w:rsidRPr="00932257" w:rsidR="00151B2E">
        <w:rPr>
          <w:rStyle w:val="FootnoteReference"/>
        </w:rPr>
        <w:footnoteReference w:id="22"/>
      </w:r>
    </w:p>
    <w:p w:rsidRPr="008127C6" w:rsidR="004E7CAF" w:rsidP="000603CD" w:rsidRDefault="008127C6" w14:paraId="350C4F2F" w14:textId="7AFD11C7">
      <w:pPr>
        <w:pStyle w:val="Heading2"/>
      </w:pPr>
      <w:bookmarkStart w:name="_bmk7" w:id="19"/>
      <w:bookmarkStart w:name="_Toc52890007" w:id="20"/>
      <w:r w:rsidRPr="008127C6">
        <w:lastRenderedPageBreak/>
        <w:t>P</w:t>
      </w:r>
      <w:bookmarkEnd w:id="19"/>
      <w:r w:rsidRPr="008127C6">
        <w:t>roposed Implementation Procedures</w:t>
      </w:r>
      <w:bookmarkEnd w:id="20"/>
    </w:p>
    <w:p w:rsidRPr="00932257" w:rsidR="008127C6" w:rsidP="00555FE6" w:rsidRDefault="003402BB" w14:paraId="581A0359" w14:textId="1DF25DEA">
      <w:pPr>
        <w:pStyle w:val="FERCparanumber"/>
      </w:pPr>
      <w:r>
        <w:t xml:space="preserve">We </w:t>
      </w:r>
      <w:r w:rsidRPr="00932257" w:rsidR="008127C6">
        <w:t>propos</w:t>
      </w:r>
      <w:r w:rsidR="00F22E17">
        <w:t>e</w:t>
      </w:r>
      <w:r w:rsidRPr="00932257" w:rsidR="008127C6">
        <w:t xml:space="preserve"> to continue the compliance filing requirements as revised in Order No. 587-V.</w:t>
      </w:r>
      <w:r w:rsidRPr="00932257" w:rsidR="008127C6">
        <w:rPr>
          <w:rStyle w:val="FootnoteReference"/>
        </w:rPr>
        <w:footnoteReference w:id="23"/>
      </w:r>
      <w:r w:rsidRPr="00932257" w:rsidR="008127C6">
        <w:t xml:space="preserve">  </w:t>
      </w:r>
      <w:r w:rsidRPr="00555FE6" w:rsidR="00555FE6">
        <w:rPr>
          <w:szCs w:val="26"/>
        </w:rPr>
        <w:t xml:space="preserve">We propose that compliance filings made in accordance with a final rule be made 120 days after issuance of a final rule in this proceeding or on the first business day thereafter if falling on a weekend or holiday, with an effective date 180 days from the date compliance filings are due in this proceeding or the first business day thereafter if falling on a weekend or holiday.  </w:t>
      </w:r>
      <w:r w:rsidRPr="00932257" w:rsidR="008127C6">
        <w:t xml:space="preserve">As the Commission found in Order No. 587-V, adoption of the revised compliance filing requirements increases the transparency of the </w:t>
      </w:r>
      <w:r>
        <w:t xml:space="preserve">interstate natural gas </w:t>
      </w:r>
      <w:r w:rsidRPr="00932257" w:rsidR="008127C6">
        <w:t>pipelines’ incorporation by reference of the NAESB WGQ Standards so that shippers and the Commission will know which tariff provision(s) implements each standard as well as the status of each standard.</w:t>
      </w:r>
      <w:r w:rsidRPr="00932257" w:rsidR="008127C6">
        <w:rPr>
          <w:rStyle w:val="FootnoteReference"/>
        </w:rPr>
        <w:footnoteReference w:id="24"/>
      </w:r>
    </w:p>
    <w:p w:rsidR="00074C81" w:rsidP="00074C81" w:rsidRDefault="00574CFE" w14:paraId="2146192D" w14:textId="2EE510C2">
      <w:pPr>
        <w:pStyle w:val="FERCparanumber"/>
      </w:pPr>
      <w:r w:rsidRPr="00932257">
        <w:t xml:space="preserve">Consistent with our practice </w:t>
      </w:r>
      <w:r w:rsidR="00930884">
        <w:t xml:space="preserve">since </w:t>
      </w:r>
      <w:r w:rsidRPr="00932257">
        <w:t xml:space="preserve">Order No. 587-V, each pipeline </w:t>
      </w:r>
      <w:r w:rsidR="00D3562D">
        <w:t xml:space="preserve">must </w:t>
      </w:r>
      <w:r w:rsidRPr="00932257">
        <w:t>designate a single tariff section under which every NAESB WGQ Standard incorporated by reference by the Commission is lis</w:t>
      </w:r>
      <w:r w:rsidR="00D3562D">
        <w:t>ted</w:t>
      </w:r>
      <w:r w:rsidRPr="00932257">
        <w:t>.</w:t>
      </w:r>
      <w:r w:rsidRPr="00932257">
        <w:rPr>
          <w:rStyle w:val="FootnoteReference"/>
        </w:rPr>
        <w:footnoteReference w:id="25"/>
      </w:r>
      <w:r w:rsidR="00D3562D">
        <w:t xml:space="preserve">  </w:t>
      </w:r>
      <w:r w:rsidR="00074C81">
        <w:t>For each standard, the pipeline must specify in the tariff section or tariff sheet(s) listing all the NAESB standards:</w:t>
      </w:r>
    </w:p>
    <w:p w:rsidR="00074C81" w:rsidP="003E4F40" w:rsidRDefault="00074C81" w14:paraId="1940A28D" w14:textId="1B4A4ACB">
      <w:pPr>
        <w:pStyle w:val="ListParagraph"/>
        <w:numPr>
          <w:ilvl w:val="0"/>
          <w:numId w:val="30"/>
        </w:numPr>
        <w:spacing w:line="480" w:lineRule="auto"/>
      </w:pPr>
      <w:r>
        <w:t>whether the standard is incorporated by reference;</w:t>
      </w:r>
    </w:p>
    <w:p w:rsidR="00074C81" w:rsidP="003E4F40" w:rsidRDefault="00074C81" w14:paraId="5FA8AE79" w14:textId="6ABE493D">
      <w:pPr>
        <w:pStyle w:val="ListParagraph"/>
        <w:numPr>
          <w:ilvl w:val="0"/>
          <w:numId w:val="30"/>
        </w:numPr>
        <w:spacing w:line="480" w:lineRule="auto"/>
      </w:pPr>
      <w:r>
        <w:t xml:space="preserve">for those standards not incorporated by reference, the tariff provision that complies </w:t>
      </w:r>
      <w:r>
        <w:lastRenderedPageBreak/>
        <w:t>with the standard; or</w:t>
      </w:r>
    </w:p>
    <w:p w:rsidR="00074C81" w:rsidP="003E4F40" w:rsidRDefault="00734C14" w14:paraId="653A3B16" w14:textId="177D4871">
      <w:pPr>
        <w:pStyle w:val="ListParagraph"/>
        <w:numPr>
          <w:ilvl w:val="0"/>
          <w:numId w:val="30"/>
        </w:numPr>
        <w:spacing w:line="480" w:lineRule="auto"/>
      </w:pPr>
      <w:r>
        <w:t>for those standards with which the pipeline does not comply</w:t>
      </w:r>
      <w:r w:rsidR="00B42E1A">
        <w:t>,</w:t>
      </w:r>
      <w:r>
        <w:t xml:space="preserve"> </w:t>
      </w:r>
      <w:r w:rsidR="00074C81">
        <w:t>a</w:t>
      </w:r>
      <w:r>
        <w:t xml:space="preserve">n explanatory statement, </w:t>
      </w:r>
      <w:proofErr w:type="gramStart"/>
      <w:r>
        <w:t xml:space="preserve">including </w:t>
      </w:r>
      <w:r w:rsidR="00F77444">
        <w:t xml:space="preserve"> </w:t>
      </w:r>
      <w:r w:rsidR="008F5F99">
        <w:t>an</w:t>
      </w:r>
      <w:proofErr w:type="gramEnd"/>
      <w:r w:rsidR="008F5F99">
        <w:t xml:space="preserve"> </w:t>
      </w:r>
      <w:r w:rsidR="00F77444">
        <w:t>indicat</w:t>
      </w:r>
      <w:r w:rsidR="008F5F99">
        <w:t>ion of</w:t>
      </w:r>
      <w:r w:rsidR="00F77444">
        <w:t xml:space="preserve"> </w:t>
      </w:r>
      <w:r>
        <w:t xml:space="preserve">whether </w:t>
      </w:r>
      <w:r w:rsidR="00074C81">
        <w:t>the pipeline has been granted a waiver, extension of time, or other variance with respect to compliance with the standard</w:t>
      </w:r>
      <w:r w:rsidR="00F34FE4">
        <w:t>.</w:t>
      </w:r>
      <w:r w:rsidR="00F34FE4">
        <w:rPr>
          <w:rStyle w:val="FootnoteReference"/>
        </w:rPr>
        <w:footnoteReference w:id="26"/>
      </w:r>
    </w:p>
    <w:p w:rsidRPr="00574CFE" w:rsidR="00574CFE" w:rsidP="003E4F40" w:rsidRDefault="00D3562D" w14:paraId="5507BCED" w14:textId="52B40B32">
      <w:pPr>
        <w:spacing w:line="480" w:lineRule="auto"/>
        <w:rPr>
          <w:szCs w:val="26"/>
        </w:rPr>
      </w:pPr>
      <w:r w:rsidRPr="00932257">
        <w:t xml:space="preserve">Likewise, consistent with past practice, </w:t>
      </w:r>
      <w:r>
        <w:t xml:space="preserve">we </w:t>
      </w:r>
      <w:r w:rsidRPr="00932257">
        <w:t xml:space="preserve">will post on </w:t>
      </w:r>
      <w:r>
        <w:t>our</w:t>
      </w:r>
      <w:r w:rsidRPr="00932257">
        <w:t xml:space="preserve"> eLibrary web</w:t>
      </w:r>
      <w:r>
        <w:t xml:space="preserve"> </w:t>
      </w:r>
      <w:r w:rsidRPr="00932257">
        <w:t>site (under Docket No. RM96-1-04</w:t>
      </w:r>
      <w:r>
        <w:t>2</w:t>
      </w:r>
      <w:r w:rsidRPr="00932257">
        <w:t>) a sample tariff format, to provide filers an illustrative example to aid them in preparing their compliance filings.</w:t>
      </w:r>
    </w:p>
    <w:p w:rsidRPr="00574CFE" w:rsidR="00574CFE" w:rsidRDefault="00574CFE" w14:paraId="69099770" w14:textId="136CFB4E">
      <w:pPr>
        <w:pStyle w:val="FERCparanumber"/>
        <w:rPr>
          <w:szCs w:val="26"/>
        </w:rPr>
      </w:pPr>
      <w:r w:rsidRPr="00932257">
        <w:t xml:space="preserve">Consistent with our </w:t>
      </w:r>
      <w:r w:rsidR="00930884">
        <w:t xml:space="preserve">policy since </w:t>
      </w:r>
      <w:r w:rsidRPr="00932257">
        <w:t>Order No. 587-V,</w:t>
      </w:r>
      <w:r w:rsidRPr="00932257">
        <w:rPr>
          <w:rStyle w:val="FootnoteReference"/>
        </w:rPr>
        <w:footnoteReference w:id="27"/>
      </w:r>
      <w:r w:rsidRPr="00932257">
        <w:t xml:space="preserve"> we propose that requests for waivers that do not meet the requirements set forth in Order No. 587-V will not be granted.  </w:t>
      </w:r>
      <w:proofErr w:type="gramStart"/>
      <w:r w:rsidRPr="00932257">
        <w:t>In particular, as</w:t>
      </w:r>
      <w:proofErr w:type="gramEnd"/>
      <w:r w:rsidRPr="00932257">
        <w:t xml:space="preserve"> we explained in Order No. 587-V, waivers are unnecessary and will not be granted when the standard applies only on condition the pipeline performs a business function and the pipeline currently does not perform that function.</w:t>
      </w:r>
      <w:r w:rsidRPr="00932257">
        <w:rPr>
          <w:rStyle w:val="FootnoteReference"/>
        </w:rPr>
        <w:footnoteReference w:id="28"/>
      </w:r>
    </w:p>
    <w:p w:rsidRPr="00C67DA5" w:rsidR="00C67DA5" w:rsidRDefault="00C67DA5" w14:paraId="292C2446" w14:textId="0CC61420">
      <w:pPr>
        <w:pStyle w:val="FERCparanumber"/>
        <w:rPr>
          <w:szCs w:val="26"/>
        </w:rPr>
      </w:pPr>
      <w:r w:rsidRPr="00932257">
        <w:t xml:space="preserve">If the pipeline is requesting a continuation of an existing waiver or extension of time, it must include a table in its transmittal letter that identifies the standard for which </w:t>
      </w:r>
      <w:r w:rsidR="004A6351">
        <w:t xml:space="preserve">the Commission granted </w:t>
      </w:r>
      <w:r w:rsidRPr="00932257">
        <w:t xml:space="preserve">a waiver or extension of time, and the docket number or order citation to the proceeding in which the </w:t>
      </w:r>
      <w:r w:rsidR="001C4D85">
        <w:t xml:space="preserve">Commission granted the </w:t>
      </w:r>
      <w:r w:rsidRPr="00932257">
        <w:t xml:space="preserve">waiver or extension of </w:t>
      </w:r>
      <w:r w:rsidRPr="00932257">
        <w:lastRenderedPageBreak/>
        <w:t xml:space="preserve">time.  The pipeline also </w:t>
      </w:r>
      <w:r w:rsidR="004A6351">
        <w:t xml:space="preserve">must </w:t>
      </w:r>
      <w:r w:rsidRPr="00932257">
        <w:t xml:space="preserve">present an explanation for why such waiver or extension </w:t>
      </w:r>
      <w:r w:rsidR="00CD4AE5">
        <w:br/>
      </w:r>
      <w:r w:rsidRPr="00932257">
        <w:t xml:space="preserve">of time should remain in force </w:t>
      </w:r>
      <w:proofErr w:type="gramStart"/>
      <w:r w:rsidRPr="00932257">
        <w:t>with regard to</w:t>
      </w:r>
      <w:proofErr w:type="gramEnd"/>
      <w:r w:rsidRPr="00932257">
        <w:t xml:space="preserve"> the WGQ Version 3.</w:t>
      </w:r>
      <w:r>
        <w:t>2</w:t>
      </w:r>
      <w:r w:rsidRPr="00932257">
        <w:t xml:space="preserve"> Standards.</w:t>
      </w:r>
    </w:p>
    <w:p w:rsidRPr="00C67DA5" w:rsidR="00C67DA5" w:rsidRDefault="00C67DA5" w14:paraId="55D591B6" w14:textId="541982B3">
      <w:pPr>
        <w:pStyle w:val="FERCparanumber"/>
        <w:rPr>
          <w:szCs w:val="26"/>
        </w:rPr>
      </w:pPr>
      <w:r w:rsidRPr="00932257">
        <w:t xml:space="preserve">This continues </w:t>
      </w:r>
      <w:r>
        <w:t xml:space="preserve">our </w:t>
      </w:r>
      <w:r w:rsidRPr="00932257">
        <w:t xml:space="preserve">practice of having pipelines include in their tariffs a common location that identifies the way </w:t>
      </w:r>
      <w:r w:rsidR="001C4D85">
        <w:t xml:space="preserve">in which </w:t>
      </w:r>
      <w:r w:rsidRPr="00932257">
        <w:t>the pipeline is incorporating all the NAESB WGQ Standards and the standards with which it is required to comply.</w:t>
      </w:r>
    </w:p>
    <w:p w:rsidR="000D6A7F" w:rsidP="00832085" w:rsidRDefault="000D6A7F" w14:paraId="273D90A6" w14:textId="42EE9BF3">
      <w:pPr>
        <w:pStyle w:val="Heading1"/>
      </w:pPr>
      <w:bookmarkStart w:name="_bmk8" w:id="21"/>
      <w:bookmarkStart w:name="_Toc52890008" w:id="22"/>
      <w:bookmarkStart w:name="_Hlk58313319" w:id="23"/>
      <w:r>
        <w:t>N</w:t>
      </w:r>
      <w:bookmarkEnd w:id="21"/>
      <w:r>
        <w:t>otice of Use of Voluntary Consensus Standards</w:t>
      </w:r>
      <w:bookmarkEnd w:id="22"/>
    </w:p>
    <w:p w:rsidR="000D3C1C" w:rsidP="000D3C1C" w:rsidRDefault="000D6A7F" w14:paraId="57413394" w14:textId="2A04F8C6">
      <w:pPr>
        <w:pStyle w:val="FERCparanumber"/>
      </w:pPr>
      <w:r>
        <w:t xml:space="preserve">Office of Management and Budget Circular A-119 (section 11) (February 10, 1998) provides that </w:t>
      </w:r>
      <w:r w:rsidR="000D3C1C">
        <w:t>F</w:t>
      </w:r>
      <w:r>
        <w:t xml:space="preserve">ederal </w:t>
      </w:r>
      <w:r w:rsidR="000D3C1C">
        <w:t>A</w:t>
      </w:r>
      <w:r>
        <w:t>gencies should publish a request for comment in a NOPR when the agency is seeking to issue or revise a regulation proposing to adopt a voluntary consensus standard or a government-unique standard.  In this NOPR</w:t>
      </w:r>
      <w:r w:rsidR="009A41A6">
        <w:t xml:space="preserve">, </w:t>
      </w:r>
      <w:r w:rsidR="000D3C1C">
        <w:t>we are</w:t>
      </w:r>
      <w:r w:rsidR="009A41A6">
        <w:t xml:space="preserve"> proposing </w:t>
      </w:r>
      <w:r w:rsidR="00CD4AE5">
        <w:br/>
      </w:r>
      <w:r w:rsidR="009A41A6">
        <w:t xml:space="preserve">to incorporate by reference </w:t>
      </w:r>
      <w:r w:rsidR="000D3C1C">
        <w:t xml:space="preserve">voluntary consensus </w:t>
      </w:r>
      <w:r w:rsidR="009A41A6">
        <w:t>standards developed by the WGQ.</w:t>
      </w:r>
    </w:p>
    <w:p w:rsidRPr="000603CD" w:rsidR="000D3C1C" w:rsidP="000603CD" w:rsidRDefault="000D3C1C" w14:paraId="17F0E3F5" w14:textId="35431AE0">
      <w:pPr>
        <w:pStyle w:val="Heading1"/>
        <w:rPr>
          <w:rFonts w:eastAsiaTheme="minorHAnsi"/>
          <w:szCs w:val="22"/>
        </w:rPr>
      </w:pPr>
      <w:bookmarkStart w:name="_bmk9" w:id="24"/>
      <w:bookmarkStart w:name="_Toc52890009" w:id="25"/>
      <w:r w:rsidRPr="000D3C1C">
        <w:t>I</w:t>
      </w:r>
      <w:bookmarkEnd w:id="24"/>
      <w:r w:rsidRPr="000D3C1C">
        <w:t>ncorporation by Reference</w:t>
      </w:r>
      <w:bookmarkEnd w:id="25"/>
    </w:p>
    <w:p w:rsidRPr="00932257" w:rsidR="000D3C1C" w:rsidRDefault="000D3C1C" w14:paraId="6C5B7FF8" w14:textId="7AE6AAF9">
      <w:pPr>
        <w:pStyle w:val="FERCparanumber"/>
      </w:pPr>
      <w:r w:rsidRPr="00932257">
        <w:t xml:space="preserve">The Office of the Federal Register requires agencies </w:t>
      </w:r>
      <w:r w:rsidR="001B16A5">
        <w:t xml:space="preserve">proposing to </w:t>
      </w:r>
      <w:r w:rsidRPr="00932257">
        <w:t>incorporat</w:t>
      </w:r>
      <w:r w:rsidR="001B16A5">
        <w:t>e</w:t>
      </w:r>
      <w:r w:rsidRPr="00932257">
        <w:t xml:space="preserve"> material by reference to</w:t>
      </w:r>
      <w:r w:rsidR="00AF0159">
        <w:t xml:space="preserve"> discuss the </w:t>
      </w:r>
      <w:r w:rsidRPr="00932257" w:rsidR="00AF0159">
        <w:t>ways that the materials it incorporates by reference are reasonably available to interested parties and how interested parties can obtain the materials</w:t>
      </w:r>
      <w:r w:rsidR="00AF0159">
        <w:t>.</w:t>
      </w:r>
      <w:r w:rsidRPr="00932257">
        <w:t xml:space="preserve"> </w:t>
      </w:r>
      <w:r w:rsidRPr="00932257">
        <w:rPr>
          <w:rStyle w:val="FootnoteReference"/>
        </w:rPr>
        <w:footnoteReference w:id="29"/>
      </w:r>
      <w:r w:rsidRPr="00932257">
        <w:t xml:space="preserve">  The regulations also require agencies to summarize, in the preamble of the final rule, the material </w:t>
      </w:r>
      <w:r w:rsidR="00383A1B">
        <w:t xml:space="preserve">that </w:t>
      </w:r>
      <w:r w:rsidRPr="00932257">
        <w:t xml:space="preserve">it incorporates by reference. </w:t>
      </w:r>
      <w:bookmarkEnd w:id="23"/>
      <w:r w:rsidRPr="00932257">
        <w:t xml:space="preserve"> The standards we are proposing to incorporate by reference consist of seven suites of NAESB WGQ Business Practice Standards that </w:t>
      </w:r>
      <w:r w:rsidR="00143235">
        <w:t>address</w:t>
      </w:r>
      <w:r w:rsidRPr="00932257">
        <w:t xml:space="preserve"> a variety of topics and are designed to streamline the transactional </w:t>
      </w:r>
      <w:r w:rsidRPr="00932257">
        <w:lastRenderedPageBreak/>
        <w:t xml:space="preserve">processes for the wholesale </w:t>
      </w:r>
      <w:r>
        <w:t xml:space="preserve">natural </w:t>
      </w:r>
      <w:r w:rsidRPr="00932257">
        <w:t xml:space="preserve">gas industry by promoting a more competitive and efficient market.  These include the:  WGQ Additional Business Practice Standards; WGQ Nominations Related Business Practice Standards; WGQ Flowing Gas Related Business Practice Standards; </w:t>
      </w:r>
      <w:r>
        <w:t xml:space="preserve">WGQ </w:t>
      </w:r>
      <w:r w:rsidRPr="00932257">
        <w:t xml:space="preserve">Invoicing Related Business Practice Standards; Quadrant Electronic Delivery Mechanism Related Business Practice Standards; Capacity Release Related Business Practice Standards; and Internet Electronic Transport Related Business Practice Standards.  </w:t>
      </w:r>
      <w:r w:rsidR="00383A1B">
        <w:t>We summarize these standards below</w:t>
      </w:r>
      <w:r w:rsidRPr="00932257">
        <w:t>.</w:t>
      </w:r>
    </w:p>
    <w:p w:rsidR="00B502F2" w:rsidP="00B502F2" w:rsidRDefault="00B502F2" w14:paraId="2BF03A77" w14:textId="1B16C9CE">
      <w:pPr>
        <w:pStyle w:val="FERCparanumber"/>
      </w:pPr>
      <w:r w:rsidRPr="00B502F2">
        <w:rPr>
          <w:b/>
        </w:rPr>
        <w:t>The WGQ Additional Business Practice Standards</w:t>
      </w:r>
      <w:r w:rsidRPr="00932257">
        <w:t xml:space="preserve"> </w:t>
      </w:r>
      <w:r w:rsidRPr="00B502F2">
        <w:t>address six areas:</w:t>
      </w:r>
      <w:r w:rsidRPr="00932257">
        <w:t xml:space="preserve"> Creditworthiness</w:t>
      </w:r>
      <w:r w:rsidR="00383A1B">
        <w:t>;</w:t>
      </w:r>
      <w:r w:rsidRPr="00932257" w:rsidR="00383A1B">
        <w:t xml:space="preserve"> </w:t>
      </w:r>
      <w:r w:rsidRPr="00932257">
        <w:t>Storage Information</w:t>
      </w:r>
      <w:r w:rsidR="00383A1B">
        <w:t>;</w:t>
      </w:r>
      <w:r w:rsidRPr="00932257" w:rsidR="00383A1B">
        <w:t xml:space="preserve"> </w:t>
      </w:r>
      <w:r w:rsidRPr="00932257">
        <w:t>Gas/Electric Operational Communications</w:t>
      </w:r>
      <w:r w:rsidR="00383A1B">
        <w:t>;</w:t>
      </w:r>
      <w:r w:rsidRPr="00932257" w:rsidR="00383A1B">
        <w:t xml:space="preserve"> </w:t>
      </w:r>
      <w:r w:rsidRPr="00932257">
        <w:t>Operational Capacity</w:t>
      </w:r>
      <w:r w:rsidR="00383A1B">
        <w:t>;</w:t>
      </w:r>
      <w:r w:rsidRPr="00932257" w:rsidR="00383A1B">
        <w:t xml:space="preserve"> </w:t>
      </w:r>
      <w:r w:rsidRPr="00932257">
        <w:t>Unsubscribed Capacity</w:t>
      </w:r>
      <w:r w:rsidR="00383A1B">
        <w:t>;</w:t>
      </w:r>
      <w:r w:rsidRPr="00932257" w:rsidR="00383A1B">
        <w:t xml:space="preserve"> </w:t>
      </w:r>
      <w:r w:rsidRPr="00932257">
        <w:t>and Location Data Download.</w:t>
      </w:r>
    </w:p>
    <w:p w:rsidRPr="00932257" w:rsidR="000F5AFA" w:rsidP="000603CD" w:rsidRDefault="000F5AFA" w14:paraId="46F2E34D" w14:textId="3EC8F4E9">
      <w:pPr>
        <w:pStyle w:val="FERCparanumber"/>
        <w:numPr>
          <w:ilvl w:val="0"/>
          <w:numId w:val="28"/>
        </w:numPr>
      </w:pPr>
      <w:r w:rsidRPr="00932257">
        <w:t xml:space="preserve">The Creditworthiness related standards describe requirements for the exchange </w:t>
      </w:r>
      <w:r w:rsidR="00CD4AE5">
        <w:br/>
      </w:r>
      <w:r w:rsidRPr="00932257">
        <w:t>of information, notification, and communication between parties during the creditworthiness evaluation process.</w:t>
      </w:r>
    </w:p>
    <w:p w:rsidRPr="00932257" w:rsidR="000F5AFA" w:rsidP="000603CD" w:rsidRDefault="000F5AFA" w14:paraId="6F06D14B" w14:textId="495103F5">
      <w:pPr>
        <w:pStyle w:val="FERCparanumber"/>
        <w:numPr>
          <w:ilvl w:val="0"/>
          <w:numId w:val="28"/>
        </w:numPr>
      </w:pPr>
      <w:r w:rsidRPr="00932257">
        <w:t xml:space="preserve">The Storage Information related standards define the information to be provided </w:t>
      </w:r>
      <w:r w:rsidR="00CD4AE5">
        <w:br/>
      </w:r>
      <w:r w:rsidRPr="00932257">
        <w:t>to natural gas service requesters related to storage activities and/or balances.</w:t>
      </w:r>
    </w:p>
    <w:p w:rsidRPr="00932257" w:rsidR="000F5AFA" w:rsidP="000603CD" w:rsidRDefault="000F5AFA" w14:paraId="73981FA8" w14:textId="47837007">
      <w:pPr>
        <w:pStyle w:val="FERCparanumber"/>
        <w:numPr>
          <w:ilvl w:val="0"/>
          <w:numId w:val="28"/>
        </w:numPr>
      </w:pPr>
      <w:r w:rsidRPr="00932257">
        <w:t>The Gas/Electric Operational Communications related standards define communication protocols intended to improve coordination between the gas and electric industries in daily operational communications between transportation service providers and gas-fired power plants.  The standards include requirements for communicating anticipated power generation fuel for the upcoming day as well as any operating problems that might hinder gas-fired power plants from receiving contractual gas quantities.</w:t>
      </w:r>
    </w:p>
    <w:p w:rsidRPr="00932257" w:rsidR="000F5AFA" w:rsidP="000603CD" w:rsidRDefault="000F5AFA" w14:paraId="2E036226" w14:textId="1E4D1DD8">
      <w:pPr>
        <w:pStyle w:val="FERCparanumber"/>
        <w:numPr>
          <w:ilvl w:val="0"/>
          <w:numId w:val="28"/>
        </w:numPr>
      </w:pPr>
      <w:r w:rsidRPr="00932257">
        <w:lastRenderedPageBreak/>
        <w:t>The Operational Capacity related standards define requirements of the transportation service provider related to the reporting and requesting of a transportation service provider’s operational capacity, total scheduled quantity, and operationally available capacity.</w:t>
      </w:r>
    </w:p>
    <w:p w:rsidRPr="00932257" w:rsidR="000F5AFA" w:rsidP="000603CD" w:rsidRDefault="000F5AFA" w14:paraId="52D917DB" w14:textId="74EB36DC">
      <w:pPr>
        <w:pStyle w:val="FERCparanumber"/>
        <w:numPr>
          <w:ilvl w:val="0"/>
          <w:numId w:val="28"/>
        </w:numPr>
      </w:pPr>
      <w:r w:rsidRPr="00932257">
        <w:t xml:space="preserve">The Unsubscribed Capacity related standards define requirements of the transportation service provider related to </w:t>
      </w:r>
      <w:r w:rsidR="00F47CCA">
        <w:t xml:space="preserve">the </w:t>
      </w:r>
      <w:r w:rsidRPr="00932257">
        <w:t xml:space="preserve">reporting and requesting </w:t>
      </w:r>
      <w:r w:rsidR="00F47CCA">
        <w:t xml:space="preserve">of </w:t>
      </w:r>
      <w:r w:rsidRPr="00932257">
        <w:t>a transportation service provider’s available unsubscribed capacity.</w:t>
      </w:r>
    </w:p>
    <w:p w:rsidRPr="00932257" w:rsidR="000F5AFA" w:rsidP="000603CD" w:rsidRDefault="000F5AFA" w14:paraId="0CDD2C4A" w14:textId="66375E07">
      <w:pPr>
        <w:pStyle w:val="FERCparanumber"/>
        <w:numPr>
          <w:ilvl w:val="0"/>
          <w:numId w:val="28"/>
        </w:numPr>
      </w:pPr>
      <w:r w:rsidRPr="00932257">
        <w:t>The Location Data Download related standards define requirements for the use of codes assigned by the transportation service provider for locations and common codes for parties communicating electronically.</w:t>
      </w:r>
    </w:p>
    <w:p w:rsidRPr="00932257" w:rsidR="006F1CB5" w:rsidP="006F1CB5" w:rsidRDefault="006F1CB5" w14:paraId="41D230A3" w14:textId="0CF6CD2E">
      <w:pPr>
        <w:pStyle w:val="FERCparanumber"/>
      </w:pPr>
      <w:r w:rsidRPr="006F1CB5">
        <w:rPr>
          <w:b/>
        </w:rPr>
        <w:t>The WGQ Nominations Related Business Practice Standards</w:t>
      </w:r>
      <w:r w:rsidRPr="00932257">
        <w:t xml:space="preserve"> define the process by which a natural gas service requester with a natural gas transportation contract nominates (or requests) service from a pipeline or a transportation service provider for the delivery of natural gas.</w:t>
      </w:r>
    </w:p>
    <w:p w:rsidRPr="00932257" w:rsidR="006F1CB5" w:rsidP="006F1CB5" w:rsidRDefault="006F1CB5" w14:paraId="2EF606E3" w14:textId="462C0DE9">
      <w:pPr>
        <w:pStyle w:val="FERCparanumber"/>
      </w:pPr>
      <w:r w:rsidRPr="00932257">
        <w:rPr>
          <w:b/>
        </w:rPr>
        <w:t>The WGQ Flowing Gas Related Business Practice Standards</w:t>
      </w:r>
      <w:r w:rsidRPr="00932257">
        <w:t xml:space="preserve"> define the business processes related to the communication of entitlement rights of flowing gas </w:t>
      </w:r>
      <w:r w:rsidR="00CD4AE5">
        <w:br/>
      </w:r>
      <w:r w:rsidRPr="00932257">
        <w:t>at a location, of the entitlement rights on a contractual basis, of the management of imbalances, and of the measurement and gas quality information of the actual flow of gas.</w:t>
      </w:r>
    </w:p>
    <w:p w:rsidRPr="00932257" w:rsidR="006F1CB5" w:rsidP="006F1CB5" w:rsidRDefault="006F1CB5" w14:paraId="4B001695" w14:textId="02331E4C">
      <w:pPr>
        <w:pStyle w:val="FERCparanumber"/>
      </w:pPr>
      <w:r w:rsidRPr="00932257">
        <w:rPr>
          <w:b/>
        </w:rPr>
        <w:t xml:space="preserve">The </w:t>
      </w:r>
      <w:r>
        <w:rPr>
          <w:b/>
        </w:rPr>
        <w:t xml:space="preserve">WGQ </w:t>
      </w:r>
      <w:r w:rsidRPr="00932257">
        <w:rPr>
          <w:b/>
        </w:rPr>
        <w:t xml:space="preserve">Invoicing Related Business Practice Standards </w:t>
      </w:r>
      <w:r w:rsidRPr="00932257">
        <w:t xml:space="preserve">define the process for the communication of charges for services rendered (Invoice), communication of </w:t>
      </w:r>
      <w:r w:rsidRPr="00932257">
        <w:lastRenderedPageBreak/>
        <w:t>details about funds rendered in payment for services rendered (Payment Remittance), and communication of the financial status of a customer’s account (Statement of Account).</w:t>
      </w:r>
    </w:p>
    <w:p w:rsidRPr="00932257" w:rsidR="006F1CB5" w:rsidP="006F1CB5" w:rsidRDefault="006F1CB5" w14:paraId="5FF8E15D" w14:textId="28BA2635">
      <w:pPr>
        <w:pStyle w:val="FERCparanumber"/>
      </w:pPr>
      <w:r w:rsidRPr="00932257">
        <w:rPr>
          <w:b/>
        </w:rPr>
        <w:t xml:space="preserve">The Quadrant Electronic Delivery Mechanism Related Business Practice Standards </w:t>
      </w:r>
      <w:r w:rsidRPr="00932257">
        <w:t>define the framework for the electronic dissemination and communication of information between parties in the North American wholesale gas marketplace for Electronic Data Interchange/EDM transfers, batch flat file/EDM transfers, informational postings web sites, E</w:t>
      </w:r>
      <w:r w:rsidR="002C6986">
        <w:t>lectronic Bulletin Boards</w:t>
      </w:r>
      <w:r w:rsidRPr="00932257">
        <w:t>/EDM</w:t>
      </w:r>
      <w:r w:rsidR="002C6986">
        <w:t>,</w:t>
      </w:r>
      <w:r w:rsidRPr="00932257">
        <w:t xml:space="preserve"> and interactive flat file/EDM.</w:t>
      </w:r>
    </w:p>
    <w:p w:rsidRPr="00932257" w:rsidR="009819BF" w:rsidP="009819BF" w:rsidRDefault="009819BF" w14:paraId="172D05A9" w14:textId="77777777">
      <w:pPr>
        <w:pStyle w:val="FERCparanumber"/>
      </w:pPr>
      <w:r w:rsidRPr="00932257">
        <w:rPr>
          <w:b/>
        </w:rPr>
        <w:t>The Capacity Release Related Business Practice Standards</w:t>
      </w:r>
      <w:r w:rsidRPr="00932257">
        <w:t xml:space="preserve"> define the business processes for communication of information related to the selling of all or any portion of a transmission service requester’s contract rights.</w:t>
      </w:r>
    </w:p>
    <w:p w:rsidRPr="00932257" w:rsidR="00234AD5" w:rsidP="00234AD5" w:rsidRDefault="00234AD5" w14:paraId="01D7A34A" w14:textId="77777777">
      <w:pPr>
        <w:pStyle w:val="FERCparanumber"/>
      </w:pPr>
      <w:r w:rsidRPr="00932257">
        <w:rPr>
          <w:b/>
        </w:rPr>
        <w:t>The Internet Electronic Transport Related Business Practice Standards</w:t>
      </w:r>
      <w:r w:rsidRPr="00932257">
        <w:t xml:space="preserve"> define the implementation of various technologies necessary to communicate transactions and other electronic data using standard protocols for electronic commerce over the internet between trading partners.</w:t>
      </w:r>
    </w:p>
    <w:p w:rsidRPr="00932257" w:rsidR="00CC1F31" w:rsidP="00B22BA1" w:rsidRDefault="00234AD5" w14:paraId="57F8C2D7" w14:textId="5448A76C">
      <w:pPr>
        <w:pStyle w:val="FERCparanumber"/>
      </w:pPr>
      <w:r w:rsidRPr="00932257">
        <w:t xml:space="preserve">Our regulations provide that copies of the standards incorporated by reference may be obtained from </w:t>
      </w:r>
      <w:r w:rsidR="00B22BA1">
        <w:t xml:space="preserve">NAESB at </w:t>
      </w:r>
      <w:hyperlink w:history="1" r:id="rId19">
        <w:r w:rsidRPr="004146E8" w:rsidR="00B22BA1">
          <w:rPr>
            <w:rStyle w:val="Hyperlink"/>
            <w:color w:val="auto"/>
            <w:u w:val="none"/>
          </w:rPr>
          <w:t>https://www.naesb.org//</w:t>
        </w:r>
      </w:hyperlink>
      <w:r w:rsidRPr="004146E8" w:rsidR="00B22BA1">
        <w:t xml:space="preserve"> </w:t>
      </w:r>
      <w:r w:rsidR="00B22BA1">
        <w:t>or (713) 356-0060.  C</w:t>
      </w:r>
      <w:r w:rsidRPr="00932257">
        <w:t xml:space="preserve">opies of the standards may be inspected at the Federal Energy Regulatory Commission, Public Reference </w:t>
      </w:r>
      <w:r>
        <w:t>Room</w:t>
      </w:r>
      <w:r w:rsidRPr="00932257">
        <w:t xml:space="preserve">, 888 First Street, NE, Washington, DC 20426, Phone:  (202) 502–8371, </w:t>
      </w:r>
      <w:hyperlink w:history="1" r:id="rId20">
        <w:r w:rsidRPr="004146E8" w:rsidR="00CC1F31">
          <w:rPr>
            <w:rStyle w:val="Hyperlink"/>
            <w:color w:val="auto"/>
            <w:u w:val="none"/>
          </w:rPr>
          <w:t>https://www.ferc.gov/</w:t>
        </w:r>
      </w:hyperlink>
      <w:r w:rsidRPr="004146E8">
        <w:t>.</w:t>
      </w:r>
      <w:r w:rsidRPr="004146E8" w:rsidR="00CC1F31">
        <w:t xml:space="preserve">  </w:t>
      </w:r>
      <w:r w:rsidR="00CC1F31">
        <w:t>However, at this time, the Commission has suspended access to the</w:t>
      </w:r>
      <w:r w:rsidRPr="00B61165" w:rsidR="00CC1F31">
        <w:t xml:space="preserve"> Commission's Public Reference Room</w:t>
      </w:r>
      <w:r w:rsidR="00CC1F31">
        <w:t xml:space="preserve"> due to the President’s March 13, 2020 proclamation declaring a National Emergency concerning the Novel Coronavirus Disease (COVID-19).</w:t>
      </w:r>
    </w:p>
    <w:p w:rsidRPr="00932257" w:rsidR="009839B2" w:rsidP="009839B2" w:rsidRDefault="009839B2" w14:paraId="0F9943C9" w14:textId="08571B34">
      <w:pPr>
        <w:pStyle w:val="FERCparanumber"/>
        <w:rPr>
          <w:b/>
        </w:rPr>
      </w:pPr>
      <w:r w:rsidRPr="00932257">
        <w:lastRenderedPageBreak/>
        <w:t xml:space="preserve">NAESB is a private consensus standards developer that develops voluntary wholesale and retail standards related to the energy industry.  The procedures used by NAESB make its standards reasonably available to those affected by Commission regulations, which generally is comprised of entities that have the means to acquire the information they need to effectively participate in Commission proceedings.  Participants can join NAESB, for an annual membership cost of </w:t>
      </w:r>
      <w:r w:rsidRPr="00475A90">
        <w:t>$</w:t>
      </w:r>
      <w:r w:rsidRPr="000603CD" w:rsidR="00475A90">
        <w:t>8</w:t>
      </w:r>
      <w:r w:rsidRPr="00475A90">
        <w:t>,000</w:t>
      </w:r>
      <w:r w:rsidRPr="00932257">
        <w:t xml:space="preserve">, which entitles them to full participation in NAESB and enables them to obtain these standards at no additional cost.  Non-members may obtain the Individual Standards Manual or Booklets for each of the seven Manuals by email </w:t>
      </w:r>
      <w:r w:rsidRPr="00475A90">
        <w:t>for $250 per manual, which</w:t>
      </w:r>
      <w:r w:rsidRPr="00932257">
        <w:t xml:space="preserve"> in the case of these standards would </w:t>
      </w:r>
      <w:r w:rsidRPr="00475A90">
        <w:t>total $1,750.</w:t>
      </w:r>
      <w:r w:rsidRPr="00932257">
        <w:t xml:space="preserve">  Non-members also may obtain </w:t>
      </w:r>
      <w:r w:rsidRPr="00475A90">
        <w:t>the complete set of Standards Manuals</w:t>
      </w:r>
      <w:r w:rsidRPr="00B456B4">
        <w:t>, Booklets, and Contracts on USB flash drive for $2,</w:t>
      </w:r>
      <w:r w:rsidRPr="00475A90">
        <w:t>000.</w:t>
      </w:r>
      <w:r w:rsidRPr="00932257">
        <w:t xml:space="preserve">  NAESB also provides a free electronic read-only version of the standards for a three-business day period or, in the case of a regulatory comment period, through the end of the comment period.  In addition, NAESB considers requests for waivers of the charges on a case-by-case basis depending on need.</w:t>
      </w:r>
    </w:p>
    <w:p w:rsidRPr="00B61165" w:rsidR="00832085" w:rsidP="00832085" w:rsidRDefault="00832085" w14:paraId="2B0D329A" w14:textId="6B0B3001">
      <w:pPr>
        <w:pStyle w:val="Heading1"/>
      </w:pPr>
      <w:bookmarkStart w:name="_bmk10" w:id="26"/>
      <w:bookmarkStart w:name="_Toc52890010" w:id="27"/>
      <w:r w:rsidRPr="00B61165">
        <w:t>I</w:t>
      </w:r>
      <w:bookmarkEnd w:id="26"/>
      <w:r w:rsidRPr="00B61165">
        <w:t>nformation Collection Statement</w:t>
      </w:r>
      <w:bookmarkEnd w:id="27"/>
    </w:p>
    <w:p w:rsidR="00C42B15" w:rsidP="00D55E2E" w:rsidRDefault="00D55E2E" w14:paraId="370F64DE" w14:textId="31D4835B">
      <w:pPr>
        <w:pStyle w:val="FERCparanumber"/>
      </w:pPr>
      <w:r w:rsidRPr="00932257">
        <w:t>The Office of Management and Budget (OMB) regulations require that OMB approve certain reporting, record keeping, and public disclosure requirements (information collection) imposed by an agency.</w:t>
      </w:r>
      <w:r w:rsidRPr="00932257">
        <w:rPr>
          <w:rStyle w:val="FootnoteReference"/>
        </w:rPr>
        <w:footnoteReference w:id="30"/>
      </w:r>
      <w:r>
        <w:t xml:space="preserve">  </w:t>
      </w:r>
      <w:r w:rsidRPr="00932257">
        <w:t xml:space="preserve">Therefore, </w:t>
      </w:r>
      <w:r>
        <w:t xml:space="preserve">we are </w:t>
      </w:r>
      <w:r w:rsidRPr="00932257">
        <w:t xml:space="preserve">submitting </w:t>
      </w:r>
      <w:r>
        <w:t>our</w:t>
      </w:r>
      <w:r w:rsidRPr="00932257">
        <w:t xml:space="preserve"> proposed information collection to OMB for review in accordance with </w:t>
      </w:r>
      <w:r w:rsidR="00620E3B">
        <w:t xml:space="preserve">section 3507(d) </w:t>
      </w:r>
      <w:r w:rsidR="00620E3B">
        <w:lastRenderedPageBreak/>
        <w:t xml:space="preserve">of the Paperwork Reduction Act of 1995.  </w:t>
      </w:r>
      <w:r w:rsidRPr="00932257" w:rsidR="00C42B15">
        <w:t xml:space="preserve">Upon approval of a collection of information, OMB will assign an OMB </w:t>
      </w:r>
      <w:r w:rsidR="00620E3B">
        <w:t xml:space="preserve">control number and </w:t>
      </w:r>
      <w:r w:rsidR="00C42B15">
        <w:t xml:space="preserve">an expiration date.  Respondents subject to the filing requirements of a rule will not be penalized for failing to respond to these collections of information </w:t>
      </w:r>
      <w:r w:rsidR="00620E3B">
        <w:t xml:space="preserve">unless the collection </w:t>
      </w:r>
      <w:r w:rsidR="00C42B15">
        <w:t xml:space="preserve">of information </w:t>
      </w:r>
      <w:r w:rsidR="00620E3B">
        <w:t>displays a valid OMB control number</w:t>
      </w:r>
      <w:r w:rsidR="00C42B15">
        <w:t>.</w:t>
      </w:r>
    </w:p>
    <w:p w:rsidR="00C42B15" w:rsidP="00C42B15" w:rsidRDefault="00100F92" w14:paraId="0674C023" w14:textId="305B07E2">
      <w:pPr>
        <w:pStyle w:val="FERCparanumber"/>
      </w:pPr>
      <w:r>
        <w:t xml:space="preserve">We </w:t>
      </w:r>
      <w:r w:rsidRPr="00932257" w:rsidR="00C42B15">
        <w:t xml:space="preserve">solicit comments on </w:t>
      </w:r>
      <w:r w:rsidR="00E94D56">
        <w:t>our</w:t>
      </w:r>
      <w:r w:rsidRPr="00932257" w:rsidR="00C42B15">
        <w:t xml:space="preserve"> need for this information, whether the information will have practical utility, the accuracy of the provided burden estimates, ways to enhance the quality, utility, and clarity of the information to be collected, and any suggested methods for minimizing respondents’ burden, including the use of automated information techniques.</w:t>
      </w:r>
    </w:p>
    <w:p w:rsidR="00E94D56" w:rsidP="00E94D56" w:rsidRDefault="00E94D56" w14:paraId="2F4A24AC" w14:textId="0C04F8B1">
      <w:pPr>
        <w:pStyle w:val="FERCparanumber"/>
      </w:pPr>
      <w:r w:rsidRPr="00932257">
        <w:rPr>
          <w:u w:val="single"/>
        </w:rPr>
        <w:t>Public Reporting Burden</w:t>
      </w:r>
      <w:r w:rsidRPr="00932257">
        <w:t>:  The Commission’s burden estimates for the proposals in this NOPR are for one-time implementation of the information collection requirements of this NOPR (including tariff filing, documentation of the process and procedures, and information technology work).</w:t>
      </w:r>
    </w:p>
    <w:p w:rsidR="00FF1CF8" w:rsidP="003F11BD" w:rsidRDefault="00E94D56" w14:paraId="146B79D1" w14:textId="3CACF508">
      <w:pPr>
        <w:pStyle w:val="FERCparanumber"/>
      </w:pPr>
      <w:r w:rsidRPr="00932257">
        <w:t>The collections of information related to this NOPR fall under FERC–545 (Gas Pipeline Rates: Rate Change (Non-Formal))</w:t>
      </w:r>
      <w:r w:rsidRPr="00932257">
        <w:rPr>
          <w:rStyle w:val="FootnoteReference"/>
        </w:rPr>
        <w:footnoteReference w:id="31"/>
      </w:r>
      <w:r w:rsidRPr="00932257">
        <w:t xml:space="preserve"> and FERC–549C (Standards for Business Practices of Interstate Natural Gas Pipelines).</w:t>
      </w:r>
      <w:r w:rsidRPr="00932257">
        <w:rPr>
          <w:rStyle w:val="FootnoteReference"/>
        </w:rPr>
        <w:footnoteReference w:id="32"/>
      </w:r>
      <w:r w:rsidRPr="00932257">
        <w:t xml:space="preserve">  The following estimates of reporting burden are related only to this NOPR and anticipate the costs to pipelines for compliance </w:t>
      </w:r>
      <w:r w:rsidRPr="00932257">
        <w:lastRenderedPageBreak/>
        <w:t xml:space="preserve">with </w:t>
      </w:r>
      <w:r>
        <w:t xml:space="preserve">our </w:t>
      </w:r>
      <w:r w:rsidRPr="00932257">
        <w:t>proposals in this NOPR.  The burden estimates are primarily related to implementing these standards and regulations and will not result in ongoing costs.</w:t>
      </w:r>
    </w:p>
    <w:tbl>
      <w:tblPr>
        <w:tblW w:w="5591" w:type="pct"/>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24"/>
        <w:gridCol w:w="1407"/>
        <w:gridCol w:w="1495"/>
        <w:gridCol w:w="1499"/>
        <w:gridCol w:w="1227"/>
        <w:gridCol w:w="1928"/>
        <w:gridCol w:w="1675"/>
      </w:tblGrid>
      <w:tr w:rsidRPr="00932257" w:rsidR="000B21C6" w:rsidTr="003E4F40" w14:paraId="630D0D42" w14:textId="77777777">
        <w:trPr>
          <w:cantSplit/>
          <w:trHeight w:val="188"/>
          <w:tblHeader/>
        </w:trPr>
        <w:tc>
          <w:tcPr>
            <w:tcW w:w="5000" w:type="pct"/>
            <w:gridSpan w:val="7"/>
            <w:tcBorders>
              <w:bottom w:val="single" w:color="auto" w:sz="4" w:space="0"/>
            </w:tcBorders>
            <w:shd w:val="clear" w:color="auto" w:fill="D9D9D9"/>
          </w:tcPr>
          <w:p w:rsidRPr="00932257" w:rsidR="000B21C6" w:rsidP="003E4F40" w:rsidRDefault="000B21C6" w14:paraId="3999F9B3" w14:textId="1746446B">
            <w:pPr>
              <w:keepNext/>
              <w:jc w:val="center"/>
              <w:rPr>
                <w:b/>
                <w:szCs w:val="20"/>
              </w:rPr>
            </w:pPr>
            <w:r w:rsidRPr="00932257">
              <w:rPr>
                <w:b/>
                <w:szCs w:val="20"/>
              </w:rPr>
              <w:t>RM96-1-04</w:t>
            </w:r>
            <w:r>
              <w:rPr>
                <w:b/>
                <w:szCs w:val="20"/>
              </w:rPr>
              <w:t>2</w:t>
            </w:r>
            <w:r w:rsidRPr="00932257">
              <w:rPr>
                <w:b/>
                <w:szCs w:val="20"/>
              </w:rPr>
              <w:t xml:space="preserve"> NOPR (Standards for Business Practices of Interstate Natural Gas Pipelines)</w:t>
            </w:r>
          </w:p>
        </w:tc>
      </w:tr>
      <w:tr w:rsidRPr="00932257" w:rsidR="000B21C6" w:rsidTr="003E4F40" w14:paraId="4ABBB9B3" w14:textId="77777777">
        <w:trPr>
          <w:cantSplit/>
          <w:tblHeader/>
        </w:trPr>
        <w:tc>
          <w:tcPr>
            <w:tcW w:w="585" w:type="pct"/>
            <w:shd w:val="clear" w:color="auto" w:fill="D9D9D9"/>
          </w:tcPr>
          <w:p w:rsidRPr="00932257" w:rsidR="000B21C6" w:rsidP="00260E66" w:rsidRDefault="000B21C6" w14:paraId="06C296E4" w14:textId="77777777">
            <w:pPr>
              <w:jc w:val="center"/>
              <w:rPr>
                <w:rFonts w:eastAsia="Calibri"/>
                <w:b/>
                <w:szCs w:val="20"/>
              </w:rPr>
            </w:pPr>
          </w:p>
        </w:tc>
        <w:tc>
          <w:tcPr>
            <w:tcW w:w="673" w:type="pct"/>
            <w:shd w:val="clear" w:color="auto" w:fill="D9D9D9"/>
            <w:vAlign w:val="bottom"/>
          </w:tcPr>
          <w:p w:rsidRPr="00932257" w:rsidR="000B21C6" w:rsidP="00260E66" w:rsidRDefault="000B21C6" w14:paraId="72234A3E" w14:textId="77777777">
            <w:pPr>
              <w:jc w:val="center"/>
              <w:rPr>
                <w:rFonts w:eastAsia="Calibri"/>
                <w:b/>
                <w:szCs w:val="20"/>
              </w:rPr>
            </w:pPr>
            <w:r w:rsidRPr="00932257">
              <w:rPr>
                <w:rFonts w:eastAsia="Calibri"/>
                <w:b/>
                <w:szCs w:val="20"/>
              </w:rPr>
              <w:t>Number of Respondents</w:t>
            </w:r>
            <w:r w:rsidRPr="00932257">
              <w:rPr>
                <w:rStyle w:val="FootnoteReference"/>
              </w:rPr>
              <w:footnoteReference w:id="33"/>
            </w:r>
          </w:p>
          <w:p w:rsidRPr="00932257" w:rsidR="000B21C6" w:rsidP="00260E66" w:rsidRDefault="000B21C6" w14:paraId="4EE42D2D" w14:textId="77777777">
            <w:pPr>
              <w:jc w:val="center"/>
              <w:rPr>
                <w:rFonts w:eastAsia="Calibri"/>
                <w:b/>
                <w:szCs w:val="20"/>
              </w:rPr>
            </w:pPr>
            <w:r w:rsidRPr="00932257">
              <w:rPr>
                <w:rFonts w:eastAsia="Calibri"/>
                <w:b/>
                <w:szCs w:val="20"/>
              </w:rPr>
              <w:t>(1)</w:t>
            </w:r>
          </w:p>
        </w:tc>
        <w:tc>
          <w:tcPr>
            <w:tcW w:w="715" w:type="pct"/>
            <w:shd w:val="clear" w:color="auto" w:fill="D9D9D9"/>
            <w:vAlign w:val="bottom"/>
          </w:tcPr>
          <w:p w:rsidRPr="00932257" w:rsidR="000B21C6" w:rsidP="00260E66" w:rsidRDefault="000B21C6" w14:paraId="22A5EC8B" w14:textId="77777777">
            <w:pPr>
              <w:jc w:val="center"/>
              <w:rPr>
                <w:rFonts w:eastAsia="Calibri"/>
                <w:b/>
                <w:szCs w:val="20"/>
              </w:rPr>
            </w:pPr>
            <w:r w:rsidRPr="00932257">
              <w:rPr>
                <w:rFonts w:eastAsia="Calibri"/>
                <w:b/>
                <w:szCs w:val="20"/>
              </w:rPr>
              <w:t>Annual Number of Responses per Respondent</w:t>
            </w:r>
          </w:p>
          <w:p w:rsidRPr="00932257" w:rsidR="000B21C6" w:rsidP="00260E66" w:rsidRDefault="000B21C6" w14:paraId="52705820" w14:textId="77777777">
            <w:pPr>
              <w:jc w:val="center"/>
              <w:rPr>
                <w:rFonts w:eastAsia="Calibri"/>
                <w:b/>
                <w:szCs w:val="20"/>
              </w:rPr>
            </w:pPr>
            <w:r w:rsidRPr="00932257">
              <w:rPr>
                <w:rFonts w:eastAsia="Calibri"/>
                <w:b/>
                <w:szCs w:val="20"/>
              </w:rPr>
              <w:t>(2)</w:t>
            </w:r>
          </w:p>
        </w:tc>
        <w:tc>
          <w:tcPr>
            <w:tcW w:w="717" w:type="pct"/>
            <w:shd w:val="clear" w:color="auto" w:fill="D9D9D9"/>
            <w:vAlign w:val="bottom"/>
          </w:tcPr>
          <w:p w:rsidRPr="00932257" w:rsidR="000B21C6" w:rsidP="00260E66" w:rsidRDefault="000B21C6" w14:paraId="3AF1B657" w14:textId="77777777">
            <w:pPr>
              <w:jc w:val="center"/>
              <w:rPr>
                <w:rFonts w:eastAsia="Calibri"/>
                <w:b/>
                <w:szCs w:val="20"/>
              </w:rPr>
            </w:pPr>
            <w:r w:rsidRPr="00932257">
              <w:rPr>
                <w:rFonts w:eastAsia="Calibri"/>
                <w:b/>
                <w:szCs w:val="20"/>
              </w:rPr>
              <w:t>Total Number of Responses (</w:t>
            </w:r>
            <w:proofErr w:type="gramStart"/>
            <w:r w:rsidRPr="00932257">
              <w:rPr>
                <w:rFonts w:eastAsia="Calibri"/>
                <w:b/>
                <w:szCs w:val="20"/>
              </w:rPr>
              <w:t>1)*</w:t>
            </w:r>
            <w:proofErr w:type="gramEnd"/>
            <w:r w:rsidRPr="00932257">
              <w:rPr>
                <w:rFonts w:eastAsia="Calibri"/>
                <w:b/>
                <w:szCs w:val="20"/>
              </w:rPr>
              <w:t>(2)=</w:t>
            </w:r>
          </w:p>
          <w:p w:rsidRPr="00932257" w:rsidR="000B21C6" w:rsidP="00260E66" w:rsidRDefault="000B21C6" w14:paraId="65ED04F7" w14:textId="77777777">
            <w:pPr>
              <w:jc w:val="center"/>
              <w:rPr>
                <w:rFonts w:eastAsia="Calibri"/>
                <w:b/>
                <w:szCs w:val="20"/>
              </w:rPr>
            </w:pPr>
            <w:r w:rsidRPr="00932257">
              <w:rPr>
                <w:rFonts w:eastAsia="Calibri"/>
                <w:b/>
                <w:szCs w:val="20"/>
              </w:rPr>
              <w:t>(3)</w:t>
            </w:r>
          </w:p>
        </w:tc>
        <w:tc>
          <w:tcPr>
            <w:tcW w:w="587" w:type="pct"/>
            <w:shd w:val="clear" w:color="auto" w:fill="D9D9D9"/>
            <w:vAlign w:val="bottom"/>
          </w:tcPr>
          <w:p w:rsidRPr="00932257" w:rsidR="000B21C6" w:rsidP="00260E66" w:rsidRDefault="000B21C6" w14:paraId="50E45E02" w14:textId="77777777">
            <w:pPr>
              <w:jc w:val="center"/>
              <w:rPr>
                <w:rFonts w:eastAsia="Calibri"/>
                <w:b/>
                <w:szCs w:val="20"/>
              </w:rPr>
            </w:pPr>
            <w:r w:rsidRPr="00932257">
              <w:rPr>
                <w:rFonts w:eastAsia="Calibri"/>
                <w:b/>
                <w:szCs w:val="20"/>
              </w:rPr>
              <w:t>Average Burden Hr. Per Response</w:t>
            </w:r>
          </w:p>
          <w:p w:rsidRPr="00932257" w:rsidR="000B21C6" w:rsidP="00260E66" w:rsidRDefault="000B21C6" w14:paraId="63F74A3E" w14:textId="77777777">
            <w:pPr>
              <w:jc w:val="center"/>
              <w:rPr>
                <w:rFonts w:eastAsia="Calibri"/>
                <w:b/>
                <w:szCs w:val="20"/>
              </w:rPr>
            </w:pPr>
            <w:r w:rsidRPr="00932257">
              <w:rPr>
                <w:rFonts w:eastAsia="Calibri"/>
                <w:b/>
                <w:szCs w:val="20"/>
              </w:rPr>
              <w:t>(4)</w:t>
            </w:r>
          </w:p>
        </w:tc>
        <w:tc>
          <w:tcPr>
            <w:tcW w:w="922" w:type="pct"/>
            <w:shd w:val="clear" w:color="auto" w:fill="D9D9D9"/>
            <w:vAlign w:val="bottom"/>
          </w:tcPr>
          <w:p w:rsidRPr="00932257" w:rsidR="000B21C6" w:rsidP="00260E66" w:rsidRDefault="000B21C6" w14:paraId="20E80C5C" w14:textId="77777777">
            <w:pPr>
              <w:jc w:val="center"/>
              <w:rPr>
                <w:rFonts w:eastAsia="Calibri"/>
                <w:b/>
                <w:szCs w:val="20"/>
              </w:rPr>
            </w:pPr>
            <w:r w:rsidRPr="00932257">
              <w:rPr>
                <w:rFonts w:eastAsia="Calibri"/>
                <w:b/>
                <w:szCs w:val="20"/>
              </w:rPr>
              <w:t>Total Annual Burden Hours &amp; Total Annual Cost</w:t>
            </w:r>
            <w:r w:rsidRPr="00932257">
              <w:rPr>
                <w:rStyle w:val="FootnoteReference"/>
              </w:rPr>
              <w:footnoteReference w:id="34"/>
            </w:r>
          </w:p>
          <w:p w:rsidRPr="00932257" w:rsidR="000B21C6" w:rsidP="00260E66" w:rsidRDefault="000B21C6" w14:paraId="012EE51D" w14:textId="77777777">
            <w:pPr>
              <w:jc w:val="center"/>
              <w:rPr>
                <w:rFonts w:eastAsia="Calibri"/>
                <w:b/>
                <w:szCs w:val="20"/>
              </w:rPr>
            </w:pPr>
            <w:r w:rsidRPr="00932257">
              <w:rPr>
                <w:rFonts w:eastAsia="Calibri"/>
                <w:b/>
                <w:szCs w:val="20"/>
              </w:rPr>
              <w:t>(</w:t>
            </w:r>
            <w:proofErr w:type="gramStart"/>
            <w:r w:rsidRPr="00932257">
              <w:rPr>
                <w:rFonts w:eastAsia="Calibri"/>
                <w:b/>
                <w:szCs w:val="20"/>
              </w:rPr>
              <w:t>3)*</w:t>
            </w:r>
            <w:proofErr w:type="gramEnd"/>
            <w:r w:rsidRPr="00932257">
              <w:rPr>
                <w:rFonts w:eastAsia="Calibri"/>
                <w:b/>
                <w:szCs w:val="20"/>
              </w:rPr>
              <w:t>(4)=(5)</w:t>
            </w:r>
          </w:p>
        </w:tc>
        <w:tc>
          <w:tcPr>
            <w:tcW w:w="801" w:type="pct"/>
            <w:shd w:val="clear" w:color="auto" w:fill="D9D9D9"/>
            <w:vAlign w:val="bottom"/>
          </w:tcPr>
          <w:p w:rsidRPr="00932257" w:rsidR="000B21C6" w:rsidP="00260E66" w:rsidRDefault="000B21C6" w14:paraId="7F184C25" w14:textId="77777777">
            <w:pPr>
              <w:jc w:val="center"/>
              <w:rPr>
                <w:rFonts w:eastAsia="Calibri"/>
                <w:b/>
                <w:szCs w:val="20"/>
              </w:rPr>
            </w:pPr>
            <w:r w:rsidRPr="00932257">
              <w:rPr>
                <w:rFonts w:eastAsia="Calibri"/>
                <w:b/>
                <w:szCs w:val="20"/>
              </w:rPr>
              <w:t xml:space="preserve">Annual Costs Per Respondent </w:t>
            </w:r>
          </w:p>
          <w:p w:rsidRPr="00932257" w:rsidR="000B21C6" w:rsidP="00260E66" w:rsidRDefault="000B21C6" w14:paraId="622E13A3" w14:textId="77777777">
            <w:pPr>
              <w:jc w:val="center"/>
              <w:rPr>
                <w:rFonts w:eastAsia="Calibri"/>
                <w:b/>
                <w:szCs w:val="20"/>
              </w:rPr>
            </w:pPr>
            <w:r w:rsidRPr="00932257">
              <w:rPr>
                <w:rFonts w:eastAsia="Calibri"/>
                <w:b/>
                <w:szCs w:val="20"/>
              </w:rPr>
              <w:t>($)</w:t>
            </w:r>
          </w:p>
          <w:p w:rsidRPr="00932257" w:rsidR="000B21C6" w:rsidP="00260E66" w:rsidRDefault="000B21C6" w14:paraId="1CB444AF" w14:textId="23FE8C7D">
            <w:pPr>
              <w:jc w:val="center"/>
              <w:rPr>
                <w:rFonts w:eastAsia="Calibri"/>
                <w:b/>
                <w:szCs w:val="20"/>
              </w:rPr>
            </w:pPr>
            <w:r w:rsidRPr="00932257">
              <w:rPr>
                <w:rFonts w:eastAsia="Calibri"/>
                <w:b/>
                <w:szCs w:val="20"/>
              </w:rPr>
              <w:t>(5)</w:t>
            </w:r>
            <w:r w:rsidR="007E4A3B">
              <w:rPr>
                <w:rFonts w:eastAsia="Calibri"/>
                <w:b/>
                <w:szCs w:val="20"/>
              </w:rPr>
              <w:t>/</w:t>
            </w:r>
            <w:r w:rsidRPr="00932257">
              <w:rPr>
                <w:rFonts w:eastAsia="Calibri"/>
                <w:b/>
                <w:szCs w:val="20"/>
              </w:rPr>
              <w:t xml:space="preserve"> (1) = (6)</w:t>
            </w:r>
          </w:p>
        </w:tc>
      </w:tr>
      <w:tr w:rsidRPr="00932257" w:rsidR="000B21C6" w:rsidTr="00260E66" w14:paraId="692D1330" w14:textId="77777777">
        <w:trPr>
          <w:cantSplit/>
        </w:trPr>
        <w:tc>
          <w:tcPr>
            <w:tcW w:w="585" w:type="pct"/>
          </w:tcPr>
          <w:p w:rsidRPr="00932257" w:rsidR="000B21C6" w:rsidP="00260E66" w:rsidRDefault="000B21C6" w14:paraId="1ECFF6D9" w14:textId="77777777">
            <w:pPr>
              <w:rPr>
                <w:rFonts w:eastAsia="Calibri"/>
                <w:szCs w:val="20"/>
              </w:rPr>
            </w:pPr>
            <w:r w:rsidRPr="00932257">
              <w:rPr>
                <w:rFonts w:eastAsia="Calibri"/>
                <w:szCs w:val="20"/>
              </w:rPr>
              <w:t>FERC-545 (one-time)</w:t>
            </w:r>
          </w:p>
        </w:tc>
        <w:tc>
          <w:tcPr>
            <w:tcW w:w="673" w:type="pct"/>
          </w:tcPr>
          <w:p w:rsidRPr="00932257" w:rsidR="000B21C6" w:rsidP="00260E66" w:rsidRDefault="000B21C6" w14:paraId="2B3DAF1C" w14:textId="77605200">
            <w:pPr>
              <w:jc w:val="right"/>
              <w:rPr>
                <w:rFonts w:eastAsia="Calibri"/>
                <w:szCs w:val="20"/>
              </w:rPr>
            </w:pPr>
            <w:r w:rsidRPr="00932257">
              <w:rPr>
                <w:rFonts w:eastAsia="Calibri"/>
                <w:szCs w:val="20"/>
              </w:rPr>
              <w:t>1</w:t>
            </w:r>
            <w:r w:rsidR="00A66F2A">
              <w:rPr>
                <w:rFonts w:eastAsia="Calibri"/>
                <w:szCs w:val="20"/>
              </w:rPr>
              <w:t>78</w:t>
            </w:r>
          </w:p>
        </w:tc>
        <w:tc>
          <w:tcPr>
            <w:tcW w:w="715" w:type="pct"/>
          </w:tcPr>
          <w:p w:rsidRPr="00932257" w:rsidR="000B21C6" w:rsidP="00260E66" w:rsidRDefault="000B21C6" w14:paraId="78739B90" w14:textId="77777777">
            <w:pPr>
              <w:jc w:val="right"/>
              <w:rPr>
                <w:rFonts w:eastAsia="Calibri"/>
                <w:szCs w:val="20"/>
              </w:rPr>
            </w:pPr>
            <w:r w:rsidRPr="00932257">
              <w:rPr>
                <w:rFonts w:eastAsia="Calibri"/>
                <w:szCs w:val="20"/>
              </w:rPr>
              <w:t>1</w:t>
            </w:r>
          </w:p>
        </w:tc>
        <w:tc>
          <w:tcPr>
            <w:tcW w:w="717" w:type="pct"/>
          </w:tcPr>
          <w:p w:rsidRPr="00932257" w:rsidR="000B21C6" w:rsidP="00260E66" w:rsidRDefault="000B21C6" w14:paraId="0623CDB7" w14:textId="4536CBDA">
            <w:pPr>
              <w:jc w:val="right"/>
              <w:rPr>
                <w:rFonts w:eastAsia="Calibri"/>
                <w:szCs w:val="20"/>
              </w:rPr>
            </w:pPr>
            <w:r w:rsidRPr="00932257">
              <w:rPr>
                <w:rFonts w:eastAsia="Calibri"/>
                <w:szCs w:val="20"/>
              </w:rPr>
              <w:t>1</w:t>
            </w:r>
            <w:r w:rsidR="00A66F2A">
              <w:rPr>
                <w:rFonts w:eastAsia="Calibri"/>
                <w:szCs w:val="20"/>
              </w:rPr>
              <w:t>78</w:t>
            </w:r>
          </w:p>
        </w:tc>
        <w:tc>
          <w:tcPr>
            <w:tcW w:w="587" w:type="pct"/>
          </w:tcPr>
          <w:p w:rsidRPr="00932257" w:rsidR="000B21C6" w:rsidP="00260E66" w:rsidRDefault="000B21C6" w14:paraId="26979643" w14:textId="77777777">
            <w:pPr>
              <w:jc w:val="right"/>
              <w:rPr>
                <w:rFonts w:eastAsia="Calibri"/>
                <w:szCs w:val="20"/>
              </w:rPr>
            </w:pPr>
            <w:r w:rsidRPr="00932257">
              <w:rPr>
                <w:rFonts w:eastAsia="Calibri"/>
                <w:szCs w:val="20"/>
              </w:rPr>
              <w:t>10 hrs.;</w:t>
            </w:r>
          </w:p>
          <w:p w:rsidRPr="00932257" w:rsidR="000B21C6" w:rsidP="00260E66" w:rsidRDefault="000B21C6" w14:paraId="206C4555" w14:textId="62373BCA">
            <w:pPr>
              <w:jc w:val="right"/>
              <w:rPr>
                <w:rFonts w:eastAsia="Calibri"/>
                <w:szCs w:val="20"/>
              </w:rPr>
            </w:pPr>
            <w:r w:rsidRPr="00932257">
              <w:rPr>
                <w:rFonts w:eastAsia="Calibri"/>
                <w:szCs w:val="20"/>
              </w:rPr>
              <w:t>$1,</w:t>
            </w:r>
            <w:r w:rsidR="00145204">
              <w:rPr>
                <w:rFonts w:eastAsia="Calibri"/>
                <w:szCs w:val="20"/>
              </w:rPr>
              <w:t>010</w:t>
            </w:r>
          </w:p>
        </w:tc>
        <w:tc>
          <w:tcPr>
            <w:tcW w:w="922" w:type="pct"/>
          </w:tcPr>
          <w:p w:rsidRPr="00932257" w:rsidR="000B21C6" w:rsidP="00260E66" w:rsidRDefault="000B21C6" w14:paraId="74ACA22C" w14:textId="7BFDAD2A">
            <w:pPr>
              <w:jc w:val="right"/>
              <w:rPr>
                <w:rFonts w:eastAsia="Calibri"/>
                <w:szCs w:val="20"/>
              </w:rPr>
            </w:pPr>
            <w:r w:rsidRPr="00932257">
              <w:rPr>
                <w:rFonts w:eastAsia="Calibri"/>
                <w:szCs w:val="20"/>
              </w:rPr>
              <w:t>1,</w:t>
            </w:r>
            <w:r w:rsidR="00A66F2A">
              <w:rPr>
                <w:rFonts w:eastAsia="Calibri"/>
                <w:szCs w:val="20"/>
              </w:rPr>
              <w:t>780</w:t>
            </w:r>
            <w:r w:rsidRPr="00932257">
              <w:rPr>
                <w:rFonts w:eastAsia="Calibri"/>
                <w:szCs w:val="20"/>
              </w:rPr>
              <w:t xml:space="preserve"> hrs.;</w:t>
            </w:r>
          </w:p>
          <w:p w:rsidRPr="00932257" w:rsidR="000B21C6" w:rsidP="00260E66" w:rsidRDefault="000B21C6" w14:paraId="1DD65917" w14:textId="4F8ED357">
            <w:pPr>
              <w:jc w:val="right"/>
              <w:rPr>
                <w:rFonts w:eastAsia="Calibri"/>
                <w:szCs w:val="20"/>
              </w:rPr>
            </w:pPr>
            <w:r w:rsidRPr="00932257">
              <w:rPr>
                <w:rFonts w:eastAsia="Calibri"/>
                <w:szCs w:val="20"/>
              </w:rPr>
              <w:t>$</w:t>
            </w:r>
            <w:r w:rsidR="00145204">
              <w:rPr>
                <w:rFonts w:eastAsia="Calibri"/>
                <w:szCs w:val="20"/>
              </w:rPr>
              <w:t>1</w:t>
            </w:r>
            <w:r w:rsidR="007E4A3B">
              <w:rPr>
                <w:rFonts w:eastAsia="Calibri"/>
                <w:szCs w:val="20"/>
              </w:rPr>
              <w:t>79,780</w:t>
            </w:r>
          </w:p>
        </w:tc>
        <w:tc>
          <w:tcPr>
            <w:tcW w:w="801" w:type="pct"/>
          </w:tcPr>
          <w:p w:rsidRPr="00932257" w:rsidR="000B21C6" w:rsidP="00260E66" w:rsidRDefault="000B21C6" w14:paraId="4324786F" w14:textId="354E8B45">
            <w:pPr>
              <w:jc w:val="right"/>
              <w:rPr>
                <w:rFonts w:eastAsia="Calibri"/>
                <w:szCs w:val="20"/>
              </w:rPr>
            </w:pPr>
            <w:r w:rsidRPr="00932257">
              <w:rPr>
                <w:rFonts w:eastAsia="Calibri"/>
                <w:szCs w:val="20"/>
              </w:rPr>
              <w:t>$1,</w:t>
            </w:r>
            <w:r w:rsidR="007E4A3B">
              <w:rPr>
                <w:rFonts w:eastAsia="Calibri"/>
                <w:szCs w:val="20"/>
              </w:rPr>
              <w:t>010</w:t>
            </w:r>
          </w:p>
        </w:tc>
      </w:tr>
      <w:tr w:rsidRPr="00932257" w:rsidR="000B21C6" w:rsidTr="00260E66" w14:paraId="512940EC" w14:textId="77777777">
        <w:trPr>
          <w:cantSplit/>
        </w:trPr>
        <w:tc>
          <w:tcPr>
            <w:tcW w:w="585" w:type="pct"/>
          </w:tcPr>
          <w:p w:rsidRPr="00932257" w:rsidR="000B21C6" w:rsidP="00260E66" w:rsidRDefault="000B21C6" w14:paraId="0146029D" w14:textId="77777777">
            <w:pPr>
              <w:rPr>
                <w:rFonts w:eastAsia="Calibri"/>
                <w:szCs w:val="20"/>
              </w:rPr>
            </w:pPr>
            <w:r w:rsidRPr="00932257">
              <w:rPr>
                <w:rFonts w:eastAsia="Calibri"/>
                <w:szCs w:val="20"/>
              </w:rPr>
              <w:t>FERC-549C (one-time)</w:t>
            </w:r>
          </w:p>
        </w:tc>
        <w:tc>
          <w:tcPr>
            <w:tcW w:w="673" w:type="pct"/>
          </w:tcPr>
          <w:p w:rsidRPr="00932257" w:rsidR="000B21C6" w:rsidP="00260E66" w:rsidRDefault="000B21C6" w14:paraId="75DF0345" w14:textId="2141A7AA">
            <w:pPr>
              <w:jc w:val="right"/>
              <w:rPr>
                <w:rFonts w:eastAsia="Calibri"/>
                <w:szCs w:val="20"/>
              </w:rPr>
            </w:pPr>
            <w:r w:rsidRPr="00932257">
              <w:rPr>
                <w:rFonts w:eastAsia="Calibri"/>
                <w:szCs w:val="20"/>
              </w:rPr>
              <w:t>1</w:t>
            </w:r>
            <w:r w:rsidR="00A66F2A">
              <w:rPr>
                <w:rFonts w:eastAsia="Calibri"/>
                <w:szCs w:val="20"/>
              </w:rPr>
              <w:t>78</w:t>
            </w:r>
          </w:p>
        </w:tc>
        <w:tc>
          <w:tcPr>
            <w:tcW w:w="715" w:type="pct"/>
          </w:tcPr>
          <w:p w:rsidRPr="00932257" w:rsidR="000B21C6" w:rsidP="00260E66" w:rsidRDefault="000B21C6" w14:paraId="078D5DCA" w14:textId="77777777">
            <w:pPr>
              <w:jc w:val="right"/>
              <w:rPr>
                <w:rFonts w:eastAsia="Calibri"/>
                <w:szCs w:val="20"/>
              </w:rPr>
            </w:pPr>
            <w:r w:rsidRPr="00932257">
              <w:rPr>
                <w:rFonts w:eastAsia="Calibri"/>
                <w:szCs w:val="20"/>
              </w:rPr>
              <w:t>1</w:t>
            </w:r>
          </w:p>
        </w:tc>
        <w:tc>
          <w:tcPr>
            <w:tcW w:w="717" w:type="pct"/>
          </w:tcPr>
          <w:p w:rsidRPr="00932257" w:rsidR="000B21C6" w:rsidP="00260E66" w:rsidRDefault="000B21C6" w14:paraId="5553C6CE" w14:textId="6EC9F72D">
            <w:pPr>
              <w:jc w:val="right"/>
              <w:rPr>
                <w:rFonts w:eastAsia="Calibri"/>
                <w:szCs w:val="20"/>
              </w:rPr>
            </w:pPr>
            <w:r w:rsidRPr="00932257">
              <w:rPr>
                <w:rFonts w:eastAsia="Calibri"/>
                <w:szCs w:val="20"/>
              </w:rPr>
              <w:t>1</w:t>
            </w:r>
            <w:r w:rsidR="00A66F2A">
              <w:rPr>
                <w:rFonts w:eastAsia="Calibri"/>
                <w:szCs w:val="20"/>
              </w:rPr>
              <w:t>78</w:t>
            </w:r>
          </w:p>
        </w:tc>
        <w:tc>
          <w:tcPr>
            <w:tcW w:w="587" w:type="pct"/>
          </w:tcPr>
          <w:p w:rsidRPr="00932257" w:rsidR="000B21C6" w:rsidP="00260E66" w:rsidRDefault="0065419E" w14:paraId="09FE9E10" w14:textId="551C720E">
            <w:pPr>
              <w:jc w:val="right"/>
              <w:rPr>
                <w:rFonts w:eastAsia="Calibri"/>
                <w:szCs w:val="20"/>
              </w:rPr>
            </w:pPr>
            <w:r>
              <w:rPr>
                <w:rFonts w:eastAsia="Calibri"/>
                <w:szCs w:val="20"/>
              </w:rPr>
              <w:t>100</w:t>
            </w:r>
            <w:r w:rsidRPr="00932257" w:rsidR="000B21C6">
              <w:rPr>
                <w:rFonts w:eastAsia="Calibri"/>
                <w:szCs w:val="20"/>
              </w:rPr>
              <w:t xml:space="preserve"> hrs.;</w:t>
            </w:r>
          </w:p>
          <w:p w:rsidRPr="00932257" w:rsidR="000B21C6" w:rsidP="00260E66" w:rsidRDefault="000B21C6" w14:paraId="08027B65" w14:textId="0CA19864">
            <w:pPr>
              <w:jc w:val="right"/>
              <w:rPr>
                <w:rFonts w:eastAsia="Calibri"/>
                <w:szCs w:val="20"/>
              </w:rPr>
            </w:pPr>
            <w:r w:rsidRPr="00932257">
              <w:rPr>
                <w:rFonts w:eastAsia="Calibri"/>
                <w:szCs w:val="20"/>
              </w:rPr>
              <w:t>$</w:t>
            </w:r>
            <w:r w:rsidR="0065419E">
              <w:rPr>
                <w:rFonts w:eastAsia="Calibri"/>
                <w:szCs w:val="20"/>
              </w:rPr>
              <w:t>1</w:t>
            </w:r>
            <w:r w:rsidR="00145204">
              <w:rPr>
                <w:rFonts w:eastAsia="Calibri"/>
                <w:szCs w:val="20"/>
              </w:rPr>
              <w:t>0,100</w:t>
            </w:r>
          </w:p>
        </w:tc>
        <w:tc>
          <w:tcPr>
            <w:tcW w:w="922" w:type="pct"/>
          </w:tcPr>
          <w:p w:rsidRPr="00932257" w:rsidR="000B21C6" w:rsidP="00260E66" w:rsidRDefault="0065419E" w14:paraId="62449247" w14:textId="2E5FD8F8">
            <w:pPr>
              <w:jc w:val="right"/>
              <w:rPr>
                <w:rFonts w:eastAsia="Calibri"/>
                <w:szCs w:val="20"/>
              </w:rPr>
            </w:pPr>
            <w:r>
              <w:rPr>
                <w:rFonts w:eastAsia="Calibri"/>
                <w:szCs w:val="20"/>
              </w:rPr>
              <w:t>1</w:t>
            </w:r>
            <w:r w:rsidR="000B013D">
              <w:rPr>
                <w:rFonts w:eastAsia="Calibri"/>
                <w:szCs w:val="20"/>
              </w:rPr>
              <w:t>7,8</w:t>
            </w:r>
            <w:r>
              <w:rPr>
                <w:rFonts w:eastAsia="Calibri"/>
                <w:szCs w:val="20"/>
              </w:rPr>
              <w:t>00</w:t>
            </w:r>
            <w:r w:rsidRPr="00932257" w:rsidR="000B21C6">
              <w:rPr>
                <w:rFonts w:eastAsia="Calibri"/>
                <w:szCs w:val="20"/>
              </w:rPr>
              <w:t xml:space="preserve"> hrs.;</w:t>
            </w:r>
          </w:p>
          <w:p w:rsidRPr="00932257" w:rsidR="000B21C6" w:rsidP="00260E66" w:rsidRDefault="000B21C6" w14:paraId="7BAC9DA8" w14:textId="2E13751E">
            <w:pPr>
              <w:jc w:val="right"/>
              <w:rPr>
                <w:rFonts w:eastAsia="Calibri"/>
                <w:szCs w:val="20"/>
              </w:rPr>
            </w:pPr>
            <w:r w:rsidRPr="00932257">
              <w:rPr>
                <w:rFonts w:eastAsia="Calibri"/>
                <w:szCs w:val="20"/>
              </w:rPr>
              <w:t>$</w:t>
            </w:r>
            <w:r w:rsidR="0056522A">
              <w:rPr>
                <w:rFonts w:eastAsia="Calibri"/>
                <w:szCs w:val="20"/>
              </w:rPr>
              <w:t>1,</w:t>
            </w:r>
            <w:r w:rsidR="007E4A3B">
              <w:rPr>
                <w:rFonts w:eastAsia="Calibri"/>
                <w:szCs w:val="20"/>
              </w:rPr>
              <w:t>797,800</w:t>
            </w:r>
          </w:p>
        </w:tc>
        <w:tc>
          <w:tcPr>
            <w:tcW w:w="801" w:type="pct"/>
          </w:tcPr>
          <w:p w:rsidRPr="00932257" w:rsidR="000B21C6" w:rsidP="00260E66" w:rsidRDefault="000B21C6" w14:paraId="28293D81" w14:textId="54E9AA7A">
            <w:pPr>
              <w:jc w:val="right"/>
              <w:rPr>
                <w:rFonts w:eastAsia="Calibri"/>
                <w:szCs w:val="20"/>
              </w:rPr>
            </w:pPr>
            <w:r w:rsidRPr="00932257">
              <w:rPr>
                <w:rFonts w:eastAsia="Calibri"/>
                <w:szCs w:val="20"/>
              </w:rPr>
              <w:t>$</w:t>
            </w:r>
            <w:r w:rsidR="0056522A">
              <w:rPr>
                <w:rFonts w:eastAsia="Calibri"/>
                <w:szCs w:val="20"/>
              </w:rPr>
              <w:t>1</w:t>
            </w:r>
            <w:r w:rsidR="00145204">
              <w:rPr>
                <w:rFonts w:eastAsia="Calibri"/>
                <w:szCs w:val="20"/>
              </w:rPr>
              <w:t>0,100</w:t>
            </w:r>
          </w:p>
        </w:tc>
      </w:tr>
      <w:tr w:rsidRPr="00932257" w:rsidR="000B21C6" w:rsidTr="00260E66" w14:paraId="364DEA17" w14:textId="77777777">
        <w:trPr>
          <w:cantSplit/>
        </w:trPr>
        <w:tc>
          <w:tcPr>
            <w:tcW w:w="585" w:type="pct"/>
          </w:tcPr>
          <w:p w:rsidRPr="00932257" w:rsidR="000B21C6" w:rsidP="00260E66" w:rsidRDefault="000B21C6" w14:paraId="36AC8D61" w14:textId="77777777">
            <w:pPr>
              <w:rPr>
                <w:rFonts w:eastAsia="Calibri"/>
                <w:b/>
                <w:szCs w:val="20"/>
              </w:rPr>
            </w:pPr>
            <w:r w:rsidRPr="00932257">
              <w:rPr>
                <w:rFonts w:eastAsia="Calibri"/>
                <w:b/>
                <w:szCs w:val="20"/>
              </w:rPr>
              <w:t>TOTAL</w:t>
            </w:r>
          </w:p>
        </w:tc>
        <w:tc>
          <w:tcPr>
            <w:tcW w:w="1388" w:type="pct"/>
            <w:gridSpan w:val="2"/>
            <w:shd w:val="clear" w:color="auto" w:fill="D9D9D9" w:themeFill="background1" w:themeFillShade="D9"/>
          </w:tcPr>
          <w:p w:rsidRPr="00932257" w:rsidR="000B21C6" w:rsidP="00260E66" w:rsidRDefault="000B21C6" w14:paraId="14B88E71" w14:textId="77777777">
            <w:pPr>
              <w:jc w:val="right"/>
              <w:rPr>
                <w:rFonts w:eastAsia="Calibri"/>
                <w:szCs w:val="20"/>
              </w:rPr>
            </w:pPr>
          </w:p>
        </w:tc>
        <w:tc>
          <w:tcPr>
            <w:tcW w:w="717" w:type="pct"/>
          </w:tcPr>
          <w:p w:rsidRPr="00932257" w:rsidR="000B21C6" w:rsidP="00260E66" w:rsidRDefault="000B21C6" w14:paraId="073D547B" w14:textId="233DDCD2">
            <w:pPr>
              <w:jc w:val="right"/>
              <w:rPr>
                <w:rFonts w:eastAsia="Calibri"/>
                <w:szCs w:val="20"/>
              </w:rPr>
            </w:pPr>
            <w:r w:rsidRPr="00932257">
              <w:rPr>
                <w:rFonts w:eastAsia="Calibri"/>
                <w:szCs w:val="20"/>
              </w:rPr>
              <w:t>3</w:t>
            </w:r>
            <w:r w:rsidR="00A66F2A">
              <w:rPr>
                <w:rFonts w:eastAsia="Calibri"/>
                <w:szCs w:val="20"/>
              </w:rPr>
              <w:t>56</w:t>
            </w:r>
          </w:p>
        </w:tc>
        <w:tc>
          <w:tcPr>
            <w:tcW w:w="587" w:type="pct"/>
            <w:shd w:val="clear" w:color="auto" w:fill="D9D9D9" w:themeFill="background1" w:themeFillShade="D9"/>
          </w:tcPr>
          <w:p w:rsidRPr="00932257" w:rsidR="000B21C6" w:rsidP="00260E66" w:rsidRDefault="000B21C6" w14:paraId="56DE947A" w14:textId="77777777">
            <w:pPr>
              <w:jc w:val="right"/>
              <w:rPr>
                <w:rFonts w:eastAsia="Calibri"/>
                <w:szCs w:val="20"/>
              </w:rPr>
            </w:pPr>
          </w:p>
        </w:tc>
        <w:tc>
          <w:tcPr>
            <w:tcW w:w="922" w:type="pct"/>
          </w:tcPr>
          <w:p w:rsidRPr="00932257" w:rsidR="000B21C6" w:rsidP="00260E66" w:rsidRDefault="0056522A" w14:paraId="33F2E317" w14:textId="174D173E">
            <w:pPr>
              <w:jc w:val="right"/>
              <w:rPr>
                <w:rFonts w:eastAsia="Calibri"/>
                <w:szCs w:val="20"/>
              </w:rPr>
            </w:pPr>
            <w:r>
              <w:rPr>
                <w:rFonts w:eastAsia="Calibri"/>
                <w:szCs w:val="20"/>
              </w:rPr>
              <w:t>1</w:t>
            </w:r>
            <w:r w:rsidR="007E4A3B">
              <w:rPr>
                <w:rFonts w:eastAsia="Calibri"/>
                <w:szCs w:val="20"/>
              </w:rPr>
              <w:t>9,580</w:t>
            </w:r>
            <w:r w:rsidRPr="00932257" w:rsidR="000B21C6">
              <w:rPr>
                <w:rFonts w:eastAsia="Calibri"/>
                <w:szCs w:val="20"/>
              </w:rPr>
              <w:t xml:space="preserve"> hrs.;</w:t>
            </w:r>
          </w:p>
          <w:p w:rsidRPr="00932257" w:rsidR="000B21C6" w:rsidP="00260E66" w:rsidRDefault="000B21C6" w14:paraId="07FEA9DF" w14:textId="37A391AE">
            <w:pPr>
              <w:jc w:val="right"/>
              <w:rPr>
                <w:rFonts w:eastAsia="Calibri"/>
                <w:szCs w:val="20"/>
              </w:rPr>
            </w:pPr>
            <w:r w:rsidRPr="00932257">
              <w:rPr>
                <w:rFonts w:eastAsia="Calibri"/>
                <w:szCs w:val="20"/>
              </w:rPr>
              <w:t>$</w:t>
            </w:r>
            <w:bookmarkStart w:name="_Hlk54788655" w:id="28"/>
            <w:r w:rsidR="00145204">
              <w:rPr>
                <w:rFonts w:eastAsia="Calibri"/>
                <w:szCs w:val="20"/>
              </w:rPr>
              <w:t>1,</w:t>
            </w:r>
            <w:bookmarkEnd w:id="28"/>
            <w:r w:rsidR="007E4A3B">
              <w:rPr>
                <w:rFonts w:eastAsia="Calibri"/>
                <w:szCs w:val="20"/>
              </w:rPr>
              <w:t>977,580</w:t>
            </w:r>
          </w:p>
        </w:tc>
        <w:tc>
          <w:tcPr>
            <w:tcW w:w="801" w:type="pct"/>
            <w:shd w:val="clear" w:color="auto" w:fill="D9D9D9" w:themeFill="background1" w:themeFillShade="D9"/>
          </w:tcPr>
          <w:p w:rsidRPr="00932257" w:rsidR="000B21C6" w:rsidP="00260E66" w:rsidRDefault="000B21C6" w14:paraId="4FC7928C" w14:textId="77777777">
            <w:pPr>
              <w:jc w:val="right"/>
              <w:rPr>
                <w:rFonts w:eastAsia="Calibri"/>
                <w:szCs w:val="20"/>
              </w:rPr>
            </w:pPr>
          </w:p>
        </w:tc>
      </w:tr>
    </w:tbl>
    <w:p w:rsidR="00DB3C61" w:rsidP="000603CD" w:rsidRDefault="00DB3C61" w14:paraId="09A70601" w14:textId="61E0D076">
      <w:pPr>
        <w:pStyle w:val="FERCparanumber"/>
        <w:numPr>
          <w:ilvl w:val="0"/>
          <w:numId w:val="0"/>
        </w:numPr>
      </w:pPr>
    </w:p>
    <w:p w:rsidRPr="00932257" w:rsidR="00221D97" w:rsidP="000603CD" w:rsidRDefault="00221D97" w14:paraId="06961C3E" w14:textId="73462B35">
      <w:pPr>
        <w:pStyle w:val="FERCparanumber"/>
        <w:numPr>
          <w:ilvl w:val="0"/>
          <w:numId w:val="0"/>
        </w:numPr>
      </w:pPr>
      <w:r w:rsidRPr="00932257">
        <w:lastRenderedPageBreak/>
        <w:t>The one-time burden (for both the FERC-545 and FERC-549C)</w:t>
      </w:r>
      <w:r w:rsidR="0065419E">
        <w:t xml:space="preserve"> </w:t>
      </w:r>
      <w:r w:rsidR="0056522A">
        <w:t xml:space="preserve">will </w:t>
      </w:r>
      <w:r w:rsidR="0065419E">
        <w:t xml:space="preserve">take place in Year 1 and </w:t>
      </w:r>
      <w:r w:rsidRPr="00932257">
        <w:t>will be averaged over three years:</w:t>
      </w:r>
    </w:p>
    <w:p w:rsidRPr="00932257" w:rsidR="00221D97" w:rsidP="000603CD" w:rsidRDefault="00221D97" w14:paraId="47C63144" w14:textId="60C0AC0C">
      <w:pPr>
        <w:pStyle w:val="FERCparanumber"/>
        <w:numPr>
          <w:ilvl w:val="0"/>
          <w:numId w:val="0"/>
        </w:numPr>
      </w:pPr>
      <w:r w:rsidRPr="00932257">
        <w:t>FERC-545: 1,</w:t>
      </w:r>
      <w:r w:rsidR="007E4A3B">
        <w:t>78</w:t>
      </w:r>
      <w:r w:rsidRPr="00932257">
        <w:t xml:space="preserve">0 hours ÷ 3 = </w:t>
      </w:r>
      <w:r w:rsidR="007E4A3B">
        <w:t>593</w:t>
      </w:r>
      <w:r w:rsidRPr="00932257">
        <w:t xml:space="preserve"> hours/year over three years</w:t>
      </w:r>
    </w:p>
    <w:p w:rsidRPr="00932257" w:rsidR="00221D97" w:rsidP="000603CD" w:rsidRDefault="00221D97" w14:paraId="195CE721" w14:textId="28927614">
      <w:pPr>
        <w:pStyle w:val="FERCparanumber"/>
        <w:numPr>
          <w:ilvl w:val="0"/>
          <w:numId w:val="0"/>
        </w:numPr>
      </w:pPr>
      <w:r w:rsidRPr="00932257">
        <w:t xml:space="preserve">FERC-549C: </w:t>
      </w:r>
      <w:r w:rsidR="0056522A">
        <w:t>1</w:t>
      </w:r>
      <w:r w:rsidR="007E4A3B">
        <w:t>7,8</w:t>
      </w:r>
      <w:r w:rsidR="0056522A">
        <w:t>00</w:t>
      </w:r>
      <w:r w:rsidRPr="00932257">
        <w:t xml:space="preserve"> hours ÷ 3 = </w:t>
      </w:r>
      <w:r w:rsidR="0056522A">
        <w:t>5,</w:t>
      </w:r>
      <w:r w:rsidR="007E4A3B">
        <w:t>933</w:t>
      </w:r>
      <w:r w:rsidRPr="00932257">
        <w:t xml:space="preserve"> hours/year over three years</w:t>
      </w:r>
    </w:p>
    <w:p w:rsidRPr="00932257" w:rsidR="00221D97" w:rsidP="000603CD" w:rsidRDefault="00221D97" w14:paraId="1C1BA645" w14:textId="77777777">
      <w:pPr>
        <w:pStyle w:val="FERCparanumber"/>
        <w:numPr>
          <w:ilvl w:val="0"/>
          <w:numId w:val="0"/>
        </w:numPr>
      </w:pPr>
      <w:r w:rsidRPr="00932257">
        <w:t>The number of responses is also averaged over three years (for both the FERC-545 and FERC-549C):</w:t>
      </w:r>
    </w:p>
    <w:p w:rsidRPr="00932257" w:rsidR="00221D97" w:rsidP="000603CD" w:rsidRDefault="00221D97" w14:paraId="6BC67144" w14:textId="4C0F078E">
      <w:pPr>
        <w:pStyle w:val="FERCparanumber"/>
        <w:numPr>
          <w:ilvl w:val="0"/>
          <w:numId w:val="0"/>
        </w:numPr>
      </w:pPr>
      <w:r w:rsidRPr="00932257">
        <w:t>FERC-545: 1</w:t>
      </w:r>
      <w:r w:rsidR="007E4A3B">
        <w:t>78</w:t>
      </w:r>
      <w:r w:rsidRPr="00932257">
        <w:t xml:space="preserve"> responses ÷ 3 = 5</w:t>
      </w:r>
      <w:r w:rsidR="007E4A3B">
        <w:t>9</w:t>
      </w:r>
      <w:r w:rsidRPr="00932257">
        <w:t xml:space="preserve"> responses/year</w:t>
      </w:r>
    </w:p>
    <w:p w:rsidRPr="00932257" w:rsidR="00221D97" w:rsidP="000603CD" w:rsidRDefault="00221D97" w14:paraId="36F4337E" w14:textId="10E4DD53">
      <w:pPr>
        <w:pStyle w:val="FERCparanumber"/>
        <w:numPr>
          <w:ilvl w:val="0"/>
          <w:numId w:val="0"/>
        </w:numPr>
      </w:pPr>
      <w:r w:rsidRPr="00932257">
        <w:t>FERC-549C: 1</w:t>
      </w:r>
      <w:r w:rsidR="007E4A3B">
        <w:t>78</w:t>
      </w:r>
      <w:r w:rsidRPr="00932257">
        <w:t xml:space="preserve"> responses ÷ 3 = 5</w:t>
      </w:r>
      <w:r w:rsidR="007E4A3B">
        <w:t>9</w:t>
      </w:r>
      <w:r w:rsidRPr="00932257">
        <w:t xml:space="preserve"> responses/year</w:t>
      </w:r>
    </w:p>
    <w:p w:rsidRPr="00932257" w:rsidR="00221D97" w:rsidP="000603CD" w:rsidRDefault="00221D97" w14:paraId="516830EE" w14:textId="77777777">
      <w:pPr>
        <w:pStyle w:val="FERCparanumber"/>
        <w:numPr>
          <w:ilvl w:val="0"/>
          <w:numId w:val="0"/>
        </w:numPr>
      </w:pPr>
      <w:r w:rsidRPr="00932257">
        <w:t>The responses and burden for Years 1-3 will total respectively as follows:</w:t>
      </w:r>
    </w:p>
    <w:p w:rsidRPr="00932257" w:rsidR="00221D97" w:rsidP="000603CD" w:rsidRDefault="00221D97" w14:paraId="2529F13B" w14:textId="04B8A1AA">
      <w:pPr>
        <w:pStyle w:val="FERCparanumber"/>
        <w:numPr>
          <w:ilvl w:val="0"/>
          <w:numId w:val="0"/>
        </w:numPr>
      </w:pPr>
      <w:r w:rsidRPr="00932257">
        <w:t>Year 1: 5</w:t>
      </w:r>
      <w:r w:rsidR="007E4A3B">
        <w:t>9</w:t>
      </w:r>
      <w:r w:rsidRPr="00932257">
        <w:t xml:space="preserve"> responses; 5</w:t>
      </w:r>
      <w:r w:rsidR="007E4A3B">
        <w:t>93</w:t>
      </w:r>
      <w:r w:rsidRPr="00932257">
        <w:t xml:space="preserve"> hours (FERC-545); </w:t>
      </w:r>
      <w:r w:rsidR="0056522A">
        <w:t>5,</w:t>
      </w:r>
      <w:r w:rsidR="007E4A3B">
        <w:t>933</w:t>
      </w:r>
      <w:r w:rsidRPr="00932257">
        <w:t xml:space="preserve"> hours (FERC-549C)</w:t>
      </w:r>
    </w:p>
    <w:p w:rsidRPr="00932257" w:rsidR="00221D97" w:rsidP="000603CD" w:rsidRDefault="00221D97" w14:paraId="551824F2" w14:textId="36BA07D0">
      <w:pPr>
        <w:pStyle w:val="FERCparanumber"/>
        <w:numPr>
          <w:ilvl w:val="0"/>
          <w:numId w:val="0"/>
        </w:numPr>
      </w:pPr>
      <w:r w:rsidRPr="00932257">
        <w:t>Year 2: 5</w:t>
      </w:r>
      <w:r w:rsidR="007E4A3B">
        <w:t>9</w:t>
      </w:r>
      <w:r w:rsidRPr="00932257">
        <w:t xml:space="preserve"> responses; 5</w:t>
      </w:r>
      <w:r w:rsidR="007E4A3B">
        <w:t>93</w:t>
      </w:r>
      <w:r w:rsidRPr="00932257">
        <w:t xml:space="preserve"> hours (FERC-545); </w:t>
      </w:r>
      <w:r w:rsidR="0056522A">
        <w:t>5,</w:t>
      </w:r>
      <w:r w:rsidR="007E4A3B">
        <w:t>933</w:t>
      </w:r>
      <w:r w:rsidRPr="00932257">
        <w:t xml:space="preserve"> hours (FERC-549C)</w:t>
      </w:r>
    </w:p>
    <w:p w:rsidRPr="00932257" w:rsidR="00221D97" w:rsidP="000603CD" w:rsidRDefault="00221D97" w14:paraId="1A4E40D1" w14:textId="3B9078D4">
      <w:pPr>
        <w:pStyle w:val="FERCparanumber"/>
        <w:numPr>
          <w:ilvl w:val="0"/>
          <w:numId w:val="0"/>
        </w:numPr>
      </w:pPr>
      <w:r w:rsidRPr="00932257">
        <w:t>Year 3: 5</w:t>
      </w:r>
      <w:r w:rsidR="007E4A3B">
        <w:t>9</w:t>
      </w:r>
      <w:r w:rsidRPr="00932257">
        <w:t xml:space="preserve"> responses; 5</w:t>
      </w:r>
      <w:r w:rsidR="007E4A3B">
        <w:t>93</w:t>
      </w:r>
      <w:r w:rsidRPr="00932257">
        <w:t xml:space="preserve"> hours (FERC-545); </w:t>
      </w:r>
      <w:r w:rsidR="0056522A">
        <w:t>5,</w:t>
      </w:r>
      <w:r w:rsidR="007E4A3B">
        <w:t>933</w:t>
      </w:r>
      <w:r w:rsidRPr="00932257">
        <w:t xml:space="preserve"> hours (FERC-549C)</w:t>
      </w:r>
    </w:p>
    <w:p w:rsidRPr="00932257" w:rsidR="00221D97" w:rsidP="000603CD" w:rsidRDefault="00221D97" w14:paraId="471950CA" w14:textId="77777777">
      <w:pPr>
        <w:pStyle w:val="FERCparanumber"/>
        <w:numPr>
          <w:ilvl w:val="0"/>
          <w:numId w:val="0"/>
        </w:numPr>
      </w:pPr>
      <w:r w:rsidRPr="00932257">
        <w:rPr>
          <w:u w:val="single"/>
        </w:rPr>
        <w:t>Title</w:t>
      </w:r>
      <w:r w:rsidRPr="00932257">
        <w:t>:  FERC-545, Gas Pipeline Rates: Rates Change (Non-Formal);</w:t>
      </w:r>
      <w:r w:rsidRPr="00932257">
        <w:tab/>
      </w:r>
    </w:p>
    <w:p w:rsidRPr="00932257" w:rsidR="00221D97" w:rsidP="000603CD" w:rsidRDefault="00221D97" w14:paraId="313D3E6F" w14:textId="77777777">
      <w:pPr>
        <w:pStyle w:val="FERCparanumber"/>
        <w:numPr>
          <w:ilvl w:val="0"/>
          <w:numId w:val="0"/>
        </w:numPr>
      </w:pPr>
      <w:r w:rsidRPr="00932257">
        <w:t>FERC-549C, Standards for Business Practices of Interstate Natural Gas Pipelines.</w:t>
      </w:r>
    </w:p>
    <w:p w:rsidRPr="00932257" w:rsidR="00221D97" w:rsidP="000603CD" w:rsidRDefault="00221D97" w14:paraId="1590F521" w14:textId="77777777">
      <w:pPr>
        <w:pStyle w:val="FERCparanumber"/>
        <w:numPr>
          <w:ilvl w:val="0"/>
          <w:numId w:val="0"/>
        </w:numPr>
      </w:pPr>
      <w:r w:rsidRPr="00932257">
        <w:rPr>
          <w:u w:val="single"/>
        </w:rPr>
        <w:t>Action</w:t>
      </w:r>
      <w:r w:rsidRPr="00932257">
        <w:t>:  Proposed information collections</w:t>
      </w:r>
    </w:p>
    <w:p w:rsidRPr="00932257" w:rsidR="00221D97" w:rsidP="000603CD" w:rsidRDefault="00221D97" w14:paraId="7518AD6E" w14:textId="77777777">
      <w:pPr>
        <w:pStyle w:val="FERCparanumber"/>
        <w:numPr>
          <w:ilvl w:val="0"/>
          <w:numId w:val="0"/>
        </w:numPr>
      </w:pPr>
      <w:r w:rsidRPr="003E4F40">
        <w:rPr>
          <w:u w:val="single"/>
        </w:rPr>
        <w:t>OMB Control Nos.</w:t>
      </w:r>
      <w:r w:rsidRPr="00932257">
        <w:t>:  1902-0154 (FERC-545), 1902-0174 (FERC-549C).</w:t>
      </w:r>
    </w:p>
    <w:p w:rsidR="00221D97" w:rsidP="00221D97" w:rsidRDefault="00221D97" w14:paraId="19C79870" w14:textId="77777777">
      <w:pPr>
        <w:pStyle w:val="FERCparanumber"/>
        <w:numPr>
          <w:ilvl w:val="0"/>
          <w:numId w:val="0"/>
        </w:numPr>
      </w:pPr>
      <w:r w:rsidRPr="00932257">
        <w:rPr>
          <w:u w:val="single"/>
        </w:rPr>
        <w:t>Respondents</w:t>
      </w:r>
      <w:r w:rsidRPr="00932257">
        <w:t>:  Business or other for profit (e.g., Natural Gas Pipelines, applicable to only a few small businesses).</w:t>
      </w:r>
    </w:p>
    <w:p w:rsidR="00221D97" w:rsidP="000603CD" w:rsidRDefault="00221D97" w14:paraId="5CCDD521" w14:textId="1920C8E4">
      <w:pPr>
        <w:pStyle w:val="FERCparanumber"/>
        <w:numPr>
          <w:ilvl w:val="0"/>
          <w:numId w:val="0"/>
        </w:numPr>
      </w:pPr>
      <w:r w:rsidRPr="00932257">
        <w:rPr>
          <w:u w:val="single"/>
        </w:rPr>
        <w:t>Frequency of Responses</w:t>
      </w:r>
      <w:r w:rsidRPr="00932257">
        <w:t>:  One-time implementation (related to business procedures, capital/start-up).</w:t>
      </w:r>
    </w:p>
    <w:p w:rsidR="005703D5" w:rsidP="002E5025" w:rsidRDefault="008442B8" w14:paraId="3CC4AC6E" w14:textId="0F8B1994">
      <w:pPr>
        <w:pStyle w:val="FERCparanumber"/>
        <w:numPr>
          <w:ilvl w:val="0"/>
          <w:numId w:val="0"/>
        </w:numPr>
        <w:rPr>
          <w:lang w:bidi="en-US"/>
        </w:rPr>
      </w:pPr>
      <w:r w:rsidRPr="008442B8">
        <w:rPr>
          <w:u w:val="single"/>
        </w:rPr>
        <w:t>Necessity of Information</w:t>
      </w:r>
      <w:r>
        <w:t xml:space="preserve">:  </w:t>
      </w:r>
      <w:r w:rsidR="0011678B">
        <w:t>In response to the recommendations in the Sandia report, t</w:t>
      </w:r>
      <w:r>
        <w:t>h</w:t>
      </w:r>
      <w:r w:rsidR="005703D5">
        <w:t>e</w:t>
      </w:r>
      <w:r>
        <w:t xml:space="preserve"> propos</w:t>
      </w:r>
      <w:r w:rsidR="005703D5">
        <w:t>als in this NOPR would</w:t>
      </w:r>
      <w:r>
        <w:t>, if implemented, upgrade current business practice</w:t>
      </w:r>
      <w:r w:rsidR="005703D5">
        <w:t>s</w:t>
      </w:r>
      <w:r>
        <w:t xml:space="preserve"> and </w:t>
      </w:r>
      <w:r>
        <w:lastRenderedPageBreak/>
        <w:t xml:space="preserve">communication standards </w:t>
      </w:r>
      <w:r w:rsidR="005703D5">
        <w:t>by updating the Quadrant EDM Related Standards and IET Related Standards</w:t>
      </w:r>
      <w:r w:rsidR="0011678B">
        <w:t xml:space="preserve"> </w:t>
      </w:r>
      <w:r w:rsidR="005703D5">
        <w:t xml:space="preserve">to </w:t>
      </w:r>
      <w:r w:rsidR="00BC7490">
        <w:t>specifically</w:t>
      </w:r>
      <w:r w:rsidR="003A787C">
        <w:t>:</w:t>
      </w:r>
      <w:r w:rsidR="00BC7490">
        <w:t xml:space="preserve"> </w:t>
      </w:r>
      <w:r w:rsidR="001D5119">
        <w:t>(</w:t>
      </w:r>
      <w:r w:rsidR="00BC7490">
        <w:t>1</w:t>
      </w:r>
      <w:r w:rsidR="001D5119">
        <w:t xml:space="preserve">) </w:t>
      </w:r>
      <w:r w:rsidRPr="005703D5" w:rsidR="005703D5">
        <w:rPr>
          <w:lang w:bidi="en-US"/>
        </w:rPr>
        <w:t>require the implementation of fixes or patches for known vulnerabilities as soon as reasonably practicable</w:t>
      </w:r>
      <w:r w:rsidR="00D1019D">
        <w:rPr>
          <w:lang w:bidi="en-US"/>
        </w:rPr>
        <w:t xml:space="preserve"> in coordination with other trading partners</w:t>
      </w:r>
      <w:r w:rsidR="003A787C">
        <w:rPr>
          <w:lang w:bidi="en-US"/>
        </w:rPr>
        <w:t xml:space="preserve">; </w:t>
      </w:r>
      <w:r w:rsidR="001D5119">
        <w:rPr>
          <w:lang w:bidi="en-US"/>
        </w:rPr>
        <w:t>(</w:t>
      </w:r>
      <w:r w:rsidR="00BC7490">
        <w:rPr>
          <w:lang w:bidi="en-US"/>
        </w:rPr>
        <w:t>2</w:t>
      </w:r>
      <w:r w:rsidR="001D5119">
        <w:rPr>
          <w:lang w:bidi="en-US"/>
        </w:rPr>
        <w:t xml:space="preserve">) </w:t>
      </w:r>
      <w:r w:rsidR="00D1019D">
        <w:rPr>
          <w:lang w:bidi="en-US"/>
        </w:rPr>
        <w:t xml:space="preserve">specify notification timelines to </w:t>
      </w:r>
      <w:r w:rsidRPr="00D1019D" w:rsidR="00D1019D">
        <w:rPr>
          <w:lang w:bidi="en-US"/>
        </w:rPr>
        <w:t>provide notice to trading partners of any systems or software that have not been updated</w:t>
      </w:r>
      <w:r w:rsidR="001D5119">
        <w:rPr>
          <w:lang w:bidi="en-US"/>
        </w:rPr>
        <w:t xml:space="preserve"> </w:t>
      </w:r>
      <w:r w:rsidRPr="00D1019D" w:rsidR="00D1019D">
        <w:rPr>
          <w:lang w:bidi="en-US"/>
        </w:rPr>
        <w:t>and the potential impact of u</w:t>
      </w:r>
      <w:r w:rsidR="00CE273A">
        <w:rPr>
          <w:lang w:bidi="en-US"/>
        </w:rPr>
        <w:t>s</w:t>
      </w:r>
      <w:r w:rsidRPr="00D1019D" w:rsidR="00D1019D">
        <w:rPr>
          <w:lang w:bidi="en-US"/>
        </w:rPr>
        <w:t>ing the vulnerable system</w:t>
      </w:r>
      <w:r w:rsidR="003A787C">
        <w:rPr>
          <w:lang w:bidi="en-US"/>
        </w:rPr>
        <w:t xml:space="preserve">; </w:t>
      </w:r>
      <w:r w:rsidR="001D5119">
        <w:rPr>
          <w:lang w:bidi="en-US"/>
        </w:rPr>
        <w:t>(</w:t>
      </w:r>
      <w:r w:rsidR="00BC7490">
        <w:rPr>
          <w:lang w:bidi="en-US"/>
        </w:rPr>
        <w:t>3</w:t>
      </w:r>
      <w:r w:rsidR="001D5119">
        <w:rPr>
          <w:lang w:bidi="en-US"/>
        </w:rPr>
        <w:t xml:space="preserve">) </w:t>
      </w:r>
      <w:r w:rsidR="002E5025">
        <w:rPr>
          <w:lang w:bidi="en-US"/>
        </w:rPr>
        <w:t>i</w:t>
      </w:r>
      <w:r w:rsidRPr="00A56E73" w:rsidR="00A56E73">
        <w:rPr>
          <w:lang w:bidi="en-US"/>
        </w:rPr>
        <w:t>nclude both specific and broad adoptions of system security measures</w:t>
      </w:r>
      <w:r w:rsidR="001D5119">
        <w:rPr>
          <w:lang w:bidi="en-US"/>
        </w:rPr>
        <w:t xml:space="preserve"> </w:t>
      </w:r>
      <w:r w:rsidRPr="00A56E73" w:rsidR="00A56E73">
        <w:rPr>
          <w:lang w:bidi="en-US"/>
        </w:rPr>
        <w:t xml:space="preserve">and specific notification and coordination during outages with </w:t>
      </w:r>
      <w:r w:rsidR="00BC7490">
        <w:rPr>
          <w:lang w:bidi="en-US"/>
        </w:rPr>
        <w:t>a</w:t>
      </w:r>
      <w:r w:rsidRPr="00A56E73" w:rsidR="00A56E73">
        <w:rPr>
          <w:lang w:bidi="en-US"/>
        </w:rPr>
        <w:t>ffected trading partners</w:t>
      </w:r>
      <w:r w:rsidR="003A787C">
        <w:rPr>
          <w:lang w:bidi="en-US"/>
        </w:rPr>
        <w:t xml:space="preserve">; </w:t>
      </w:r>
      <w:r w:rsidR="00F00B11">
        <w:rPr>
          <w:lang w:bidi="en-US"/>
        </w:rPr>
        <w:t>(</w:t>
      </w:r>
      <w:r w:rsidR="00BC7490">
        <w:rPr>
          <w:lang w:bidi="en-US"/>
        </w:rPr>
        <w:t>4</w:t>
      </w:r>
      <w:r w:rsidR="00F00B11">
        <w:rPr>
          <w:lang w:bidi="en-US"/>
        </w:rPr>
        <w:t>) maintain a minimum encryption strength of 128 bits, (</w:t>
      </w:r>
      <w:r w:rsidR="00BC7490">
        <w:rPr>
          <w:lang w:bidi="en-US"/>
        </w:rPr>
        <w:t>5</w:t>
      </w:r>
      <w:r w:rsidR="00F00B11">
        <w:rPr>
          <w:lang w:bidi="en-US"/>
        </w:rPr>
        <w:t xml:space="preserve">) </w:t>
      </w:r>
      <w:r w:rsidRPr="00F00B11" w:rsidR="00F00B11">
        <w:rPr>
          <w:lang w:bidi="en-US"/>
        </w:rPr>
        <w:t xml:space="preserve">specify that </w:t>
      </w:r>
      <w:proofErr w:type="spellStart"/>
      <w:r w:rsidRPr="00F00B11" w:rsidR="00F00B11">
        <w:rPr>
          <w:lang w:bidi="en-US"/>
        </w:rPr>
        <w:t>OpenPGP</w:t>
      </w:r>
      <w:proofErr w:type="spellEnd"/>
      <w:r w:rsidRPr="00F00B11" w:rsidR="00F00B11">
        <w:rPr>
          <w:lang w:bidi="en-US"/>
        </w:rPr>
        <w:t xml:space="preserve"> should be used to create public and private keys for privacy and digital signature applications</w:t>
      </w:r>
      <w:r w:rsidR="003A787C">
        <w:rPr>
          <w:lang w:bidi="en-US"/>
        </w:rPr>
        <w:t xml:space="preserve">; </w:t>
      </w:r>
      <w:r w:rsidR="00F87EC2">
        <w:rPr>
          <w:lang w:bidi="en-US"/>
        </w:rPr>
        <w:t>(</w:t>
      </w:r>
      <w:r w:rsidR="00BC7490">
        <w:rPr>
          <w:lang w:bidi="en-US"/>
        </w:rPr>
        <w:t>6</w:t>
      </w:r>
      <w:r w:rsidR="00F87EC2">
        <w:rPr>
          <w:lang w:bidi="en-US"/>
        </w:rPr>
        <w:t>) specify HTTPS whenever secure communication is required to protect information in transit and support overall privacy needs</w:t>
      </w:r>
      <w:r w:rsidR="003A787C">
        <w:rPr>
          <w:lang w:bidi="en-US"/>
        </w:rPr>
        <w:t xml:space="preserve">; </w:t>
      </w:r>
      <w:r w:rsidR="00680C51">
        <w:rPr>
          <w:lang w:bidi="en-US"/>
        </w:rPr>
        <w:t>(</w:t>
      </w:r>
      <w:r w:rsidR="00BC7490">
        <w:rPr>
          <w:lang w:bidi="en-US"/>
        </w:rPr>
        <w:t>7</w:t>
      </w:r>
      <w:r w:rsidR="00680C51">
        <w:rPr>
          <w:lang w:bidi="en-US"/>
        </w:rPr>
        <w:t xml:space="preserve">) </w:t>
      </w:r>
      <w:r w:rsidRPr="00680C51" w:rsidR="00680C51">
        <w:rPr>
          <w:lang w:bidi="en-US"/>
        </w:rPr>
        <w:t>use the largest feasible key length consistent with implementation of current business processes</w:t>
      </w:r>
      <w:r w:rsidR="003A787C">
        <w:rPr>
          <w:lang w:bidi="en-US"/>
        </w:rPr>
        <w:t xml:space="preserve">; </w:t>
      </w:r>
      <w:r w:rsidR="00680C51">
        <w:rPr>
          <w:lang w:bidi="en-US"/>
        </w:rPr>
        <w:t>(</w:t>
      </w:r>
      <w:r w:rsidR="00BC7490">
        <w:rPr>
          <w:lang w:bidi="en-US"/>
        </w:rPr>
        <w:t>8</w:t>
      </w:r>
      <w:r w:rsidR="00680C51">
        <w:rPr>
          <w:lang w:bidi="en-US"/>
        </w:rPr>
        <w:t xml:space="preserve">) </w:t>
      </w:r>
      <w:r w:rsidRPr="00680C51" w:rsidR="00680C51">
        <w:rPr>
          <w:lang w:bidi="en-US"/>
        </w:rPr>
        <w:t>state that secure web</w:t>
      </w:r>
      <w:r w:rsidR="00114A40">
        <w:rPr>
          <w:lang w:bidi="en-US"/>
        </w:rPr>
        <w:t xml:space="preserve"> </w:t>
      </w:r>
      <w:r w:rsidRPr="00680C51" w:rsidR="00680C51">
        <w:rPr>
          <w:lang w:bidi="en-US"/>
        </w:rPr>
        <w:t>sites should employ individual user credentials</w:t>
      </w:r>
      <w:r w:rsidR="003A787C">
        <w:rPr>
          <w:lang w:bidi="en-US"/>
        </w:rPr>
        <w:t xml:space="preserve">; </w:t>
      </w:r>
      <w:r w:rsidR="00F23F1B">
        <w:rPr>
          <w:lang w:bidi="en-US"/>
        </w:rPr>
        <w:t>and (</w:t>
      </w:r>
      <w:r w:rsidR="00BC7490">
        <w:rPr>
          <w:lang w:bidi="en-US"/>
        </w:rPr>
        <w:t>9</w:t>
      </w:r>
      <w:r w:rsidR="00F23F1B">
        <w:rPr>
          <w:lang w:bidi="en-US"/>
        </w:rPr>
        <w:t xml:space="preserve">) </w:t>
      </w:r>
      <w:r w:rsidRPr="00F23F1B" w:rsidR="00F23F1B">
        <w:rPr>
          <w:lang w:bidi="en-US"/>
        </w:rPr>
        <w:t>encourage security assessments and coordination between customers, vendors, and trading partners.</w:t>
      </w:r>
    </w:p>
    <w:p w:rsidR="00A652BF" w:rsidP="003E4F40" w:rsidRDefault="00655C4A" w14:paraId="7637F929" w14:textId="7C6631CE">
      <w:pPr>
        <w:pStyle w:val="FERCparanumber"/>
      </w:pPr>
      <w:r>
        <w:t>Further, in response to industry requests or through the normal course of WGQ activities, the proposals in this NOPR would, if implemented, upgrade current business practices and communication standards by specifically</w:t>
      </w:r>
      <w:r w:rsidR="003A787C">
        <w:t>:</w:t>
      </w:r>
      <w:r>
        <w:t xml:space="preserve"> (1) updating the Nomination</w:t>
      </w:r>
      <w:r w:rsidR="00CE273A">
        <w:t>s</w:t>
      </w:r>
      <w:r>
        <w:t xml:space="preserve"> Related Standards to allow a Service Requester to determine which rights of the contract </w:t>
      </w:r>
      <w:r w:rsidR="00BC7490">
        <w:t>its</w:t>
      </w:r>
      <w:r>
        <w:t xml:space="preserve"> segmentation nomination is u</w:t>
      </w:r>
      <w:r w:rsidR="00CE273A">
        <w:t>s</w:t>
      </w:r>
      <w:r>
        <w:t>ing; (2) updating the Quadrant EDM Related Standards to (</w:t>
      </w:r>
      <w:proofErr w:type="spellStart"/>
      <w:r>
        <w:t>i</w:t>
      </w:r>
      <w:proofErr w:type="spellEnd"/>
      <w:r>
        <w:t xml:space="preserve">) define a NAESB standard time frame for information to be retained on a pipeline’s Informational Postings web site, (ii) </w:t>
      </w:r>
      <w:r w:rsidR="00E57298">
        <w:t xml:space="preserve">allow for processing functions at the line item level on Customer Activities web sites and allow for the use of icons and/or graphical control </w:t>
      </w:r>
      <w:r w:rsidR="00E57298">
        <w:lastRenderedPageBreak/>
        <w:t>elements for navigation and/or processing functions, and (iii) make minor revisions designed to add clarity, update the minimum technical characteristics to account for changes in technology since the previous version (Version 3.1) of the WGQ standards, and update the minimum and suggested operating systems and web browsers that entities should support; (3) updating multiple sets of standards to remove references to the term “</w:t>
      </w:r>
      <w:proofErr w:type="spellStart"/>
      <w:r w:rsidR="00E57298">
        <w:t>gigacalories</w:t>
      </w:r>
      <w:proofErr w:type="spellEnd"/>
      <w:r w:rsidR="00E57298">
        <w:t>” and add the term “gigajoules” as the standard quantity for nominations, confirmations, and scheduling in Mexico; and (4) revising the NAESB WGQ data sets or other technical implementation documentation while not resulting in modifications to the underlying business practice standards.  The package of standards also includes minor corrections.</w:t>
      </w:r>
      <w:r w:rsidR="0079213E">
        <w:t xml:space="preserve">  </w:t>
      </w:r>
      <w:r w:rsidR="00DB3C61">
        <w:t xml:space="preserve">The implementation of these data requirements will </w:t>
      </w:r>
      <w:r w:rsidR="00A652BF">
        <w:t xml:space="preserve">provide additional transparency to </w:t>
      </w:r>
      <w:r w:rsidR="004F0F29">
        <w:t>I</w:t>
      </w:r>
      <w:r w:rsidR="00A652BF">
        <w:t xml:space="preserve">nformational </w:t>
      </w:r>
      <w:r w:rsidR="004F0F29">
        <w:t>P</w:t>
      </w:r>
      <w:r w:rsidR="00A652BF">
        <w:t xml:space="preserve">ostings web sites </w:t>
      </w:r>
      <w:r w:rsidR="009A3678">
        <w:t xml:space="preserve">and will improve communication standards.  The implementation of these standards and regulations will promote the additional efficiency and reliability of the natural gas industries’ operations thereby </w:t>
      </w:r>
      <w:r w:rsidR="00DB3C61">
        <w:t>help</w:t>
      </w:r>
      <w:r w:rsidR="009A3678">
        <w:t>ing</w:t>
      </w:r>
      <w:r w:rsidR="00DB3C61">
        <w:t xml:space="preserve"> the Commission </w:t>
      </w:r>
      <w:r w:rsidR="009A3678">
        <w:t xml:space="preserve">to </w:t>
      </w:r>
      <w:r w:rsidR="00DB3C61">
        <w:t>carry out its responsibilities under the N</w:t>
      </w:r>
      <w:r w:rsidR="00561DE7">
        <w:t>GA</w:t>
      </w:r>
      <w:r w:rsidR="009A3678">
        <w:t>.</w:t>
      </w:r>
      <w:r w:rsidR="00DB3C61">
        <w:t xml:space="preserve">  </w:t>
      </w:r>
      <w:r w:rsidR="009A3678">
        <w:t>In addition, t</w:t>
      </w:r>
      <w:r w:rsidR="00DB3C61">
        <w:t>he Commission’s Office of Enforcement will use the data for general industry oversight.</w:t>
      </w:r>
    </w:p>
    <w:p w:rsidR="002C767A" w:rsidP="000603CD" w:rsidRDefault="00703242" w14:paraId="6CE152C8" w14:textId="141CCE19">
      <w:pPr>
        <w:pStyle w:val="FERCparanumber"/>
        <w:numPr>
          <w:ilvl w:val="0"/>
          <w:numId w:val="0"/>
        </w:numPr>
      </w:pPr>
      <w:r>
        <w:rPr>
          <w:u w:val="single"/>
        </w:rPr>
        <w:t>Internal Review:</w:t>
      </w:r>
      <w:r>
        <w:t xml:space="preserve">  </w:t>
      </w:r>
      <w:r w:rsidR="00677F3F">
        <w:t xml:space="preserve">We have </w:t>
      </w:r>
      <w:r>
        <w:t xml:space="preserve">reviewed the requirements pertaining to business practices </w:t>
      </w:r>
      <w:r w:rsidR="00677F3F">
        <w:t xml:space="preserve">of </w:t>
      </w:r>
      <w:r>
        <w:t xml:space="preserve">interstate natural gas pipelines and made a </w:t>
      </w:r>
      <w:r w:rsidR="00677F3F">
        <w:t xml:space="preserve">preliminary </w:t>
      </w:r>
      <w:r>
        <w:t xml:space="preserve">determination that the proposed revisions are necessary to establish a more efficient and integrated pipeline grid.  These requirements conform to </w:t>
      </w:r>
      <w:r w:rsidR="00677F3F">
        <w:t xml:space="preserve">our </w:t>
      </w:r>
      <w:r>
        <w:t>plan for efficient information collection</w:t>
      </w:r>
      <w:r w:rsidR="00677F3F">
        <w:t>,</w:t>
      </w:r>
      <w:r>
        <w:t xml:space="preserve"> communication, and management within the natural gas </w:t>
      </w:r>
      <w:r w:rsidR="00677F3F">
        <w:t xml:space="preserve">pipeline </w:t>
      </w:r>
      <w:r>
        <w:t>industr</w:t>
      </w:r>
      <w:r w:rsidR="00677F3F">
        <w:t>ies</w:t>
      </w:r>
      <w:r>
        <w:t xml:space="preserve">.  </w:t>
      </w:r>
      <w:r w:rsidR="00677F3F">
        <w:t>We</w:t>
      </w:r>
      <w:r w:rsidR="00A77EF8">
        <w:t xml:space="preserve"> determined through</w:t>
      </w:r>
      <w:r w:rsidR="00677F3F">
        <w:t xml:space="preserve"> </w:t>
      </w:r>
      <w:r w:rsidR="003A787C">
        <w:t xml:space="preserve">our </w:t>
      </w:r>
      <w:r>
        <w:t>internal review, that there is specific, objective support for the bu</w:t>
      </w:r>
      <w:r w:rsidR="00677F3F">
        <w:t xml:space="preserve">rden </w:t>
      </w:r>
      <w:r>
        <w:t>estimates associated with the information requirements.</w:t>
      </w:r>
    </w:p>
    <w:p w:rsidR="00677F3F" w:rsidP="003E4F40" w:rsidRDefault="002C767A" w14:paraId="2C27D847" w14:textId="209BB49F">
      <w:pPr>
        <w:pStyle w:val="FERCparanumber"/>
      </w:pPr>
      <w:r>
        <w:lastRenderedPageBreak/>
        <w:t>Interested persons may obtain information on the reporting requirements by contacting the following:  Federal Energy Regulatory Commission</w:t>
      </w:r>
      <w:r w:rsidRPr="00932257" w:rsidR="00677F3F">
        <w:t xml:space="preserve">, 888 First Street, NE, Washington, DC </w:t>
      </w:r>
      <w:r w:rsidR="00356C09">
        <w:t xml:space="preserve"> </w:t>
      </w:r>
      <w:r w:rsidRPr="00932257" w:rsidR="00677F3F">
        <w:t>20426 [Attention:  Ellen Brown, Office of the Executive Director],</w:t>
      </w:r>
      <w:r w:rsidR="00677F3F">
        <w:t xml:space="preserve"> </w:t>
      </w:r>
      <w:r w:rsidR="00356C09">
        <w:br/>
      </w:r>
      <w:r w:rsidRPr="00932257" w:rsidR="00677F3F">
        <w:t xml:space="preserve">e-mail: </w:t>
      </w:r>
      <w:r w:rsidRPr="00356C09" w:rsidR="00677F3F">
        <w:rPr>
          <w:rStyle w:val="Hyperlink"/>
          <w:color w:val="auto"/>
          <w:u w:val="none"/>
        </w:rPr>
        <w:t>DataClearance@ferc.gov</w:t>
      </w:r>
      <w:r w:rsidRPr="00356C09" w:rsidR="00677F3F">
        <w:t>,</w:t>
      </w:r>
      <w:r w:rsidRPr="00932257" w:rsidR="00677F3F">
        <w:t xml:space="preserve"> </w:t>
      </w:r>
      <w:r w:rsidR="003A787C">
        <w:t>tele</w:t>
      </w:r>
      <w:r w:rsidRPr="00932257" w:rsidR="00677F3F">
        <w:t>phone: (202) 502-8663, fax: (202) 273-0873.</w:t>
      </w:r>
    </w:p>
    <w:p w:rsidR="00703242" w:rsidP="00197955" w:rsidRDefault="002C767A" w14:paraId="5298EF11" w14:textId="57B61594">
      <w:pPr>
        <w:pStyle w:val="FERCparanumber"/>
      </w:pPr>
      <w:r>
        <w:t>Comments concerning the collection of information(s) and the associated burden estimate(s), should be sent to the contact listed above and to the Office of Management and Budget, Office of Information and Regulatory Affairs, Washington, DC 20503 [Attention: Desk Officer for the Federal Energy Regulatory Commission</w:t>
      </w:r>
      <w:r w:rsidR="00FB2BCF">
        <w:t>,</w:t>
      </w:r>
      <w:r>
        <w:t xml:space="preserve"> </w:t>
      </w:r>
      <w:r w:rsidR="00FB2BCF">
        <w:t>tele</w:t>
      </w:r>
      <w:r>
        <w:t>phone: (202) 395-</w:t>
      </w:r>
      <w:r w:rsidR="00FB2BCF">
        <w:t>0710</w:t>
      </w:r>
      <w:r>
        <w:t>; fax</w:t>
      </w:r>
      <w:r w:rsidR="003A787C">
        <w:t>:</w:t>
      </w:r>
      <w:r>
        <w:t xml:space="preserve"> (202) 395-</w:t>
      </w:r>
      <w:r w:rsidR="00FB2BCF">
        <w:t>4718</w:t>
      </w:r>
      <w:r w:rsidR="003A787C">
        <w:t>]</w:t>
      </w:r>
      <w:r w:rsidR="00197955">
        <w:t>.</w:t>
      </w:r>
    </w:p>
    <w:p w:rsidRPr="00B61165" w:rsidR="00832085" w:rsidP="00832085" w:rsidRDefault="00832085" w14:paraId="20AA455F" w14:textId="77777777">
      <w:pPr>
        <w:pStyle w:val="Heading1"/>
      </w:pPr>
      <w:bookmarkStart w:name="_bmk11" w:id="29"/>
      <w:bookmarkStart w:name="_Toc52890011" w:id="30"/>
      <w:r w:rsidRPr="00B61165">
        <w:t>E</w:t>
      </w:r>
      <w:bookmarkEnd w:id="29"/>
      <w:r w:rsidRPr="00B61165">
        <w:t>nvironmental Analysis</w:t>
      </w:r>
      <w:bookmarkEnd w:id="30"/>
    </w:p>
    <w:p w:rsidR="00832085" w:rsidP="00401A63" w:rsidRDefault="00832085" w14:paraId="3F342374" w14:textId="7EF77F97">
      <w:pPr>
        <w:pStyle w:val="FERCparanumber"/>
      </w:pPr>
      <w:r w:rsidRPr="00B61165">
        <w:t>The Commission is required to prepare an Environmental Assessment or an Environmental Impact Statement for any action that may have a significant adverse effect on the human environment.</w:t>
      </w:r>
      <w:r w:rsidRPr="00832085">
        <w:rPr>
          <w:rStyle w:val="FootnoteReference"/>
        </w:rPr>
        <w:footnoteReference w:id="35"/>
      </w:r>
      <w:r w:rsidRPr="00B61165">
        <w:t xml:space="preserve"> </w:t>
      </w:r>
      <w:r w:rsidR="001F3F84">
        <w:t xml:space="preserve"> </w:t>
      </w:r>
      <w:r w:rsidR="006179D4">
        <w:t xml:space="preserve">The actions </w:t>
      </w:r>
      <w:r w:rsidR="003A787C">
        <w:t xml:space="preserve">that we </w:t>
      </w:r>
      <w:r w:rsidR="006179D4">
        <w:t xml:space="preserve">propose </w:t>
      </w:r>
      <w:r w:rsidR="001F3F84">
        <w:t xml:space="preserve">to take </w:t>
      </w:r>
      <w:r w:rsidR="006179D4">
        <w:t xml:space="preserve">here fall within categorical exclusions in the Commission’s regulations for rules that are clarifying, corrective, or procedural, for information gathering, analysis, and dissemination, and for </w:t>
      </w:r>
      <w:r w:rsidR="001F3F84">
        <w:t xml:space="preserve">rules regarding </w:t>
      </w:r>
      <w:r w:rsidR="006179D4">
        <w:t>sales, exchange, and transportation of natural gas that require no construction of facilities.</w:t>
      </w:r>
      <w:r w:rsidRPr="00932257" w:rsidR="001F3F84">
        <w:rPr>
          <w:rStyle w:val="FootnoteReference"/>
        </w:rPr>
        <w:footnoteReference w:id="36"/>
      </w:r>
      <w:r w:rsidR="006179D4">
        <w:t xml:space="preserve">  Therefore, an environmental </w:t>
      </w:r>
      <w:r w:rsidR="001F3F84">
        <w:t>review</w:t>
      </w:r>
      <w:r w:rsidR="006179D4">
        <w:t xml:space="preserve"> is unnecessary and has not been pr</w:t>
      </w:r>
      <w:r w:rsidR="001F3F84">
        <w:t>epared</w:t>
      </w:r>
      <w:r w:rsidR="006179D4">
        <w:t xml:space="preserve"> as part of this NOPR.</w:t>
      </w:r>
    </w:p>
    <w:p w:rsidRPr="00B61165" w:rsidR="00832085" w:rsidP="00832085" w:rsidRDefault="00832085" w14:paraId="4C9E05D0" w14:textId="028E8C75">
      <w:pPr>
        <w:pStyle w:val="Heading1"/>
      </w:pPr>
      <w:bookmarkStart w:name="_bmk12" w:id="31"/>
      <w:bookmarkStart w:name="_Toc52890012" w:id="32"/>
      <w:r w:rsidRPr="00B61165">
        <w:lastRenderedPageBreak/>
        <w:t>R</w:t>
      </w:r>
      <w:bookmarkEnd w:id="31"/>
      <w:r w:rsidRPr="00B61165">
        <w:t>egulatory Flexibility Act</w:t>
      </w:r>
      <w:bookmarkEnd w:id="32"/>
    </w:p>
    <w:p w:rsidR="00FA390A" w:rsidP="00447828" w:rsidRDefault="00832085" w14:paraId="506090FC" w14:textId="7FB81305">
      <w:pPr>
        <w:pStyle w:val="FERCparanumber"/>
      </w:pPr>
      <w:r w:rsidRPr="00B61165">
        <w:t>The Regulatory Fle</w:t>
      </w:r>
      <w:r w:rsidRPr="00B61165">
        <w:rPr>
          <w:rStyle w:val="FERCparanumberChar"/>
        </w:rPr>
        <w:t>x</w:t>
      </w:r>
      <w:r w:rsidRPr="00B61165">
        <w:t>ibility Act of 1980 (RFA)</w:t>
      </w:r>
      <w:r w:rsidRPr="00832085">
        <w:rPr>
          <w:rStyle w:val="FootnoteReference"/>
        </w:rPr>
        <w:footnoteReference w:id="37"/>
      </w:r>
      <w:r w:rsidRPr="00B61165">
        <w:t xml:space="preserve"> generally requires a description and analysis of proposed rules that will have significant economic impact on a substantial number of small entities.</w:t>
      </w:r>
      <w:r w:rsidR="00FA390A">
        <w:t xml:space="preserve">  </w:t>
      </w:r>
      <w:r w:rsidRPr="00932257" w:rsidR="00447828">
        <w:t>The Commission is not required to make such analysis if proposed regulations would not have such an effect.</w:t>
      </w:r>
    </w:p>
    <w:p w:rsidR="002F6842" w:rsidP="002F6842" w:rsidRDefault="00FA390A" w14:paraId="6AD3B3AC" w14:textId="6992157D">
      <w:pPr>
        <w:pStyle w:val="FERCparanumber"/>
      </w:pPr>
      <w:r>
        <w:t>Approximately 1</w:t>
      </w:r>
      <w:r w:rsidR="007E4A3B">
        <w:t>78</w:t>
      </w:r>
      <w:r>
        <w:t xml:space="preserve"> </w:t>
      </w:r>
      <w:r w:rsidR="00241B37">
        <w:t xml:space="preserve">interstate natural gas pipelines, both large and small, are </w:t>
      </w:r>
      <w:r w:rsidR="00D900FA">
        <w:t xml:space="preserve">potential respondents subject to </w:t>
      </w:r>
      <w:r w:rsidR="00241B37">
        <w:t xml:space="preserve">the </w:t>
      </w:r>
      <w:r w:rsidR="00D900FA">
        <w:t>requirements</w:t>
      </w:r>
      <w:r w:rsidR="00241B37">
        <w:t xml:space="preserve"> adopted by this rule.  </w:t>
      </w:r>
      <w:r w:rsidRPr="00241B37" w:rsidR="00241B37">
        <w:t>Most of the natural gas pipelines regulated by the Commission do not fall within the RFA’s definition of a small entity,</w:t>
      </w:r>
      <w:r w:rsidRPr="00241B37" w:rsidR="00241B37">
        <w:rPr>
          <w:b/>
          <w:vertAlign w:val="superscript"/>
        </w:rPr>
        <w:footnoteReference w:id="38"/>
      </w:r>
      <w:r w:rsidRPr="00241B37" w:rsidR="00241B37">
        <w:t xml:space="preserve"> which is currently defined for natural gas pipelines as a company that, in combination with its affiliates, has total annual receipts of $</w:t>
      </w:r>
      <w:r w:rsidR="0056522A">
        <w:t>30</w:t>
      </w:r>
      <w:r w:rsidRPr="00241B37" w:rsidR="00241B37">
        <w:t xml:space="preserve"> million or less.</w:t>
      </w:r>
      <w:r w:rsidRPr="00241B37" w:rsidR="00241B37">
        <w:rPr>
          <w:b/>
          <w:vertAlign w:val="superscript"/>
        </w:rPr>
        <w:footnoteReference w:id="39"/>
      </w:r>
      <w:r w:rsidRPr="00241B37" w:rsidR="00241B37">
        <w:t xml:space="preserve">  </w:t>
      </w:r>
      <w:r w:rsidR="00D900FA">
        <w:t xml:space="preserve">For the </w:t>
      </w:r>
      <w:r w:rsidRPr="00E13825" w:rsidR="00D900FA">
        <w:t xml:space="preserve">year </w:t>
      </w:r>
      <w:r w:rsidRPr="00E13825" w:rsidR="00524F86">
        <w:t>20</w:t>
      </w:r>
      <w:r w:rsidRPr="00E13825" w:rsidR="00FF4D8A">
        <w:t>19</w:t>
      </w:r>
      <w:r w:rsidR="00911F8B">
        <w:t>,</w:t>
      </w:r>
      <w:r w:rsidR="00FF1CF8">
        <w:t xml:space="preserve"> </w:t>
      </w:r>
      <w:r w:rsidR="00D70225">
        <w:t xml:space="preserve">only </w:t>
      </w:r>
      <w:r w:rsidR="00655AE5">
        <w:t xml:space="preserve">11 </w:t>
      </w:r>
      <w:r w:rsidR="00D900FA">
        <w:t xml:space="preserve">companies not affiliated with larger companies had annual revenues </w:t>
      </w:r>
      <w:bookmarkStart w:name="_Hlk55571677" w:id="33"/>
      <w:r w:rsidR="00911F8B">
        <w:t xml:space="preserve">in combination with its affiliates </w:t>
      </w:r>
      <w:bookmarkEnd w:id="33"/>
      <w:r w:rsidR="00D900FA">
        <w:t>of</w:t>
      </w:r>
      <w:r w:rsidR="00911F8B">
        <w:t xml:space="preserve"> </w:t>
      </w:r>
      <w:r w:rsidR="00D900FA">
        <w:t>$</w:t>
      </w:r>
      <w:r w:rsidR="0056522A">
        <w:t>30</w:t>
      </w:r>
      <w:r w:rsidR="00D900FA">
        <w:t xml:space="preserve"> million</w:t>
      </w:r>
      <w:r w:rsidR="00911F8B">
        <w:t xml:space="preserve"> or less and therefore could be considered a small entity under the RFA.  This represents </w:t>
      </w:r>
      <w:r w:rsidR="00D900FA">
        <w:t xml:space="preserve">about </w:t>
      </w:r>
      <w:r w:rsidR="00D70225">
        <w:t xml:space="preserve">six </w:t>
      </w:r>
      <w:r w:rsidR="00D900FA">
        <w:t>percent of the total universe of potential respondents</w:t>
      </w:r>
      <w:r w:rsidR="00911F8B">
        <w:t xml:space="preserve"> that may have a significant burden imposed on them</w:t>
      </w:r>
      <w:r w:rsidR="00D900FA">
        <w:t xml:space="preserve">.  </w:t>
      </w:r>
      <w:r w:rsidR="00911F8B">
        <w:t xml:space="preserve">We </w:t>
      </w:r>
      <w:r w:rsidRPr="00911F8B" w:rsidR="00911F8B">
        <w:t xml:space="preserve">estimate that the one-time implementation cost of the proposals in this NOPR is </w:t>
      </w:r>
      <w:r w:rsidRPr="00911F8B" w:rsidR="00911F8B">
        <w:lastRenderedPageBreak/>
        <w:t>$</w:t>
      </w:r>
      <w:r w:rsidRPr="00145204" w:rsidR="00145204">
        <w:t>1,</w:t>
      </w:r>
      <w:r w:rsidR="00A74439">
        <w:t>977,580</w:t>
      </w:r>
      <w:r w:rsidR="00915292">
        <w:t xml:space="preserve"> </w:t>
      </w:r>
      <w:r w:rsidRPr="00911F8B" w:rsidR="00911F8B">
        <w:t>(or $</w:t>
      </w:r>
      <w:r w:rsidR="0056522A">
        <w:t>1</w:t>
      </w:r>
      <w:r w:rsidR="00A74439">
        <w:t>1,110</w:t>
      </w:r>
      <w:r w:rsidRPr="00911F8B" w:rsidR="00911F8B">
        <w:t xml:space="preserve"> per entity, regardless of entity size).</w:t>
      </w:r>
      <w:r w:rsidRPr="00911F8B" w:rsidR="00911F8B">
        <w:rPr>
          <w:b/>
          <w:vertAlign w:val="superscript"/>
        </w:rPr>
        <w:footnoteReference w:id="40"/>
      </w:r>
      <w:r w:rsidRPr="00911F8B" w:rsidR="00911F8B">
        <w:t xml:space="preserve">  </w:t>
      </w:r>
      <w:r w:rsidR="00911F8B">
        <w:t xml:space="preserve">We </w:t>
      </w:r>
      <w:r w:rsidRPr="00911F8B" w:rsidR="00911F8B">
        <w:t>do not consider the estimated $</w:t>
      </w:r>
      <w:r w:rsidR="0056522A">
        <w:t>1</w:t>
      </w:r>
      <w:r w:rsidR="00A74439">
        <w:t>1,110</w:t>
      </w:r>
      <w:r w:rsidRPr="00911F8B" w:rsidR="00911F8B">
        <w:t xml:space="preserve"> impact per entity to be significant.  </w:t>
      </w:r>
      <w:r w:rsidR="00D900FA">
        <w:t>Moreover, these requirements are designed to benefit all customers, including small businesses</w:t>
      </w:r>
      <w:r w:rsidR="00C43B2C">
        <w:t xml:space="preserve"> that must comply with them</w:t>
      </w:r>
      <w:r w:rsidR="00D900FA">
        <w:t xml:space="preserve">.  </w:t>
      </w:r>
      <w:r w:rsidR="00C43B2C">
        <w:t>Further, a</w:t>
      </w:r>
      <w:r w:rsidR="00D900FA">
        <w:t>s noted above, adoption of consensus standards</w:t>
      </w:r>
      <w:r w:rsidR="00C43B2C">
        <w:t xml:space="preserve"> helps ensure the reasonableness of the standards</w:t>
      </w:r>
      <w:r w:rsidR="002F6842">
        <w:t xml:space="preserve"> by requiring that the </w:t>
      </w:r>
      <w:r w:rsidR="00D900FA">
        <w:t xml:space="preserve">standards </w:t>
      </w:r>
      <w:r w:rsidR="002F6842">
        <w:t xml:space="preserve">draw </w:t>
      </w:r>
      <w:r w:rsidR="00D900FA">
        <w:t>support</w:t>
      </w:r>
      <w:r w:rsidR="002F6842">
        <w:t xml:space="preserve"> from a broad spectrum of industry participants representing all segments of the industry</w:t>
      </w:r>
      <w:r w:rsidR="00D900FA">
        <w:t>.</w:t>
      </w:r>
      <w:r w:rsidR="002F6842">
        <w:t xml:space="preserve">  </w:t>
      </w:r>
      <w:r w:rsidRPr="00932257" w:rsidR="002F6842">
        <w:t>Because of that representation and the fact that industry conducts business under these standards, the Commission’s regulations should reflect those standards that have the widest possible support.</w:t>
      </w:r>
    </w:p>
    <w:p w:rsidRPr="00B61165" w:rsidR="006A1DA6" w:rsidP="006A1DA6" w:rsidRDefault="00D900FA" w14:paraId="36E83B95" w14:textId="48D652A8">
      <w:pPr>
        <w:pStyle w:val="FERCparanumber"/>
      </w:pPr>
      <w:r>
        <w:t>Accordingly, pursuant to section 605(b) of the RFA,</w:t>
      </w:r>
      <w:r w:rsidRPr="00932257" w:rsidR="006A1DA6">
        <w:rPr>
          <w:rStyle w:val="FootnoteReference"/>
        </w:rPr>
        <w:footnoteReference w:id="41"/>
      </w:r>
      <w:r>
        <w:t xml:space="preserve"> the regulations proposed herein </w:t>
      </w:r>
      <w:r w:rsidR="006A1DA6">
        <w:t xml:space="preserve">should </w:t>
      </w:r>
      <w:r>
        <w:t xml:space="preserve">not have a significant </w:t>
      </w:r>
      <w:r w:rsidR="006A1DA6">
        <w:t>economic</w:t>
      </w:r>
      <w:r>
        <w:t xml:space="preserve"> impac</w:t>
      </w:r>
      <w:r w:rsidR="00E45CEC">
        <w:t xml:space="preserve">t </w:t>
      </w:r>
      <w:r>
        <w:t>on a substantial number of small entities.</w:t>
      </w:r>
    </w:p>
    <w:p w:rsidRPr="00B61165" w:rsidR="00832085" w:rsidP="00832085" w:rsidRDefault="00832085" w14:paraId="616EF800" w14:textId="77777777">
      <w:pPr>
        <w:pStyle w:val="Heading1"/>
      </w:pPr>
      <w:bookmarkStart w:name="_bmk13" w:id="34"/>
      <w:bookmarkStart w:name="_Toc52890013" w:id="35"/>
      <w:r w:rsidRPr="00B61165">
        <w:t>C</w:t>
      </w:r>
      <w:bookmarkEnd w:id="34"/>
      <w:r w:rsidRPr="00B61165">
        <w:t>omment Procedures</w:t>
      </w:r>
      <w:bookmarkEnd w:id="35"/>
    </w:p>
    <w:p w:rsidRPr="00932257" w:rsidR="00C663A0" w:rsidP="00C663A0" w:rsidRDefault="00C663A0" w14:paraId="668499F2" w14:textId="231E8846">
      <w:pPr>
        <w:pStyle w:val="FERCparanumber"/>
      </w:pPr>
      <w:r>
        <w:t xml:space="preserve">We </w:t>
      </w:r>
      <w:r w:rsidRPr="00B61165" w:rsidR="00832085">
        <w:t>invite interested persons to submit comments on the matters and issues proposed in this notice to be adopted, including any related matters or alternative proposals that commenters may wish to discuss.  Comments are due [</w:t>
      </w:r>
      <w:r w:rsidRPr="00B61165" w:rsidR="00832085">
        <w:rPr>
          <w:b/>
        </w:rPr>
        <w:t xml:space="preserve">INSERT DATE </w:t>
      </w:r>
      <w:r w:rsidR="00CD4AE5">
        <w:rPr>
          <w:b/>
        </w:rPr>
        <w:br/>
      </w:r>
      <w:r w:rsidR="00A15C21">
        <w:rPr>
          <w:b/>
        </w:rPr>
        <w:t xml:space="preserve">45 </w:t>
      </w:r>
      <w:r>
        <w:rPr>
          <w:b/>
        </w:rPr>
        <w:t xml:space="preserve">days </w:t>
      </w:r>
      <w:r w:rsidRPr="00B61165" w:rsidR="00832085">
        <w:rPr>
          <w:b/>
        </w:rPr>
        <w:t>after</w:t>
      </w:r>
      <w:r w:rsidR="00356C09">
        <w:rPr>
          <w:b/>
        </w:rPr>
        <w:t xml:space="preserve"> date of</w:t>
      </w:r>
      <w:r w:rsidRPr="00B61165" w:rsidR="00832085">
        <w:rPr>
          <w:b/>
        </w:rPr>
        <w:t xml:space="preserve"> publication in the FEDERAL REGISTER]</w:t>
      </w:r>
      <w:r w:rsidRPr="00B61165" w:rsidR="00832085">
        <w:t xml:space="preserve">].  Comments must </w:t>
      </w:r>
      <w:r w:rsidRPr="00B61165" w:rsidR="00832085">
        <w:lastRenderedPageBreak/>
        <w:t xml:space="preserve">refer to Docket No. </w:t>
      </w:r>
      <w:r>
        <w:t>RM96-1-042</w:t>
      </w:r>
      <w:r w:rsidRPr="00B61165">
        <w:t xml:space="preserve">, </w:t>
      </w:r>
      <w:r w:rsidRPr="00B61165" w:rsidR="00832085">
        <w:t>and must include the commenter's name, the organization they represent</w:t>
      </w:r>
      <w:r>
        <w:t xml:space="preserve"> (</w:t>
      </w:r>
      <w:r w:rsidRPr="00B61165" w:rsidR="00832085">
        <w:t>if applicable</w:t>
      </w:r>
      <w:r>
        <w:t>)</w:t>
      </w:r>
      <w:r w:rsidRPr="00B61165" w:rsidR="00832085">
        <w:t>, and their address in their comments.</w:t>
      </w:r>
    </w:p>
    <w:p w:rsidRPr="00932257" w:rsidR="00CC1F31" w:rsidP="00CC1F31" w:rsidRDefault="00CC1F31" w14:paraId="03276C05" w14:textId="5FCD1537">
      <w:pPr>
        <w:pStyle w:val="FERCparanumber"/>
      </w:pPr>
      <w:r>
        <w:t xml:space="preserve">We </w:t>
      </w:r>
      <w:r w:rsidRPr="00B61165" w:rsidR="00832085">
        <w:t xml:space="preserve">encourage comments to be filed electronically via the </w:t>
      </w:r>
      <w:proofErr w:type="spellStart"/>
      <w:r w:rsidRPr="00B61165" w:rsidR="00832085">
        <w:t>eFiling</w:t>
      </w:r>
      <w:proofErr w:type="spellEnd"/>
      <w:r w:rsidRPr="00B61165" w:rsidR="00832085">
        <w:t xml:space="preserve"> link on the Commission's web site at</w:t>
      </w:r>
      <w:r>
        <w:t xml:space="preserve"> </w:t>
      </w:r>
      <w:r w:rsidRPr="00CC1F31">
        <w:t>https://www.ferc.gov/</w:t>
      </w:r>
      <w:r>
        <w:t>.</w:t>
      </w:r>
      <w:r w:rsidRPr="00B61165" w:rsidR="00832085">
        <w:t xml:space="preserve">  </w:t>
      </w:r>
      <w:r>
        <w:t xml:space="preserve">We </w:t>
      </w:r>
      <w:r w:rsidRPr="00B61165" w:rsidR="00832085">
        <w:t>accept most standard word processing formats.  Documents created electronically using word processing software should be filed in native applications or print-to-PDF format and not in a scanned format.  Commenters filing electronically do not need to make a paper filing.</w:t>
      </w:r>
    </w:p>
    <w:p w:rsidR="00832085" w:rsidP="00401A63" w:rsidRDefault="008C44FF" w14:paraId="77AB72F9" w14:textId="724E515D">
      <w:pPr>
        <w:pStyle w:val="FERCparanumber"/>
      </w:pPr>
      <w:r>
        <w:t xml:space="preserve"> </w:t>
      </w:r>
      <w:r w:rsidRPr="008C44FF">
        <w:t>Commenters that are not able to file comments electronically may mail or hand-deliver an original of their comments.  Mailed comments should be addressed to: Federal Energy Regulatory Commission, Secretary of the Commission, 888 First Street, NE, Washington, DC</w:t>
      </w:r>
      <w:r w:rsidR="00E15B79">
        <w:t xml:space="preserve"> </w:t>
      </w:r>
      <w:r w:rsidRPr="008C44FF">
        <w:t xml:space="preserve"> 20426.  Hand-delivered comments should be delivered to: Federal Energy Regulatory Commission, 12225 Wilkins Avenue, Rockville, Maryland 20852. </w:t>
      </w:r>
    </w:p>
    <w:p w:rsidRPr="00B61165" w:rsidR="00832085" w:rsidP="00401A63" w:rsidRDefault="00832085" w14:paraId="0766A84E" w14:textId="77777777">
      <w:pPr>
        <w:pStyle w:val="FERCparanumber"/>
      </w:pPr>
      <w:r w:rsidRPr="00B61165">
        <w:t>All comments will be placed in the Commission's public files and may be viewed, printed, or downloaded remotely as described in the Document Availability section below.  Commenters on this proposal are not required to serve copies of their comments on other commenters.</w:t>
      </w:r>
    </w:p>
    <w:p w:rsidRPr="00B61165" w:rsidR="00832085" w:rsidP="00832085" w:rsidRDefault="00832085" w14:paraId="085376E8" w14:textId="77777777">
      <w:pPr>
        <w:pStyle w:val="Heading1"/>
      </w:pPr>
      <w:bookmarkStart w:name="_bmk14" w:id="36"/>
      <w:bookmarkStart w:name="_Toc52890014" w:id="37"/>
      <w:r w:rsidRPr="00B61165">
        <w:t>D</w:t>
      </w:r>
      <w:bookmarkEnd w:id="36"/>
      <w:r w:rsidRPr="00B61165">
        <w:t>ocument Availability</w:t>
      </w:r>
      <w:bookmarkEnd w:id="37"/>
    </w:p>
    <w:p w:rsidR="00832085" w:rsidP="00401A63" w:rsidRDefault="00832085" w14:paraId="05054919" w14:textId="024FB462">
      <w:pPr>
        <w:pStyle w:val="FERCparanumber"/>
      </w:pPr>
      <w:r w:rsidRPr="00B61165">
        <w:t xml:space="preserve">In addition to publishing the full text of this document in the Federal Register, </w:t>
      </w:r>
      <w:r w:rsidR="00AD07E8">
        <w:t xml:space="preserve">we </w:t>
      </w:r>
      <w:r w:rsidRPr="00B61165">
        <w:t>provide all interested persons an opportunity to view and/or print the contents of this document via the Internet through the Commission's Home Page (</w:t>
      </w:r>
      <w:r w:rsidRPr="00CC1F31" w:rsidR="00CC1F31">
        <w:t>https://www.ferc.gov/</w:t>
      </w:r>
      <w:r w:rsidRPr="00B61165">
        <w:t>)</w:t>
      </w:r>
      <w:r w:rsidR="005C083B">
        <w:t xml:space="preserve">.  At this time, </w:t>
      </w:r>
      <w:r w:rsidR="00AD07E8">
        <w:t xml:space="preserve">we have </w:t>
      </w:r>
      <w:r w:rsidR="005C083B">
        <w:t>suspended access to the</w:t>
      </w:r>
      <w:r w:rsidRPr="00B61165">
        <w:t xml:space="preserve"> Commission's Public Reference Room</w:t>
      </w:r>
      <w:r w:rsidR="005C083B">
        <w:t xml:space="preserve"> due </w:t>
      </w:r>
      <w:r w:rsidR="005C083B">
        <w:lastRenderedPageBreak/>
        <w:t>to the President’s March 13, 2020 proclamation declaring a National Emergency concerning the Novel Coronavirus Disease (COVID-19).</w:t>
      </w:r>
    </w:p>
    <w:p w:rsidRPr="00B61165" w:rsidR="00832085" w:rsidP="00401A63" w:rsidRDefault="00832085" w14:paraId="36D1FB01" w14:textId="128922D0">
      <w:pPr>
        <w:pStyle w:val="FERCparanumber"/>
      </w:pPr>
      <w:r w:rsidRPr="00B61165">
        <w:t xml:space="preserve">From the Commission's Home Page on the Internet, this information is available on eLibrary.  The full text of this document is available on eLibrary in PDF and Microsoft Word format for viewing, printing, and/or downloading. </w:t>
      </w:r>
      <w:r w:rsidR="00277DB8">
        <w:t xml:space="preserve"> </w:t>
      </w:r>
      <w:r w:rsidRPr="00B61165">
        <w:t>To access this document in eLibrary, type the docket number excluding the last three digits of this document in the docket number field.</w:t>
      </w:r>
    </w:p>
    <w:p w:rsidRPr="00B61165" w:rsidR="00832085" w:rsidP="00401A63" w:rsidRDefault="00832085" w14:paraId="309734AC" w14:textId="5A0E65CE">
      <w:pPr>
        <w:pStyle w:val="FERCparanumber"/>
      </w:pPr>
      <w:r w:rsidRPr="00B61165">
        <w:t>User assistance is av</w:t>
      </w:r>
      <w:r>
        <w:t xml:space="preserve">ailable for eLibrary and </w:t>
      </w:r>
      <w:r w:rsidR="00231C3D">
        <w:t xml:space="preserve">our </w:t>
      </w:r>
      <w:r w:rsidRPr="00B61165">
        <w:t>web</w:t>
      </w:r>
      <w:r w:rsidR="00231C3D">
        <w:t xml:space="preserve"> </w:t>
      </w:r>
      <w:r w:rsidRPr="00B61165">
        <w:t xml:space="preserve">site during normal business hours from the Commission’s Online Support at </w:t>
      </w:r>
      <w:r w:rsidR="00E15B79">
        <w:t>(</w:t>
      </w:r>
      <w:r w:rsidRPr="00B61165">
        <w:t>202</w:t>
      </w:r>
      <w:r w:rsidR="00E15B79">
        <w:t xml:space="preserve">) </w:t>
      </w:r>
      <w:r w:rsidRPr="00B61165">
        <w:t xml:space="preserve">502-6652 (toll free at 1-866-208-3676) or email at </w:t>
      </w:r>
      <w:hyperlink w:history="1" r:id="rId21">
        <w:r w:rsidRPr="00E15B79">
          <w:rPr>
            <w:rStyle w:val="Hyperlink"/>
            <w:color w:val="auto"/>
            <w:u w:val="none"/>
          </w:rPr>
          <w:t>ferconlinesupport@ferc.gov</w:t>
        </w:r>
      </w:hyperlink>
      <w:r w:rsidRPr="00B61165">
        <w:t>, or the Public Reference Room at (202) 502-8371, TTY (202)</w:t>
      </w:r>
      <w:r w:rsidR="00231C3D">
        <w:t xml:space="preserve"> </w:t>
      </w:r>
      <w:r w:rsidRPr="00B61165">
        <w:t xml:space="preserve">502-8659.  E-mail the Public Reference Room at </w:t>
      </w:r>
      <w:hyperlink w:history="1" r:id="rId22">
        <w:r w:rsidRPr="00E15B79">
          <w:rPr>
            <w:rStyle w:val="Hyperlink"/>
            <w:color w:val="auto"/>
            <w:u w:val="none"/>
          </w:rPr>
          <w:t>public.referenceroom@ferc.gov</w:t>
        </w:r>
      </w:hyperlink>
      <w:r w:rsidRPr="00E15B79">
        <w:t>.</w:t>
      </w:r>
    </w:p>
    <w:p w:rsidRPr="00B61165" w:rsidR="00832085" w:rsidP="00401A63" w:rsidRDefault="00832085" w14:paraId="33CC861F" w14:textId="5E6F27F8">
      <w:pPr>
        <w:spacing w:line="480" w:lineRule="auto"/>
      </w:pPr>
      <w:r w:rsidRPr="00B61165">
        <w:t xml:space="preserve">List of subjects in 18 CFR Part </w:t>
      </w:r>
      <w:r w:rsidR="00AF35F1">
        <w:t>284</w:t>
      </w:r>
      <w:r w:rsidRPr="00B61165" w:rsidR="00AF35F1">
        <w:t xml:space="preserve"> </w:t>
      </w:r>
    </w:p>
    <w:p w:rsidR="00832085" w:rsidP="00401A63" w:rsidRDefault="00832085" w14:paraId="484232B8" w14:textId="60BFF504">
      <w:pPr>
        <w:spacing w:line="480" w:lineRule="auto"/>
      </w:pPr>
      <w:r w:rsidRPr="00B61165">
        <w:t>By direction of the Commission.</w:t>
      </w:r>
    </w:p>
    <w:p w:rsidR="00AF35F1" w:rsidP="004146E8" w:rsidRDefault="00AF35F1" w14:paraId="062AEEB5" w14:textId="56A1EBD2">
      <w:pPr>
        <w:widowControl/>
      </w:pPr>
    </w:p>
    <w:p w:rsidR="004146E8" w:rsidP="004146E8" w:rsidRDefault="004146E8" w14:paraId="1CE0C210" w14:textId="7581B36E">
      <w:pPr>
        <w:widowControl/>
      </w:pPr>
    </w:p>
    <w:p w:rsidR="004146E8" w:rsidP="004146E8" w:rsidRDefault="004146E8" w14:paraId="0BCD7814" w14:textId="64844725">
      <w:pPr>
        <w:widowControl/>
      </w:pPr>
    </w:p>
    <w:p w:rsidR="004146E8" w:rsidP="004146E8" w:rsidRDefault="004146E8" w14:paraId="41AA32E7" w14:textId="396FA74D">
      <w:pPr>
        <w:widowControl/>
      </w:pPr>
    </w:p>
    <w:p w:rsidRPr="004146E8" w:rsidR="004146E8" w:rsidP="004146E8" w:rsidRDefault="004146E8" w14:paraId="0B721795" w14:textId="30F0FF9F">
      <w:pPr>
        <w:widowControl/>
        <w:ind w:firstLine="2174"/>
        <w:jc w:val="center"/>
      </w:pPr>
      <w:r w:rsidRPr="004146E8">
        <w:t>Kimberly D. Bose,</w:t>
      </w:r>
    </w:p>
    <w:p w:rsidRPr="004146E8" w:rsidR="004146E8" w:rsidP="004146E8" w:rsidRDefault="004146E8" w14:paraId="0AB02366" w14:textId="288B4CA2">
      <w:pPr>
        <w:widowControl/>
        <w:ind w:firstLine="2174"/>
        <w:jc w:val="center"/>
      </w:pPr>
      <w:r w:rsidRPr="004146E8">
        <w:t>Secretary.</w:t>
      </w:r>
    </w:p>
    <w:p w:rsidRPr="00B61165" w:rsidR="004146E8" w:rsidP="004146E8" w:rsidRDefault="004146E8" w14:paraId="25EA84AF" w14:textId="77777777">
      <w:pPr>
        <w:widowControl/>
      </w:pPr>
    </w:p>
    <w:p w:rsidR="00832085" w:rsidP="00401A63" w:rsidRDefault="00832085" w14:paraId="2EA0A66B" w14:textId="756484DF">
      <w:pPr>
        <w:spacing w:line="480" w:lineRule="auto"/>
      </w:pPr>
      <w:r w:rsidRPr="00B61165">
        <w:tab/>
      </w:r>
      <w:r w:rsidRPr="00B61165">
        <w:tab/>
      </w:r>
      <w:r w:rsidRPr="00B61165">
        <w:tab/>
      </w:r>
      <w:r w:rsidRPr="00B61165">
        <w:tab/>
      </w:r>
      <w:r w:rsidRPr="00B61165">
        <w:tab/>
      </w:r>
      <w:r w:rsidRPr="00B61165">
        <w:tab/>
      </w:r>
    </w:p>
    <w:p w:rsidR="00AF35F1" w:rsidRDefault="00AF35F1" w14:paraId="7D9510C4" w14:textId="77777777">
      <w:pPr>
        <w:widowControl/>
        <w:spacing w:after="160" w:line="259" w:lineRule="auto"/>
      </w:pPr>
      <w:r>
        <w:br w:type="page"/>
      </w:r>
    </w:p>
    <w:p w:rsidRPr="00B61165" w:rsidR="00832085" w:rsidP="00260E66" w:rsidRDefault="00832085" w14:paraId="641D2E16" w14:textId="4734C876">
      <w:pPr>
        <w:spacing w:line="480" w:lineRule="auto"/>
      </w:pPr>
      <w:r w:rsidRPr="00B61165">
        <w:lastRenderedPageBreak/>
        <w:tab/>
        <w:t xml:space="preserve">In consideration of the foregoing, </w:t>
      </w:r>
      <w:r w:rsidR="00B03BC6">
        <w:t xml:space="preserve">we </w:t>
      </w:r>
      <w:r w:rsidRPr="00B61165">
        <w:t xml:space="preserve">propose to amend Part </w:t>
      </w:r>
      <w:r w:rsidR="00AF35F1">
        <w:t>284</w:t>
      </w:r>
      <w:r w:rsidRPr="00B61165" w:rsidR="00AF35F1">
        <w:t xml:space="preserve">, </w:t>
      </w:r>
      <w:r w:rsidRPr="00B61165">
        <w:t>Chapter I, Title 18, Code of Federal Regulations, as follows.</w:t>
      </w:r>
    </w:p>
    <w:p w:rsidRPr="0095657E" w:rsidR="0095657E" w:rsidP="0095657E" w:rsidRDefault="0095657E" w14:paraId="3EFB2E2F" w14:textId="77777777">
      <w:pPr>
        <w:rPr>
          <w:b/>
        </w:rPr>
      </w:pPr>
      <w:r w:rsidRPr="0095657E">
        <w:rPr>
          <w:b/>
        </w:rPr>
        <w:t>PART 284 -- CERTAIN SALES AND TRANSPORTATION OF NATURAL GAS UNDER THE NATURAL GAS POLICY ACT OF 1978 AND RELATED AUTHORITIES</w:t>
      </w:r>
    </w:p>
    <w:p w:rsidRPr="0095657E" w:rsidR="0095657E" w:rsidP="0095657E" w:rsidRDefault="0095657E" w14:paraId="401DC63A" w14:textId="76E7AB50"/>
    <w:p w:rsidRPr="0095657E" w:rsidR="0095657E" w:rsidP="0095657E" w:rsidRDefault="0095657E" w14:paraId="514A83B3" w14:textId="77777777">
      <w:pPr>
        <w:rPr>
          <w:bCs/>
        </w:rPr>
      </w:pPr>
      <w:r w:rsidRPr="0095657E">
        <w:rPr>
          <w:bCs/>
        </w:rPr>
        <w:t>1.</w:t>
      </w:r>
      <w:r w:rsidRPr="0095657E">
        <w:rPr>
          <w:bCs/>
        </w:rPr>
        <w:tab/>
        <w:t>The authority citation for part 284 continues to read as follows:</w:t>
      </w:r>
    </w:p>
    <w:p w:rsidR="0095657E" w:rsidP="0095657E" w:rsidRDefault="0095657E" w14:paraId="228CB213" w14:textId="77777777">
      <w:pPr>
        <w:ind w:left="720"/>
        <w:rPr>
          <w:b/>
          <w:bCs/>
        </w:rPr>
      </w:pPr>
    </w:p>
    <w:p w:rsidR="0095657E" w:rsidP="0095657E" w:rsidRDefault="0095657E" w14:paraId="0D708D25" w14:textId="77777777">
      <w:pPr>
        <w:ind w:left="720"/>
        <w:rPr>
          <w:bCs/>
        </w:rPr>
      </w:pPr>
      <w:r w:rsidRPr="0095657E">
        <w:rPr>
          <w:b/>
          <w:bCs/>
        </w:rPr>
        <w:t>Authority</w:t>
      </w:r>
      <w:r w:rsidRPr="0095657E">
        <w:rPr>
          <w:bCs/>
        </w:rPr>
        <w:t xml:space="preserve">:  15 U.S.C. 717-717z, 3301-3432; 42 U.S.C. 7101-7352; 43 U.S.C. </w:t>
      </w:r>
    </w:p>
    <w:p w:rsidR="0095657E" w:rsidP="0095657E" w:rsidRDefault="0095657E" w14:paraId="7FB595F1" w14:textId="77777777">
      <w:pPr>
        <w:ind w:left="720"/>
        <w:rPr>
          <w:bCs/>
        </w:rPr>
      </w:pPr>
    </w:p>
    <w:p w:rsidR="0095657E" w:rsidP="0095657E" w:rsidRDefault="0095657E" w14:paraId="32AB41B2" w14:textId="12DC8530">
      <w:pPr>
        <w:ind w:left="720"/>
        <w:rPr>
          <w:bCs/>
        </w:rPr>
      </w:pPr>
      <w:r w:rsidRPr="0095657E">
        <w:rPr>
          <w:bCs/>
        </w:rPr>
        <w:t>1331-1356.</w:t>
      </w:r>
    </w:p>
    <w:p w:rsidRPr="0095657E" w:rsidR="0095657E" w:rsidP="0095657E" w:rsidRDefault="0095657E" w14:paraId="04416179" w14:textId="77777777">
      <w:pPr>
        <w:rPr>
          <w:bCs/>
        </w:rPr>
      </w:pPr>
    </w:p>
    <w:p w:rsidRPr="00A11CEF" w:rsidR="00A11CEF" w:rsidP="00B50DDC" w:rsidRDefault="0095657E" w14:paraId="1839C510" w14:textId="253E036A">
      <w:pPr>
        <w:rPr>
          <w:bCs/>
        </w:rPr>
      </w:pPr>
      <w:r w:rsidRPr="0095657E">
        <w:rPr>
          <w:bCs/>
        </w:rPr>
        <w:t>2.</w:t>
      </w:r>
      <w:r w:rsidRPr="0095657E">
        <w:rPr>
          <w:bCs/>
        </w:rPr>
        <w:tab/>
      </w:r>
      <w:r w:rsidR="008B4388">
        <w:rPr>
          <w:bCs/>
        </w:rPr>
        <w:t>Section</w:t>
      </w:r>
      <w:r w:rsidR="00B22759">
        <w:rPr>
          <w:bCs/>
        </w:rPr>
        <w:t>s</w:t>
      </w:r>
      <w:r w:rsidR="008B4388">
        <w:rPr>
          <w:bCs/>
        </w:rPr>
        <w:t xml:space="preserve"> </w:t>
      </w:r>
      <w:r w:rsidRPr="0095657E">
        <w:rPr>
          <w:bCs/>
        </w:rPr>
        <w:t>284.12</w:t>
      </w:r>
      <w:r w:rsidR="008B4388">
        <w:rPr>
          <w:bCs/>
        </w:rPr>
        <w:t xml:space="preserve">(a)(1) </w:t>
      </w:r>
      <w:r w:rsidR="00B22759">
        <w:rPr>
          <w:bCs/>
        </w:rPr>
        <w:t>and (a) (2) are</w:t>
      </w:r>
      <w:r w:rsidR="008B4388">
        <w:rPr>
          <w:bCs/>
        </w:rPr>
        <w:t xml:space="preserve"> revised to read as follows:</w:t>
      </w:r>
    </w:p>
    <w:p w:rsidR="00A11CEF" w:rsidP="00FD3D3B" w:rsidRDefault="00A11CEF" w14:paraId="4089FED5" w14:textId="572A471E"/>
    <w:p w:rsidRPr="00A11CEF" w:rsidR="00A11CEF" w:rsidP="00A11CEF" w:rsidRDefault="00A11CEF" w14:paraId="338C34B3" w14:textId="77777777">
      <w:pPr>
        <w:rPr>
          <w:bCs/>
        </w:rPr>
      </w:pPr>
      <w:r w:rsidRPr="00A11CEF">
        <w:rPr>
          <w:b/>
          <w:bCs/>
        </w:rPr>
        <w:t>Section 284.12   Standards for pipeline business operations and communications</w:t>
      </w:r>
      <w:r w:rsidRPr="00A11CEF">
        <w:rPr>
          <w:bCs/>
        </w:rPr>
        <w:t>.</w:t>
      </w:r>
    </w:p>
    <w:p w:rsidR="00A11CEF" w:rsidP="00FD3D3B" w:rsidRDefault="00A11CEF" w14:paraId="0BF73905" w14:textId="22F1ADD3"/>
    <w:p w:rsidRPr="00A11CEF" w:rsidR="00A11CEF" w:rsidP="00470C0B" w:rsidRDefault="00A11CEF" w14:paraId="2FF3DA66" w14:textId="4BBF5963">
      <w:pPr>
        <w:ind w:firstLine="720"/>
        <w:rPr>
          <w:bCs/>
        </w:rPr>
      </w:pPr>
      <w:r w:rsidRPr="00A11CEF">
        <w:rPr>
          <w:bCs/>
        </w:rPr>
        <w:t xml:space="preserve">(a)   </w:t>
      </w:r>
      <w:r w:rsidRPr="008B4388" w:rsidR="008B4388">
        <w:rPr>
          <w:bCs/>
          <w:i/>
          <w:iCs/>
        </w:rPr>
        <w:t>Incorporation by reference of NAESB standards.</w:t>
      </w:r>
    </w:p>
    <w:p w:rsidR="00A11CEF" w:rsidP="00A11CEF" w:rsidRDefault="00A11CEF" w14:paraId="35CA26F5" w14:textId="77777777">
      <w:pPr>
        <w:rPr>
          <w:bCs/>
        </w:rPr>
      </w:pPr>
    </w:p>
    <w:p w:rsidRPr="00A11CEF" w:rsidR="00A11CEF" w:rsidP="00470C0B" w:rsidRDefault="00A11CEF" w14:paraId="390E59D7" w14:textId="54930653">
      <w:pPr>
        <w:ind w:firstLine="720"/>
        <w:rPr>
          <w:b/>
          <w:bCs/>
        </w:rPr>
      </w:pPr>
      <w:r w:rsidRPr="00A11CEF">
        <w:rPr>
          <w:bCs/>
        </w:rPr>
        <w:t>(1)</w:t>
      </w:r>
      <w:r w:rsidRPr="00A11CEF">
        <w:rPr>
          <w:bCs/>
        </w:rPr>
        <w:tab/>
        <w:t>An interstate pipeline that transports gas under subparts B or G of this part must comply with the business practices and electronic communications standards as promulgated by the North American Energy Standards Board, as incorporated herein by</w:t>
      </w:r>
      <w:r w:rsidR="008B4388">
        <w:rPr>
          <w:bCs/>
        </w:rPr>
        <w:t xml:space="preserve"> </w:t>
      </w:r>
      <w:r w:rsidRPr="00A11CEF">
        <w:rPr>
          <w:bCs/>
        </w:rPr>
        <w:t>reference in paragraphs (a)(1)(</w:t>
      </w:r>
      <w:proofErr w:type="spellStart"/>
      <w:r w:rsidRPr="00A11CEF">
        <w:rPr>
          <w:bCs/>
        </w:rPr>
        <w:t>i</w:t>
      </w:r>
      <w:proofErr w:type="spellEnd"/>
      <w:r w:rsidRPr="00A11CEF">
        <w:rPr>
          <w:bCs/>
        </w:rPr>
        <w:t>) thr</w:t>
      </w:r>
      <w:r>
        <w:rPr>
          <w:bCs/>
        </w:rPr>
        <w:t>ough</w:t>
      </w:r>
      <w:r w:rsidRPr="00A11CEF">
        <w:rPr>
          <w:bCs/>
        </w:rPr>
        <w:t xml:space="preserve"> (vii) of this section.</w:t>
      </w:r>
    </w:p>
    <w:p w:rsidR="00A11CEF" w:rsidP="00FD3D3B" w:rsidRDefault="00A11CEF" w14:paraId="2CA63386" w14:textId="6AF60D09"/>
    <w:p w:rsidRPr="00B530B0" w:rsidR="00B530B0" w:rsidP="00470C0B" w:rsidRDefault="00B530B0" w14:paraId="73E40E3B" w14:textId="1E6FE10D">
      <w:pPr>
        <w:ind w:firstLine="720"/>
        <w:rPr>
          <w:bCs/>
        </w:rPr>
      </w:pPr>
      <w:r w:rsidRPr="00B530B0">
        <w:rPr>
          <w:bCs/>
        </w:rPr>
        <w:t>(</w:t>
      </w:r>
      <w:proofErr w:type="spellStart"/>
      <w:r w:rsidRPr="00B530B0">
        <w:rPr>
          <w:bCs/>
        </w:rPr>
        <w:t>i</w:t>
      </w:r>
      <w:proofErr w:type="spellEnd"/>
      <w:r w:rsidRPr="00B530B0">
        <w:rPr>
          <w:bCs/>
        </w:rPr>
        <w:t>)</w:t>
      </w:r>
      <w:r w:rsidR="00470C0B">
        <w:rPr>
          <w:bCs/>
        </w:rPr>
        <w:tab/>
      </w:r>
      <w:r w:rsidRPr="00B530B0">
        <w:rPr>
          <w:bCs/>
        </w:rPr>
        <w:t>Additional Standards (</w:t>
      </w:r>
      <w:r w:rsidRPr="00B530B0">
        <w:rPr>
          <w:bCs/>
          <w:lang w:val="en"/>
        </w:rPr>
        <w:t>Version 3.</w:t>
      </w:r>
      <w:r>
        <w:rPr>
          <w:bCs/>
          <w:lang w:val="en"/>
        </w:rPr>
        <w:t>2</w:t>
      </w:r>
      <w:r w:rsidRPr="00B530B0">
        <w:rPr>
          <w:bCs/>
          <w:lang w:val="en"/>
        </w:rPr>
        <w:t xml:space="preserve">, </w:t>
      </w:r>
      <w:r>
        <w:rPr>
          <w:bCs/>
          <w:lang w:val="en"/>
        </w:rPr>
        <w:t>August 15</w:t>
      </w:r>
      <w:r w:rsidRPr="00B530B0">
        <w:rPr>
          <w:bCs/>
          <w:lang w:val="en"/>
        </w:rPr>
        <w:t>, 20</w:t>
      </w:r>
      <w:r>
        <w:rPr>
          <w:bCs/>
          <w:lang w:val="en"/>
        </w:rPr>
        <w:t>20</w:t>
      </w:r>
      <w:r w:rsidRPr="00B530B0">
        <w:rPr>
          <w:bCs/>
        </w:rPr>
        <w:t>);</w:t>
      </w:r>
    </w:p>
    <w:p w:rsidR="00B530B0" w:rsidP="00B530B0" w:rsidRDefault="00B530B0" w14:paraId="55D2120C" w14:textId="77777777">
      <w:pPr>
        <w:rPr>
          <w:bCs/>
        </w:rPr>
      </w:pPr>
    </w:p>
    <w:p w:rsidRPr="00B530B0" w:rsidR="00B530B0" w:rsidP="00470C0B" w:rsidRDefault="00B530B0" w14:paraId="0F02EFD0" w14:textId="276680D6">
      <w:pPr>
        <w:ind w:firstLine="720"/>
        <w:rPr>
          <w:bCs/>
        </w:rPr>
      </w:pPr>
      <w:r w:rsidRPr="00B530B0">
        <w:rPr>
          <w:bCs/>
        </w:rPr>
        <w:t>(ii)</w:t>
      </w:r>
      <w:r w:rsidR="00906E2C">
        <w:rPr>
          <w:bCs/>
        </w:rPr>
        <w:tab/>
      </w:r>
      <w:r w:rsidRPr="00B530B0">
        <w:rPr>
          <w:bCs/>
        </w:rPr>
        <w:t>Nominations Related Standards (</w:t>
      </w:r>
      <w:r w:rsidRPr="00B530B0">
        <w:rPr>
          <w:bCs/>
          <w:lang w:val="en"/>
        </w:rPr>
        <w:t>Version 3.</w:t>
      </w:r>
      <w:r w:rsidR="007E6B2D">
        <w:rPr>
          <w:bCs/>
          <w:lang w:val="en"/>
        </w:rPr>
        <w:t>2</w:t>
      </w:r>
      <w:r w:rsidRPr="00B530B0">
        <w:rPr>
          <w:bCs/>
          <w:lang w:val="en"/>
        </w:rPr>
        <w:t xml:space="preserve">, </w:t>
      </w:r>
      <w:r w:rsidR="007E6B2D">
        <w:rPr>
          <w:bCs/>
          <w:lang w:val="en"/>
        </w:rPr>
        <w:t>August 15, 2020</w:t>
      </w:r>
      <w:r w:rsidRPr="00B530B0">
        <w:rPr>
          <w:bCs/>
        </w:rPr>
        <w:t>);</w:t>
      </w:r>
    </w:p>
    <w:p w:rsidR="00A11CEF" w:rsidP="00FD3D3B" w:rsidRDefault="00A11CEF" w14:paraId="7C5F0309" w14:textId="3178D6A7"/>
    <w:p w:rsidRPr="00B530B0" w:rsidR="00B530B0" w:rsidP="00906E2C" w:rsidRDefault="00B530B0" w14:paraId="4F988A56" w14:textId="6B9202DA">
      <w:pPr>
        <w:ind w:firstLine="720"/>
        <w:rPr>
          <w:bCs/>
        </w:rPr>
      </w:pPr>
      <w:r w:rsidRPr="00B530B0">
        <w:rPr>
          <w:bCs/>
        </w:rPr>
        <w:t>(iii)</w:t>
      </w:r>
      <w:r w:rsidR="00906E2C">
        <w:rPr>
          <w:bCs/>
        </w:rPr>
        <w:tab/>
      </w:r>
      <w:r w:rsidRPr="00B530B0">
        <w:rPr>
          <w:bCs/>
        </w:rPr>
        <w:t>Flowing Gas Related Standards (</w:t>
      </w:r>
      <w:r w:rsidRPr="00B530B0">
        <w:rPr>
          <w:bCs/>
          <w:lang w:val="en"/>
        </w:rPr>
        <w:t>Version 3.</w:t>
      </w:r>
      <w:r w:rsidR="007E6B2D">
        <w:rPr>
          <w:bCs/>
          <w:lang w:val="en"/>
        </w:rPr>
        <w:t>2</w:t>
      </w:r>
      <w:r w:rsidRPr="00B530B0">
        <w:rPr>
          <w:bCs/>
          <w:lang w:val="en"/>
        </w:rPr>
        <w:t xml:space="preserve">, </w:t>
      </w:r>
      <w:r w:rsidR="007E6B2D">
        <w:rPr>
          <w:bCs/>
          <w:lang w:val="en"/>
        </w:rPr>
        <w:t>August 15, 2020</w:t>
      </w:r>
      <w:r w:rsidRPr="00B530B0">
        <w:rPr>
          <w:bCs/>
        </w:rPr>
        <w:t>);</w:t>
      </w:r>
    </w:p>
    <w:p w:rsidR="00B530B0" w:rsidP="00B530B0" w:rsidRDefault="00B530B0" w14:paraId="5267EC81" w14:textId="77777777">
      <w:pPr>
        <w:rPr>
          <w:bCs/>
        </w:rPr>
      </w:pPr>
    </w:p>
    <w:p w:rsidRPr="00B530B0" w:rsidR="00B530B0" w:rsidP="00906E2C" w:rsidRDefault="00B530B0" w14:paraId="29FFE6BA" w14:textId="73D28EB4">
      <w:pPr>
        <w:ind w:firstLine="720"/>
        <w:rPr>
          <w:bCs/>
        </w:rPr>
      </w:pPr>
      <w:r w:rsidRPr="00B530B0">
        <w:rPr>
          <w:bCs/>
        </w:rPr>
        <w:t>(iv)</w:t>
      </w:r>
      <w:r w:rsidR="00B50DDC">
        <w:rPr>
          <w:bCs/>
        </w:rPr>
        <w:tab/>
      </w:r>
      <w:r w:rsidRPr="00B530B0">
        <w:rPr>
          <w:bCs/>
        </w:rPr>
        <w:t>Invoicing Related Standards (</w:t>
      </w:r>
      <w:r w:rsidRPr="00B530B0">
        <w:rPr>
          <w:bCs/>
          <w:lang w:val="en"/>
        </w:rPr>
        <w:t>Version 3.</w:t>
      </w:r>
      <w:r w:rsidR="007E6B2D">
        <w:rPr>
          <w:bCs/>
          <w:lang w:val="en"/>
        </w:rPr>
        <w:t>2</w:t>
      </w:r>
      <w:r w:rsidRPr="00B530B0">
        <w:rPr>
          <w:bCs/>
          <w:lang w:val="en"/>
        </w:rPr>
        <w:t xml:space="preserve">, </w:t>
      </w:r>
      <w:r w:rsidR="007E6B2D">
        <w:rPr>
          <w:bCs/>
          <w:lang w:val="en"/>
        </w:rPr>
        <w:t>August 15, 2020</w:t>
      </w:r>
      <w:r w:rsidRPr="00B530B0">
        <w:rPr>
          <w:bCs/>
        </w:rPr>
        <w:t>);</w:t>
      </w:r>
    </w:p>
    <w:p w:rsidR="00B530B0" w:rsidP="00B530B0" w:rsidRDefault="00B530B0" w14:paraId="3FAE73F9" w14:textId="77777777">
      <w:pPr>
        <w:rPr>
          <w:bCs/>
        </w:rPr>
      </w:pPr>
    </w:p>
    <w:p w:rsidR="00B530B0" w:rsidP="00906E2C" w:rsidRDefault="00B530B0" w14:paraId="4581D1CA" w14:textId="0560D2CD">
      <w:pPr>
        <w:ind w:firstLine="720"/>
        <w:rPr>
          <w:bCs/>
          <w:lang w:val="en"/>
        </w:rPr>
      </w:pPr>
      <w:r w:rsidRPr="00B530B0">
        <w:rPr>
          <w:bCs/>
        </w:rPr>
        <w:t>(v)</w:t>
      </w:r>
      <w:r w:rsidR="00906E2C">
        <w:rPr>
          <w:bCs/>
        </w:rPr>
        <w:tab/>
      </w:r>
      <w:r w:rsidRPr="00B530B0">
        <w:rPr>
          <w:bCs/>
        </w:rPr>
        <w:t>Quadrant Electronic Delivery Mechanism Related Standards (</w:t>
      </w:r>
      <w:r w:rsidRPr="00B530B0">
        <w:rPr>
          <w:bCs/>
          <w:lang w:val="en"/>
        </w:rPr>
        <w:t>Version 3.</w:t>
      </w:r>
      <w:r w:rsidR="007E6B2D">
        <w:rPr>
          <w:bCs/>
          <w:lang w:val="en"/>
        </w:rPr>
        <w:t>2</w:t>
      </w:r>
      <w:r w:rsidRPr="00B530B0">
        <w:rPr>
          <w:bCs/>
          <w:lang w:val="en"/>
        </w:rPr>
        <w:t xml:space="preserve">, </w:t>
      </w:r>
    </w:p>
    <w:p w:rsidR="00B530B0" w:rsidP="00B530B0" w:rsidRDefault="00B530B0" w14:paraId="38886468" w14:textId="77777777">
      <w:pPr>
        <w:rPr>
          <w:bCs/>
          <w:lang w:val="en"/>
        </w:rPr>
      </w:pPr>
    </w:p>
    <w:p w:rsidRPr="000603CD" w:rsidR="00B530B0" w:rsidP="00B530B0" w:rsidRDefault="007E6B2D" w14:paraId="59432D1C" w14:textId="018572B7">
      <w:pPr>
        <w:rPr>
          <w:bCs/>
          <w:lang w:val="en"/>
        </w:rPr>
      </w:pPr>
      <w:r>
        <w:rPr>
          <w:bCs/>
          <w:lang w:val="en"/>
        </w:rPr>
        <w:t>August 15, 2020</w:t>
      </w:r>
      <w:r w:rsidRPr="00B530B0" w:rsidR="00B530B0">
        <w:rPr>
          <w:bCs/>
        </w:rPr>
        <w:t>);</w:t>
      </w:r>
    </w:p>
    <w:p w:rsidR="00B530B0" w:rsidP="00B530B0" w:rsidRDefault="00B530B0" w14:paraId="5DBDDDDB" w14:textId="77777777">
      <w:pPr>
        <w:rPr>
          <w:bCs/>
        </w:rPr>
      </w:pPr>
    </w:p>
    <w:p w:rsidRPr="00B530B0" w:rsidR="00B530B0" w:rsidP="00906E2C" w:rsidRDefault="00B530B0" w14:paraId="01266637" w14:textId="3FC531F7">
      <w:pPr>
        <w:ind w:firstLine="720"/>
        <w:rPr>
          <w:bCs/>
        </w:rPr>
      </w:pPr>
      <w:r w:rsidRPr="00B530B0">
        <w:rPr>
          <w:bCs/>
        </w:rPr>
        <w:t>(vi)</w:t>
      </w:r>
      <w:r w:rsidR="00906E2C">
        <w:rPr>
          <w:bCs/>
        </w:rPr>
        <w:tab/>
      </w:r>
      <w:r w:rsidRPr="00B530B0">
        <w:rPr>
          <w:bCs/>
        </w:rPr>
        <w:t>Capacity Release Related Standards (</w:t>
      </w:r>
      <w:r w:rsidRPr="00B530B0">
        <w:rPr>
          <w:bCs/>
          <w:lang w:val="en"/>
        </w:rPr>
        <w:t>Version 3.</w:t>
      </w:r>
      <w:r w:rsidR="007E6B2D">
        <w:rPr>
          <w:bCs/>
          <w:lang w:val="en"/>
        </w:rPr>
        <w:t>2</w:t>
      </w:r>
      <w:r w:rsidRPr="00B530B0">
        <w:rPr>
          <w:bCs/>
          <w:lang w:val="en"/>
        </w:rPr>
        <w:t xml:space="preserve">, </w:t>
      </w:r>
      <w:r w:rsidR="007E6B2D">
        <w:rPr>
          <w:bCs/>
          <w:lang w:val="en"/>
        </w:rPr>
        <w:t>August 15, 2020</w:t>
      </w:r>
      <w:r w:rsidRPr="00B530B0">
        <w:rPr>
          <w:bCs/>
        </w:rPr>
        <w:t>); and</w:t>
      </w:r>
    </w:p>
    <w:p w:rsidR="00B530B0" w:rsidP="00B530B0" w:rsidRDefault="00B530B0" w14:paraId="6C4AD379" w14:textId="77777777">
      <w:pPr>
        <w:rPr>
          <w:bCs/>
        </w:rPr>
      </w:pPr>
    </w:p>
    <w:p w:rsidR="00B530B0" w:rsidP="00906E2C" w:rsidRDefault="00B530B0" w14:paraId="03CF8509" w14:textId="6D8C46B3">
      <w:pPr>
        <w:ind w:firstLine="720"/>
        <w:rPr>
          <w:bCs/>
        </w:rPr>
      </w:pPr>
      <w:r w:rsidRPr="00B530B0">
        <w:rPr>
          <w:bCs/>
        </w:rPr>
        <w:t>(vii)</w:t>
      </w:r>
      <w:r w:rsidR="00906E2C">
        <w:rPr>
          <w:bCs/>
        </w:rPr>
        <w:tab/>
      </w:r>
      <w:r w:rsidRPr="00B530B0">
        <w:rPr>
          <w:bCs/>
        </w:rPr>
        <w:t>Internet Electronic Transport Related Standards (</w:t>
      </w:r>
      <w:r w:rsidRPr="00B530B0">
        <w:rPr>
          <w:bCs/>
          <w:lang w:val="en"/>
        </w:rPr>
        <w:t>Version 3.</w:t>
      </w:r>
      <w:r w:rsidR="007E6B2D">
        <w:rPr>
          <w:bCs/>
          <w:lang w:val="en"/>
        </w:rPr>
        <w:t>2</w:t>
      </w:r>
      <w:r w:rsidRPr="00B530B0">
        <w:rPr>
          <w:bCs/>
          <w:lang w:val="en"/>
        </w:rPr>
        <w:t xml:space="preserve">, </w:t>
      </w:r>
      <w:r w:rsidR="007E6B2D">
        <w:rPr>
          <w:bCs/>
          <w:lang w:val="en"/>
        </w:rPr>
        <w:t>August 15, 2020</w:t>
      </w:r>
      <w:r w:rsidRPr="00B530B0">
        <w:rPr>
          <w:bCs/>
        </w:rPr>
        <w:t>).</w:t>
      </w:r>
    </w:p>
    <w:p w:rsidRPr="00906E2C" w:rsidR="00B530B0" w:rsidP="00906E2C" w:rsidRDefault="00B22759" w14:paraId="6BEA5A2E" w14:textId="09B2464B">
      <w:pPr>
        <w:spacing w:line="480" w:lineRule="auto"/>
        <w:ind w:firstLine="720"/>
        <w:rPr>
          <w:i/>
          <w:iCs/>
        </w:rPr>
      </w:pPr>
      <w:r>
        <w:rPr>
          <w:bCs/>
        </w:rPr>
        <w:t xml:space="preserve">(2) </w:t>
      </w:r>
      <w:r w:rsidRPr="00B22759">
        <w:rPr>
          <w:bCs/>
        </w:rPr>
        <w:t xml:space="preserve">This incorporation by reference was approved by the Director of the Federal </w:t>
      </w:r>
      <w:r w:rsidRPr="00B22759">
        <w:rPr>
          <w:bCs/>
        </w:rPr>
        <w:lastRenderedPageBreak/>
        <w:t>Register in accordance with</w:t>
      </w:r>
      <w:r w:rsidR="00470C0B">
        <w:rPr>
          <w:bCs/>
        </w:rPr>
        <w:t xml:space="preserve"> </w:t>
      </w:r>
      <w:r w:rsidRPr="00470C0B">
        <w:rPr>
          <w:bCs/>
        </w:rPr>
        <w:t>5 U.S.C. 552</w:t>
      </w:r>
      <w:r w:rsidRPr="00B22759">
        <w:rPr>
          <w:bCs/>
        </w:rPr>
        <w:t>(a) and</w:t>
      </w:r>
      <w:r w:rsidR="00470C0B">
        <w:rPr>
          <w:bCs/>
        </w:rPr>
        <w:t xml:space="preserve"> </w:t>
      </w:r>
      <w:r w:rsidRPr="00470C0B">
        <w:rPr>
          <w:bCs/>
        </w:rPr>
        <w:t>1 CFR part 51</w:t>
      </w:r>
      <w:r w:rsidRPr="00B22759">
        <w:rPr>
          <w:bCs/>
        </w:rPr>
        <w:t>. Copies of these standards may be obtained from the North American Energy Standards Board, 801 Travis Street, Suite 1675, Houston, TX 77002, </w:t>
      </w:r>
      <w:r w:rsidRPr="00B22759">
        <w:rPr>
          <w:bCs/>
          <w:i/>
          <w:iCs/>
        </w:rPr>
        <w:t>Phone:</w:t>
      </w:r>
      <w:r w:rsidRPr="00B22759">
        <w:rPr>
          <w:bCs/>
        </w:rPr>
        <w:t> (713) 356-0060. NAESB's Web site is at</w:t>
      </w:r>
      <w:r>
        <w:rPr>
          <w:bCs/>
        </w:rPr>
        <w:t xml:space="preserve"> </w:t>
      </w:r>
      <w:r w:rsidRPr="00470C0B" w:rsidR="00EB4C9E">
        <w:t>https://www.naesb.org/</w:t>
      </w:r>
      <w:r w:rsidR="00EB4C9E">
        <w:t xml:space="preserve">. </w:t>
      </w:r>
      <w:r>
        <w:t xml:space="preserve"> </w:t>
      </w:r>
      <w:r w:rsidRPr="00B22759">
        <w:rPr>
          <w:bCs/>
        </w:rPr>
        <w:t xml:space="preserve">Copies may be inspected at the Federal Energy Regulatory Commission, Public Reference </w:t>
      </w:r>
      <w:r>
        <w:rPr>
          <w:bCs/>
        </w:rPr>
        <w:t>Room</w:t>
      </w:r>
      <w:r w:rsidRPr="00B22759">
        <w:rPr>
          <w:bCs/>
        </w:rPr>
        <w:t>, 888 First Street, NE., Washington, DC 20426, </w:t>
      </w:r>
      <w:r w:rsidRPr="00B22759">
        <w:rPr>
          <w:bCs/>
          <w:i/>
          <w:iCs/>
        </w:rPr>
        <w:t>Phone:</w:t>
      </w:r>
      <w:r w:rsidRPr="00B22759">
        <w:rPr>
          <w:bCs/>
        </w:rPr>
        <w:t> (202) 502-8371,</w:t>
      </w:r>
      <w:r w:rsidRPr="00B22759">
        <w:t xml:space="preserve"> </w:t>
      </w:r>
      <w:r w:rsidRPr="00470C0B">
        <w:rPr>
          <w:bCs/>
        </w:rPr>
        <w:t>https://www.ferc.gov/</w:t>
      </w:r>
      <w:r w:rsidRPr="00B22759">
        <w:rPr>
          <w:bCs/>
          <w:i/>
          <w:iCs/>
        </w:rPr>
        <w:t>,</w:t>
      </w:r>
      <w:r w:rsidRPr="00B22759">
        <w:rPr>
          <w:bCs/>
        </w:rPr>
        <w:t> or at the National Archives and Records Administration (NARA). For information on the availability of this material at NARA, call 202-741-6030, or go to:</w:t>
      </w:r>
      <w:r>
        <w:rPr>
          <w:bCs/>
        </w:rPr>
        <w:t xml:space="preserve"> </w:t>
      </w:r>
      <w:r w:rsidRPr="00470C0B">
        <w:rPr>
          <w:bCs/>
        </w:rPr>
        <w:t>https://www.archives.gov/federal-register/cfr/ibr-locations.html</w:t>
      </w:r>
      <w:r w:rsidR="00906E2C">
        <w:rPr>
          <w:bCs/>
        </w:rPr>
        <w:t>.</w:t>
      </w:r>
    </w:p>
    <w:sectPr w:rsidRPr="00906E2C" w:rsidR="00B530B0" w:rsidSect="00832085">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ACFAD" w14:textId="77777777" w:rsidR="00E15B84" w:rsidRDefault="00E15B84" w:rsidP="0048020B">
      <w:r>
        <w:separator/>
      </w:r>
    </w:p>
  </w:endnote>
  <w:endnote w:type="continuationSeparator" w:id="0">
    <w:p w14:paraId="46B9A7A5" w14:textId="77777777" w:rsidR="00E15B84" w:rsidRDefault="00E15B84" w:rsidP="0048020B">
      <w:r>
        <w:continuationSeparator/>
      </w:r>
    </w:p>
  </w:endnote>
  <w:endnote w:type="continuationNotice" w:id="1">
    <w:p w14:paraId="3BD21A6B" w14:textId="77777777" w:rsidR="00E15B84" w:rsidRDefault="00E15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7305" w14:textId="77777777" w:rsidR="007B1C23" w:rsidRDefault="007B1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DB9A" w14:textId="77777777" w:rsidR="007B1C23" w:rsidRDefault="007B1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E3C0" w14:textId="77777777" w:rsidR="007B1C23" w:rsidRDefault="007B1C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4BFD" w14:textId="77777777" w:rsidR="00AE6000" w:rsidRDefault="00AE6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05AB" w14:textId="77777777" w:rsidR="00AE6000" w:rsidRDefault="00AE6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7B5F" w14:textId="77777777" w:rsidR="00AE6000" w:rsidRDefault="00AE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F7DD" w14:textId="77777777" w:rsidR="00E15B84" w:rsidRDefault="00E15B84" w:rsidP="0048020B">
      <w:r>
        <w:separator/>
      </w:r>
    </w:p>
  </w:footnote>
  <w:footnote w:type="continuationSeparator" w:id="0">
    <w:p w14:paraId="0E656F6C" w14:textId="77777777" w:rsidR="00E15B84" w:rsidRDefault="00E15B84" w:rsidP="0048020B">
      <w:r>
        <w:continuationSeparator/>
      </w:r>
    </w:p>
  </w:footnote>
  <w:footnote w:type="continuationNotice" w:id="1">
    <w:p w14:paraId="4116C9CA" w14:textId="77777777" w:rsidR="00E15B84" w:rsidRPr="00F058D1" w:rsidRDefault="00E15B84" w:rsidP="00F058D1">
      <w:pPr>
        <w:spacing w:line="14" w:lineRule="exact"/>
        <w:rPr>
          <w:sz w:val="2"/>
        </w:rPr>
      </w:pPr>
    </w:p>
  </w:footnote>
  <w:footnote w:id="2">
    <w:p w14:paraId="0E5E3D93" w14:textId="56B91753" w:rsidR="00AE6000" w:rsidRDefault="00AE6000" w:rsidP="00AF1B00">
      <w:pPr>
        <w:pStyle w:val="FootnoteText"/>
      </w:pPr>
      <w:r w:rsidRPr="00932257">
        <w:rPr>
          <w:rStyle w:val="FootnoteReference"/>
        </w:rPr>
        <w:footnoteRef/>
      </w:r>
      <w:r>
        <w:t xml:space="preserve"> As explained below, we are not proposing in this proposed rule to incorporate by reference the </w:t>
      </w:r>
      <w:r w:rsidRPr="005E75CF">
        <w:t xml:space="preserve">optional model contracts and the eTariff-related standards </w:t>
      </w:r>
      <w:r>
        <w:t>included in the North American Energy Standards Board (NAESB) Wholesale Gas Quadrant (WGQ) Version 3.2 package of business practice standards.</w:t>
      </w:r>
    </w:p>
  </w:footnote>
  <w:footnote w:id="3">
    <w:p w14:paraId="0B8C6243" w14:textId="46777E28" w:rsidR="00AE6000" w:rsidRDefault="00AE6000" w:rsidP="00CC1259">
      <w:pPr>
        <w:pStyle w:val="FootnoteText"/>
      </w:pPr>
      <w:r w:rsidRPr="00932257">
        <w:rPr>
          <w:rStyle w:val="FootnoteReference"/>
        </w:rPr>
        <w:footnoteRef/>
      </w:r>
      <w:r>
        <w:t xml:space="preserve"> As explained below, </w:t>
      </w:r>
      <w:r w:rsidRPr="00CC1259">
        <w:t>NAESB has developed</w:t>
      </w:r>
      <w:r>
        <w:t xml:space="preserve"> and adopted,</w:t>
      </w:r>
      <w:r w:rsidRPr="00CC1259">
        <w:t xml:space="preserve"> in conjunction with Sandia National Laboratories</w:t>
      </w:r>
      <w:r>
        <w:t xml:space="preserve">, </w:t>
      </w:r>
      <w:r w:rsidRPr="00CC1259">
        <w:t xml:space="preserve">a series of </w:t>
      </w:r>
      <w:r>
        <w:t xml:space="preserve">business practice </w:t>
      </w:r>
      <w:r w:rsidRPr="00CC1259">
        <w:t>standards to protect the natural gas industries’ internet security</w:t>
      </w:r>
      <w:r>
        <w:t>.</w:t>
      </w:r>
    </w:p>
  </w:footnote>
  <w:footnote w:id="4">
    <w:p w14:paraId="1A05195E" w14:textId="31C6A025" w:rsidR="00AE6000" w:rsidRDefault="00AE6000" w:rsidP="00B00CCC">
      <w:pPr>
        <w:pStyle w:val="FootnoteText"/>
      </w:pPr>
      <w:r w:rsidRPr="00932257">
        <w:rPr>
          <w:rStyle w:val="FootnoteReference"/>
        </w:rPr>
        <w:footnoteRef/>
      </w:r>
      <w:r>
        <w:t xml:space="preserve"> </w:t>
      </w:r>
      <w:r w:rsidRPr="00110725">
        <w:t xml:space="preserve">This series of orders began with the Commission’s issuance of </w:t>
      </w:r>
      <w:r w:rsidRPr="00110725">
        <w:rPr>
          <w:i/>
        </w:rPr>
        <w:t xml:space="preserve">Standards for </w:t>
      </w:r>
      <w:r>
        <w:rPr>
          <w:i/>
        </w:rPr>
        <w:t>Bus.</w:t>
      </w:r>
      <w:r w:rsidRPr="00110725">
        <w:rPr>
          <w:i/>
        </w:rPr>
        <w:t xml:space="preserve"> Practices of Interstate </w:t>
      </w:r>
      <w:r>
        <w:rPr>
          <w:i/>
        </w:rPr>
        <w:t>Nat.</w:t>
      </w:r>
      <w:r w:rsidRPr="00110725">
        <w:rPr>
          <w:i/>
        </w:rPr>
        <w:t xml:space="preserve"> Gas Pipelines</w:t>
      </w:r>
      <w:r w:rsidRPr="00110725">
        <w:t xml:space="preserve">, </w:t>
      </w:r>
      <w:r>
        <w:t>Ord</w:t>
      </w:r>
      <w:r w:rsidR="00C862F0">
        <w:t>er</w:t>
      </w:r>
      <w:r>
        <w:t xml:space="preserve"> No.</w:t>
      </w:r>
      <w:r w:rsidRPr="00110725">
        <w:t xml:space="preserve"> 587</w:t>
      </w:r>
      <w:r w:rsidRPr="00BA1F44">
        <w:t xml:space="preserve">, </w:t>
      </w:r>
      <w:r w:rsidR="00C862F0" w:rsidRPr="00680C2B">
        <w:t>61 FR 39053</w:t>
      </w:r>
      <w:r w:rsidR="00C862F0">
        <w:t xml:space="preserve"> (July 26, 1996), </w:t>
      </w:r>
      <w:r w:rsidRPr="00BA1F44">
        <w:t>FERC Stats. &amp; Regs. ¶ 31,038</w:t>
      </w:r>
      <w:r w:rsidRPr="0000262C">
        <w:t xml:space="preserve"> (1996)</w:t>
      </w:r>
      <w:r w:rsidR="00C862F0">
        <w:t xml:space="preserve"> (cross-refrenced at </w:t>
      </w:r>
      <w:r w:rsidR="00C862F0" w:rsidRPr="00680C2B">
        <w:t>76 FERC ¶ 61,042</w:t>
      </w:r>
      <w:r w:rsidR="00C862F0">
        <w:t>)</w:t>
      </w:r>
      <w:r w:rsidRPr="0000262C">
        <w:t>.</w:t>
      </w:r>
    </w:p>
  </w:footnote>
  <w:footnote w:id="5">
    <w:p w14:paraId="6B9B98AB" w14:textId="51A45945" w:rsidR="00AE6000" w:rsidRDefault="00AE6000">
      <w:pPr>
        <w:pStyle w:val="FootnoteText"/>
      </w:pPr>
      <w:r>
        <w:rPr>
          <w:rStyle w:val="FootnoteReference"/>
        </w:rPr>
        <w:footnoteRef/>
      </w:r>
      <w:r>
        <w:t xml:space="preserve"> Sandia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6">
    <w:p w14:paraId="6390BB9C" w14:textId="2E16C459" w:rsidR="00AE6000" w:rsidRDefault="00AE6000" w:rsidP="00315BCF">
      <w:pPr>
        <w:pStyle w:val="FootnoteText"/>
        <w:rPr>
          <w:szCs w:val="26"/>
          <w:lang w:bidi="en-US"/>
        </w:rPr>
      </w:pPr>
      <w:r>
        <w:rPr>
          <w:rStyle w:val="FootnoteReference"/>
          <w:szCs w:val="26"/>
        </w:rPr>
        <w:footnoteRef/>
      </w:r>
      <w:r>
        <w:rPr>
          <w:szCs w:val="26"/>
        </w:rPr>
        <w:t xml:space="preserve"> </w:t>
      </w:r>
      <w:r>
        <w:rPr>
          <w:szCs w:val="26"/>
          <w:lang w:bidi="en-US"/>
        </w:rPr>
        <w:t xml:space="preserve">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 </w:t>
      </w:r>
      <w:r w:rsidR="00C862F0">
        <w:rPr>
          <w:szCs w:val="26"/>
          <w:lang w:bidi="en-US"/>
        </w:rPr>
        <w:t xml:space="preserve"> </w:t>
      </w:r>
      <w:r>
        <w:rPr>
          <w:szCs w:val="26"/>
          <w:lang w:bidi="en-US"/>
        </w:rPr>
        <w:t>(1)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7">
    <w:p w14:paraId="4B3F67DF" w14:textId="77440E74" w:rsidR="00AE6000" w:rsidRDefault="00AE6000" w:rsidP="00147B62">
      <w:pPr>
        <w:pStyle w:val="FootnoteText"/>
      </w:pPr>
      <w:r w:rsidRPr="00932257">
        <w:rPr>
          <w:rStyle w:val="FootnoteReference"/>
        </w:rPr>
        <w:footnoteRef/>
      </w:r>
      <w:r>
        <w:t xml:space="preserve"> In the discussion below we identify the NAESB WGQ Version 3.2 Standards that we propose </w:t>
      </w:r>
      <w:r w:rsidRPr="00077D3E">
        <w:rPr>
          <w:u w:val="single"/>
        </w:rPr>
        <w:t>not</w:t>
      </w:r>
      <w:r>
        <w:t xml:space="preserve"> to incorporate by reference.</w:t>
      </w:r>
    </w:p>
  </w:footnote>
  <w:footnote w:id="8">
    <w:p w14:paraId="752BC0DA" w14:textId="4A074297" w:rsidR="00AE6000" w:rsidRDefault="00AE6000" w:rsidP="0014257B">
      <w:pPr>
        <w:pStyle w:val="FootnoteText"/>
      </w:pPr>
      <w:r w:rsidRPr="00932257">
        <w:rPr>
          <w:rStyle w:val="FootnoteReference"/>
        </w:rPr>
        <w:footnoteRef/>
      </w:r>
      <w:r>
        <w:t xml:space="preserve"> The National Institute of Standards and Technology Special Pub.</w:t>
      </w:r>
      <w:r w:rsidRPr="00A07345">
        <w:t xml:space="preserve"> 800-52 requires government </w:t>
      </w:r>
      <w:r>
        <w:t>Transport Layer Security</w:t>
      </w:r>
      <w:r w:rsidRPr="00A07345">
        <w:t xml:space="preserve"> servers and clients to support T</w:t>
      </w:r>
      <w:r>
        <w:t>ransport Layer Security</w:t>
      </w:r>
      <w:r w:rsidRPr="00A07345">
        <w:t xml:space="preserve"> </w:t>
      </w:r>
      <w:r>
        <w:t xml:space="preserve">Version </w:t>
      </w:r>
      <w:r w:rsidRPr="00A07345">
        <w:t>1.2 and recommends support for T</w:t>
      </w:r>
      <w:r>
        <w:t>ransport Layer Security</w:t>
      </w:r>
      <w:r w:rsidRPr="00A07345">
        <w:t xml:space="preserve"> </w:t>
      </w:r>
      <w:r>
        <w:t xml:space="preserve">Version </w:t>
      </w:r>
      <w:r w:rsidRPr="00A07345">
        <w:t xml:space="preserve">1.3 by </w:t>
      </w:r>
      <w:r>
        <w:t xml:space="preserve">the year </w:t>
      </w:r>
      <w:r w:rsidRPr="00A07345">
        <w:t>2024.</w:t>
      </w:r>
    </w:p>
  </w:footnote>
  <w:footnote w:id="9">
    <w:p w14:paraId="0426C109" w14:textId="5F460715" w:rsidR="00AE6000" w:rsidRDefault="00AE6000" w:rsidP="001E1911">
      <w:pPr>
        <w:pStyle w:val="FootnoteText"/>
        <w:rPr>
          <w:rFonts w:asciiTheme="minorHAnsi" w:hAnsiTheme="minorHAnsi" w:cstheme="minorBidi"/>
          <w:sz w:val="20"/>
        </w:rPr>
      </w:pPr>
      <w:r>
        <w:rPr>
          <w:rStyle w:val="FootnoteReference"/>
          <w:szCs w:val="26"/>
        </w:rPr>
        <w:footnoteRef/>
      </w:r>
      <w:r>
        <w:rPr>
          <w:szCs w:val="26"/>
        </w:rPr>
        <w:t xml:space="preserve"> Rivest-Shamir-Adelman is a public key infrastructure algorithm composed of a public component and a private component that is typically installed on a recognized Certificate Authority.</w:t>
      </w:r>
    </w:p>
  </w:footnote>
  <w:footnote w:id="10">
    <w:p w14:paraId="5DC82D91" w14:textId="15E79E13" w:rsidR="00AE6000" w:rsidRDefault="00AE6000" w:rsidP="001E1911">
      <w:pPr>
        <w:pStyle w:val="FootnoteText"/>
        <w:rPr>
          <w:rFonts w:asciiTheme="minorHAnsi" w:hAnsiTheme="minorHAnsi" w:cstheme="minorBidi"/>
          <w:sz w:val="20"/>
        </w:rPr>
      </w:pPr>
      <w:r>
        <w:rPr>
          <w:rStyle w:val="FootnoteReference"/>
          <w:szCs w:val="26"/>
        </w:rPr>
        <w:footnoteRef/>
      </w:r>
      <w:r>
        <w:rPr>
          <w:szCs w:val="26"/>
        </w:rPr>
        <w:t xml:space="preserve"> Elliptic Curve Digital Signature Algorithm public keys generate an encrypted signature to validate data.</w:t>
      </w:r>
    </w:p>
  </w:footnote>
  <w:footnote w:id="11">
    <w:p w14:paraId="1053875E" w14:textId="2600EE63" w:rsidR="00AE6000" w:rsidRPr="00093C52" w:rsidRDefault="00AE6000" w:rsidP="007F4499">
      <w:pPr>
        <w:pStyle w:val="FootnoteText"/>
        <w:rPr>
          <w:szCs w:val="26"/>
        </w:rPr>
      </w:pPr>
      <w:r>
        <w:rPr>
          <w:rStyle w:val="FootnoteReference"/>
          <w:szCs w:val="26"/>
        </w:rPr>
        <w:footnoteRef/>
      </w:r>
      <w:r>
        <w:rPr>
          <w:szCs w:val="26"/>
        </w:rPr>
        <w:t xml:space="preserve"> A Hash is cryptology technique used for digital signatures in which a series </w:t>
      </w:r>
      <w:r w:rsidR="00CD4AE5">
        <w:rPr>
          <w:szCs w:val="26"/>
        </w:rPr>
        <w:br/>
      </w:r>
      <w:r>
        <w:rPr>
          <w:szCs w:val="26"/>
        </w:rPr>
        <w:t>of numbers that may represent, for example, a password, an image, a document, or an executable file is used to generate a cryptographic hash (i.e., a large number).</w:t>
      </w:r>
    </w:p>
  </w:footnote>
  <w:footnote w:id="12">
    <w:p w14:paraId="3F11AD05" w14:textId="77777777" w:rsidR="00AE6000" w:rsidRPr="00093C52" w:rsidRDefault="00AE6000" w:rsidP="00C20CA3">
      <w:pPr>
        <w:pStyle w:val="FootnoteText"/>
        <w:rPr>
          <w:szCs w:val="26"/>
        </w:rPr>
      </w:pPr>
      <w:r>
        <w:rPr>
          <w:rStyle w:val="FootnoteReference"/>
          <w:szCs w:val="26"/>
        </w:rPr>
        <w:footnoteRef/>
      </w:r>
      <w:r>
        <w:rPr>
          <w:szCs w:val="26"/>
        </w:rPr>
        <w:t xml:space="preserve"> SHA-2 is a set of cryptographic hash functions.</w:t>
      </w:r>
    </w:p>
  </w:footnote>
  <w:footnote w:id="13">
    <w:p w14:paraId="2B5E6764" w14:textId="031E6A31" w:rsidR="00AE6000" w:rsidRDefault="00AE6000" w:rsidP="005B6D6B">
      <w:pPr>
        <w:pStyle w:val="FootnoteText"/>
        <w:rPr>
          <w:szCs w:val="26"/>
        </w:rPr>
      </w:pPr>
      <w:r>
        <w:rPr>
          <w:rStyle w:val="FootnoteReference"/>
          <w:szCs w:val="26"/>
        </w:rPr>
        <w:footnoteRef/>
      </w:r>
      <w:r>
        <w:rPr>
          <w:szCs w:val="26"/>
        </w:rPr>
        <w:t xml:space="preserve"> PGP is a proprietary (i.e., an organization must pay to use it) encryption program developed to enhance the confidentiality and integrity of data.</w:t>
      </w:r>
    </w:p>
  </w:footnote>
  <w:footnote w:id="14">
    <w:p w14:paraId="63E65A33" w14:textId="032BE095" w:rsidR="00AE6000" w:rsidRPr="000603CD" w:rsidRDefault="00AE6000" w:rsidP="00274F17">
      <w:pPr>
        <w:pStyle w:val="FootnoteText"/>
        <w:rPr>
          <w:szCs w:val="26"/>
        </w:rPr>
      </w:pPr>
      <w:r>
        <w:rPr>
          <w:rStyle w:val="FootnoteReference"/>
          <w:szCs w:val="26"/>
        </w:rPr>
        <w:footnoteRef/>
      </w:r>
      <w:r>
        <w:rPr>
          <w:szCs w:val="26"/>
        </w:rPr>
        <w:t xml:space="preserve"> OpenPGP is an encryption standard defined by the Internet Engineering Task Force enabling design and implementation free of licensing fees.  At present, the encryption method is generally considered the most secure.</w:t>
      </w:r>
    </w:p>
  </w:footnote>
  <w:footnote w:id="15">
    <w:p w14:paraId="297B3B1C" w14:textId="1EBAA552" w:rsidR="00AE6000" w:rsidRPr="000603CD" w:rsidRDefault="00AE6000" w:rsidP="00DC7892">
      <w:pPr>
        <w:pStyle w:val="FootnoteText"/>
        <w:rPr>
          <w:szCs w:val="26"/>
        </w:rPr>
      </w:pPr>
      <w:r>
        <w:rPr>
          <w:rStyle w:val="FootnoteReference"/>
          <w:szCs w:val="26"/>
        </w:rPr>
        <w:footnoteRef/>
      </w:r>
      <w:r>
        <w:rPr>
          <w:szCs w:val="26"/>
        </w:rPr>
        <w:t xml:space="preserve"> HTTPS authentication encrypts username and password combinations as part of a Uniform Resource Locator address.  To obtain an HTTPS connection, a web browser must contact a trusted, commercial Certificate Authority, such as a NAESB Authorized Certificate Authority, to obtain the web server’s public key, and follow other applicable HTTPS procedures.</w:t>
      </w:r>
    </w:p>
  </w:footnote>
  <w:footnote w:id="16">
    <w:p w14:paraId="7797662E" w14:textId="4CF8F03F" w:rsidR="00AE6000" w:rsidRPr="00093C52" w:rsidRDefault="00AE6000" w:rsidP="000E0E4A">
      <w:pPr>
        <w:pStyle w:val="FootnoteText"/>
        <w:rPr>
          <w:szCs w:val="26"/>
        </w:rPr>
      </w:pPr>
      <w:r>
        <w:rPr>
          <w:rStyle w:val="FootnoteReference"/>
          <w:szCs w:val="26"/>
        </w:rPr>
        <w:footnoteRef/>
      </w:r>
      <w:r>
        <w:rPr>
          <w:szCs w:val="26"/>
        </w:rPr>
        <w:t xml:space="preserve"> HTTP is the original communications protocol of the Internet which enables a web browser to depict text, pictures, shapes, live data, and click targets on a web browser.  However, us</w:t>
      </w:r>
      <w:r w:rsidRPr="000E0E4A">
        <w:rPr>
          <w:szCs w:val="26"/>
        </w:rPr>
        <w:t>ername</w:t>
      </w:r>
      <w:r>
        <w:rPr>
          <w:szCs w:val="26"/>
        </w:rPr>
        <w:t xml:space="preserve"> and </w:t>
      </w:r>
      <w:r w:rsidRPr="000E0E4A">
        <w:rPr>
          <w:szCs w:val="26"/>
        </w:rPr>
        <w:t>password combinations are not encrypted in HTTP basic authentication</w:t>
      </w:r>
      <w:r>
        <w:rPr>
          <w:szCs w:val="26"/>
        </w:rPr>
        <w:t>.</w:t>
      </w:r>
    </w:p>
  </w:footnote>
  <w:footnote w:id="17">
    <w:p w14:paraId="4C09B62B" w14:textId="6EAC81CB" w:rsidR="00AE6000" w:rsidRPr="000603CD" w:rsidRDefault="00AE6000" w:rsidP="00A44CAF">
      <w:pPr>
        <w:pStyle w:val="FootnoteText"/>
        <w:rPr>
          <w:szCs w:val="26"/>
        </w:rPr>
      </w:pPr>
      <w:r>
        <w:rPr>
          <w:rStyle w:val="FootnoteReference"/>
          <w:szCs w:val="26"/>
        </w:rPr>
        <w:footnoteRef/>
      </w:r>
      <w:r>
        <w:rPr>
          <w:szCs w:val="26"/>
        </w:rPr>
        <w:t xml:space="preserve"> </w:t>
      </w:r>
      <w:r w:rsidRPr="000603CD">
        <w:rPr>
          <w:szCs w:val="26"/>
        </w:rPr>
        <w:t xml:space="preserve">In order for a Service Requester to have control over </w:t>
      </w:r>
      <w:r>
        <w:rPr>
          <w:szCs w:val="26"/>
        </w:rPr>
        <w:t>its</w:t>
      </w:r>
      <w:r w:rsidRPr="000603CD">
        <w:rPr>
          <w:szCs w:val="26"/>
        </w:rPr>
        <w:t xml:space="preserve"> segmented nomination(s), the </w:t>
      </w:r>
      <w:r>
        <w:rPr>
          <w:szCs w:val="26"/>
        </w:rPr>
        <w:t>Transportation Service Provider (</w:t>
      </w:r>
      <w:r w:rsidRPr="000603CD">
        <w:rPr>
          <w:szCs w:val="26"/>
        </w:rPr>
        <w:t>TSP</w:t>
      </w:r>
      <w:r>
        <w:rPr>
          <w:szCs w:val="26"/>
        </w:rPr>
        <w:t>)</w:t>
      </w:r>
      <w:r w:rsidRPr="000603CD">
        <w:rPr>
          <w:szCs w:val="26"/>
        </w:rPr>
        <w:t xml:space="preserve"> will require a </w:t>
      </w:r>
      <w:r>
        <w:rPr>
          <w:szCs w:val="26"/>
        </w:rPr>
        <w:t>“</w:t>
      </w:r>
      <w:r w:rsidRPr="000603CD">
        <w:rPr>
          <w:szCs w:val="26"/>
        </w:rPr>
        <w:t>Capacity Block ID</w:t>
      </w:r>
      <w:r>
        <w:rPr>
          <w:szCs w:val="26"/>
        </w:rPr>
        <w:t>”</w:t>
      </w:r>
      <w:r w:rsidRPr="000603CD">
        <w:rPr>
          <w:szCs w:val="26"/>
        </w:rPr>
        <w:t xml:space="preserve"> to be submitted with each nomination line item specifying a Transaction Type of “Segmented.</w:t>
      </w:r>
      <w:r>
        <w:rPr>
          <w:szCs w:val="26"/>
        </w:rPr>
        <w:t>”</w:t>
      </w:r>
    </w:p>
  </w:footnote>
  <w:footnote w:id="18">
    <w:p w14:paraId="62DE44BB" w14:textId="51BC08C9" w:rsidR="00AE6000" w:rsidRDefault="00AE6000" w:rsidP="00260E66">
      <w:pPr>
        <w:pStyle w:val="FootnoteText"/>
        <w:rPr>
          <w:rFonts w:asciiTheme="minorHAnsi" w:hAnsiTheme="minorHAnsi" w:cstheme="minorBidi"/>
          <w:sz w:val="20"/>
        </w:rPr>
      </w:pPr>
      <w:r>
        <w:rPr>
          <w:rStyle w:val="FootnoteReference"/>
          <w:szCs w:val="26"/>
        </w:rPr>
        <w:footnoteRef/>
      </w:r>
      <w:r>
        <w:rPr>
          <w:szCs w:val="26"/>
        </w:rPr>
        <w:t xml:space="preserve"> NAESB WGQ Version 3.2 Standards 1.3.14, 1.3.15, 1.3.82, and 3.3.3.</w:t>
      </w:r>
    </w:p>
  </w:footnote>
  <w:footnote w:id="19">
    <w:p w14:paraId="7F649E22" w14:textId="3D9B1586" w:rsidR="00AE6000" w:rsidRDefault="00AE6000" w:rsidP="00260E66">
      <w:pPr>
        <w:pStyle w:val="FootnoteText"/>
        <w:rPr>
          <w:rFonts w:asciiTheme="minorHAnsi" w:hAnsiTheme="minorHAnsi" w:cstheme="minorBidi"/>
          <w:sz w:val="20"/>
        </w:rPr>
      </w:pPr>
      <w:r>
        <w:rPr>
          <w:rStyle w:val="FootnoteReference"/>
          <w:szCs w:val="26"/>
        </w:rPr>
        <w:footnoteRef/>
      </w:r>
      <w:r>
        <w:rPr>
          <w:szCs w:val="26"/>
        </w:rPr>
        <w:t xml:space="preserve"> NAESB WGQ Version 3.2 Standards 0.4.1 through 0.4.3, 1.4.1, 1.4.3 through 1.4.6, 2.4.1, 2.4.6, 2.4.17, 3.4.1, 3.4.2, 5.4.24 through 5.4.26.</w:t>
      </w:r>
    </w:p>
  </w:footnote>
  <w:footnote w:id="20">
    <w:p w14:paraId="7864A287" w14:textId="73590A70" w:rsidR="00AE6000" w:rsidRDefault="00AE6000" w:rsidP="0039464E">
      <w:pPr>
        <w:pStyle w:val="FootnoteText"/>
      </w:pPr>
      <w:r w:rsidRPr="00932257">
        <w:rPr>
          <w:rStyle w:val="FootnoteReference"/>
        </w:rPr>
        <w:footnoteRef/>
      </w:r>
      <w:r>
        <w:t xml:space="preserve"> </w:t>
      </w:r>
      <w:r w:rsidRPr="005E4BDE">
        <w:rPr>
          <w:i/>
        </w:rPr>
        <w:t>See</w:t>
      </w:r>
      <w:r>
        <w:rPr>
          <w:i/>
        </w:rPr>
        <w:t>, e.g.,</w:t>
      </w:r>
      <w:r w:rsidRPr="005E4BDE">
        <w:rPr>
          <w:i/>
        </w:rPr>
        <w:t xml:space="preserve"> Standards for </w:t>
      </w:r>
      <w:r>
        <w:rPr>
          <w:i/>
        </w:rPr>
        <w:t>Bus.</w:t>
      </w:r>
      <w:r w:rsidRPr="005E4BDE">
        <w:rPr>
          <w:i/>
        </w:rPr>
        <w:t xml:space="preserve"> Practices of Interstate </w:t>
      </w:r>
      <w:r>
        <w:rPr>
          <w:i/>
        </w:rPr>
        <w:t>Nat.</w:t>
      </w:r>
      <w:r w:rsidRPr="005E4BDE">
        <w:rPr>
          <w:i/>
        </w:rPr>
        <w:t xml:space="preserve"> Gas Pipelines</w:t>
      </w:r>
      <w:r>
        <w:t xml:space="preserve">, Notice of Proposed Rulemaking, </w:t>
      </w:r>
      <w:r w:rsidR="00C862F0" w:rsidRPr="00EB63A0">
        <w:t>83 FR 44521</w:t>
      </w:r>
      <w:r w:rsidR="00C862F0">
        <w:t xml:space="preserve"> (Aug. 31, 2018), </w:t>
      </w:r>
      <w:r w:rsidRPr="0039464E">
        <w:t>164 FERC ¶ 61,125</w:t>
      </w:r>
      <w:r>
        <w:t>, at P 16 (2018) (</w:t>
      </w:r>
      <w:r w:rsidRPr="000603CD">
        <w:rPr>
          <w:i/>
          <w:iCs/>
        </w:rPr>
        <w:t>WGQ Version 3.</w:t>
      </w:r>
      <w:r>
        <w:rPr>
          <w:i/>
          <w:iCs/>
        </w:rPr>
        <w:t>1</w:t>
      </w:r>
      <w:r w:rsidRPr="000603CD">
        <w:rPr>
          <w:i/>
          <w:iCs/>
        </w:rPr>
        <w:t xml:space="preserve"> NOPR</w:t>
      </w:r>
      <w:r>
        <w:t>).</w:t>
      </w:r>
    </w:p>
  </w:footnote>
  <w:footnote w:id="21">
    <w:p w14:paraId="47BC049C" w14:textId="23B02C9C" w:rsidR="00AE6000" w:rsidRPr="00393FAA" w:rsidRDefault="00AE6000" w:rsidP="00151B2E">
      <w:pPr>
        <w:pStyle w:val="FootnoteText"/>
      </w:pPr>
      <w:r w:rsidRPr="00932257">
        <w:rPr>
          <w:rStyle w:val="FootnoteReference"/>
        </w:rPr>
        <w:footnoteRef/>
      </w:r>
      <w:r>
        <w:t xml:space="preserve"> </w:t>
      </w:r>
      <w:r w:rsidRPr="005B1E93">
        <w:rPr>
          <w:i/>
        </w:rPr>
        <w:t>Id.</w:t>
      </w:r>
      <w:r>
        <w:t xml:space="preserve">, </w:t>
      </w:r>
      <w:r w:rsidRPr="00716C7A">
        <w:rPr>
          <w:i/>
        </w:rPr>
        <w:t xml:space="preserve">Standards for </w:t>
      </w:r>
      <w:r>
        <w:rPr>
          <w:i/>
        </w:rPr>
        <w:t>Bus.</w:t>
      </w:r>
      <w:r w:rsidRPr="00716C7A">
        <w:rPr>
          <w:i/>
        </w:rPr>
        <w:t xml:space="preserve"> Practices of Interstate </w:t>
      </w:r>
      <w:r>
        <w:rPr>
          <w:i/>
        </w:rPr>
        <w:t>Nat.</w:t>
      </w:r>
      <w:r w:rsidRPr="00716C7A">
        <w:rPr>
          <w:i/>
        </w:rPr>
        <w:t xml:space="preserve"> Gas Pipelines</w:t>
      </w:r>
      <w:r>
        <w:rPr>
          <w:i/>
        </w:rPr>
        <w:t>,</w:t>
      </w:r>
      <w:r w:rsidRPr="00716C7A">
        <w:t xml:space="preserve"> </w:t>
      </w:r>
      <w:r>
        <w:t>Ord</w:t>
      </w:r>
      <w:r w:rsidR="00C862F0">
        <w:t>er</w:t>
      </w:r>
      <w:r>
        <w:t xml:space="preserve">. </w:t>
      </w:r>
      <w:r w:rsidR="00C862F0">
        <w:br/>
      </w:r>
      <w:r>
        <w:t>No.</w:t>
      </w:r>
      <w:r w:rsidRPr="006224AA">
        <w:t xml:space="preserve"> 587-V, </w:t>
      </w:r>
      <w:r w:rsidR="00C862F0" w:rsidRPr="00EB63A0">
        <w:t>77 FR 43711</w:t>
      </w:r>
      <w:r w:rsidR="00C862F0">
        <w:t xml:space="preserve"> (Jul. 26, 2012), </w:t>
      </w:r>
      <w:r w:rsidRPr="008127C6">
        <w:t>140 FERC ¶ 61,036</w:t>
      </w:r>
      <w:r>
        <w:t>,</w:t>
      </w:r>
      <w:r w:rsidRPr="006224AA">
        <w:t xml:space="preserve"> at </w:t>
      </w:r>
      <w:r>
        <w:t>n.11 (2012).</w:t>
      </w:r>
    </w:p>
  </w:footnote>
  <w:footnote w:id="22">
    <w:p w14:paraId="1309C059" w14:textId="751AA367" w:rsidR="00AE6000" w:rsidRDefault="00AE6000" w:rsidP="00151B2E">
      <w:pPr>
        <w:pStyle w:val="FootnoteText"/>
      </w:pPr>
      <w:r w:rsidRPr="00932257">
        <w:rPr>
          <w:rStyle w:val="FootnoteReference"/>
        </w:rPr>
        <w:footnoteRef/>
      </w:r>
      <w:r>
        <w:t xml:space="preserve"> </w:t>
      </w:r>
      <w:r w:rsidRPr="005B1E93">
        <w:rPr>
          <w:i/>
        </w:rPr>
        <w:t>WGQ Version 3.</w:t>
      </w:r>
      <w:r>
        <w:rPr>
          <w:i/>
        </w:rPr>
        <w:t>1</w:t>
      </w:r>
      <w:r w:rsidRPr="005B1E93">
        <w:rPr>
          <w:i/>
        </w:rPr>
        <w:t xml:space="preserve"> NOPR</w:t>
      </w:r>
      <w:r w:rsidRPr="005B1E93">
        <w:t xml:space="preserve">, </w:t>
      </w:r>
      <w:r w:rsidRPr="0039464E">
        <w:t>164 FERC ¶ 61,125</w:t>
      </w:r>
      <w:r w:rsidRPr="005B1E93">
        <w:t xml:space="preserve"> at P </w:t>
      </w:r>
      <w:r>
        <w:t xml:space="preserve">16; </w:t>
      </w:r>
      <w:r>
        <w:rPr>
          <w:i/>
        </w:rPr>
        <w:t>Elec.</w:t>
      </w:r>
      <w:r w:rsidRPr="006B6CBC">
        <w:rPr>
          <w:i/>
        </w:rPr>
        <w:t xml:space="preserve"> Tariff Filings</w:t>
      </w:r>
      <w:r>
        <w:t>, Ord</w:t>
      </w:r>
      <w:r w:rsidR="00C862F0">
        <w:t>er</w:t>
      </w:r>
      <w:r>
        <w:t xml:space="preserve"> No. 714, </w:t>
      </w:r>
      <w:r w:rsidR="00356C09" w:rsidRPr="00EB63A0">
        <w:t>73 FR 57515</w:t>
      </w:r>
      <w:r w:rsidR="00356C09">
        <w:t xml:space="preserve"> (Oct. 3, 2008), </w:t>
      </w:r>
      <w:r w:rsidRPr="008127C6">
        <w:t>124 FERC ¶ 61,270</w:t>
      </w:r>
      <w:r>
        <w:t xml:space="preserve"> (2008).</w:t>
      </w:r>
    </w:p>
  </w:footnote>
  <w:footnote w:id="23">
    <w:p w14:paraId="78FF58B3" w14:textId="455A3C43" w:rsidR="00AE6000" w:rsidRDefault="00AE6000" w:rsidP="008127C6">
      <w:pPr>
        <w:pStyle w:val="FootnoteText"/>
      </w:pPr>
      <w:r w:rsidRPr="00932257">
        <w:rPr>
          <w:rStyle w:val="FootnoteReference"/>
        </w:rPr>
        <w:footnoteRef/>
      </w:r>
      <w:r>
        <w:t xml:space="preserve"> Ord</w:t>
      </w:r>
      <w:r w:rsidR="00356C09">
        <w:t>er</w:t>
      </w:r>
      <w:r>
        <w:t xml:space="preserve"> No.</w:t>
      </w:r>
      <w:r w:rsidRPr="00561059">
        <w:t xml:space="preserve"> 587-V, </w:t>
      </w:r>
      <w:r w:rsidRPr="008127C6">
        <w:t>140 FERC ¶ 61,036</w:t>
      </w:r>
      <w:r w:rsidRPr="00561059">
        <w:t xml:space="preserve"> at</w:t>
      </w:r>
      <w:r>
        <w:t xml:space="preserve"> PP 36-39.</w:t>
      </w:r>
    </w:p>
  </w:footnote>
  <w:footnote w:id="24">
    <w:p w14:paraId="76FAD664" w14:textId="24D1911C" w:rsidR="00AE6000" w:rsidRDefault="00AE6000" w:rsidP="008127C6">
      <w:pPr>
        <w:pStyle w:val="FootnoteText"/>
      </w:pPr>
      <w:r w:rsidRPr="00932257">
        <w:rPr>
          <w:rStyle w:val="FootnoteReference"/>
        </w:rPr>
        <w:footnoteRef/>
      </w:r>
      <w:r>
        <w:t xml:space="preserve"> </w:t>
      </w:r>
      <w:r w:rsidRPr="00716C7A">
        <w:rPr>
          <w:i/>
        </w:rPr>
        <w:t>Trans-Union Interstate Pipeline L.P</w:t>
      </w:r>
      <w:r w:rsidRPr="00716C7A">
        <w:t>.</w:t>
      </w:r>
      <w:r>
        <w:t xml:space="preserve">, </w:t>
      </w:r>
      <w:r w:rsidRPr="00561059">
        <w:t>141 FERC ¶</w:t>
      </w:r>
      <w:r>
        <w:t xml:space="preserve"> </w:t>
      </w:r>
      <w:r w:rsidRPr="00561059">
        <w:t>61,167</w:t>
      </w:r>
      <w:r>
        <w:t>, at P 36 (2012) (Ord</w:t>
      </w:r>
      <w:r w:rsidR="00356C09">
        <w:t>er</w:t>
      </w:r>
      <w:r>
        <w:t xml:space="preserve"> No.</w:t>
      </w:r>
      <w:r w:rsidRPr="00716C7A">
        <w:t xml:space="preserve"> 587-V</w:t>
      </w:r>
      <w:r>
        <w:t xml:space="preserve"> Compliance Order).</w:t>
      </w:r>
    </w:p>
  </w:footnote>
  <w:footnote w:id="25">
    <w:p w14:paraId="24E7B6FA" w14:textId="108667FA" w:rsidR="00AE6000" w:rsidRDefault="00AE6000" w:rsidP="00574CFE">
      <w:pPr>
        <w:pStyle w:val="FootnoteText"/>
      </w:pPr>
      <w:r w:rsidRPr="00932257">
        <w:rPr>
          <w:rStyle w:val="FootnoteReference"/>
        </w:rPr>
        <w:footnoteRef/>
      </w:r>
      <w:r>
        <w:t xml:space="preserve"> </w:t>
      </w:r>
      <w:r w:rsidRPr="00E832D2">
        <w:rPr>
          <w:i/>
        </w:rPr>
        <w:t>Id.</w:t>
      </w:r>
      <w:r w:rsidRPr="00E832D2">
        <w:t xml:space="preserve"> P 3</w:t>
      </w:r>
      <w:r>
        <w:t xml:space="preserve">6; </w:t>
      </w:r>
      <w:r w:rsidRPr="000603CD">
        <w:rPr>
          <w:i/>
          <w:iCs/>
        </w:rPr>
        <w:t>WGQ Version 3.1 NOPR</w:t>
      </w:r>
      <w:r>
        <w:t xml:space="preserve">, </w:t>
      </w:r>
      <w:r w:rsidRPr="0039464E">
        <w:t>164 FERC ¶ 61,125</w:t>
      </w:r>
      <w:r>
        <w:t xml:space="preserve"> at P 18</w:t>
      </w:r>
      <w:r w:rsidRPr="00E832D2">
        <w:t>.</w:t>
      </w:r>
    </w:p>
  </w:footnote>
  <w:footnote w:id="26">
    <w:p w14:paraId="1471DA44" w14:textId="4AC98881" w:rsidR="00F34FE4" w:rsidRDefault="00F34FE4">
      <w:pPr>
        <w:pStyle w:val="FootnoteText"/>
      </w:pPr>
      <w:r>
        <w:rPr>
          <w:rStyle w:val="FootnoteReference"/>
        </w:rPr>
        <w:footnoteRef/>
      </w:r>
      <w:r>
        <w:t xml:space="preserve"> </w:t>
      </w:r>
      <w:r w:rsidRPr="00F34FE4">
        <w:t>Shippers can use the Commission’s electronic tariff system to locate the tariff record containing the NAESB standards, which will indicate the docket in which any waiver or extension of time was granted.</w:t>
      </w:r>
    </w:p>
  </w:footnote>
  <w:footnote w:id="27">
    <w:p w14:paraId="300398A7" w14:textId="43ECFBAF" w:rsidR="00AE6000" w:rsidRDefault="00AE6000" w:rsidP="00574CFE">
      <w:pPr>
        <w:pStyle w:val="FootnoteText"/>
      </w:pPr>
      <w:r w:rsidRPr="00932257">
        <w:rPr>
          <w:rStyle w:val="FootnoteReference"/>
        </w:rPr>
        <w:footnoteRef/>
      </w:r>
      <w:r>
        <w:t xml:space="preserve"> Ord</w:t>
      </w:r>
      <w:r w:rsidR="00356C09">
        <w:t>er</w:t>
      </w:r>
      <w:r>
        <w:t xml:space="preserve"> No. 587-V, </w:t>
      </w:r>
      <w:r w:rsidRPr="008127C6">
        <w:t>140 FERC ¶ 61,036</w:t>
      </w:r>
      <w:r>
        <w:t>.</w:t>
      </w:r>
    </w:p>
  </w:footnote>
  <w:footnote w:id="28">
    <w:p w14:paraId="150406E7" w14:textId="6D7ABD79" w:rsidR="00AE6000" w:rsidRPr="00561059" w:rsidRDefault="00AE6000" w:rsidP="00574CFE">
      <w:pPr>
        <w:pStyle w:val="FootnoteText"/>
        <w:rPr>
          <w:rFonts w:eastAsia="Times New Roman"/>
          <w:color w:val="000000"/>
          <w:szCs w:val="23"/>
        </w:rPr>
      </w:pPr>
      <w:r w:rsidRPr="00932257">
        <w:rPr>
          <w:rStyle w:val="FootnoteReference"/>
        </w:rPr>
        <w:footnoteRef/>
      </w:r>
      <w:r>
        <w:t xml:space="preserve"> </w:t>
      </w:r>
      <w:r>
        <w:rPr>
          <w:rFonts w:eastAsia="Times New Roman"/>
          <w:color w:val="000000"/>
          <w:szCs w:val="23"/>
        </w:rPr>
        <w:t>Ord</w:t>
      </w:r>
      <w:r w:rsidR="00356C09">
        <w:rPr>
          <w:rFonts w:eastAsia="Times New Roman"/>
          <w:color w:val="000000"/>
          <w:szCs w:val="23"/>
        </w:rPr>
        <w:t>er</w:t>
      </w:r>
      <w:r>
        <w:rPr>
          <w:rFonts w:eastAsia="Times New Roman"/>
          <w:color w:val="000000"/>
          <w:szCs w:val="23"/>
        </w:rPr>
        <w:t xml:space="preserve"> No.</w:t>
      </w:r>
      <w:r w:rsidRPr="00BE6301">
        <w:rPr>
          <w:rFonts w:eastAsia="Times New Roman"/>
          <w:color w:val="000000"/>
          <w:szCs w:val="23"/>
        </w:rPr>
        <w:t xml:space="preserve"> 587-V Compliance Order,</w:t>
      </w:r>
      <w:r>
        <w:rPr>
          <w:rFonts w:eastAsia="Times New Roman"/>
          <w:i/>
          <w:color w:val="000000"/>
          <w:szCs w:val="23"/>
        </w:rPr>
        <w:t xml:space="preserve"> </w:t>
      </w:r>
      <w:r w:rsidRPr="00301287">
        <w:rPr>
          <w:rFonts w:eastAsia="Times New Roman"/>
          <w:color w:val="000000"/>
          <w:szCs w:val="23"/>
        </w:rPr>
        <w:t>141 FERC ¶</w:t>
      </w:r>
      <w:r>
        <w:t xml:space="preserve"> </w:t>
      </w:r>
      <w:r w:rsidRPr="00301287">
        <w:rPr>
          <w:rFonts w:eastAsia="Times New Roman"/>
          <w:color w:val="000000"/>
          <w:szCs w:val="23"/>
        </w:rPr>
        <w:t>61,167</w:t>
      </w:r>
      <w:r>
        <w:rPr>
          <w:rFonts w:eastAsia="Times New Roman"/>
          <w:color w:val="000000"/>
          <w:szCs w:val="23"/>
        </w:rPr>
        <w:t xml:space="preserve"> at PP 4, 38.</w:t>
      </w:r>
    </w:p>
  </w:footnote>
  <w:footnote w:id="29">
    <w:p w14:paraId="0D494CB3" w14:textId="24FCA4B4" w:rsidR="00AE6000" w:rsidRPr="0080606A" w:rsidRDefault="00AE6000" w:rsidP="000D3C1C">
      <w:pPr>
        <w:pStyle w:val="FootnoteText"/>
      </w:pPr>
      <w:r w:rsidRPr="00932257">
        <w:rPr>
          <w:rStyle w:val="FootnoteReference"/>
        </w:rPr>
        <w:footnoteRef/>
      </w:r>
      <w:r w:rsidRPr="0080606A">
        <w:t xml:space="preserve"> 1 CF</w:t>
      </w:r>
      <w:r>
        <w:t xml:space="preserve">R </w:t>
      </w:r>
      <w:r w:rsidRPr="0080606A">
        <w:t>51.5</w:t>
      </w:r>
      <w:r>
        <w:t xml:space="preserve"> (2020)</w:t>
      </w:r>
      <w:r w:rsidRPr="0080606A">
        <w:t xml:space="preserve">.  </w:t>
      </w:r>
      <w:r w:rsidRPr="0080606A">
        <w:rPr>
          <w:i/>
        </w:rPr>
        <w:t xml:space="preserve">See </w:t>
      </w:r>
      <w:r w:rsidRPr="0080606A">
        <w:t>Incorporation by Reference, 79 FR 66267 (Nov. 7, 2014).</w:t>
      </w:r>
    </w:p>
  </w:footnote>
  <w:footnote w:id="30">
    <w:p w14:paraId="738B3385" w14:textId="3CF3E287" w:rsidR="00AE6000" w:rsidRPr="0080606A" w:rsidRDefault="00AE6000" w:rsidP="00D55E2E">
      <w:pPr>
        <w:pStyle w:val="FootnoteText"/>
      </w:pPr>
      <w:r w:rsidRPr="00932257">
        <w:rPr>
          <w:rStyle w:val="FootnoteReference"/>
        </w:rPr>
        <w:footnoteRef/>
      </w:r>
      <w:r>
        <w:t xml:space="preserve"> 5 CFR</w:t>
      </w:r>
      <w:r w:rsidR="00356C09">
        <w:t xml:space="preserve"> </w:t>
      </w:r>
      <w:r>
        <w:t>1320.11 (2020</w:t>
      </w:r>
      <w:r w:rsidRPr="0080606A">
        <w:t>).</w:t>
      </w:r>
    </w:p>
  </w:footnote>
  <w:footnote w:id="31">
    <w:p w14:paraId="7E84D838" w14:textId="77777777" w:rsidR="00AE6000" w:rsidRDefault="00AE6000" w:rsidP="00E94D56">
      <w:pPr>
        <w:pStyle w:val="FootnoteText"/>
      </w:pPr>
      <w:r w:rsidRPr="00932257">
        <w:rPr>
          <w:rStyle w:val="FootnoteReference"/>
        </w:rPr>
        <w:footnoteRef/>
      </w:r>
      <w:r>
        <w:t xml:space="preserve"> </w:t>
      </w:r>
      <w:r w:rsidRPr="00E64311">
        <w:t>FERC-545 covers rate change filings made by natural gas pipelines, including tariff changes.</w:t>
      </w:r>
    </w:p>
  </w:footnote>
  <w:footnote w:id="32">
    <w:p w14:paraId="4967D55A" w14:textId="77777777" w:rsidR="00AE6000" w:rsidRDefault="00AE6000" w:rsidP="00E94D56">
      <w:pPr>
        <w:pStyle w:val="FootnoteText"/>
      </w:pPr>
      <w:r w:rsidRPr="00932257">
        <w:rPr>
          <w:rStyle w:val="FootnoteReference"/>
        </w:rPr>
        <w:footnoteRef/>
      </w:r>
      <w:r>
        <w:t xml:space="preserve"> </w:t>
      </w:r>
      <w:r w:rsidRPr="00E64311">
        <w:t>FERC-549C covers Standards for Business Practices of Interstate Natural Gas Pipelines.</w:t>
      </w:r>
    </w:p>
  </w:footnote>
  <w:footnote w:id="33">
    <w:p w14:paraId="6B08CB4E" w14:textId="567E12D4" w:rsidR="00AE6000" w:rsidRDefault="00AE6000" w:rsidP="009D53A9">
      <w:pPr>
        <w:pStyle w:val="FootnoteText"/>
      </w:pPr>
      <w:r w:rsidRPr="00932257">
        <w:rPr>
          <w:rStyle w:val="FootnoteReference"/>
        </w:rPr>
        <w:footnoteRef/>
      </w:r>
      <w:r>
        <w:t xml:space="preserve"> The number of respondents is the number of entities in which a change in burden from the current standards to the proposed exists, not the total number of entities from the current or proposed standards that are applicable.</w:t>
      </w:r>
    </w:p>
  </w:footnote>
  <w:footnote w:id="34">
    <w:p w14:paraId="18E96C72" w14:textId="77777777" w:rsidR="00AE6000" w:rsidRDefault="00AE6000" w:rsidP="00221D97">
      <w:pPr>
        <w:pStyle w:val="FootnoteText"/>
        <w:spacing w:after="0"/>
        <w:rPr>
          <w:rFonts w:eastAsia="Times New Roman"/>
          <w:szCs w:val="26"/>
        </w:rPr>
      </w:pPr>
      <w:r w:rsidRPr="00932257">
        <w:rPr>
          <w:rStyle w:val="FootnoteReference"/>
        </w:rPr>
        <w:footnoteRef/>
      </w:r>
      <w:r>
        <w:t xml:space="preserve"> </w:t>
      </w:r>
      <w:r w:rsidRPr="00086BC1">
        <w:rPr>
          <w:rFonts w:eastAsia="Times New Roman"/>
          <w:szCs w:val="26"/>
        </w:rPr>
        <w:t>The estimated hourly cost (salary plus benefits) provided in this section is based on</w:t>
      </w:r>
      <w:r>
        <w:rPr>
          <w:rFonts w:eastAsia="Times New Roman"/>
          <w:szCs w:val="26"/>
        </w:rPr>
        <w:t xml:space="preserve"> the salary figures for </w:t>
      </w:r>
      <w:r w:rsidRPr="00795D0F">
        <w:rPr>
          <w:rFonts w:eastAsia="Times New Roman"/>
          <w:szCs w:val="26"/>
        </w:rPr>
        <w:t xml:space="preserve">May 2019 posted </w:t>
      </w:r>
      <w:r w:rsidRPr="00086BC1">
        <w:rPr>
          <w:rFonts w:eastAsia="Times New Roman"/>
          <w:szCs w:val="26"/>
        </w:rPr>
        <w:t xml:space="preserve">by the Bureau of Labor Statistics for the Utilities sector (available at </w:t>
      </w:r>
      <w:hyperlink r:id="rId1" w:history="1">
        <w:r w:rsidRPr="00356C09">
          <w:rPr>
            <w:rStyle w:val="Hyperlink"/>
            <w:rFonts w:eastAsia="Times New Roman"/>
            <w:color w:val="auto"/>
            <w:szCs w:val="26"/>
            <w:u w:val="none"/>
          </w:rPr>
          <w:t>https://www.bls.gov/oes/current/naics3_221000.htm</w:t>
        </w:r>
      </w:hyperlink>
      <w:r w:rsidRPr="00F629A1">
        <w:rPr>
          <w:rFonts w:eastAsia="Times New Roman"/>
          <w:szCs w:val="26"/>
        </w:rPr>
        <w:t>)</w:t>
      </w:r>
      <w:r>
        <w:rPr>
          <w:rFonts w:eastAsia="Times New Roman"/>
          <w:szCs w:val="26"/>
        </w:rPr>
        <w:t xml:space="preserve"> </w:t>
      </w:r>
      <w:r w:rsidRPr="00086BC1">
        <w:rPr>
          <w:rFonts w:eastAsia="Times New Roman"/>
          <w:szCs w:val="26"/>
        </w:rPr>
        <w:t xml:space="preserve">and scaled to reflect benefits using the relative importance of employer costs </w:t>
      </w:r>
      <w:r>
        <w:rPr>
          <w:rFonts w:eastAsia="Times New Roman"/>
          <w:szCs w:val="26"/>
        </w:rPr>
        <w:t xml:space="preserve">for </w:t>
      </w:r>
      <w:r w:rsidRPr="00086BC1">
        <w:rPr>
          <w:rFonts w:eastAsia="Times New Roman"/>
          <w:szCs w:val="26"/>
        </w:rPr>
        <w:t>empl</w:t>
      </w:r>
      <w:r>
        <w:rPr>
          <w:rFonts w:eastAsia="Times New Roman"/>
          <w:szCs w:val="26"/>
        </w:rPr>
        <w:t>oyee compensation from June 2020</w:t>
      </w:r>
      <w:r w:rsidRPr="00086BC1">
        <w:rPr>
          <w:rFonts w:eastAsia="Times New Roman"/>
          <w:szCs w:val="26"/>
        </w:rPr>
        <w:t xml:space="preserve"> (available at</w:t>
      </w:r>
      <w:r>
        <w:rPr>
          <w:rFonts w:eastAsia="Times New Roman"/>
          <w:szCs w:val="26"/>
        </w:rPr>
        <w:t xml:space="preserve"> </w:t>
      </w:r>
      <w:hyperlink r:id="rId2" w:history="1">
        <w:r w:rsidRPr="00356C09">
          <w:rPr>
            <w:rStyle w:val="Hyperlink"/>
            <w:rFonts w:eastAsia="Times New Roman"/>
            <w:color w:val="auto"/>
            <w:szCs w:val="26"/>
            <w:u w:val="none"/>
          </w:rPr>
          <w:t>https://www.bls.gov/news.release/ecec.nr0.htm</w:t>
        </w:r>
      </w:hyperlink>
      <w:r w:rsidRPr="00356C09">
        <w:rPr>
          <w:rFonts w:eastAsia="Times New Roman"/>
          <w:szCs w:val="26"/>
        </w:rPr>
        <w:t xml:space="preserve">).  </w:t>
      </w:r>
      <w:r w:rsidRPr="00086BC1">
        <w:rPr>
          <w:rFonts w:eastAsia="Times New Roman"/>
          <w:szCs w:val="26"/>
        </w:rPr>
        <w:t xml:space="preserve">The hourly estimates for salary plus benefits are: </w:t>
      </w:r>
    </w:p>
    <w:p w14:paraId="4DF20F87" w14:textId="6AFC32C4" w:rsidR="00AE6000" w:rsidRDefault="00AE6000" w:rsidP="00221D97">
      <w:pPr>
        <w:pStyle w:val="FootnoteText"/>
        <w:spacing w:after="0"/>
        <w:rPr>
          <w:rFonts w:eastAsia="Calibri"/>
          <w:szCs w:val="26"/>
        </w:rPr>
      </w:pPr>
      <w:r w:rsidRPr="00086BC1">
        <w:rPr>
          <w:rFonts w:eastAsia="Calibri"/>
          <w:szCs w:val="26"/>
        </w:rPr>
        <w:t>Computer and I</w:t>
      </w:r>
      <w:r>
        <w:rPr>
          <w:rFonts w:eastAsia="Calibri"/>
          <w:szCs w:val="26"/>
        </w:rPr>
        <w:t>nformation Systems Manager (Occupation Code: 11-3021), $101.58</w:t>
      </w:r>
    </w:p>
    <w:p w14:paraId="3CA4EE82" w14:textId="0CB8203F" w:rsidR="00AE6000" w:rsidRDefault="00AE6000" w:rsidP="00F03131">
      <w:pPr>
        <w:pStyle w:val="FootnoteText"/>
        <w:spacing w:after="0"/>
        <w:rPr>
          <w:rFonts w:eastAsia="Calibri"/>
          <w:szCs w:val="26"/>
        </w:rPr>
      </w:pPr>
      <w:r>
        <w:rPr>
          <w:rFonts w:eastAsia="Calibri"/>
          <w:szCs w:val="26"/>
        </w:rPr>
        <w:t>Computer and Information Analysts (Occupation Code:  15-1120(1221), $87.42</w:t>
      </w:r>
    </w:p>
    <w:p w14:paraId="5A4A9E22" w14:textId="68348A4D" w:rsidR="00AE6000" w:rsidRDefault="00AE6000" w:rsidP="00221D97">
      <w:pPr>
        <w:pStyle w:val="FootnoteText"/>
        <w:spacing w:after="0"/>
        <w:rPr>
          <w:rFonts w:eastAsia="Calibri"/>
          <w:szCs w:val="26"/>
        </w:rPr>
      </w:pPr>
      <w:r>
        <w:rPr>
          <w:rFonts w:eastAsia="Calibri"/>
          <w:szCs w:val="26"/>
        </w:rPr>
        <w:t>Electrical Engineer (Occupation Code: 17-2071), $70.19</w:t>
      </w:r>
    </w:p>
    <w:p w14:paraId="7BA1745C" w14:textId="42AAAAFA" w:rsidR="00AE6000" w:rsidRPr="00086BC1" w:rsidRDefault="00AE6000" w:rsidP="00221D97">
      <w:pPr>
        <w:pStyle w:val="FootnoteText"/>
        <w:spacing w:after="0"/>
        <w:rPr>
          <w:rFonts w:eastAsia="Calibri"/>
          <w:szCs w:val="26"/>
        </w:rPr>
      </w:pPr>
      <w:r>
        <w:rPr>
          <w:rFonts w:eastAsia="Calibri"/>
          <w:szCs w:val="26"/>
        </w:rPr>
        <w:t>Legal (Occupation Code:</w:t>
      </w:r>
      <w:r w:rsidRPr="00086BC1">
        <w:rPr>
          <w:rFonts w:eastAsia="Calibri"/>
          <w:szCs w:val="26"/>
        </w:rPr>
        <w:t xml:space="preserve"> 23-0000), $14</w:t>
      </w:r>
      <w:r>
        <w:rPr>
          <w:rFonts w:eastAsia="Calibri"/>
          <w:szCs w:val="26"/>
        </w:rPr>
        <w:t>2.65</w:t>
      </w:r>
    </w:p>
    <w:p w14:paraId="29B04F35" w14:textId="211F56F5" w:rsidR="00AE6000" w:rsidRPr="00C328EF" w:rsidRDefault="00AE6000" w:rsidP="000B21C6">
      <w:pPr>
        <w:autoSpaceDE w:val="0"/>
        <w:autoSpaceDN w:val="0"/>
        <w:adjustRightInd w:val="0"/>
        <w:spacing w:after="240"/>
        <w:rPr>
          <w:rFonts w:eastAsia="Times New Roman"/>
          <w:szCs w:val="26"/>
        </w:rPr>
      </w:pPr>
      <w:r w:rsidRPr="00086BC1">
        <w:rPr>
          <w:rFonts w:eastAsia="Times New Roman"/>
          <w:szCs w:val="26"/>
        </w:rPr>
        <w:t>The average hourly cost (salary plus benefits), weighting all of th</w:t>
      </w:r>
      <w:r>
        <w:rPr>
          <w:rFonts w:eastAsia="Times New Roman"/>
          <w:szCs w:val="26"/>
        </w:rPr>
        <w:t>ese skill sets evenly, is $100.50</w:t>
      </w:r>
      <w:r w:rsidRPr="00086BC1">
        <w:rPr>
          <w:rFonts w:eastAsia="Times New Roman"/>
          <w:szCs w:val="26"/>
        </w:rPr>
        <w:t>.</w:t>
      </w:r>
      <w:r>
        <w:rPr>
          <w:rFonts w:eastAsia="Times New Roman"/>
          <w:szCs w:val="26"/>
        </w:rPr>
        <w:t xml:space="preserve">  We round it to $101/</w:t>
      </w:r>
      <w:r w:rsidRPr="00086BC1">
        <w:rPr>
          <w:rFonts w:eastAsia="Times New Roman"/>
          <w:szCs w:val="26"/>
        </w:rPr>
        <w:t>hour.</w:t>
      </w:r>
    </w:p>
  </w:footnote>
  <w:footnote w:id="35">
    <w:p w14:paraId="6D7A82F0" w14:textId="2A39301B" w:rsidR="00AE6000" w:rsidRDefault="00AE6000" w:rsidP="001F3F84">
      <w:pPr>
        <w:pStyle w:val="FootnoteText"/>
      </w:pPr>
      <w:r w:rsidRPr="00832085">
        <w:rPr>
          <w:rStyle w:val="FootnoteReference"/>
        </w:rPr>
        <w:footnoteRef/>
      </w:r>
      <w:r>
        <w:t xml:space="preserve"> </w:t>
      </w:r>
      <w:r w:rsidRPr="00183575">
        <w:rPr>
          <w:i/>
        </w:rPr>
        <w:t xml:space="preserve">Regulations Implementing the </w:t>
      </w:r>
      <w:r>
        <w:rPr>
          <w:i/>
        </w:rPr>
        <w:t>Nat’l</w:t>
      </w:r>
      <w:r w:rsidRPr="00183575">
        <w:rPr>
          <w:i/>
        </w:rPr>
        <w:t xml:space="preserve"> </w:t>
      </w:r>
      <w:r>
        <w:rPr>
          <w:i/>
        </w:rPr>
        <w:t>Envt’l</w:t>
      </w:r>
      <w:r w:rsidRPr="00183575">
        <w:rPr>
          <w:i/>
        </w:rPr>
        <w:t xml:space="preserve"> </w:t>
      </w:r>
      <w:r>
        <w:rPr>
          <w:i/>
        </w:rPr>
        <w:t>Pol’y</w:t>
      </w:r>
      <w:r w:rsidRPr="00183575">
        <w:rPr>
          <w:i/>
        </w:rPr>
        <w:t xml:space="preserve"> Act</w:t>
      </w:r>
      <w:r>
        <w:t>, Ord</w:t>
      </w:r>
      <w:r w:rsidR="00356C09">
        <w:t>er</w:t>
      </w:r>
      <w:r>
        <w:t xml:space="preserve"> No.</w:t>
      </w:r>
      <w:r w:rsidRPr="00A74365">
        <w:t xml:space="preserve"> 486,</w:t>
      </w:r>
      <w:r>
        <w:t xml:space="preserve"> FERC Stats. &amp; Regs. ¶ 30,783 (1987).</w:t>
      </w:r>
    </w:p>
  </w:footnote>
  <w:footnote w:id="36">
    <w:p w14:paraId="0702CB94" w14:textId="09FAD872" w:rsidR="00AE6000" w:rsidRDefault="00AE6000" w:rsidP="001F3F84">
      <w:pPr>
        <w:pStyle w:val="FootnoteText"/>
      </w:pPr>
      <w:r w:rsidRPr="00932257">
        <w:rPr>
          <w:rStyle w:val="FootnoteReference"/>
        </w:rPr>
        <w:footnoteRef/>
      </w:r>
      <w:r w:rsidRPr="005A12B9">
        <w:t xml:space="preserve"> </w:t>
      </w:r>
      <w:r w:rsidRPr="00765E03">
        <w:rPr>
          <w:i/>
        </w:rPr>
        <w:t>See</w:t>
      </w:r>
      <w:r w:rsidRPr="005A12B9">
        <w:t xml:space="preserve"> 18 CFR</w:t>
      </w:r>
      <w:r w:rsidR="00356C09">
        <w:t xml:space="preserve"> </w:t>
      </w:r>
      <w:r w:rsidRPr="005A12B9">
        <w:t xml:space="preserve">380.4(a)(2)(ii), 380.4(a)(5), </w:t>
      </w:r>
      <w:r>
        <w:t xml:space="preserve">and </w:t>
      </w:r>
      <w:r w:rsidRPr="005A12B9">
        <w:t>380.4(a)(27)</w:t>
      </w:r>
      <w:r>
        <w:t xml:space="preserve"> (2020)</w:t>
      </w:r>
      <w:r w:rsidRPr="005A12B9">
        <w:t>.</w:t>
      </w:r>
    </w:p>
  </w:footnote>
  <w:footnote w:id="37">
    <w:p w14:paraId="2C79766C" w14:textId="77777777" w:rsidR="00AE6000" w:rsidRPr="00060537" w:rsidRDefault="00AE6000" w:rsidP="00832085">
      <w:pPr>
        <w:pStyle w:val="FootnoteText"/>
      </w:pPr>
      <w:r w:rsidRPr="00832085">
        <w:rPr>
          <w:rStyle w:val="FootnoteReference"/>
        </w:rPr>
        <w:footnoteRef/>
      </w:r>
      <w:r>
        <w:t xml:space="preserve"> 5 U.S.C. 601-612.</w:t>
      </w:r>
    </w:p>
  </w:footnote>
  <w:footnote w:id="38">
    <w:p w14:paraId="48657928" w14:textId="637B90C8" w:rsidR="00AE6000" w:rsidRDefault="00AE6000" w:rsidP="00241B37">
      <w:pPr>
        <w:pStyle w:val="FootnoteText"/>
      </w:pPr>
      <w:r w:rsidRPr="00932257">
        <w:rPr>
          <w:rStyle w:val="FootnoteReference"/>
        </w:rPr>
        <w:footnoteRef/>
      </w:r>
      <w:r>
        <w:t xml:space="preserve"> </w:t>
      </w:r>
      <w:r w:rsidRPr="00183575">
        <w:rPr>
          <w:i/>
        </w:rPr>
        <w:t>See</w:t>
      </w:r>
      <w:r>
        <w:t xml:space="preserve"> 5 U.S.C. 601(3) citing section 3 of the Small Business Act (SBA), 15 U.S.C. 623.  Section 3 of the SBA defines a “small business concern” as a business which is independently owned and operated, and which is not dominant in its field of operation (2019).</w:t>
      </w:r>
    </w:p>
  </w:footnote>
  <w:footnote w:id="39">
    <w:p w14:paraId="77E5DC34" w14:textId="4A57BD3C" w:rsidR="00AE6000" w:rsidRDefault="00AE6000" w:rsidP="00241B37">
      <w:pPr>
        <w:pStyle w:val="FootnoteText"/>
      </w:pPr>
      <w:r w:rsidRPr="00932257">
        <w:rPr>
          <w:rStyle w:val="FootnoteReference"/>
        </w:rPr>
        <w:footnoteRef/>
      </w:r>
      <w:r>
        <w:t xml:space="preserve"> 13 C.F.R. § 121.201 (Subsector 486-Pipeline Transportation; North American Industry Classification System code 486210; Pipeline Transportation of Natural Gas) (2020).  “Annual Receipts” are total income plus cost of goods sold.</w:t>
      </w:r>
    </w:p>
  </w:footnote>
  <w:footnote w:id="40">
    <w:p w14:paraId="20959690" w14:textId="7877662A" w:rsidR="00AE6000" w:rsidRDefault="00AE6000" w:rsidP="00911F8B">
      <w:pPr>
        <w:pStyle w:val="FootnoteText"/>
      </w:pPr>
      <w:r w:rsidRPr="00932257">
        <w:rPr>
          <w:rStyle w:val="FootnoteReference"/>
        </w:rPr>
        <w:footnoteRef/>
      </w:r>
      <w:r>
        <w:t xml:space="preserve"> This number is derived by dividing the total cost figure by the number of respondents.  $</w:t>
      </w:r>
      <w:r w:rsidRPr="00145204">
        <w:t>1,</w:t>
      </w:r>
      <w:r>
        <w:t>977,580/178 = $11,110.</w:t>
      </w:r>
    </w:p>
  </w:footnote>
  <w:footnote w:id="41">
    <w:p w14:paraId="5C8AED48" w14:textId="77777777" w:rsidR="00AE6000" w:rsidRDefault="00AE6000" w:rsidP="006A1DA6">
      <w:pPr>
        <w:pStyle w:val="FootnoteText"/>
      </w:pPr>
      <w:r w:rsidRPr="00932257">
        <w:rPr>
          <w:rStyle w:val="FootnoteReference"/>
        </w:rPr>
        <w:footnoteRef/>
      </w:r>
      <w:r>
        <w:t xml:space="preserve"> 5 U.S.C. 605(b).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31D5" w14:textId="77777777" w:rsidR="00AE6000" w:rsidRDefault="00AE6000" w:rsidP="00260E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61488B3" w14:textId="77777777" w:rsidR="00AE6000" w:rsidRDefault="00AE6000" w:rsidP="00260E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2ACE" w14:textId="4EFB3BB8" w:rsidR="00AE6000" w:rsidRDefault="00AE6000" w:rsidP="00832085">
    <w:pPr>
      <w:pStyle w:val="Header"/>
      <w:tabs>
        <w:tab w:val="clear" w:pos="4680"/>
      </w:tabs>
      <w:spacing w:after="240"/>
    </w:pPr>
    <w:r>
      <w:t>Docket No. RM96-1-042</w:t>
    </w:r>
    <w:r>
      <w:tab/>
    </w:r>
    <w:r>
      <w:fldChar w:fldCharType="begin"/>
    </w:r>
    <w:r>
      <w:instrText xml:space="preserve"> PAGE  \* MERGEFORMAT </w:instrText>
    </w:r>
    <w:r>
      <w:fldChar w:fldCharType="separate"/>
    </w:r>
    <w:r>
      <w:rPr>
        <w:noProof/>
      </w:rPr>
      <w:t>ii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3996C" w14:textId="77777777" w:rsidR="00AE6000" w:rsidRDefault="00AE6000" w:rsidP="00260E66">
    <w:pPr>
      <w:pStyle w:val="Header"/>
      <w:tabs>
        <w:tab w:val="clear" w:pos="4680"/>
        <w:tab w:val="clear" w:pos="9360"/>
        <w:tab w:val="left"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218C" w14:textId="77777777" w:rsidR="00AE6000" w:rsidRDefault="00AE6000"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57C1F9EF" w14:textId="77777777" w:rsidR="00AE6000" w:rsidRDefault="00AE6000" w:rsidP="00407EE0">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78B5" w14:textId="172EEE6B" w:rsidR="00AE6000" w:rsidRDefault="00AE6000" w:rsidP="00832085">
    <w:pPr>
      <w:pStyle w:val="Header"/>
      <w:tabs>
        <w:tab w:val="clear" w:pos="4680"/>
      </w:tabs>
      <w:spacing w:after="240"/>
    </w:pPr>
    <w:r>
      <w:t>Docket No. RM96-1-042</w:t>
    </w:r>
    <w:r>
      <w:tab/>
    </w:r>
    <w:r>
      <w:fldChar w:fldCharType="begin"/>
    </w:r>
    <w:r>
      <w:instrText xml:space="preserve"> PAGE  \* MERGEFORMAT </w:instrText>
    </w:r>
    <w:r>
      <w:fldChar w:fldCharType="separate"/>
    </w:r>
    <w:r>
      <w:rPr>
        <w:noProof/>
      </w:rPr>
      <w:t>- 2 -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9EAD" w14:textId="77777777" w:rsidR="00AE6000" w:rsidRDefault="00AE6000"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2A8147A7"/>
    <w:multiLevelType w:val="hybridMultilevel"/>
    <w:tmpl w:val="0C9E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02536"/>
    <w:multiLevelType w:val="multilevel"/>
    <w:tmpl w:val="7BFC1A60"/>
    <w:lvl w:ilvl="0">
      <w:start w:val="1"/>
      <w:numFmt w:val="upperRoman"/>
      <w:lvlRestart w:val="0"/>
      <w:lvlText w:val="%1."/>
      <w:lvlJc w:val="left"/>
      <w:pPr>
        <w:tabs>
          <w:tab w:val="num" w:pos="720"/>
        </w:tabs>
        <w:ind w:left="792" w:hanging="792"/>
      </w:pPr>
    </w:lvl>
    <w:lvl w:ilvl="1">
      <w:start w:val="1"/>
      <w:numFmt w:val="upperLetter"/>
      <w:lvlText w:val="%2."/>
      <w:lvlJc w:val="left"/>
      <w:pPr>
        <w:tabs>
          <w:tab w:val="num" w:pos="1008"/>
        </w:tabs>
        <w:ind w:left="1152" w:hanging="792"/>
      </w:pPr>
      <w:rPr>
        <w:b/>
      </w:rPr>
    </w:lvl>
    <w:lvl w:ilvl="2">
      <w:start w:val="1"/>
      <w:numFmt w:val="decimal"/>
      <w:lvlText w:val="%3."/>
      <w:lvlJc w:val="left"/>
      <w:pPr>
        <w:tabs>
          <w:tab w:val="num" w:pos="1296"/>
        </w:tabs>
        <w:ind w:left="1512" w:hanging="792"/>
      </w:pPr>
    </w:lvl>
    <w:lvl w:ilvl="3">
      <w:start w:val="1"/>
      <w:numFmt w:val="lowerLetter"/>
      <w:lvlText w:val="%4."/>
      <w:lvlJc w:val="left"/>
      <w:pPr>
        <w:tabs>
          <w:tab w:val="num" w:pos="1584"/>
        </w:tabs>
        <w:ind w:left="1872" w:hanging="792"/>
      </w:pPr>
    </w:lvl>
    <w:lvl w:ilvl="4">
      <w:start w:val="1"/>
      <w:numFmt w:val="lowerRoman"/>
      <w:lvlText w:val="%5."/>
      <w:lvlJc w:val="left"/>
      <w:pPr>
        <w:tabs>
          <w:tab w:val="num" w:pos="1872"/>
        </w:tabs>
        <w:ind w:left="2232" w:hanging="792"/>
      </w:pPr>
    </w:lvl>
    <w:lvl w:ilvl="5">
      <w:start w:val="1"/>
      <w:numFmt w:val="lowerLetter"/>
      <w:lvlText w:val="(%6)"/>
      <w:lvlJc w:val="left"/>
      <w:pPr>
        <w:tabs>
          <w:tab w:val="num" w:pos="2160"/>
        </w:tabs>
        <w:ind w:left="2592" w:hanging="792"/>
      </w:pPr>
    </w:lvl>
    <w:lvl w:ilvl="6">
      <w:start w:val="1"/>
      <w:numFmt w:val="decimal"/>
      <w:lvlText w:val="(%7)"/>
      <w:lvlJc w:val="left"/>
      <w:pPr>
        <w:tabs>
          <w:tab w:val="num" w:pos="2448"/>
        </w:tabs>
        <w:ind w:left="2952" w:hanging="792"/>
      </w:pPr>
    </w:lvl>
    <w:lvl w:ilvl="7">
      <w:start w:val="1"/>
      <w:numFmt w:val="lowerRoman"/>
      <w:lvlText w:val="(%8)"/>
      <w:lvlJc w:val="left"/>
      <w:pPr>
        <w:tabs>
          <w:tab w:val="num" w:pos="2736"/>
        </w:tabs>
        <w:ind w:left="3312" w:hanging="792"/>
      </w:pPr>
    </w:lvl>
    <w:lvl w:ilvl="8">
      <w:start w:val="1"/>
      <w:numFmt w:val="decimalZero"/>
      <w:lvlText w:val="(%9)"/>
      <w:lvlJc w:val="left"/>
      <w:pPr>
        <w:tabs>
          <w:tab w:val="num" w:pos="3024"/>
        </w:tabs>
        <w:ind w:left="3672" w:hanging="792"/>
      </w:pPr>
    </w:lvl>
  </w:abstractNum>
  <w:abstractNum w:abstractNumId="17" w15:restartNumberingAfterBreak="0">
    <w:nsid w:val="4DA208B7"/>
    <w:multiLevelType w:val="hybridMultilevel"/>
    <w:tmpl w:val="4472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502FF"/>
    <w:multiLevelType w:val="multilevel"/>
    <w:tmpl w:val="5B2AF116"/>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4C7D3A"/>
    <w:multiLevelType w:val="hybridMultilevel"/>
    <w:tmpl w:val="32F2D67C"/>
    <w:lvl w:ilvl="0" w:tplc="2B943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2" w15:restartNumberingAfterBreak="0">
    <w:nsid w:val="77C92FCB"/>
    <w:multiLevelType w:val="hybridMultilevel"/>
    <w:tmpl w:val="57A48CF0"/>
    <w:lvl w:ilvl="0" w:tplc="2B943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9"/>
  </w:num>
  <w:num w:numId="13">
    <w:abstractNumId w:val="13"/>
  </w:num>
  <w:num w:numId="14">
    <w:abstractNumId w:val="21"/>
  </w:num>
  <w:num w:numId="15">
    <w:abstractNumId w:val="1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4"/>
  </w:num>
  <w:num w:numId="22">
    <w:abstractNumId w:val="23"/>
  </w:num>
  <w:num w:numId="23">
    <w:abstractNumId w:val="23"/>
  </w:num>
  <w:num w:numId="24">
    <w:abstractNumId w:val="23"/>
  </w:num>
  <w:num w:numId="25">
    <w:abstractNumId w:val="23"/>
  </w:num>
  <w:num w:numId="26">
    <w:abstractNumId w:val="16"/>
  </w:num>
  <w:num w:numId="27">
    <w:abstractNumId w:val="15"/>
  </w:num>
  <w:num w:numId="28">
    <w:abstractNumId w:val="17"/>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85"/>
    <w:rsid w:val="000006B6"/>
    <w:rsid w:val="0000262C"/>
    <w:rsid w:val="00002DE0"/>
    <w:rsid w:val="00003340"/>
    <w:rsid w:val="0000731D"/>
    <w:rsid w:val="00010FA6"/>
    <w:rsid w:val="000118C8"/>
    <w:rsid w:val="000143AA"/>
    <w:rsid w:val="00015409"/>
    <w:rsid w:val="000155A4"/>
    <w:rsid w:val="00015722"/>
    <w:rsid w:val="0002042F"/>
    <w:rsid w:val="00022A33"/>
    <w:rsid w:val="000234A8"/>
    <w:rsid w:val="0002355F"/>
    <w:rsid w:val="00026815"/>
    <w:rsid w:val="00027FDE"/>
    <w:rsid w:val="00030B26"/>
    <w:rsid w:val="00033A34"/>
    <w:rsid w:val="00041D94"/>
    <w:rsid w:val="000428C4"/>
    <w:rsid w:val="000442F2"/>
    <w:rsid w:val="0004624A"/>
    <w:rsid w:val="00050A3F"/>
    <w:rsid w:val="00050C80"/>
    <w:rsid w:val="00051A9D"/>
    <w:rsid w:val="000550DC"/>
    <w:rsid w:val="00055F5F"/>
    <w:rsid w:val="000603CD"/>
    <w:rsid w:val="0006117F"/>
    <w:rsid w:val="000620D9"/>
    <w:rsid w:val="00067E74"/>
    <w:rsid w:val="00070857"/>
    <w:rsid w:val="0007377C"/>
    <w:rsid w:val="00074C81"/>
    <w:rsid w:val="0007636C"/>
    <w:rsid w:val="0007741E"/>
    <w:rsid w:val="0008478C"/>
    <w:rsid w:val="00084A31"/>
    <w:rsid w:val="00084D89"/>
    <w:rsid w:val="00086D98"/>
    <w:rsid w:val="0008778D"/>
    <w:rsid w:val="00092634"/>
    <w:rsid w:val="00097C05"/>
    <w:rsid w:val="000A3D2F"/>
    <w:rsid w:val="000A6835"/>
    <w:rsid w:val="000B013D"/>
    <w:rsid w:val="000B21C6"/>
    <w:rsid w:val="000B3ABC"/>
    <w:rsid w:val="000B4124"/>
    <w:rsid w:val="000B4781"/>
    <w:rsid w:val="000B50AD"/>
    <w:rsid w:val="000B7E62"/>
    <w:rsid w:val="000C0253"/>
    <w:rsid w:val="000C1FCA"/>
    <w:rsid w:val="000C4A0B"/>
    <w:rsid w:val="000C6869"/>
    <w:rsid w:val="000D04ED"/>
    <w:rsid w:val="000D0EE6"/>
    <w:rsid w:val="000D1D4B"/>
    <w:rsid w:val="000D1FB6"/>
    <w:rsid w:val="000D3C1C"/>
    <w:rsid w:val="000D4E8D"/>
    <w:rsid w:val="000D6A7F"/>
    <w:rsid w:val="000D739B"/>
    <w:rsid w:val="000D7934"/>
    <w:rsid w:val="000D7DD4"/>
    <w:rsid w:val="000D7E96"/>
    <w:rsid w:val="000E0857"/>
    <w:rsid w:val="000E0E4A"/>
    <w:rsid w:val="000E2BFA"/>
    <w:rsid w:val="000F2DC1"/>
    <w:rsid w:val="000F372C"/>
    <w:rsid w:val="000F5AFA"/>
    <w:rsid w:val="000F603B"/>
    <w:rsid w:val="000F6403"/>
    <w:rsid w:val="000F6C7F"/>
    <w:rsid w:val="00100E1B"/>
    <w:rsid w:val="00100F92"/>
    <w:rsid w:val="00101107"/>
    <w:rsid w:val="00101D6F"/>
    <w:rsid w:val="00102580"/>
    <w:rsid w:val="00102736"/>
    <w:rsid w:val="0010290F"/>
    <w:rsid w:val="001032AB"/>
    <w:rsid w:val="001044C0"/>
    <w:rsid w:val="00104F76"/>
    <w:rsid w:val="00114A40"/>
    <w:rsid w:val="00115D64"/>
    <w:rsid w:val="0011678B"/>
    <w:rsid w:val="00120603"/>
    <w:rsid w:val="001209EF"/>
    <w:rsid w:val="00124C66"/>
    <w:rsid w:val="0012713F"/>
    <w:rsid w:val="001273B2"/>
    <w:rsid w:val="00127478"/>
    <w:rsid w:val="001279B9"/>
    <w:rsid w:val="00130CCE"/>
    <w:rsid w:val="00131AAA"/>
    <w:rsid w:val="00132D57"/>
    <w:rsid w:val="00134CF3"/>
    <w:rsid w:val="001421AA"/>
    <w:rsid w:val="0014257B"/>
    <w:rsid w:val="00143235"/>
    <w:rsid w:val="00145204"/>
    <w:rsid w:val="00146A50"/>
    <w:rsid w:val="00147B62"/>
    <w:rsid w:val="00151B2E"/>
    <w:rsid w:val="001520D4"/>
    <w:rsid w:val="00152997"/>
    <w:rsid w:val="00152DD5"/>
    <w:rsid w:val="001532E2"/>
    <w:rsid w:val="00154152"/>
    <w:rsid w:val="001549DE"/>
    <w:rsid w:val="00154C7A"/>
    <w:rsid w:val="0015631C"/>
    <w:rsid w:val="0016103E"/>
    <w:rsid w:val="00162441"/>
    <w:rsid w:val="00166476"/>
    <w:rsid w:val="00175421"/>
    <w:rsid w:val="001755A1"/>
    <w:rsid w:val="0017696A"/>
    <w:rsid w:val="0017701D"/>
    <w:rsid w:val="0018246F"/>
    <w:rsid w:val="001867A2"/>
    <w:rsid w:val="001868DF"/>
    <w:rsid w:val="0018758C"/>
    <w:rsid w:val="00191617"/>
    <w:rsid w:val="001926C6"/>
    <w:rsid w:val="0019292E"/>
    <w:rsid w:val="0019337A"/>
    <w:rsid w:val="001960DD"/>
    <w:rsid w:val="00197955"/>
    <w:rsid w:val="001A2AF1"/>
    <w:rsid w:val="001A33D6"/>
    <w:rsid w:val="001A563A"/>
    <w:rsid w:val="001B00D6"/>
    <w:rsid w:val="001B042B"/>
    <w:rsid w:val="001B16A5"/>
    <w:rsid w:val="001B1FE9"/>
    <w:rsid w:val="001B2C6D"/>
    <w:rsid w:val="001B2DF9"/>
    <w:rsid w:val="001B362D"/>
    <w:rsid w:val="001B4FB2"/>
    <w:rsid w:val="001C2FBB"/>
    <w:rsid w:val="001C369E"/>
    <w:rsid w:val="001C4D85"/>
    <w:rsid w:val="001D264B"/>
    <w:rsid w:val="001D2A38"/>
    <w:rsid w:val="001D3B0D"/>
    <w:rsid w:val="001D5119"/>
    <w:rsid w:val="001D6722"/>
    <w:rsid w:val="001D7927"/>
    <w:rsid w:val="001E1911"/>
    <w:rsid w:val="001E59F9"/>
    <w:rsid w:val="001E7A8F"/>
    <w:rsid w:val="001E7C25"/>
    <w:rsid w:val="001F1923"/>
    <w:rsid w:val="001F3F84"/>
    <w:rsid w:val="001F51A0"/>
    <w:rsid w:val="001F5CC6"/>
    <w:rsid w:val="001F6492"/>
    <w:rsid w:val="002018C2"/>
    <w:rsid w:val="00202BC3"/>
    <w:rsid w:val="00203911"/>
    <w:rsid w:val="002067AA"/>
    <w:rsid w:val="002072CF"/>
    <w:rsid w:val="0021059F"/>
    <w:rsid w:val="00211765"/>
    <w:rsid w:val="002136E7"/>
    <w:rsid w:val="002206DB"/>
    <w:rsid w:val="00221D97"/>
    <w:rsid w:val="00224859"/>
    <w:rsid w:val="00225A12"/>
    <w:rsid w:val="002261B3"/>
    <w:rsid w:val="002305E7"/>
    <w:rsid w:val="002309DD"/>
    <w:rsid w:val="002318B6"/>
    <w:rsid w:val="00231C3D"/>
    <w:rsid w:val="00233CEF"/>
    <w:rsid w:val="00233FD0"/>
    <w:rsid w:val="00234AD5"/>
    <w:rsid w:val="002352B0"/>
    <w:rsid w:val="002354E4"/>
    <w:rsid w:val="00240493"/>
    <w:rsid w:val="00241B37"/>
    <w:rsid w:val="00243CE7"/>
    <w:rsid w:val="002464E8"/>
    <w:rsid w:val="002504A6"/>
    <w:rsid w:val="00253776"/>
    <w:rsid w:val="00255417"/>
    <w:rsid w:val="00255D1B"/>
    <w:rsid w:val="00257989"/>
    <w:rsid w:val="00260517"/>
    <w:rsid w:val="00260946"/>
    <w:rsid w:val="00260E66"/>
    <w:rsid w:val="00260EFA"/>
    <w:rsid w:val="00262FED"/>
    <w:rsid w:val="002660D4"/>
    <w:rsid w:val="00267328"/>
    <w:rsid w:val="00274963"/>
    <w:rsid w:val="00274F17"/>
    <w:rsid w:val="002752DF"/>
    <w:rsid w:val="00277DB8"/>
    <w:rsid w:val="002817CE"/>
    <w:rsid w:val="00283AA6"/>
    <w:rsid w:val="0028432C"/>
    <w:rsid w:val="002857E2"/>
    <w:rsid w:val="00286AEE"/>
    <w:rsid w:val="002870A9"/>
    <w:rsid w:val="00290ABD"/>
    <w:rsid w:val="00296C6D"/>
    <w:rsid w:val="002A0B4A"/>
    <w:rsid w:val="002A34C1"/>
    <w:rsid w:val="002A34F4"/>
    <w:rsid w:val="002A43B6"/>
    <w:rsid w:val="002A5C43"/>
    <w:rsid w:val="002A729E"/>
    <w:rsid w:val="002A7FB5"/>
    <w:rsid w:val="002B0FF8"/>
    <w:rsid w:val="002B35F2"/>
    <w:rsid w:val="002B58A6"/>
    <w:rsid w:val="002B5AB4"/>
    <w:rsid w:val="002B6125"/>
    <w:rsid w:val="002B7AE5"/>
    <w:rsid w:val="002C0FD0"/>
    <w:rsid w:val="002C14E0"/>
    <w:rsid w:val="002C57E5"/>
    <w:rsid w:val="002C6986"/>
    <w:rsid w:val="002C6B07"/>
    <w:rsid w:val="002C767A"/>
    <w:rsid w:val="002C7704"/>
    <w:rsid w:val="002D206A"/>
    <w:rsid w:val="002D358E"/>
    <w:rsid w:val="002D3C2C"/>
    <w:rsid w:val="002D65B3"/>
    <w:rsid w:val="002D7D6B"/>
    <w:rsid w:val="002E4E8A"/>
    <w:rsid w:val="002E5025"/>
    <w:rsid w:val="002E66D1"/>
    <w:rsid w:val="002F52A9"/>
    <w:rsid w:val="002F6842"/>
    <w:rsid w:val="00301D68"/>
    <w:rsid w:val="003031DA"/>
    <w:rsid w:val="00304ACB"/>
    <w:rsid w:val="0030537C"/>
    <w:rsid w:val="00312651"/>
    <w:rsid w:val="00313634"/>
    <w:rsid w:val="00315BCF"/>
    <w:rsid w:val="00322F05"/>
    <w:rsid w:val="003249DE"/>
    <w:rsid w:val="00324F79"/>
    <w:rsid w:val="00327401"/>
    <w:rsid w:val="003346EB"/>
    <w:rsid w:val="00335933"/>
    <w:rsid w:val="003370E4"/>
    <w:rsid w:val="00337D65"/>
    <w:rsid w:val="003402BB"/>
    <w:rsid w:val="00342504"/>
    <w:rsid w:val="003437BD"/>
    <w:rsid w:val="00343D67"/>
    <w:rsid w:val="003478CF"/>
    <w:rsid w:val="00350E98"/>
    <w:rsid w:val="00350FC8"/>
    <w:rsid w:val="003520AD"/>
    <w:rsid w:val="00356733"/>
    <w:rsid w:val="00356C09"/>
    <w:rsid w:val="00360AA1"/>
    <w:rsid w:val="0036366B"/>
    <w:rsid w:val="00363FAE"/>
    <w:rsid w:val="00364C7C"/>
    <w:rsid w:val="00364E6F"/>
    <w:rsid w:val="0036500A"/>
    <w:rsid w:val="00365A05"/>
    <w:rsid w:val="00374532"/>
    <w:rsid w:val="00374868"/>
    <w:rsid w:val="003758E7"/>
    <w:rsid w:val="00375DF4"/>
    <w:rsid w:val="00376313"/>
    <w:rsid w:val="003769F9"/>
    <w:rsid w:val="00377394"/>
    <w:rsid w:val="00383004"/>
    <w:rsid w:val="003830CE"/>
    <w:rsid w:val="00383A1B"/>
    <w:rsid w:val="00383A5E"/>
    <w:rsid w:val="00383AA4"/>
    <w:rsid w:val="003848C9"/>
    <w:rsid w:val="00385E2D"/>
    <w:rsid w:val="00386A5C"/>
    <w:rsid w:val="0039262E"/>
    <w:rsid w:val="00392ED8"/>
    <w:rsid w:val="003937F3"/>
    <w:rsid w:val="0039464E"/>
    <w:rsid w:val="003A05C6"/>
    <w:rsid w:val="003A15D6"/>
    <w:rsid w:val="003A5145"/>
    <w:rsid w:val="003A787C"/>
    <w:rsid w:val="003B2445"/>
    <w:rsid w:val="003B7E9A"/>
    <w:rsid w:val="003B7F05"/>
    <w:rsid w:val="003C245B"/>
    <w:rsid w:val="003C3A1E"/>
    <w:rsid w:val="003C505B"/>
    <w:rsid w:val="003C564C"/>
    <w:rsid w:val="003C71CF"/>
    <w:rsid w:val="003C789D"/>
    <w:rsid w:val="003D23BC"/>
    <w:rsid w:val="003D4561"/>
    <w:rsid w:val="003D45E0"/>
    <w:rsid w:val="003D4A56"/>
    <w:rsid w:val="003D5827"/>
    <w:rsid w:val="003D63C7"/>
    <w:rsid w:val="003D7B2C"/>
    <w:rsid w:val="003E1917"/>
    <w:rsid w:val="003E259A"/>
    <w:rsid w:val="003E4F40"/>
    <w:rsid w:val="003E5211"/>
    <w:rsid w:val="003F11BD"/>
    <w:rsid w:val="003F1BDD"/>
    <w:rsid w:val="003F31D2"/>
    <w:rsid w:val="003F3716"/>
    <w:rsid w:val="003F3DC0"/>
    <w:rsid w:val="003F4845"/>
    <w:rsid w:val="003F4DBE"/>
    <w:rsid w:val="003F557E"/>
    <w:rsid w:val="003F6C61"/>
    <w:rsid w:val="003F768F"/>
    <w:rsid w:val="003F7CC5"/>
    <w:rsid w:val="00400D68"/>
    <w:rsid w:val="00401A63"/>
    <w:rsid w:val="00402E43"/>
    <w:rsid w:val="004067AD"/>
    <w:rsid w:val="00407EE0"/>
    <w:rsid w:val="004146E8"/>
    <w:rsid w:val="00414806"/>
    <w:rsid w:val="00424B78"/>
    <w:rsid w:val="004304A2"/>
    <w:rsid w:val="0043319F"/>
    <w:rsid w:val="004335E8"/>
    <w:rsid w:val="00433AD7"/>
    <w:rsid w:val="00433C92"/>
    <w:rsid w:val="0043550A"/>
    <w:rsid w:val="00436A3E"/>
    <w:rsid w:val="004407C9"/>
    <w:rsid w:val="00440D78"/>
    <w:rsid w:val="00441A2A"/>
    <w:rsid w:val="004420F6"/>
    <w:rsid w:val="0044359A"/>
    <w:rsid w:val="00444F65"/>
    <w:rsid w:val="004476C6"/>
    <w:rsid w:val="00447828"/>
    <w:rsid w:val="00447DBB"/>
    <w:rsid w:val="0045130C"/>
    <w:rsid w:val="00451604"/>
    <w:rsid w:val="00453578"/>
    <w:rsid w:val="00454A58"/>
    <w:rsid w:val="00455214"/>
    <w:rsid w:val="00455E3B"/>
    <w:rsid w:val="00456D5A"/>
    <w:rsid w:val="00456E27"/>
    <w:rsid w:val="0046133D"/>
    <w:rsid w:val="00470C0B"/>
    <w:rsid w:val="00472C9B"/>
    <w:rsid w:val="00473A5E"/>
    <w:rsid w:val="004758A9"/>
    <w:rsid w:val="00475A90"/>
    <w:rsid w:val="00476273"/>
    <w:rsid w:val="00477399"/>
    <w:rsid w:val="0048020B"/>
    <w:rsid w:val="004864DA"/>
    <w:rsid w:val="004872BC"/>
    <w:rsid w:val="004874A4"/>
    <w:rsid w:val="00494355"/>
    <w:rsid w:val="00494945"/>
    <w:rsid w:val="00495E07"/>
    <w:rsid w:val="00497F70"/>
    <w:rsid w:val="004A03E5"/>
    <w:rsid w:val="004A34F2"/>
    <w:rsid w:val="004A503D"/>
    <w:rsid w:val="004A6351"/>
    <w:rsid w:val="004B141F"/>
    <w:rsid w:val="004B2B9D"/>
    <w:rsid w:val="004B4A8D"/>
    <w:rsid w:val="004C0E28"/>
    <w:rsid w:val="004C190E"/>
    <w:rsid w:val="004C2E72"/>
    <w:rsid w:val="004C456B"/>
    <w:rsid w:val="004C4D5F"/>
    <w:rsid w:val="004D35E8"/>
    <w:rsid w:val="004D614C"/>
    <w:rsid w:val="004E0618"/>
    <w:rsid w:val="004E1DAE"/>
    <w:rsid w:val="004E25A6"/>
    <w:rsid w:val="004E735B"/>
    <w:rsid w:val="004E7CAF"/>
    <w:rsid w:val="004F0F29"/>
    <w:rsid w:val="004F6475"/>
    <w:rsid w:val="0050001C"/>
    <w:rsid w:val="005002B8"/>
    <w:rsid w:val="00512507"/>
    <w:rsid w:val="00513E14"/>
    <w:rsid w:val="005154C1"/>
    <w:rsid w:val="005162AB"/>
    <w:rsid w:val="00521122"/>
    <w:rsid w:val="00521F3B"/>
    <w:rsid w:val="0052351B"/>
    <w:rsid w:val="00524F86"/>
    <w:rsid w:val="00527644"/>
    <w:rsid w:val="00530651"/>
    <w:rsid w:val="00536289"/>
    <w:rsid w:val="00536553"/>
    <w:rsid w:val="005378CC"/>
    <w:rsid w:val="00541146"/>
    <w:rsid w:val="00542814"/>
    <w:rsid w:val="00545CC2"/>
    <w:rsid w:val="00546238"/>
    <w:rsid w:val="00546B5D"/>
    <w:rsid w:val="00547D3F"/>
    <w:rsid w:val="00550D25"/>
    <w:rsid w:val="00552271"/>
    <w:rsid w:val="00552A11"/>
    <w:rsid w:val="00555FE6"/>
    <w:rsid w:val="005577D9"/>
    <w:rsid w:val="00561DA8"/>
    <w:rsid w:val="00561DE7"/>
    <w:rsid w:val="00561E45"/>
    <w:rsid w:val="00562CB2"/>
    <w:rsid w:val="0056522A"/>
    <w:rsid w:val="00565A3F"/>
    <w:rsid w:val="005703D5"/>
    <w:rsid w:val="00571D6D"/>
    <w:rsid w:val="00572F46"/>
    <w:rsid w:val="00574A02"/>
    <w:rsid w:val="00574A49"/>
    <w:rsid w:val="00574CFE"/>
    <w:rsid w:val="00576A54"/>
    <w:rsid w:val="00576F6E"/>
    <w:rsid w:val="00577DC6"/>
    <w:rsid w:val="005816F4"/>
    <w:rsid w:val="00581BDF"/>
    <w:rsid w:val="0058280F"/>
    <w:rsid w:val="00585174"/>
    <w:rsid w:val="0059038C"/>
    <w:rsid w:val="005921E2"/>
    <w:rsid w:val="00594E87"/>
    <w:rsid w:val="005950E5"/>
    <w:rsid w:val="00597309"/>
    <w:rsid w:val="005A4CD3"/>
    <w:rsid w:val="005A67E2"/>
    <w:rsid w:val="005A6F7C"/>
    <w:rsid w:val="005B132F"/>
    <w:rsid w:val="005B18B2"/>
    <w:rsid w:val="005B40A6"/>
    <w:rsid w:val="005B6D6B"/>
    <w:rsid w:val="005B7005"/>
    <w:rsid w:val="005C0180"/>
    <w:rsid w:val="005C01B7"/>
    <w:rsid w:val="005C083B"/>
    <w:rsid w:val="005D2A79"/>
    <w:rsid w:val="005D3004"/>
    <w:rsid w:val="005D3122"/>
    <w:rsid w:val="005D3D39"/>
    <w:rsid w:val="005D6D19"/>
    <w:rsid w:val="005D7246"/>
    <w:rsid w:val="005D787E"/>
    <w:rsid w:val="005D7C39"/>
    <w:rsid w:val="005E13DF"/>
    <w:rsid w:val="005E1CCF"/>
    <w:rsid w:val="005E387D"/>
    <w:rsid w:val="005E3B75"/>
    <w:rsid w:val="005E3D15"/>
    <w:rsid w:val="005E4C65"/>
    <w:rsid w:val="005E503D"/>
    <w:rsid w:val="005E60E7"/>
    <w:rsid w:val="005F2946"/>
    <w:rsid w:val="005F34C6"/>
    <w:rsid w:val="005F4318"/>
    <w:rsid w:val="005F4F8E"/>
    <w:rsid w:val="005F54A4"/>
    <w:rsid w:val="005F71D1"/>
    <w:rsid w:val="0060035F"/>
    <w:rsid w:val="00600B21"/>
    <w:rsid w:val="00607205"/>
    <w:rsid w:val="006074E4"/>
    <w:rsid w:val="006109BC"/>
    <w:rsid w:val="006112D1"/>
    <w:rsid w:val="006112FA"/>
    <w:rsid w:val="00616139"/>
    <w:rsid w:val="00616470"/>
    <w:rsid w:val="006177F8"/>
    <w:rsid w:val="006179D4"/>
    <w:rsid w:val="00620205"/>
    <w:rsid w:val="00620E3B"/>
    <w:rsid w:val="00621A3C"/>
    <w:rsid w:val="00622D42"/>
    <w:rsid w:val="00622F63"/>
    <w:rsid w:val="00623402"/>
    <w:rsid w:val="00624B34"/>
    <w:rsid w:val="00625B93"/>
    <w:rsid w:val="006334F7"/>
    <w:rsid w:val="00633563"/>
    <w:rsid w:val="00634C6C"/>
    <w:rsid w:val="00636271"/>
    <w:rsid w:val="00643C5A"/>
    <w:rsid w:val="006502FA"/>
    <w:rsid w:val="00653D8D"/>
    <w:rsid w:val="0065419E"/>
    <w:rsid w:val="00654CBF"/>
    <w:rsid w:val="00655A79"/>
    <w:rsid w:val="00655AE5"/>
    <w:rsid w:val="00655C4A"/>
    <w:rsid w:val="006650EC"/>
    <w:rsid w:val="00667B22"/>
    <w:rsid w:val="006704AF"/>
    <w:rsid w:val="006710C1"/>
    <w:rsid w:val="0067304E"/>
    <w:rsid w:val="006745E5"/>
    <w:rsid w:val="00677A0E"/>
    <w:rsid w:val="00677F3F"/>
    <w:rsid w:val="00680C51"/>
    <w:rsid w:val="00681181"/>
    <w:rsid w:val="00682099"/>
    <w:rsid w:val="00682FD3"/>
    <w:rsid w:val="00683FFB"/>
    <w:rsid w:val="00685A22"/>
    <w:rsid w:val="006903D7"/>
    <w:rsid w:val="00694F3D"/>
    <w:rsid w:val="006959A0"/>
    <w:rsid w:val="00697B26"/>
    <w:rsid w:val="006A18B6"/>
    <w:rsid w:val="006A1DA6"/>
    <w:rsid w:val="006A1EDC"/>
    <w:rsid w:val="006A521D"/>
    <w:rsid w:val="006A5B0F"/>
    <w:rsid w:val="006A5ED6"/>
    <w:rsid w:val="006A5FF3"/>
    <w:rsid w:val="006B20EE"/>
    <w:rsid w:val="006B4826"/>
    <w:rsid w:val="006B5593"/>
    <w:rsid w:val="006B5B8D"/>
    <w:rsid w:val="006B7951"/>
    <w:rsid w:val="006C1614"/>
    <w:rsid w:val="006C1D8C"/>
    <w:rsid w:val="006C51D5"/>
    <w:rsid w:val="006C565E"/>
    <w:rsid w:val="006C5B02"/>
    <w:rsid w:val="006D1310"/>
    <w:rsid w:val="006D1E49"/>
    <w:rsid w:val="006D1F03"/>
    <w:rsid w:val="006D432E"/>
    <w:rsid w:val="006D44D5"/>
    <w:rsid w:val="006D5B0E"/>
    <w:rsid w:val="006D7C06"/>
    <w:rsid w:val="006E01C3"/>
    <w:rsid w:val="006E4894"/>
    <w:rsid w:val="006E6044"/>
    <w:rsid w:val="006F0AFA"/>
    <w:rsid w:val="006F1B52"/>
    <w:rsid w:val="006F1CB5"/>
    <w:rsid w:val="006F2553"/>
    <w:rsid w:val="006F27A6"/>
    <w:rsid w:val="006F42DE"/>
    <w:rsid w:val="00703242"/>
    <w:rsid w:val="007033D9"/>
    <w:rsid w:val="00703AB4"/>
    <w:rsid w:val="00705B33"/>
    <w:rsid w:val="0070615E"/>
    <w:rsid w:val="00706C4B"/>
    <w:rsid w:val="00710206"/>
    <w:rsid w:val="00710A58"/>
    <w:rsid w:val="007116AC"/>
    <w:rsid w:val="007124A2"/>
    <w:rsid w:val="007133ED"/>
    <w:rsid w:val="00716898"/>
    <w:rsid w:val="007220C5"/>
    <w:rsid w:val="007230D6"/>
    <w:rsid w:val="00723E4B"/>
    <w:rsid w:val="00724553"/>
    <w:rsid w:val="0072563F"/>
    <w:rsid w:val="00731CA9"/>
    <w:rsid w:val="007328E9"/>
    <w:rsid w:val="00732CFA"/>
    <w:rsid w:val="00732E2C"/>
    <w:rsid w:val="00733398"/>
    <w:rsid w:val="00734468"/>
    <w:rsid w:val="00734C14"/>
    <w:rsid w:val="00735ECF"/>
    <w:rsid w:val="007368A2"/>
    <w:rsid w:val="00736DE9"/>
    <w:rsid w:val="00737401"/>
    <w:rsid w:val="0074008E"/>
    <w:rsid w:val="0074028B"/>
    <w:rsid w:val="00742439"/>
    <w:rsid w:val="00743A10"/>
    <w:rsid w:val="007465A9"/>
    <w:rsid w:val="00751297"/>
    <w:rsid w:val="00754A0D"/>
    <w:rsid w:val="007552C1"/>
    <w:rsid w:val="007562E2"/>
    <w:rsid w:val="00756758"/>
    <w:rsid w:val="0075742E"/>
    <w:rsid w:val="007577C2"/>
    <w:rsid w:val="007611BB"/>
    <w:rsid w:val="00762F2B"/>
    <w:rsid w:val="0076328E"/>
    <w:rsid w:val="0076561E"/>
    <w:rsid w:val="007661B0"/>
    <w:rsid w:val="007708DC"/>
    <w:rsid w:val="00773353"/>
    <w:rsid w:val="00780A45"/>
    <w:rsid w:val="00783842"/>
    <w:rsid w:val="00786D48"/>
    <w:rsid w:val="007876E3"/>
    <w:rsid w:val="0079213E"/>
    <w:rsid w:val="007928AD"/>
    <w:rsid w:val="00792E77"/>
    <w:rsid w:val="00794724"/>
    <w:rsid w:val="00795D0F"/>
    <w:rsid w:val="007A0174"/>
    <w:rsid w:val="007A0BB2"/>
    <w:rsid w:val="007A5131"/>
    <w:rsid w:val="007B1C23"/>
    <w:rsid w:val="007B4019"/>
    <w:rsid w:val="007B57BB"/>
    <w:rsid w:val="007B66A0"/>
    <w:rsid w:val="007B6E4E"/>
    <w:rsid w:val="007B71E9"/>
    <w:rsid w:val="007B72BF"/>
    <w:rsid w:val="007C1702"/>
    <w:rsid w:val="007C275E"/>
    <w:rsid w:val="007C41D1"/>
    <w:rsid w:val="007C48C7"/>
    <w:rsid w:val="007C69D6"/>
    <w:rsid w:val="007C72C3"/>
    <w:rsid w:val="007D2CEB"/>
    <w:rsid w:val="007D3591"/>
    <w:rsid w:val="007D6683"/>
    <w:rsid w:val="007D7612"/>
    <w:rsid w:val="007E2B80"/>
    <w:rsid w:val="007E4A3B"/>
    <w:rsid w:val="007E54E1"/>
    <w:rsid w:val="007E6167"/>
    <w:rsid w:val="007E6B2D"/>
    <w:rsid w:val="007E74C5"/>
    <w:rsid w:val="007F0E34"/>
    <w:rsid w:val="007F32C6"/>
    <w:rsid w:val="007F4499"/>
    <w:rsid w:val="007F5C0F"/>
    <w:rsid w:val="007F6177"/>
    <w:rsid w:val="007F6368"/>
    <w:rsid w:val="007F7B7F"/>
    <w:rsid w:val="008027C5"/>
    <w:rsid w:val="008043DE"/>
    <w:rsid w:val="0080498D"/>
    <w:rsid w:val="0080554E"/>
    <w:rsid w:val="0080606A"/>
    <w:rsid w:val="008065F0"/>
    <w:rsid w:val="00807C2F"/>
    <w:rsid w:val="008127C6"/>
    <w:rsid w:val="008129C6"/>
    <w:rsid w:val="00812E0A"/>
    <w:rsid w:val="00812F91"/>
    <w:rsid w:val="0081352B"/>
    <w:rsid w:val="00814514"/>
    <w:rsid w:val="0082069B"/>
    <w:rsid w:val="008237E2"/>
    <w:rsid w:val="008255E4"/>
    <w:rsid w:val="00827BAD"/>
    <w:rsid w:val="00830639"/>
    <w:rsid w:val="008309C9"/>
    <w:rsid w:val="00830BC7"/>
    <w:rsid w:val="00832085"/>
    <w:rsid w:val="00833427"/>
    <w:rsid w:val="008335E3"/>
    <w:rsid w:val="00834DCB"/>
    <w:rsid w:val="00835739"/>
    <w:rsid w:val="00836673"/>
    <w:rsid w:val="00840C01"/>
    <w:rsid w:val="00840C42"/>
    <w:rsid w:val="0084167C"/>
    <w:rsid w:val="00843F08"/>
    <w:rsid w:val="008442B8"/>
    <w:rsid w:val="00844F10"/>
    <w:rsid w:val="00845186"/>
    <w:rsid w:val="00845BBC"/>
    <w:rsid w:val="00847F2B"/>
    <w:rsid w:val="00847F70"/>
    <w:rsid w:val="00850048"/>
    <w:rsid w:val="008513D8"/>
    <w:rsid w:val="00852C25"/>
    <w:rsid w:val="00854B7A"/>
    <w:rsid w:val="00855D43"/>
    <w:rsid w:val="0085611E"/>
    <w:rsid w:val="008561D7"/>
    <w:rsid w:val="00860B22"/>
    <w:rsid w:val="00861074"/>
    <w:rsid w:val="00861158"/>
    <w:rsid w:val="00863135"/>
    <w:rsid w:val="008636FC"/>
    <w:rsid w:val="00863DB6"/>
    <w:rsid w:val="00871164"/>
    <w:rsid w:val="00873BC6"/>
    <w:rsid w:val="00874FB1"/>
    <w:rsid w:val="008771F4"/>
    <w:rsid w:val="00880902"/>
    <w:rsid w:val="00881E11"/>
    <w:rsid w:val="00881E3C"/>
    <w:rsid w:val="00883D90"/>
    <w:rsid w:val="008844AF"/>
    <w:rsid w:val="0088740E"/>
    <w:rsid w:val="00892A4E"/>
    <w:rsid w:val="00894A27"/>
    <w:rsid w:val="00896A4C"/>
    <w:rsid w:val="00896EBA"/>
    <w:rsid w:val="0089797F"/>
    <w:rsid w:val="008A23C9"/>
    <w:rsid w:val="008A39F8"/>
    <w:rsid w:val="008A4E4B"/>
    <w:rsid w:val="008A57EE"/>
    <w:rsid w:val="008A7F6C"/>
    <w:rsid w:val="008B0552"/>
    <w:rsid w:val="008B0B3A"/>
    <w:rsid w:val="008B10F2"/>
    <w:rsid w:val="008B32A9"/>
    <w:rsid w:val="008B4388"/>
    <w:rsid w:val="008B4B5B"/>
    <w:rsid w:val="008C0083"/>
    <w:rsid w:val="008C0E22"/>
    <w:rsid w:val="008C2EDB"/>
    <w:rsid w:val="008C44FF"/>
    <w:rsid w:val="008C5604"/>
    <w:rsid w:val="008C6C9A"/>
    <w:rsid w:val="008C701E"/>
    <w:rsid w:val="008D1B64"/>
    <w:rsid w:val="008D4162"/>
    <w:rsid w:val="008D4E54"/>
    <w:rsid w:val="008D67B5"/>
    <w:rsid w:val="008E1EE6"/>
    <w:rsid w:val="008E396F"/>
    <w:rsid w:val="008E501F"/>
    <w:rsid w:val="008E51AF"/>
    <w:rsid w:val="008E548A"/>
    <w:rsid w:val="008E678B"/>
    <w:rsid w:val="008E74A2"/>
    <w:rsid w:val="008F4B82"/>
    <w:rsid w:val="008F5F99"/>
    <w:rsid w:val="0090356E"/>
    <w:rsid w:val="00903AC3"/>
    <w:rsid w:val="0090412E"/>
    <w:rsid w:val="00904536"/>
    <w:rsid w:val="0090478A"/>
    <w:rsid w:val="009069AC"/>
    <w:rsid w:val="00906E2C"/>
    <w:rsid w:val="009102A7"/>
    <w:rsid w:val="0091100D"/>
    <w:rsid w:val="00911D86"/>
    <w:rsid w:val="00911F8B"/>
    <w:rsid w:val="009144B5"/>
    <w:rsid w:val="009146F6"/>
    <w:rsid w:val="00915292"/>
    <w:rsid w:val="00915863"/>
    <w:rsid w:val="00915FD0"/>
    <w:rsid w:val="00916D0A"/>
    <w:rsid w:val="00916ED7"/>
    <w:rsid w:val="00926E69"/>
    <w:rsid w:val="00930884"/>
    <w:rsid w:val="00930EF7"/>
    <w:rsid w:val="009312D7"/>
    <w:rsid w:val="009317B8"/>
    <w:rsid w:val="009360D6"/>
    <w:rsid w:val="00936293"/>
    <w:rsid w:val="00936510"/>
    <w:rsid w:val="00937F4C"/>
    <w:rsid w:val="009401E8"/>
    <w:rsid w:val="00941336"/>
    <w:rsid w:val="00945E92"/>
    <w:rsid w:val="009466EE"/>
    <w:rsid w:val="00954312"/>
    <w:rsid w:val="0095657E"/>
    <w:rsid w:val="009575E1"/>
    <w:rsid w:val="00960BC7"/>
    <w:rsid w:val="00962129"/>
    <w:rsid w:val="009632C9"/>
    <w:rsid w:val="00963BF2"/>
    <w:rsid w:val="00964625"/>
    <w:rsid w:val="0096616B"/>
    <w:rsid w:val="009667EE"/>
    <w:rsid w:val="0097316B"/>
    <w:rsid w:val="009732E2"/>
    <w:rsid w:val="0097354A"/>
    <w:rsid w:val="0097365C"/>
    <w:rsid w:val="00974FAA"/>
    <w:rsid w:val="00975AE8"/>
    <w:rsid w:val="00977184"/>
    <w:rsid w:val="0097718F"/>
    <w:rsid w:val="009802C9"/>
    <w:rsid w:val="009819BF"/>
    <w:rsid w:val="009839B2"/>
    <w:rsid w:val="0098418C"/>
    <w:rsid w:val="00985ABF"/>
    <w:rsid w:val="00991685"/>
    <w:rsid w:val="00991DDB"/>
    <w:rsid w:val="009927FA"/>
    <w:rsid w:val="009967F2"/>
    <w:rsid w:val="00997790"/>
    <w:rsid w:val="009A3678"/>
    <w:rsid w:val="009A3EFA"/>
    <w:rsid w:val="009A41A6"/>
    <w:rsid w:val="009A5487"/>
    <w:rsid w:val="009A66D0"/>
    <w:rsid w:val="009B01FC"/>
    <w:rsid w:val="009B1BFE"/>
    <w:rsid w:val="009B29CE"/>
    <w:rsid w:val="009B7367"/>
    <w:rsid w:val="009B768E"/>
    <w:rsid w:val="009C1A48"/>
    <w:rsid w:val="009C1B23"/>
    <w:rsid w:val="009C2F5C"/>
    <w:rsid w:val="009C3BF9"/>
    <w:rsid w:val="009D3F76"/>
    <w:rsid w:val="009D53A9"/>
    <w:rsid w:val="009D7FBE"/>
    <w:rsid w:val="009E0EA2"/>
    <w:rsid w:val="009E214D"/>
    <w:rsid w:val="009E28EC"/>
    <w:rsid w:val="009E47BB"/>
    <w:rsid w:val="009E4841"/>
    <w:rsid w:val="009E7983"/>
    <w:rsid w:val="009F2E31"/>
    <w:rsid w:val="009F2F2B"/>
    <w:rsid w:val="009F3F1F"/>
    <w:rsid w:val="009F4FB3"/>
    <w:rsid w:val="009F71D1"/>
    <w:rsid w:val="00A00D0E"/>
    <w:rsid w:val="00A00DD6"/>
    <w:rsid w:val="00A0122C"/>
    <w:rsid w:val="00A017BA"/>
    <w:rsid w:val="00A01EFD"/>
    <w:rsid w:val="00A026DF"/>
    <w:rsid w:val="00A03A5F"/>
    <w:rsid w:val="00A04100"/>
    <w:rsid w:val="00A066DE"/>
    <w:rsid w:val="00A07345"/>
    <w:rsid w:val="00A075C8"/>
    <w:rsid w:val="00A10B65"/>
    <w:rsid w:val="00A11CEF"/>
    <w:rsid w:val="00A1417E"/>
    <w:rsid w:val="00A141E5"/>
    <w:rsid w:val="00A15581"/>
    <w:rsid w:val="00A1593F"/>
    <w:rsid w:val="00A15B57"/>
    <w:rsid w:val="00A15C21"/>
    <w:rsid w:val="00A21F92"/>
    <w:rsid w:val="00A2536F"/>
    <w:rsid w:val="00A261FE"/>
    <w:rsid w:val="00A263F4"/>
    <w:rsid w:val="00A26AF6"/>
    <w:rsid w:val="00A30DB3"/>
    <w:rsid w:val="00A32BC8"/>
    <w:rsid w:val="00A344A6"/>
    <w:rsid w:val="00A403E9"/>
    <w:rsid w:val="00A406DC"/>
    <w:rsid w:val="00A41119"/>
    <w:rsid w:val="00A4347E"/>
    <w:rsid w:val="00A4381E"/>
    <w:rsid w:val="00A44CAF"/>
    <w:rsid w:val="00A4630E"/>
    <w:rsid w:val="00A47DE3"/>
    <w:rsid w:val="00A502E0"/>
    <w:rsid w:val="00A5227A"/>
    <w:rsid w:val="00A55A52"/>
    <w:rsid w:val="00A55DE0"/>
    <w:rsid w:val="00A56E73"/>
    <w:rsid w:val="00A57D42"/>
    <w:rsid w:val="00A60BBB"/>
    <w:rsid w:val="00A60C83"/>
    <w:rsid w:val="00A62E2A"/>
    <w:rsid w:val="00A63A71"/>
    <w:rsid w:val="00A63A99"/>
    <w:rsid w:val="00A652BF"/>
    <w:rsid w:val="00A657A1"/>
    <w:rsid w:val="00A65F1E"/>
    <w:rsid w:val="00A66F2A"/>
    <w:rsid w:val="00A739AD"/>
    <w:rsid w:val="00A74439"/>
    <w:rsid w:val="00A77EF8"/>
    <w:rsid w:val="00A80964"/>
    <w:rsid w:val="00A81955"/>
    <w:rsid w:val="00A83111"/>
    <w:rsid w:val="00A84047"/>
    <w:rsid w:val="00A8508C"/>
    <w:rsid w:val="00A855AA"/>
    <w:rsid w:val="00A85982"/>
    <w:rsid w:val="00A86F50"/>
    <w:rsid w:val="00A92483"/>
    <w:rsid w:val="00A934C1"/>
    <w:rsid w:val="00A962D7"/>
    <w:rsid w:val="00A972FF"/>
    <w:rsid w:val="00AA22FC"/>
    <w:rsid w:val="00AA4FEE"/>
    <w:rsid w:val="00AA65E3"/>
    <w:rsid w:val="00AB0683"/>
    <w:rsid w:val="00AB179B"/>
    <w:rsid w:val="00AB197C"/>
    <w:rsid w:val="00AB199E"/>
    <w:rsid w:val="00AB2DA9"/>
    <w:rsid w:val="00AB5052"/>
    <w:rsid w:val="00AB5560"/>
    <w:rsid w:val="00AC58FC"/>
    <w:rsid w:val="00AD07E8"/>
    <w:rsid w:val="00AD48BE"/>
    <w:rsid w:val="00AD5E69"/>
    <w:rsid w:val="00AD7AA1"/>
    <w:rsid w:val="00AE2EAD"/>
    <w:rsid w:val="00AE37E7"/>
    <w:rsid w:val="00AE49AC"/>
    <w:rsid w:val="00AE6000"/>
    <w:rsid w:val="00AE7B86"/>
    <w:rsid w:val="00AF0159"/>
    <w:rsid w:val="00AF1B00"/>
    <w:rsid w:val="00AF2305"/>
    <w:rsid w:val="00AF2A93"/>
    <w:rsid w:val="00AF2BC8"/>
    <w:rsid w:val="00AF35F1"/>
    <w:rsid w:val="00AF469E"/>
    <w:rsid w:val="00AF46AA"/>
    <w:rsid w:val="00AF5D98"/>
    <w:rsid w:val="00AF7307"/>
    <w:rsid w:val="00B00CCC"/>
    <w:rsid w:val="00B02DA8"/>
    <w:rsid w:val="00B03A57"/>
    <w:rsid w:val="00B03BC6"/>
    <w:rsid w:val="00B044C6"/>
    <w:rsid w:val="00B11761"/>
    <w:rsid w:val="00B11FF2"/>
    <w:rsid w:val="00B2222C"/>
    <w:rsid w:val="00B22759"/>
    <w:rsid w:val="00B22BA1"/>
    <w:rsid w:val="00B251E8"/>
    <w:rsid w:val="00B26221"/>
    <w:rsid w:val="00B27A34"/>
    <w:rsid w:val="00B32AF7"/>
    <w:rsid w:val="00B34F63"/>
    <w:rsid w:val="00B35670"/>
    <w:rsid w:val="00B4012B"/>
    <w:rsid w:val="00B40EDB"/>
    <w:rsid w:val="00B4258F"/>
    <w:rsid w:val="00B42E1A"/>
    <w:rsid w:val="00B43126"/>
    <w:rsid w:val="00B447CB"/>
    <w:rsid w:val="00B45243"/>
    <w:rsid w:val="00B456B4"/>
    <w:rsid w:val="00B502F2"/>
    <w:rsid w:val="00B50DDC"/>
    <w:rsid w:val="00B510AC"/>
    <w:rsid w:val="00B5275C"/>
    <w:rsid w:val="00B52EC1"/>
    <w:rsid w:val="00B530B0"/>
    <w:rsid w:val="00B53A21"/>
    <w:rsid w:val="00B53B49"/>
    <w:rsid w:val="00B548FA"/>
    <w:rsid w:val="00B54A0A"/>
    <w:rsid w:val="00B56B3D"/>
    <w:rsid w:val="00B56FF3"/>
    <w:rsid w:val="00B57AFD"/>
    <w:rsid w:val="00B57EA9"/>
    <w:rsid w:val="00B6063D"/>
    <w:rsid w:val="00B62936"/>
    <w:rsid w:val="00B641F8"/>
    <w:rsid w:val="00B64399"/>
    <w:rsid w:val="00B70979"/>
    <w:rsid w:val="00B7228A"/>
    <w:rsid w:val="00B745D5"/>
    <w:rsid w:val="00B7662E"/>
    <w:rsid w:val="00B82086"/>
    <w:rsid w:val="00B82930"/>
    <w:rsid w:val="00B85188"/>
    <w:rsid w:val="00B86F91"/>
    <w:rsid w:val="00B91263"/>
    <w:rsid w:val="00B927E5"/>
    <w:rsid w:val="00B975F3"/>
    <w:rsid w:val="00BA1E11"/>
    <w:rsid w:val="00BA1F44"/>
    <w:rsid w:val="00BA7E8A"/>
    <w:rsid w:val="00BB013C"/>
    <w:rsid w:val="00BB40E2"/>
    <w:rsid w:val="00BB69A5"/>
    <w:rsid w:val="00BC06CF"/>
    <w:rsid w:val="00BC0EFB"/>
    <w:rsid w:val="00BC21EE"/>
    <w:rsid w:val="00BC319D"/>
    <w:rsid w:val="00BC65D8"/>
    <w:rsid w:val="00BC6DAE"/>
    <w:rsid w:val="00BC7490"/>
    <w:rsid w:val="00BD1415"/>
    <w:rsid w:val="00BD316B"/>
    <w:rsid w:val="00BD4653"/>
    <w:rsid w:val="00BD560B"/>
    <w:rsid w:val="00BD6475"/>
    <w:rsid w:val="00BD6EB9"/>
    <w:rsid w:val="00BD7D34"/>
    <w:rsid w:val="00BE2499"/>
    <w:rsid w:val="00BE4036"/>
    <w:rsid w:val="00BE6721"/>
    <w:rsid w:val="00BF0271"/>
    <w:rsid w:val="00BF06DD"/>
    <w:rsid w:val="00BF12C4"/>
    <w:rsid w:val="00BF2C0E"/>
    <w:rsid w:val="00BF4944"/>
    <w:rsid w:val="00BF525F"/>
    <w:rsid w:val="00BF5E81"/>
    <w:rsid w:val="00BF65CA"/>
    <w:rsid w:val="00C01123"/>
    <w:rsid w:val="00C01889"/>
    <w:rsid w:val="00C1110D"/>
    <w:rsid w:val="00C127B1"/>
    <w:rsid w:val="00C134B7"/>
    <w:rsid w:val="00C15E87"/>
    <w:rsid w:val="00C175D0"/>
    <w:rsid w:val="00C2096B"/>
    <w:rsid w:val="00C20CA3"/>
    <w:rsid w:val="00C21044"/>
    <w:rsid w:val="00C21A8D"/>
    <w:rsid w:val="00C21E2C"/>
    <w:rsid w:val="00C22D8B"/>
    <w:rsid w:val="00C24DB0"/>
    <w:rsid w:val="00C2573A"/>
    <w:rsid w:val="00C26B1C"/>
    <w:rsid w:val="00C274AA"/>
    <w:rsid w:val="00C27E49"/>
    <w:rsid w:val="00C31B66"/>
    <w:rsid w:val="00C3426D"/>
    <w:rsid w:val="00C4200A"/>
    <w:rsid w:val="00C42B15"/>
    <w:rsid w:val="00C43B2C"/>
    <w:rsid w:val="00C44ADA"/>
    <w:rsid w:val="00C46060"/>
    <w:rsid w:val="00C50711"/>
    <w:rsid w:val="00C523C6"/>
    <w:rsid w:val="00C525BA"/>
    <w:rsid w:val="00C52DAE"/>
    <w:rsid w:val="00C53065"/>
    <w:rsid w:val="00C54204"/>
    <w:rsid w:val="00C546C8"/>
    <w:rsid w:val="00C555F7"/>
    <w:rsid w:val="00C55BCE"/>
    <w:rsid w:val="00C56446"/>
    <w:rsid w:val="00C57038"/>
    <w:rsid w:val="00C60863"/>
    <w:rsid w:val="00C6285D"/>
    <w:rsid w:val="00C639E3"/>
    <w:rsid w:val="00C663A0"/>
    <w:rsid w:val="00C67DA5"/>
    <w:rsid w:val="00C70563"/>
    <w:rsid w:val="00C71244"/>
    <w:rsid w:val="00C71292"/>
    <w:rsid w:val="00C71484"/>
    <w:rsid w:val="00C716CA"/>
    <w:rsid w:val="00C71EA1"/>
    <w:rsid w:val="00C735A7"/>
    <w:rsid w:val="00C76FAC"/>
    <w:rsid w:val="00C84844"/>
    <w:rsid w:val="00C8566F"/>
    <w:rsid w:val="00C85A9C"/>
    <w:rsid w:val="00C862F0"/>
    <w:rsid w:val="00C876EA"/>
    <w:rsid w:val="00C87C43"/>
    <w:rsid w:val="00C976A6"/>
    <w:rsid w:val="00C979D0"/>
    <w:rsid w:val="00CA410E"/>
    <w:rsid w:val="00CA447E"/>
    <w:rsid w:val="00CA62A9"/>
    <w:rsid w:val="00CA7BDF"/>
    <w:rsid w:val="00CB0CDF"/>
    <w:rsid w:val="00CB0FE7"/>
    <w:rsid w:val="00CB373E"/>
    <w:rsid w:val="00CB528D"/>
    <w:rsid w:val="00CB7321"/>
    <w:rsid w:val="00CB7E0A"/>
    <w:rsid w:val="00CC1259"/>
    <w:rsid w:val="00CC1F31"/>
    <w:rsid w:val="00CC421B"/>
    <w:rsid w:val="00CC6317"/>
    <w:rsid w:val="00CD1BC6"/>
    <w:rsid w:val="00CD4AE5"/>
    <w:rsid w:val="00CE10BD"/>
    <w:rsid w:val="00CE1982"/>
    <w:rsid w:val="00CE1F17"/>
    <w:rsid w:val="00CE273A"/>
    <w:rsid w:val="00CE4818"/>
    <w:rsid w:val="00CE5AAB"/>
    <w:rsid w:val="00CE5BFB"/>
    <w:rsid w:val="00CE7F13"/>
    <w:rsid w:val="00CE7F88"/>
    <w:rsid w:val="00CF39BA"/>
    <w:rsid w:val="00CF3FB2"/>
    <w:rsid w:val="00CF5CD5"/>
    <w:rsid w:val="00CF78E4"/>
    <w:rsid w:val="00D004BE"/>
    <w:rsid w:val="00D00DBC"/>
    <w:rsid w:val="00D03586"/>
    <w:rsid w:val="00D055F0"/>
    <w:rsid w:val="00D05726"/>
    <w:rsid w:val="00D075C6"/>
    <w:rsid w:val="00D1019D"/>
    <w:rsid w:val="00D117B7"/>
    <w:rsid w:val="00D14FB9"/>
    <w:rsid w:val="00D15F60"/>
    <w:rsid w:val="00D213E9"/>
    <w:rsid w:val="00D223D0"/>
    <w:rsid w:val="00D30E72"/>
    <w:rsid w:val="00D3454C"/>
    <w:rsid w:val="00D3562D"/>
    <w:rsid w:val="00D37F45"/>
    <w:rsid w:val="00D4105E"/>
    <w:rsid w:val="00D42B94"/>
    <w:rsid w:val="00D42E24"/>
    <w:rsid w:val="00D46107"/>
    <w:rsid w:val="00D46FB6"/>
    <w:rsid w:val="00D50854"/>
    <w:rsid w:val="00D50899"/>
    <w:rsid w:val="00D54158"/>
    <w:rsid w:val="00D55E2E"/>
    <w:rsid w:val="00D60DAA"/>
    <w:rsid w:val="00D63C7F"/>
    <w:rsid w:val="00D63D53"/>
    <w:rsid w:val="00D658EE"/>
    <w:rsid w:val="00D66F30"/>
    <w:rsid w:val="00D677C5"/>
    <w:rsid w:val="00D70225"/>
    <w:rsid w:val="00D72181"/>
    <w:rsid w:val="00D7396F"/>
    <w:rsid w:val="00D73E0F"/>
    <w:rsid w:val="00D76A33"/>
    <w:rsid w:val="00D77628"/>
    <w:rsid w:val="00D81924"/>
    <w:rsid w:val="00D81AF1"/>
    <w:rsid w:val="00D822D8"/>
    <w:rsid w:val="00D82C29"/>
    <w:rsid w:val="00D82F33"/>
    <w:rsid w:val="00D843D7"/>
    <w:rsid w:val="00D84E4B"/>
    <w:rsid w:val="00D900FA"/>
    <w:rsid w:val="00D90345"/>
    <w:rsid w:val="00D92A4E"/>
    <w:rsid w:val="00D97D5E"/>
    <w:rsid w:val="00DA4017"/>
    <w:rsid w:val="00DA5B94"/>
    <w:rsid w:val="00DA72DC"/>
    <w:rsid w:val="00DB16ED"/>
    <w:rsid w:val="00DB1A3A"/>
    <w:rsid w:val="00DB3C61"/>
    <w:rsid w:val="00DB5C76"/>
    <w:rsid w:val="00DB693F"/>
    <w:rsid w:val="00DB7AFA"/>
    <w:rsid w:val="00DC0159"/>
    <w:rsid w:val="00DC0500"/>
    <w:rsid w:val="00DC5090"/>
    <w:rsid w:val="00DC7892"/>
    <w:rsid w:val="00DD1675"/>
    <w:rsid w:val="00DD1854"/>
    <w:rsid w:val="00DD2B27"/>
    <w:rsid w:val="00DD6D90"/>
    <w:rsid w:val="00DD776A"/>
    <w:rsid w:val="00DE261E"/>
    <w:rsid w:val="00DE2C33"/>
    <w:rsid w:val="00DE700C"/>
    <w:rsid w:val="00DE7144"/>
    <w:rsid w:val="00DE7730"/>
    <w:rsid w:val="00DF0597"/>
    <w:rsid w:val="00DF0E02"/>
    <w:rsid w:val="00DF3569"/>
    <w:rsid w:val="00E079AB"/>
    <w:rsid w:val="00E10EC7"/>
    <w:rsid w:val="00E13825"/>
    <w:rsid w:val="00E152FA"/>
    <w:rsid w:val="00E15B79"/>
    <w:rsid w:val="00E15B84"/>
    <w:rsid w:val="00E161BE"/>
    <w:rsid w:val="00E1655A"/>
    <w:rsid w:val="00E216A6"/>
    <w:rsid w:val="00E2749E"/>
    <w:rsid w:val="00E27994"/>
    <w:rsid w:val="00E332F7"/>
    <w:rsid w:val="00E35B18"/>
    <w:rsid w:val="00E36F79"/>
    <w:rsid w:val="00E374E0"/>
    <w:rsid w:val="00E45CEC"/>
    <w:rsid w:val="00E46461"/>
    <w:rsid w:val="00E47430"/>
    <w:rsid w:val="00E4775F"/>
    <w:rsid w:val="00E50484"/>
    <w:rsid w:val="00E523F8"/>
    <w:rsid w:val="00E534EF"/>
    <w:rsid w:val="00E5424C"/>
    <w:rsid w:val="00E55499"/>
    <w:rsid w:val="00E55844"/>
    <w:rsid w:val="00E57298"/>
    <w:rsid w:val="00E60306"/>
    <w:rsid w:val="00E6444F"/>
    <w:rsid w:val="00E7100E"/>
    <w:rsid w:val="00E7216F"/>
    <w:rsid w:val="00E76A5C"/>
    <w:rsid w:val="00E814AC"/>
    <w:rsid w:val="00E81C52"/>
    <w:rsid w:val="00E82A7A"/>
    <w:rsid w:val="00E84C55"/>
    <w:rsid w:val="00E87F29"/>
    <w:rsid w:val="00E917E1"/>
    <w:rsid w:val="00E9253B"/>
    <w:rsid w:val="00E92C22"/>
    <w:rsid w:val="00E92F00"/>
    <w:rsid w:val="00E94D56"/>
    <w:rsid w:val="00E9758C"/>
    <w:rsid w:val="00E97592"/>
    <w:rsid w:val="00E97B8A"/>
    <w:rsid w:val="00EA2A81"/>
    <w:rsid w:val="00EA35D6"/>
    <w:rsid w:val="00EA549C"/>
    <w:rsid w:val="00EA7477"/>
    <w:rsid w:val="00EA776B"/>
    <w:rsid w:val="00EA77F3"/>
    <w:rsid w:val="00EB4538"/>
    <w:rsid w:val="00EB4C9E"/>
    <w:rsid w:val="00EB5D6A"/>
    <w:rsid w:val="00EC003B"/>
    <w:rsid w:val="00EC3F55"/>
    <w:rsid w:val="00EC5D8C"/>
    <w:rsid w:val="00ED0125"/>
    <w:rsid w:val="00ED2A8D"/>
    <w:rsid w:val="00ED6576"/>
    <w:rsid w:val="00EE1297"/>
    <w:rsid w:val="00EE444D"/>
    <w:rsid w:val="00EE4D5A"/>
    <w:rsid w:val="00EE5A68"/>
    <w:rsid w:val="00EE79C9"/>
    <w:rsid w:val="00EF6C41"/>
    <w:rsid w:val="00EF6E86"/>
    <w:rsid w:val="00F0000F"/>
    <w:rsid w:val="00F00AF7"/>
    <w:rsid w:val="00F00B11"/>
    <w:rsid w:val="00F01066"/>
    <w:rsid w:val="00F02A29"/>
    <w:rsid w:val="00F03131"/>
    <w:rsid w:val="00F033E6"/>
    <w:rsid w:val="00F03C5E"/>
    <w:rsid w:val="00F04DA7"/>
    <w:rsid w:val="00F058D1"/>
    <w:rsid w:val="00F05F9A"/>
    <w:rsid w:val="00F07694"/>
    <w:rsid w:val="00F07BDD"/>
    <w:rsid w:val="00F12D19"/>
    <w:rsid w:val="00F1412A"/>
    <w:rsid w:val="00F1588F"/>
    <w:rsid w:val="00F171EE"/>
    <w:rsid w:val="00F22E17"/>
    <w:rsid w:val="00F23F1B"/>
    <w:rsid w:val="00F277DC"/>
    <w:rsid w:val="00F32AEC"/>
    <w:rsid w:val="00F3385A"/>
    <w:rsid w:val="00F34FE4"/>
    <w:rsid w:val="00F36E4A"/>
    <w:rsid w:val="00F42328"/>
    <w:rsid w:val="00F42671"/>
    <w:rsid w:val="00F443F6"/>
    <w:rsid w:val="00F478C7"/>
    <w:rsid w:val="00F47CCA"/>
    <w:rsid w:val="00F50CB0"/>
    <w:rsid w:val="00F54657"/>
    <w:rsid w:val="00F56DC0"/>
    <w:rsid w:val="00F60452"/>
    <w:rsid w:val="00F61125"/>
    <w:rsid w:val="00F612C8"/>
    <w:rsid w:val="00F61DE6"/>
    <w:rsid w:val="00F629A1"/>
    <w:rsid w:val="00F66FE7"/>
    <w:rsid w:val="00F7000C"/>
    <w:rsid w:val="00F70CA0"/>
    <w:rsid w:val="00F71008"/>
    <w:rsid w:val="00F7109A"/>
    <w:rsid w:val="00F75823"/>
    <w:rsid w:val="00F77444"/>
    <w:rsid w:val="00F81978"/>
    <w:rsid w:val="00F84A29"/>
    <w:rsid w:val="00F87687"/>
    <w:rsid w:val="00F87EC2"/>
    <w:rsid w:val="00F87F26"/>
    <w:rsid w:val="00F913C1"/>
    <w:rsid w:val="00F91CF6"/>
    <w:rsid w:val="00F97A9A"/>
    <w:rsid w:val="00FA390A"/>
    <w:rsid w:val="00FA58A7"/>
    <w:rsid w:val="00FA72A2"/>
    <w:rsid w:val="00FB2A46"/>
    <w:rsid w:val="00FB2BCF"/>
    <w:rsid w:val="00FB3734"/>
    <w:rsid w:val="00FB48D4"/>
    <w:rsid w:val="00FB65C9"/>
    <w:rsid w:val="00FB7676"/>
    <w:rsid w:val="00FC0871"/>
    <w:rsid w:val="00FC0EAE"/>
    <w:rsid w:val="00FC13CF"/>
    <w:rsid w:val="00FC2012"/>
    <w:rsid w:val="00FC27B2"/>
    <w:rsid w:val="00FD1161"/>
    <w:rsid w:val="00FD27BF"/>
    <w:rsid w:val="00FD3A9B"/>
    <w:rsid w:val="00FD3D3B"/>
    <w:rsid w:val="00FD4046"/>
    <w:rsid w:val="00FE16AE"/>
    <w:rsid w:val="00FE30C3"/>
    <w:rsid w:val="00FE519C"/>
    <w:rsid w:val="00FE57C2"/>
    <w:rsid w:val="00FF1CF8"/>
    <w:rsid w:val="00FF41BA"/>
    <w:rsid w:val="00FF4D8A"/>
    <w:rsid w:val="00FF4E89"/>
    <w:rsid w:val="00FF60E9"/>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0D0D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6A"/>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832085"/>
    <w:pPr>
      <w:keepNext/>
      <w:keepLines/>
      <w:widowControl/>
      <w:numPr>
        <w:numId w:val="15"/>
      </w:numPr>
      <w:spacing w:line="480" w:lineRule="auto"/>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832085"/>
    <w:pPr>
      <w:keepNext/>
      <w:keepLines/>
      <w:widowControl/>
      <w:numPr>
        <w:ilvl w:val="1"/>
        <w:numId w:val="15"/>
      </w:numPr>
      <w:spacing w:line="480" w:lineRule="auto"/>
      <w:outlineLvl w:val="1"/>
    </w:pPr>
    <w:rPr>
      <w:rFonts w:eastAsiaTheme="majorEastAsia"/>
      <w:b/>
      <w:kern w:val="32"/>
      <w:szCs w:val="26"/>
      <w:u w:val="single"/>
    </w:rPr>
  </w:style>
  <w:style w:type="paragraph" w:styleId="Heading3">
    <w:name w:val="heading 3"/>
    <w:basedOn w:val="Normal"/>
    <w:next w:val="FERCparanumber"/>
    <w:uiPriority w:val="9"/>
    <w:unhideWhenUsed/>
    <w:qFormat/>
    <w:rsid w:val="00832085"/>
    <w:pPr>
      <w:keepNext/>
      <w:keepLines/>
      <w:widowControl/>
      <w:numPr>
        <w:ilvl w:val="2"/>
        <w:numId w:val="15"/>
      </w:numPr>
      <w:spacing w:line="480" w:lineRule="auto"/>
      <w:outlineLvl w:val="2"/>
    </w:pPr>
    <w:rPr>
      <w:rFonts w:eastAsiaTheme="majorEastAsia"/>
      <w:b/>
      <w:kern w:val="32"/>
      <w:szCs w:val="24"/>
      <w:u w:val="single"/>
    </w:rPr>
  </w:style>
  <w:style w:type="paragraph" w:styleId="Heading4">
    <w:name w:val="heading 4"/>
    <w:basedOn w:val="Normal"/>
    <w:next w:val="FERCparanumber"/>
    <w:uiPriority w:val="9"/>
    <w:unhideWhenUsed/>
    <w:qFormat/>
    <w:rsid w:val="00832085"/>
    <w:pPr>
      <w:keepNext/>
      <w:keepLines/>
      <w:widowControl/>
      <w:numPr>
        <w:ilvl w:val="3"/>
        <w:numId w:val="15"/>
      </w:numPr>
      <w:spacing w:line="480" w:lineRule="auto"/>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832085"/>
    <w:pPr>
      <w:keepNext/>
      <w:keepLines/>
      <w:widowControl/>
      <w:numPr>
        <w:ilvl w:val="4"/>
        <w:numId w:val="15"/>
      </w:numPr>
      <w:spacing w:line="480" w:lineRule="auto"/>
      <w:outlineLvl w:val="4"/>
    </w:pPr>
    <w:rPr>
      <w:rFonts w:eastAsiaTheme="majorEastAsia"/>
      <w:b/>
      <w:kern w:val="32"/>
      <w:u w:val="single"/>
    </w:rPr>
  </w:style>
  <w:style w:type="paragraph" w:styleId="Heading6">
    <w:name w:val="heading 6"/>
    <w:basedOn w:val="Normal"/>
    <w:next w:val="FERCparanumber"/>
    <w:uiPriority w:val="9"/>
    <w:semiHidden/>
    <w:unhideWhenUsed/>
    <w:qFormat/>
    <w:rsid w:val="00832085"/>
    <w:pPr>
      <w:keepNext/>
      <w:keepLines/>
      <w:widowControl/>
      <w:numPr>
        <w:ilvl w:val="5"/>
        <w:numId w:val="15"/>
      </w:numPr>
      <w:spacing w:line="480" w:lineRule="auto"/>
      <w:outlineLvl w:val="5"/>
    </w:pPr>
    <w:rPr>
      <w:rFonts w:eastAsiaTheme="majorEastAsia"/>
      <w:b/>
      <w:kern w:val="32"/>
      <w:u w:val="single"/>
    </w:rPr>
  </w:style>
  <w:style w:type="paragraph" w:styleId="Heading7">
    <w:name w:val="heading 7"/>
    <w:basedOn w:val="Normal"/>
    <w:next w:val="FERCparanumber"/>
    <w:uiPriority w:val="9"/>
    <w:unhideWhenUsed/>
    <w:qFormat/>
    <w:rsid w:val="00832085"/>
    <w:pPr>
      <w:keepNext/>
      <w:keepLines/>
      <w:widowControl/>
      <w:numPr>
        <w:ilvl w:val="6"/>
        <w:numId w:val="15"/>
      </w:numPr>
      <w:spacing w:line="480" w:lineRule="auto"/>
      <w:outlineLvl w:val="6"/>
    </w:pPr>
    <w:rPr>
      <w:rFonts w:eastAsiaTheme="majorEastAsia"/>
      <w:b/>
      <w:iCs/>
      <w:kern w:val="32"/>
      <w:u w:val="single"/>
    </w:rPr>
  </w:style>
  <w:style w:type="paragraph" w:styleId="Heading8">
    <w:name w:val="heading 8"/>
    <w:basedOn w:val="Normal"/>
    <w:next w:val="FERCparanumber"/>
    <w:uiPriority w:val="9"/>
    <w:unhideWhenUsed/>
    <w:qFormat/>
    <w:rsid w:val="00832085"/>
    <w:pPr>
      <w:keepNext/>
      <w:keepLines/>
      <w:widowControl/>
      <w:numPr>
        <w:ilvl w:val="7"/>
        <w:numId w:val="15"/>
      </w:numPr>
      <w:spacing w:line="480" w:lineRule="auto"/>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832085"/>
    <w:pPr>
      <w:keepNext/>
      <w:keepLines/>
      <w:widowControl/>
      <w:numPr>
        <w:ilvl w:val="8"/>
        <w:numId w:val="15"/>
      </w:numPr>
      <w:spacing w:line="480" w:lineRule="auto"/>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rsid w:val="00CE7F13"/>
    <w:pPr>
      <w:spacing w:after="100"/>
    </w:pPr>
  </w:style>
  <w:style w:type="paragraph" w:styleId="TOC2">
    <w:name w:val="toc 2"/>
    <w:basedOn w:val="Normal"/>
    <w:next w:val="Normal"/>
    <w:uiPriority w:val="39"/>
    <w:unhideWhenUsed/>
    <w:rsid w:val="00CE7F13"/>
    <w:pPr>
      <w:spacing w:after="100"/>
      <w:ind w:left="220"/>
    </w:pPr>
  </w:style>
  <w:style w:type="paragraph" w:styleId="TOC3">
    <w:name w:val="toc 3"/>
    <w:basedOn w:val="Normal"/>
    <w:next w:val="Normal"/>
    <w:uiPriority w:val="39"/>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unhideWhenUsed/>
    <w:qFormat/>
    <w:rsid w:val="00CE7F13"/>
    <w:pPr>
      <w:numPr>
        <w:numId w:val="0"/>
      </w:numPr>
      <w:outlineLvl w:val="9"/>
    </w:pPr>
  </w:style>
  <w:style w:type="paragraph" w:customStyle="1" w:styleId="FERCparanumber">
    <w:name w:val="FERC paranumber"/>
    <w:basedOn w:val="Normal"/>
    <w:link w:val="FERCparanumberChar"/>
    <w:uiPriority w:val="99"/>
    <w:qFormat/>
    <w:rsid w:val="00C274AA"/>
    <w:pPr>
      <w:widowControl/>
      <w:numPr>
        <w:numId w:val="11"/>
      </w:numPr>
      <w:spacing w:line="480" w:lineRule="auto"/>
    </w:pPr>
  </w:style>
  <w:style w:type="character" w:customStyle="1" w:styleId="FERCparanumberChar">
    <w:name w:val="FERC paranumber Char"/>
    <w:basedOn w:val="DefaultParagraphFont"/>
    <w:link w:val="FERCparanumber"/>
    <w:uiPriority w:val="99"/>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basedOn w:val="Normal"/>
    <w:link w:val="FootnoteTextChar"/>
    <w:unhideWhenUsed/>
    <w:qFormat/>
    <w:rsid w:val="00832085"/>
    <w:pPr>
      <w:spacing w:after="260"/>
      <w:ind w:firstLine="720"/>
    </w:pPr>
    <w:rPr>
      <w:szCs w:val="20"/>
    </w:rPr>
  </w:style>
  <w:style w:type="character" w:customStyle="1" w:styleId="FootnoteTextChar">
    <w:name w:val="Footnote Text Char"/>
    <w:basedOn w:val="DefaultParagraphFont"/>
    <w:link w:val="FootnoteText"/>
    <w:uiPriority w:val="99"/>
    <w:rsid w:val="00832085"/>
    <w:rPr>
      <w:rFonts w:ascii="Times New Roman" w:hAnsi="Times New Roman" w:cs="Times New Roman"/>
      <w:sz w:val="26"/>
      <w:szCs w:val="20"/>
    </w:rPr>
  </w:style>
  <w:style w:type="character" w:styleId="FootnoteReference">
    <w:name w:val="footnote reference"/>
    <w:basedOn w:val="DefaultParagraphFont"/>
    <w:unhideWhenUsed/>
    <w:qFormat/>
    <w:rsid w:val="00832085"/>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A8508C"/>
    <w:rPr>
      <w:color w:val="605E5C"/>
      <w:shd w:val="clear" w:color="auto" w:fill="E1DFDD"/>
    </w:rPr>
  </w:style>
  <w:style w:type="character" w:customStyle="1" w:styleId="FERCparanumberChar1">
    <w:name w:val="FERC paranumber Char1"/>
    <w:rsid w:val="001C369E"/>
    <w:rPr>
      <w:sz w:val="26"/>
      <w:szCs w:val="24"/>
      <w:lang w:bidi="ar-SA"/>
    </w:rPr>
  </w:style>
  <w:style w:type="character" w:styleId="FollowedHyperlink">
    <w:name w:val="FollowedHyperlink"/>
    <w:basedOn w:val="DefaultParagraphFont"/>
    <w:uiPriority w:val="99"/>
    <w:semiHidden/>
    <w:unhideWhenUsed/>
    <w:rsid w:val="00EB4C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7299">
      <w:bodyDiv w:val="1"/>
      <w:marLeft w:val="0"/>
      <w:marRight w:val="0"/>
      <w:marTop w:val="0"/>
      <w:marBottom w:val="0"/>
      <w:divBdr>
        <w:top w:val="none" w:sz="0" w:space="0" w:color="auto"/>
        <w:left w:val="none" w:sz="0" w:space="0" w:color="auto"/>
        <w:bottom w:val="none" w:sz="0" w:space="0" w:color="auto"/>
        <w:right w:val="none" w:sz="0" w:space="0" w:color="auto"/>
      </w:divBdr>
      <w:divsChild>
        <w:div w:id="1421218425">
          <w:marLeft w:val="0"/>
          <w:marRight w:val="0"/>
          <w:marTop w:val="240"/>
          <w:marBottom w:val="0"/>
          <w:divBdr>
            <w:top w:val="none" w:sz="0" w:space="0" w:color="auto"/>
            <w:left w:val="none" w:sz="0" w:space="0" w:color="auto"/>
            <w:bottom w:val="none" w:sz="0" w:space="0" w:color="auto"/>
            <w:right w:val="none" w:sz="0" w:space="0" w:color="auto"/>
          </w:divBdr>
          <w:divsChild>
            <w:div w:id="1816222178">
              <w:marLeft w:val="0"/>
              <w:marRight w:val="0"/>
              <w:marTop w:val="0"/>
              <w:marBottom w:val="0"/>
              <w:divBdr>
                <w:top w:val="none" w:sz="0" w:space="0" w:color="auto"/>
                <w:left w:val="none" w:sz="0" w:space="0" w:color="auto"/>
                <w:bottom w:val="none" w:sz="0" w:space="0" w:color="auto"/>
                <w:right w:val="none" w:sz="0" w:space="0" w:color="auto"/>
              </w:divBdr>
            </w:div>
          </w:divsChild>
        </w:div>
        <w:div w:id="1201166225">
          <w:marLeft w:val="0"/>
          <w:marRight w:val="0"/>
          <w:marTop w:val="240"/>
          <w:marBottom w:val="0"/>
          <w:divBdr>
            <w:top w:val="none" w:sz="0" w:space="0" w:color="auto"/>
            <w:left w:val="none" w:sz="0" w:space="0" w:color="auto"/>
            <w:bottom w:val="none" w:sz="0" w:space="0" w:color="auto"/>
            <w:right w:val="none" w:sz="0" w:space="0" w:color="auto"/>
          </w:divBdr>
          <w:divsChild>
            <w:div w:id="952204619">
              <w:marLeft w:val="0"/>
              <w:marRight w:val="0"/>
              <w:marTop w:val="0"/>
              <w:marBottom w:val="0"/>
              <w:divBdr>
                <w:top w:val="none" w:sz="0" w:space="0" w:color="auto"/>
                <w:left w:val="none" w:sz="0" w:space="0" w:color="auto"/>
                <w:bottom w:val="none" w:sz="0" w:space="0" w:color="auto"/>
                <w:right w:val="none" w:sz="0" w:space="0" w:color="auto"/>
              </w:divBdr>
            </w:div>
          </w:divsChild>
        </w:div>
        <w:div w:id="1349789589">
          <w:marLeft w:val="0"/>
          <w:marRight w:val="0"/>
          <w:marTop w:val="240"/>
          <w:marBottom w:val="0"/>
          <w:divBdr>
            <w:top w:val="none" w:sz="0" w:space="0" w:color="auto"/>
            <w:left w:val="none" w:sz="0" w:space="0" w:color="auto"/>
            <w:bottom w:val="none" w:sz="0" w:space="0" w:color="auto"/>
            <w:right w:val="none" w:sz="0" w:space="0" w:color="auto"/>
          </w:divBdr>
          <w:divsChild>
            <w:div w:id="18304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8478">
      <w:bodyDiv w:val="1"/>
      <w:marLeft w:val="0"/>
      <w:marRight w:val="0"/>
      <w:marTop w:val="0"/>
      <w:marBottom w:val="0"/>
      <w:divBdr>
        <w:top w:val="none" w:sz="0" w:space="0" w:color="auto"/>
        <w:left w:val="none" w:sz="0" w:space="0" w:color="auto"/>
        <w:bottom w:val="none" w:sz="0" w:space="0" w:color="auto"/>
        <w:right w:val="none" w:sz="0" w:space="0" w:color="auto"/>
      </w:divBdr>
      <w:divsChild>
        <w:div w:id="2121297836">
          <w:marLeft w:val="0"/>
          <w:marRight w:val="0"/>
          <w:marTop w:val="240"/>
          <w:marBottom w:val="0"/>
          <w:divBdr>
            <w:top w:val="none" w:sz="0" w:space="0" w:color="auto"/>
            <w:left w:val="none" w:sz="0" w:space="0" w:color="auto"/>
            <w:bottom w:val="none" w:sz="0" w:space="0" w:color="auto"/>
            <w:right w:val="none" w:sz="0" w:space="0" w:color="auto"/>
          </w:divBdr>
          <w:divsChild>
            <w:div w:id="1632712688">
              <w:marLeft w:val="0"/>
              <w:marRight w:val="0"/>
              <w:marTop w:val="0"/>
              <w:marBottom w:val="0"/>
              <w:divBdr>
                <w:top w:val="none" w:sz="0" w:space="0" w:color="auto"/>
                <w:left w:val="none" w:sz="0" w:space="0" w:color="auto"/>
                <w:bottom w:val="none" w:sz="0" w:space="0" w:color="auto"/>
                <w:right w:val="none" w:sz="0" w:space="0" w:color="auto"/>
              </w:divBdr>
            </w:div>
          </w:divsChild>
        </w:div>
        <w:div w:id="325938806">
          <w:marLeft w:val="0"/>
          <w:marRight w:val="0"/>
          <w:marTop w:val="240"/>
          <w:marBottom w:val="0"/>
          <w:divBdr>
            <w:top w:val="none" w:sz="0" w:space="0" w:color="auto"/>
            <w:left w:val="none" w:sz="0" w:space="0" w:color="auto"/>
            <w:bottom w:val="none" w:sz="0" w:space="0" w:color="auto"/>
            <w:right w:val="none" w:sz="0" w:space="0" w:color="auto"/>
          </w:divBdr>
          <w:divsChild>
            <w:div w:id="1130898095">
              <w:marLeft w:val="0"/>
              <w:marRight w:val="0"/>
              <w:marTop w:val="0"/>
              <w:marBottom w:val="0"/>
              <w:divBdr>
                <w:top w:val="none" w:sz="0" w:space="0" w:color="auto"/>
                <w:left w:val="none" w:sz="0" w:space="0" w:color="auto"/>
                <w:bottom w:val="none" w:sz="0" w:space="0" w:color="auto"/>
                <w:right w:val="none" w:sz="0" w:space="0" w:color="auto"/>
              </w:divBdr>
            </w:div>
          </w:divsChild>
        </w:div>
        <w:div w:id="86931228">
          <w:marLeft w:val="0"/>
          <w:marRight w:val="0"/>
          <w:marTop w:val="240"/>
          <w:marBottom w:val="0"/>
          <w:divBdr>
            <w:top w:val="none" w:sz="0" w:space="0" w:color="auto"/>
            <w:left w:val="none" w:sz="0" w:space="0" w:color="auto"/>
            <w:bottom w:val="none" w:sz="0" w:space="0" w:color="auto"/>
            <w:right w:val="none" w:sz="0" w:space="0" w:color="auto"/>
          </w:divBdr>
          <w:divsChild>
            <w:div w:id="14371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1101">
      <w:bodyDiv w:val="1"/>
      <w:marLeft w:val="0"/>
      <w:marRight w:val="0"/>
      <w:marTop w:val="0"/>
      <w:marBottom w:val="0"/>
      <w:divBdr>
        <w:top w:val="none" w:sz="0" w:space="0" w:color="auto"/>
        <w:left w:val="none" w:sz="0" w:space="0" w:color="auto"/>
        <w:bottom w:val="none" w:sz="0" w:space="0" w:color="auto"/>
        <w:right w:val="none" w:sz="0" w:space="0" w:color="auto"/>
      </w:divBdr>
    </w:div>
    <w:div w:id="915166389">
      <w:bodyDiv w:val="1"/>
      <w:marLeft w:val="0"/>
      <w:marRight w:val="0"/>
      <w:marTop w:val="0"/>
      <w:marBottom w:val="0"/>
      <w:divBdr>
        <w:top w:val="none" w:sz="0" w:space="0" w:color="auto"/>
        <w:left w:val="none" w:sz="0" w:space="0" w:color="auto"/>
        <w:bottom w:val="none" w:sz="0" w:space="0" w:color="auto"/>
        <w:right w:val="none" w:sz="0" w:space="0" w:color="auto"/>
      </w:divBdr>
    </w:div>
    <w:div w:id="1113671379">
      <w:bodyDiv w:val="1"/>
      <w:marLeft w:val="0"/>
      <w:marRight w:val="0"/>
      <w:marTop w:val="0"/>
      <w:marBottom w:val="0"/>
      <w:divBdr>
        <w:top w:val="none" w:sz="0" w:space="0" w:color="auto"/>
        <w:left w:val="none" w:sz="0" w:space="0" w:color="auto"/>
        <w:bottom w:val="none" w:sz="0" w:space="0" w:color="auto"/>
        <w:right w:val="none" w:sz="0" w:space="0" w:color="auto"/>
      </w:divBdr>
      <w:divsChild>
        <w:div w:id="1283926967">
          <w:marLeft w:val="0"/>
          <w:marRight w:val="0"/>
          <w:marTop w:val="240"/>
          <w:marBottom w:val="0"/>
          <w:divBdr>
            <w:top w:val="none" w:sz="0" w:space="0" w:color="auto"/>
            <w:left w:val="none" w:sz="0" w:space="0" w:color="auto"/>
            <w:bottom w:val="none" w:sz="0" w:space="0" w:color="auto"/>
            <w:right w:val="none" w:sz="0" w:space="0" w:color="auto"/>
          </w:divBdr>
          <w:divsChild>
            <w:div w:id="1057507872">
              <w:marLeft w:val="0"/>
              <w:marRight w:val="0"/>
              <w:marTop w:val="0"/>
              <w:marBottom w:val="0"/>
              <w:divBdr>
                <w:top w:val="none" w:sz="0" w:space="0" w:color="auto"/>
                <w:left w:val="none" w:sz="0" w:space="0" w:color="auto"/>
                <w:bottom w:val="none" w:sz="0" w:space="0" w:color="auto"/>
                <w:right w:val="none" w:sz="0" w:space="0" w:color="auto"/>
              </w:divBdr>
            </w:div>
          </w:divsChild>
        </w:div>
        <w:div w:id="609166477">
          <w:marLeft w:val="0"/>
          <w:marRight w:val="0"/>
          <w:marTop w:val="240"/>
          <w:marBottom w:val="0"/>
          <w:divBdr>
            <w:top w:val="none" w:sz="0" w:space="0" w:color="auto"/>
            <w:left w:val="none" w:sz="0" w:space="0" w:color="auto"/>
            <w:bottom w:val="none" w:sz="0" w:space="0" w:color="auto"/>
            <w:right w:val="none" w:sz="0" w:space="0" w:color="auto"/>
          </w:divBdr>
          <w:divsChild>
            <w:div w:id="687675958">
              <w:marLeft w:val="0"/>
              <w:marRight w:val="0"/>
              <w:marTop w:val="0"/>
              <w:marBottom w:val="0"/>
              <w:divBdr>
                <w:top w:val="none" w:sz="0" w:space="0" w:color="auto"/>
                <w:left w:val="none" w:sz="0" w:space="0" w:color="auto"/>
                <w:bottom w:val="none" w:sz="0" w:space="0" w:color="auto"/>
                <w:right w:val="none" w:sz="0" w:space="0" w:color="auto"/>
              </w:divBdr>
            </w:div>
          </w:divsChild>
        </w:div>
        <w:div w:id="1437479197">
          <w:marLeft w:val="0"/>
          <w:marRight w:val="0"/>
          <w:marTop w:val="240"/>
          <w:marBottom w:val="0"/>
          <w:divBdr>
            <w:top w:val="none" w:sz="0" w:space="0" w:color="auto"/>
            <w:left w:val="none" w:sz="0" w:space="0" w:color="auto"/>
            <w:bottom w:val="none" w:sz="0" w:space="0" w:color="auto"/>
            <w:right w:val="none" w:sz="0" w:space="0" w:color="auto"/>
          </w:divBdr>
          <w:divsChild>
            <w:div w:id="9565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3643">
      <w:bodyDiv w:val="1"/>
      <w:marLeft w:val="0"/>
      <w:marRight w:val="0"/>
      <w:marTop w:val="0"/>
      <w:marBottom w:val="0"/>
      <w:divBdr>
        <w:top w:val="none" w:sz="0" w:space="0" w:color="auto"/>
        <w:left w:val="none" w:sz="0" w:space="0" w:color="auto"/>
        <w:bottom w:val="none" w:sz="0" w:space="0" w:color="auto"/>
        <w:right w:val="none" w:sz="0" w:space="0" w:color="auto"/>
      </w:divBdr>
      <w:divsChild>
        <w:div w:id="41947348">
          <w:marLeft w:val="0"/>
          <w:marRight w:val="0"/>
          <w:marTop w:val="240"/>
          <w:marBottom w:val="0"/>
          <w:divBdr>
            <w:top w:val="none" w:sz="0" w:space="0" w:color="auto"/>
            <w:left w:val="none" w:sz="0" w:space="0" w:color="auto"/>
            <w:bottom w:val="none" w:sz="0" w:space="0" w:color="auto"/>
            <w:right w:val="none" w:sz="0" w:space="0" w:color="auto"/>
          </w:divBdr>
          <w:divsChild>
            <w:div w:id="1166286930">
              <w:marLeft w:val="0"/>
              <w:marRight w:val="0"/>
              <w:marTop w:val="0"/>
              <w:marBottom w:val="0"/>
              <w:divBdr>
                <w:top w:val="none" w:sz="0" w:space="0" w:color="auto"/>
                <w:left w:val="none" w:sz="0" w:space="0" w:color="auto"/>
                <w:bottom w:val="none" w:sz="0" w:space="0" w:color="auto"/>
                <w:right w:val="none" w:sz="0" w:space="0" w:color="auto"/>
              </w:divBdr>
            </w:div>
          </w:divsChild>
        </w:div>
        <w:div w:id="247735420">
          <w:marLeft w:val="0"/>
          <w:marRight w:val="0"/>
          <w:marTop w:val="240"/>
          <w:marBottom w:val="0"/>
          <w:divBdr>
            <w:top w:val="none" w:sz="0" w:space="0" w:color="auto"/>
            <w:left w:val="none" w:sz="0" w:space="0" w:color="auto"/>
            <w:bottom w:val="none" w:sz="0" w:space="0" w:color="auto"/>
            <w:right w:val="none" w:sz="0" w:space="0" w:color="auto"/>
          </w:divBdr>
          <w:divsChild>
            <w:div w:id="411708633">
              <w:marLeft w:val="0"/>
              <w:marRight w:val="0"/>
              <w:marTop w:val="0"/>
              <w:marBottom w:val="0"/>
              <w:divBdr>
                <w:top w:val="none" w:sz="0" w:space="0" w:color="auto"/>
                <w:left w:val="none" w:sz="0" w:space="0" w:color="auto"/>
                <w:bottom w:val="none" w:sz="0" w:space="0" w:color="auto"/>
                <w:right w:val="none" w:sz="0" w:space="0" w:color="auto"/>
              </w:divBdr>
            </w:div>
          </w:divsChild>
        </w:div>
        <w:div w:id="1635913657">
          <w:marLeft w:val="0"/>
          <w:marRight w:val="0"/>
          <w:marTop w:val="240"/>
          <w:marBottom w:val="0"/>
          <w:divBdr>
            <w:top w:val="none" w:sz="0" w:space="0" w:color="auto"/>
            <w:left w:val="none" w:sz="0" w:space="0" w:color="auto"/>
            <w:bottom w:val="none" w:sz="0" w:space="0" w:color="auto"/>
            <w:right w:val="none" w:sz="0" w:space="0" w:color="auto"/>
          </w:divBdr>
          <w:divsChild>
            <w:div w:id="9622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20157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ferconlinesupport@ferc.gov" TargetMode="External"/><Relationship Id="rId7" Type="http://schemas.openxmlformats.org/officeDocument/2006/relationships/styles" Target="styles.xml"/><Relationship Id="rId12" Type="http://schemas.openxmlformats.org/officeDocument/2006/relationships/hyperlink" Target="https://www.ferc.gov/"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erc.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naesb.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public.referenceroom@ferc.gov"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22A33-9825-414E-8A4B-D0560B97A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9407B-F57D-4A4E-A387-00D36A070649}">
  <ds:schemaRefs>
    <ds:schemaRef ds:uri="Microsoft.SharePoint.Taxonomy.ContentTypeSync"/>
  </ds:schemaRefs>
</ds:datastoreItem>
</file>

<file path=customXml/itemProps3.xml><?xml version="1.0" encoding="utf-8"?>
<ds:datastoreItem xmlns:ds="http://schemas.openxmlformats.org/officeDocument/2006/customXml" ds:itemID="{09DBF7BD-DDA5-4BC0-9E66-753714904A55}">
  <ds:schemaRefs>
    <ds:schemaRef ds:uri="http://schemas.microsoft.com/sharepoint/v3/contenttype/forms"/>
  </ds:schemaRefs>
</ds:datastoreItem>
</file>

<file path=customXml/itemProps4.xml><?xml version="1.0" encoding="utf-8"?>
<ds:datastoreItem xmlns:ds="http://schemas.openxmlformats.org/officeDocument/2006/customXml" ds:itemID="{932C11E8-3887-4084-9E4F-6B0E5459D12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e8733a2-e908-454b-85cf-c9d17e1d0943"/>
    <ds:schemaRef ds:uri="http://purl.org/dc/term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CDFE2256-43C0-44A9-BFB5-7426F740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6013</Words>
  <Characters>34277</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2021-04-15T14:44:00Z</dcterms:created>
  <dcterms:modified xsi:type="dcterms:W3CDTF">2021-04-15T14:44:00Z</dcterms:modified>
  <cp:category/>
  <dc:identifier/>
  <cp:contentStatus/>
  <cp:version/>
</cp:coreProperties>
</file>