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2B45F1" w:rsidP="002B45F1" w:rsidRDefault="002B45F1" w14:paraId="39A1A94B" w14:textId="4AD1C292">
      <w:pPr>
        <w:tabs>
          <w:tab w:val="center" w:pos="5040"/>
        </w:tabs>
        <w:jc w:val="center"/>
        <w:rPr>
          <w:b/>
          <w:bCs/>
          <w:sz w:val="24"/>
        </w:rPr>
      </w:pPr>
      <w:r w:rsidRPr="00F5428B">
        <w:rPr>
          <w:b/>
          <w:bCs/>
          <w:sz w:val="24"/>
        </w:rPr>
        <w:t>FERC-545</w:t>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rsidRPr="00F5428B" w:rsidR="002B45F1" w:rsidP="002B45F1" w:rsidRDefault="00E06116" w14:paraId="09E86EFA" w14:textId="78F01DF2">
      <w:pPr>
        <w:tabs>
          <w:tab w:val="center" w:pos="5040"/>
        </w:tabs>
        <w:jc w:val="center"/>
        <w:rPr>
          <w:b/>
          <w:bCs/>
          <w:sz w:val="24"/>
        </w:rPr>
      </w:pPr>
      <w:r>
        <w:rPr>
          <w:b/>
          <w:bCs/>
          <w:sz w:val="24"/>
        </w:rPr>
        <w:t>in Docket No. RM96-1-04</w:t>
      </w:r>
      <w:r w:rsidR="00B51119">
        <w:rPr>
          <w:b/>
          <w:bCs/>
          <w:sz w:val="24"/>
        </w:rPr>
        <w:t>2</w:t>
      </w:r>
    </w:p>
    <w:p w:rsidRPr="00F5428B" w:rsidR="00BC15BE" w:rsidP="00BC15BE" w:rsidRDefault="00BC15BE" w14:paraId="34F6204C" w14:textId="77777777">
      <w:pPr>
        <w:rPr>
          <w:sz w:val="24"/>
        </w:rPr>
      </w:pPr>
    </w:p>
    <w:p w:rsidRPr="00F5428B" w:rsidR="002B45F1" w:rsidP="002B45F1" w:rsidRDefault="002B45F1" w14:paraId="35A0048C" w14:textId="72A8485E">
      <w:pPr>
        <w:rPr>
          <w:sz w:val="24"/>
        </w:rPr>
      </w:pPr>
      <w:r w:rsidRPr="00F5428B">
        <w:rPr>
          <w:sz w:val="24"/>
        </w:rPr>
        <w:t>The Federal Energy Regulatory Commission (Commission or FERC) requests that the Office of Managem</w:t>
      </w:r>
      <w:r w:rsidR="00E06116">
        <w:rPr>
          <w:sz w:val="24"/>
        </w:rPr>
        <w:t>ent and Budget (OMB) review/</w:t>
      </w:r>
      <w:r w:rsidRPr="00F5428B">
        <w:rPr>
          <w:sz w:val="24"/>
        </w:rPr>
        <w:t>approve changes to</w:t>
      </w:r>
      <w:r w:rsidR="00E06116">
        <w:rPr>
          <w:sz w:val="24"/>
        </w:rPr>
        <w:t xml:space="preserve"> and the extension of</w:t>
      </w:r>
      <w:r w:rsidRPr="00F5428B">
        <w:rPr>
          <w:sz w:val="24"/>
        </w:rPr>
        <w:t xml:space="preserve"> </w:t>
      </w:r>
      <w:r w:rsidR="00E06116">
        <w:rPr>
          <w:sz w:val="24"/>
        </w:rPr>
        <w:t xml:space="preserve">the </w:t>
      </w:r>
      <w:r w:rsidRPr="00F5428B">
        <w:rPr>
          <w:sz w:val="24"/>
        </w:rPr>
        <w:t>FERC-545</w:t>
      </w:r>
      <w:r w:rsidR="00E06116">
        <w:rPr>
          <w:sz w:val="24"/>
        </w:rPr>
        <w:t xml:space="preserve"> information collection</w:t>
      </w:r>
      <w:r w:rsidRPr="00F5428B">
        <w:rPr>
          <w:sz w:val="24"/>
        </w:rPr>
        <w:t xml:space="preserve"> </w:t>
      </w:r>
      <w:r w:rsidR="00C40086">
        <w:rPr>
          <w:sz w:val="24"/>
        </w:rPr>
        <w:t>[</w:t>
      </w:r>
      <w:r w:rsidRPr="00F5428B">
        <w:rPr>
          <w:sz w:val="24"/>
        </w:rPr>
        <w:t xml:space="preserve">(Gas Pipeline Rates: Rate Change </w:t>
      </w:r>
      <w:r w:rsidR="00C40086">
        <w:rPr>
          <w:sz w:val="24"/>
        </w:rPr>
        <w:t>(</w:t>
      </w:r>
      <w:r w:rsidRPr="00F5428B">
        <w:rPr>
          <w:sz w:val="24"/>
        </w:rPr>
        <w:t>Non-Formal)</w:t>
      </w:r>
      <w:r w:rsidR="00C40086">
        <w:rPr>
          <w:sz w:val="24"/>
        </w:rPr>
        <w:t>]</w:t>
      </w:r>
      <w:r w:rsidRPr="00F5428B">
        <w:rPr>
          <w:sz w:val="24"/>
        </w:rPr>
        <w:t>,</w:t>
      </w:r>
      <w:r w:rsidRPr="00F5428B">
        <w:rPr>
          <w:sz w:val="24"/>
          <w:vertAlign w:val="superscript"/>
        </w:rPr>
        <w:t xml:space="preserve"> </w:t>
      </w:r>
      <w:r w:rsidRPr="00F5428B">
        <w:rPr>
          <w:sz w:val="24"/>
        </w:rPr>
        <w:t xml:space="preserve">as stated in the </w:t>
      </w:r>
      <w:r w:rsidR="00B51119">
        <w:rPr>
          <w:sz w:val="24"/>
        </w:rPr>
        <w:t>NOPR</w:t>
      </w:r>
      <w:r w:rsidRPr="00F5428B">
        <w:rPr>
          <w:sz w:val="24"/>
        </w:rPr>
        <w:t xml:space="preserve"> in Docket No. RM</w:t>
      </w:r>
      <w:r w:rsidR="00E06116">
        <w:rPr>
          <w:sz w:val="24"/>
        </w:rPr>
        <w:t>96-1-04</w:t>
      </w:r>
      <w:r w:rsidR="00B51119">
        <w:rPr>
          <w:sz w:val="24"/>
        </w:rPr>
        <w:t>2</w:t>
      </w:r>
      <w:r w:rsidRPr="00F5428B">
        <w:rPr>
          <w:sz w:val="24"/>
        </w:rPr>
        <w:t>.</w:t>
      </w:r>
    </w:p>
    <w:p w:rsidRPr="00F5428B" w:rsidR="002B45F1" w:rsidP="003D2136" w:rsidRDefault="002B45F1" w14:paraId="56DB3D15" w14:textId="77777777">
      <w:pPr>
        <w:pStyle w:val="ListParagraph"/>
      </w:pPr>
    </w:p>
    <w:p w:rsidR="006B7B80" w:rsidP="006B7B80" w:rsidRDefault="002B45F1" w14:paraId="33C340BF" w14:textId="2FF7BA65">
      <w:pPr>
        <w:pStyle w:val="FERCparanumber"/>
        <w:numPr>
          <w:ilvl w:val="0"/>
          <w:numId w:val="0"/>
        </w:numPr>
        <w:rPr>
          <w:szCs w:val="26"/>
        </w:rPr>
      </w:pPr>
      <w:r w:rsidRPr="00F5428B">
        <w:rPr>
          <w:sz w:val="24"/>
        </w:rPr>
        <w:t>The Commission is submitting this consolidated supporting statement to OM</w:t>
      </w:r>
      <w:r w:rsidR="00A873E5">
        <w:rPr>
          <w:sz w:val="24"/>
        </w:rPr>
        <w:t>B with one ICR for each of the two</w:t>
      </w:r>
      <w:r w:rsidRPr="00F5428B">
        <w:rPr>
          <w:sz w:val="24"/>
        </w:rPr>
        <w:t xml:space="preserve"> separate OMB Control Numbers</w:t>
      </w:r>
      <w:r w:rsidR="00C40086">
        <w:rPr>
          <w:sz w:val="24"/>
        </w:rPr>
        <w:t xml:space="preserve"> (1902-0154 for FERC-545 and 1902-0174 for FERC-549C)</w:t>
      </w:r>
      <w:r w:rsidRPr="00F5428B">
        <w:rPr>
          <w:sz w:val="24"/>
        </w:rPr>
        <w:t xml:space="preserve">.  </w:t>
      </w:r>
    </w:p>
    <w:p w:rsidRPr="00F5428B" w:rsidR="00BC15BE" w:rsidP="00BC15BE" w:rsidRDefault="00BC15BE" w14:paraId="56813438" w14:textId="77777777">
      <w:pPr>
        <w:rPr>
          <w:b/>
          <w:sz w:val="24"/>
        </w:rPr>
      </w:pPr>
    </w:p>
    <w:p w:rsidRPr="00F5428B" w:rsidR="00BC15BE" w:rsidP="00BC15BE" w:rsidRDefault="00BC15BE" w14:paraId="35BD39DC" w14:textId="77777777">
      <w:pPr>
        <w:pStyle w:val="Level1"/>
        <w:widowControl/>
        <w:tabs>
          <w:tab w:val="left" w:pos="-1440"/>
          <w:tab w:val="num" w:pos="720"/>
        </w:tabs>
        <w:rPr>
          <w:b/>
        </w:rPr>
      </w:pPr>
      <w:r w:rsidRPr="00F5428B">
        <w:rPr>
          <w:b/>
        </w:rPr>
        <w:t xml:space="preserve">CIRCUMSTANCES THAT MAKE THE COLLECTION OF INFORMATION NECESSARY  </w:t>
      </w:r>
    </w:p>
    <w:p w:rsidRPr="00F5428B" w:rsidR="00BC15BE" w:rsidP="00BC15BE" w:rsidRDefault="00BC15BE" w14:paraId="37618DE1" w14:textId="77777777">
      <w:pPr>
        <w:pStyle w:val="Level1"/>
        <w:widowControl/>
        <w:numPr>
          <w:ilvl w:val="0"/>
          <w:numId w:val="0"/>
        </w:numPr>
        <w:tabs>
          <w:tab w:val="left" w:pos="-1440"/>
        </w:tabs>
        <w:rPr>
          <w:b/>
        </w:rPr>
      </w:pPr>
    </w:p>
    <w:p w:rsidR="00382D44" w:rsidP="002B45F1" w:rsidRDefault="00B51119" w14:paraId="18839E98" w14:textId="472309FF">
      <w:pPr>
        <w:rPr>
          <w:sz w:val="24"/>
        </w:rPr>
      </w:pPr>
      <w:r>
        <w:rPr>
          <w:b/>
          <w:sz w:val="24"/>
          <w:u w:val="single"/>
        </w:rPr>
        <w:t>NOPR</w:t>
      </w:r>
      <w:r w:rsidR="00950A2F">
        <w:rPr>
          <w:b/>
          <w:sz w:val="24"/>
          <w:u w:val="single"/>
        </w:rPr>
        <w:t xml:space="preserve"> in </w:t>
      </w:r>
      <w:r w:rsidRPr="00D60724" w:rsidR="002B45F1">
        <w:rPr>
          <w:b/>
          <w:sz w:val="24"/>
          <w:u w:val="single"/>
        </w:rPr>
        <w:t xml:space="preserve">Docket </w:t>
      </w:r>
      <w:r w:rsidRPr="00D60724" w:rsidR="00D60724">
        <w:rPr>
          <w:b/>
          <w:sz w:val="24"/>
          <w:u w:val="single"/>
        </w:rPr>
        <w:t>RM96-1-04</w:t>
      </w:r>
      <w:r>
        <w:rPr>
          <w:b/>
          <w:sz w:val="24"/>
          <w:u w:val="single"/>
        </w:rPr>
        <w:t>2</w:t>
      </w:r>
    </w:p>
    <w:p w:rsidRPr="00F5428B" w:rsidR="009D1B59" w:rsidP="002B45F1" w:rsidRDefault="009D1B59" w14:paraId="3B19BFA5" w14:textId="77777777">
      <w:pPr>
        <w:rPr>
          <w:sz w:val="24"/>
        </w:rPr>
      </w:pPr>
    </w:p>
    <w:p w:rsidRPr="00932257" w:rsidR="00B51119" w:rsidP="00B51119" w:rsidRDefault="00B51119" w14:paraId="3B3DAC9E" w14:textId="5330A69C">
      <w:pPr>
        <w:pStyle w:val="FERCparanumber"/>
        <w:numPr>
          <w:ilvl w:val="0"/>
          <w:numId w:val="0"/>
        </w:numPr>
      </w:pPr>
      <w:r>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Pr="00932257">
        <w:rPr>
          <w:rStyle w:val="FootnoteReference"/>
        </w:rPr>
        <w:footnoteReference w:id="2"/>
      </w:r>
      <w:r>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3.1) of those business practice standards.</w:t>
      </w:r>
      <w:r w:rsidDel="00BA7E8A">
        <w:t xml:space="preserve"> </w:t>
      </w:r>
    </w:p>
    <w:p w:rsidRPr="00B51119" w:rsidR="00F52DA0" w:rsidP="00E2173D" w:rsidRDefault="00B51119" w14:paraId="7ADFAD7D" w14:textId="2C8BCD07">
      <w:pPr>
        <w:pStyle w:val="FERCparanumber"/>
      </w:pPr>
      <w:r>
        <w:t xml:space="preserve">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w:t>
      </w:r>
      <w:r>
        <w:lastRenderedPageBreak/>
        <w:t>response to the recommendations of Sandia National Laboratory (Sandia),</w:t>
      </w:r>
      <w:r>
        <w:rPr>
          <w:rStyle w:val="FootnoteReference"/>
        </w:rPr>
        <w:footnoteReference w:id="3"/>
      </w:r>
      <w:r>
        <w:t xml:space="preserve"> which in 2019 issued a cybersecurity surety assessment of the NAESB standards sponsored by DOE (Sandia Surety Assessment),</w:t>
      </w:r>
      <w:r>
        <w:rPr>
          <w:rStyle w:val="FootnoteReference"/>
        </w:rPr>
        <w:footnoteReference w:id="4"/>
      </w:r>
      <w:r>
        <w:t xml:space="preserve"> and the standards developed to enable the use of distributed ledger technologies when transacting the NAESB Base Contract for Sale and Purchase of Natural Gas.  </w:t>
      </w:r>
      <w:r w:rsidRPr="008B4388">
        <w:t>The</w:t>
      </w:r>
      <w:r>
        <w:t xml:space="preserv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 </w:t>
      </w:r>
      <w:r w:rsidRPr="00B51119">
        <w:t xml:space="preserve">In response to the recommendations in the Sandia report, the proposals in this NOPR would, if implemented, upgrade current business practices and communication standards by updating the Quadrant EDM Related Standards and IET Related Standards to specifically: (1) </w:t>
      </w:r>
      <w:r w:rsidRPr="00B51119">
        <w:rPr>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 (5) specify that OpenPGP should be used to create public and private keys for privacy and digital signature applications; (6) specify HTTPS whenever secure </w:t>
      </w:r>
      <w:r w:rsidRPr="00B51119">
        <w:rPr>
          <w:lang w:bidi="en-US"/>
        </w:rPr>
        <w:lastRenderedPageBreak/>
        <w:t>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vendors, and trading partners.</w:t>
      </w:r>
      <w:r>
        <w:t xml:space="preserve"> </w:t>
      </w:r>
      <w:r w:rsidRPr="00B51119">
        <w:t>Further, in response to industry requests or through the normal course of WGQ activities, the proposals in this NOPR would, if implemented, upgrade current business practices and communication standards by specifically: (1) updating the Nominations Related Standards to allow a Service Requester to determine which rights of the contract its segmentation nomination is using; (2) updating the Quadrant EDM Related Standards to (i) define a NAESB standard time frame for information to be retained on a pipeline’s Informational Postings web site, (ii) allow for processing functions at the line item level on Customer Activities web sites and allow for the use of icons and/or graphical control elements for navigation and/or processing functions, and (iii) make minor revisions designed to add clarity, update the minimum technical characteristics to account for changes in technology since the previous version (Version 3.1) of the WGQ standards, and update the minimum and suggested operating systems and web browsers that entities should support; (3) updating multiple sets of standards to remove references to the term “gigacalories” and add the term “gigajoules” 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  The implementation of these data requirements will provide additional transparency to Informational Postings web 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r>
        <w:t xml:space="preserve"> </w:t>
      </w:r>
      <w:r w:rsidRPr="00B51119">
        <w:t>We have reviewed the requirements pertaining to business practices of interstate natural gas pipelines and made a preliminary determination that the proposed revisions are necessary to establish a more efficient and integrated pipeline grid.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rsidRPr="00F5428B" w:rsidR="00BC15BE" w:rsidP="00BC15BE" w:rsidRDefault="00BC15BE" w14:paraId="3B3AF4AB" w14:textId="77777777">
      <w:pPr>
        <w:rPr>
          <w:sz w:val="24"/>
        </w:rPr>
      </w:pPr>
    </w:p>
    <w:p w:rsidRPr="00E2173D" w:rsidR="00006D51" w:rsidP="003F0E97" w:rsidRDefault="00BC15BE" w14:paraId="31C10311" w14:textId="2F003468">
      <w:pPr>
        <w:pStyle w:val="Level1"/>
        <w:widowControl/>
        <w:tabs>
          <w:tab w:val="left" w:pos="-1440"/>
          <w:tab w:val="num" w:pos="720"/>
        </w:tabs>
        <w:rPr>
          <w:b/>
        </w:rPr>
      </w:pPr>
      <w:r w:rsidRPr="00F5428B">
        <w:rPr>
          <w:b/>
        </w:rPr>
        <w:t>HOW, BY WHOM, AND FOR WHAT PURPOSE THE INFORMATION IS TO BE USED AND THE CONSEQUENCES OF NOT COLLECTING THE INFORMATION</w:t>
      </w:r>
    </w:p>
    <w:p w:rsidRPr="00E2173D" w:rsidR="00E2173D" w:rsidP="00E2173D" w:rsidRDefault="00E2173D" w14:paraId="4C6E3B1D" w14:textId="57FCEC59">
      <w:pPr>
        <w:rPr>
          <w:sz w:val="24"/>
        </w:rPr>
      </w:pPr>
      <w:r w:rsidRPr="00E2173D">
        <w:rPr>
          <w:sz w:val="24"/>
        </w:rPr>
        <w:lastRenderedPageBreak/>
        <w:t>In this NOPR, we propose to incorporate by reference, in our regulations, Version 3.2 of the NAESB WGQ consensus business practice standards, with certain exceptions.</w:t>
      </w:r>
      <w:r w:rsidRPr="00E2173D">
        <w:rPr>
          <w:b/>
          <w:sz w:val="24"/>
          <w:vertAlign w:val="superscript"/>
        </w:rPr>
        <w:footnoteReference w:id="5"/>
      </w:r>
      <w:r w:rsidRPr="00E2173D">
        <w:rPr>
          <w:sz w:val="24"/>
        </w:rPr>
        <w:t xml:space="preserve">  We propose that compliance filings made in accordance with a final rule be made 120 days after issuance of a final rule in this proceeding or on the first business day thereafter if falling on a weekend or holiday, with an effective date 180 days from the date compliance filings are due in this proceeding or the first business day thereafter if falling on a weekend or holiday.  This will allow time for the Commission to process the compliance filings before the effective date of the new standards.</w:t>
      </w:r>
      <w:r w:rsidRPr="00E2173D" w:rsidDel="00F22E17">
        <w:rPr>
          <w:b/>
          <w:sz w:val="24"/>
          <w:vertAlign w:val="superscript"/>
        </w:rPr>
        <w:t xml:space="preserve"> </w:t>
      </w:r>
      <w:r>
        <w:rPr>
          <w:sz w:val="24"/>
        </w:rPr>
        <w:t xml:space="preserve"> </w:t>
      </w:r>
      <w:r w:rsidRPr="00E2173D">
        <w:rPr>
          <w:sz w:val="24"/>
        </w:rPr>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conducts business under these standards, the Commission's regulations should reflect those standards that have the widest possible support.  In section 12(d) of the National Technology Transfer and Advancement Act of 1995, Congress affirmatively requires federal agencies to use technical standards developed by voluntary consensus standards organizations, like NAESB, to carry out policy objectives or activities.</w:t>
      </w:r>
    </w:p>
    <w:p w:rsidR="00E2173D" w:rsidP="00E2173D" w:rsidRDefault="00E2173D" w14:paraId="69C4704F" w14:textId="35E75844">
      <w:pPr>
        <w:tabs>
          <w:tab w:val="num" w:pos="1440"/>
        </w:tabs>
        <w:rPr>
          <w:b/>
          <w:sz w:val="24"/>
          <w:u w:val="single"/>
        </w:rPr>
      </w:pPr>
      <w:bookmarkStart w:name="_bmk3" w:id="0"/>
      <w:bookmarkStart w:name="_Toc52890000" w:id="1"/>
      <w:r w:rsidRPr="00E2173D">
        <w:rPr>
          <w:b/>
          <w:sz w:val="24"/>
          <w:u w:val="single"/>
        </w:rPr>
        <w:t>M</w:t>
      </w:r>
      <w:bookmarkEnd w:id="0"/>
      <w:r w:rsidRPr="00E2173D">
        <w:rPr>
          <w:b/>
          <w:sz w:val="24"/>
          <w:u w:val="single"/>
        </w:rPr>
        <w:t>odifications to Previous Version of Standards</w:t>
      </w:r>
      <w:bookmarkEnd w:id="1"/>
    </w:p>
    <w:p w:rsidRPr="00E2173D" w:rsidR="00E2173D" w:rsidP="00E2173D" w:rsidRDefault="00E2173D" w14:paraId="0732046B" w14:textId="77777777">
      <w:pPr>
        <w:tabs>
          <w:tab w:val="num" w:pos="1440"/>
        </w:tabs>
        <w:rPr>
          <w:b/>
          <w:sz w:val="24"/>
          <w:u w:val="single"/>
        </w:rPr>
      </w:pPr>
    </w:p>
    <w:p w:rsidRPr="00E2173D" w:rsidR="00E2173D" w:rsidP="00E2173D" w:rsidRDefault="00E2173D" w14:paraId="30156F27" w14:textId="77777777">
      <w:pPr>
        <w:tabs>
          <w:tab w:val="num" w:pos="2160"/>
        </w:tabs>
        <w:rPr>
          <w:b/>
          <w:sz w:val="24"/>
          <w:u w:val="single"/>
        </w:rPr>
      </w:pPr>
      <w:bookmarkStart w:name="_bmk4" w:id="2"/>
      <w:bookmarkStart w:name="_Toc52890001" w:id="3"/>
      <w:r w:rsidRPr="00E2173D">
        <w:rPr>
          <w:b/>
          <w:sz w:val="24"/>
          <w:u w:val="single"/>
        </w:rPr>
        <w:t>M</w:t>
      </w:r>
      <w:bookmarkEnd w:id="2"/>
      <w:r w:rsidRPr="00E2173D">
        <w:rPr>
          <w:b/>
          <w:sz w:val="24"/>
          <w:u w:val="single"/>
        </w:rPr>
        <w:t>odifications in Response to the Sandia Surety Assessment</w:t>
      </w:r>
      <w:bookmarkEnd w:id="3"/>
    </w:p>
    <w:p w:rsidRPr="00E2173D" w:rsidR="00E2173D" w:rsidP="00E2173D" w:rsidRDefault="00E2173D" w14:paraId="4155E696" w14:textId="77777777">
      <w:pPr>
        <w:rPr>
          <w:sz w:val="24"/>
        </w:rPr>
      </w:pPr>
      <w:r w:rsidRPr="00E2173D">
        <w:rPr>
          <w:sz w:val="24"/>
        </w:rPr>
        <w:t xml:space="preserve">NAESB revised previously incorporated standards and developed new standards in response to the recommendations in the Sandia Surety Assessment.  Specifically, NAESB adopted revisions to the WGQ EDM Related Business Practice Standards, which establish the framework for the electronic dissemination and communication of information between parties in the North American wholesale gas marketplace, and to the WGQ IET Related Business Practice Standards, which define the implementation of various technologies necessary to communicate transactions and other electronic data using standard protocols for electronic commerce over the internet between trading partners.  First, NAESB adopted two new standards, 4.3.109 and 10.3.28, to provide that trading partners should evaluate software fixes or patches for known vulnerabilities within 30 days and implement the fix or patch as soon as reasonably practicable based on the severity of the risk.  Second, NAESB adopted two new standards, 4.3.110 and 10.3.29, to provide that trading partners should mutually agree to the version of the EDM and IET to be used.  Third, the new standards specify notification and coordination timelines with trading partners, where applicable, to address vulnerable systems or software as soon as possible.  Fourth, the Sandia Surety Assessment recommended that NAESB consider guidelines for configuration and logging, network traffic monitoring, alerting systems, and manual continuity of operations in the event of abnormal behavior or failure conditions within the system.  In </w:t>
      </w:r>
      <w:r w:rsidRPr="00E2173D">
        <w:rPr>
          <w:sz w:val="24"/>
        </w:rPr>
        <w:lastRenderedPageBreak/>
        <w:t xml:space="preserve">response, NAESB added language to new Standards 4.3.110 and 10.3.28 to include both specific and broad adoptions of such system security measures. </w:t>
      </w:r>
    </w:p>
    <w:p w:rsidRPr="00E2173D" w:rsidR="00E2173D" w:rsidP="00E2173D" w:rsidRDefault="00E2173D" w14:paraId="177BE3E8" w14:textId="77777777">
      <w:pPr>
        <w:rPr>
          <w:sz w:val="24"/>
        </w:rPr>
      </w:pPr>
      <w:r w:rsidRPr="00E2173D">
        <w:rPr>
          <w:sz w:val="24"/>
        </w:rPr>
        <w:t>Further, NAESB added language to existing Standards 4.3.60, 4.3.61, 10.2.33, and 10.3.25 to clarify the Transport Layer Security protocol,</w:t>
      </w:r>
      <w:r w:rsidRPr="00E2173D">
        <w:rPr>
          <w:b/>
          <w:sz w:val="24"/>
          <w:vertAlign w:val="superscript"/>
        </w:rPr>
        <w:footnoteReference w:id="6"/>
      </w:r>
      <w:r w:rsidRPr="00E2173D">
        <w:rPr>
          <w:sz w:val="24"/>
        </w:rPr>
        <w:t xml:space="preserve"> which encrypts data to hide information from electronic observers on the internet.  NAESB also deleted all references to the Secure Sockets Layer protocol in the standards.</w:t>
      </w:r>
    </w:p>
    <w:p w:rsidRPr="00E2173D" w:rsidR="00E2173D" w:rsidP="00E2173D" w:rsidRDefault="00E2173D" w14:paraId="06E305D7" w14:textId="77777777">
      <w:pPr>
        <w:rPr>
          <w:sz w:val="24"/>
        </w:rPr>
      </w:pPr>
      <w:r w:rsidRPr="00E2173D">
        <w:rPr>
          <w:sz w:val="24"/>
        </w:rPr>
        <w:t>Concerning identification key lengths, the Sandia Surety Assessment recommended that Rivest-Shamir-Adelman keys</w:t>
      </w:r>
      <w:r w:rsidRPr="00E2173D">
        <w:rPr>
          <w:b/>
          <w:sz w:val="24"/>
          <w:vertAlign w:val="superscript"/>
        </w:rPr>
        <w:footnoteReference w:id="7"/>
      </w:r>
      <w:r w:rsidRPr="00E2173D">
        <w:rPr>
          <w:sz w:val="24"/>
        </w:rPr>
        <w:t xml:space="preserve"> must be no shorter than 2048 bits, Elliptic Curve Digital Signature Algorithm keys</w:t>
      </w:r>
      <w:r w:rsidRPr="00E2173D">
        <w:rPr>
          <w:b/>
          <w:sz w:val="24"/>
          <w:vertAlign w:val="superscript"/>
        </w:rPr>
        <w:footnoteReference w:id="8"/>
      </w:r>
      <w:r w:rsidRPr="00E2173D">
        <w:rPr>
          <w:sz w:val="24"/>
        </w:rPr>
        <w:t xml:space="preserve"> must be no shorter than 224 bits, Hash</w:t>
      </w:r>
      <w:r w:rsidRPr="00E2173D">
        <w:rPr>
          <w:b/>
          <w:sz w:val="24"/>
          <w:vertAlign w:val="superscript"/>
        </w:rPr>
        <w:footnoteReference w:id="9"/>
      </w:r>
      <w:r w:rsidRPr="00E2173D">
        <w:rPr>
          <w:sz w:val="24"/>
        </w:rPr>
        <w:t xml:space="preserve"> algorithms should be from the Secure Hash Algorithm (SHA)-2</w:t>
      </w:r>
      <w:r w:rsidRPr="00E2173D">
        <w:rPr>
          <w:b/>
          <w:sz w:val="24"/>
          <w:vertAlign w:val="superscript"/>
        </w:rPr>
        <w:footnoteReference w:id="10"/>
      </w:r>
      <w:r w:rsidRPr="00E2173D">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w:t>
      </w:r>
      <w:r w:rsidRPr="00E2173D">
        <w:rPr>
          <w:sz w:val="24"/>
        </w:rPr>
        <w:lastRenderedPageBreak/>
        <w:t>(PGP)</w:t>
      </w:r>
      <w:r w:rsidRPr="00E2173D">
        <w:rPr>
          <w:b/>
          <w:sz w:val="24"/>
          <w:vertAlign w:val="superscript"/>
        </w:rPr>
        <w:footnoteReference w:id="11"/>
      </w:r>
      <w:r w:rsidRPr="00E2173D">
        <w:rPr>
          <w:sz w:val="24"/>
        </w:rPr>
        <w:noBreakHyphen/>
        <w:t>related hyperlink and to accommodate license-free OpenPGP,</w:t>
      </w:r>
      <w:r w:rsidRPr="00E2173D">
        <w:rPr>
          <w:b/>
          <w:sz w:val="24"/>
          <w:vertAlign w:val="superscript"/>
        </w:rPr>
        <w:footnoteReference w:id="12"/>
      </w:r>
      <w:r w:rsidRPr="00E2173D">
        <w:rPr>
          <w:sz w:val="24"/>
        </w:rPr>
        <w:t xml:space="preserve"> respectively.  NAESB also adopted a new Standard 10.2.39 to specify that OpenPGP should be used to create public and private keys for privacy and digital signature applications.</w:t>
      </w:r>
    </w:p>
    <w:p w:rsidRPr="00E2173D" w:rsidR="00E2173D" w:rsidP="00E2173D" w:rsidRDefault="00E2173D" w14:paraId="4E63B251" w14:textId="77777777">
      <w:pPr>
        <w:rPr>
          <w:sz w:val="24"/>
        </w:rPr>
      </w:pPr>
      <w:r w:rsidRPr="00E2173D">
        <w:rPr>
          <w:sz w:val="24"/>
        </w:rPr>
        <w:t>Further, NAESB revised existing Standards 4.3.60, 4.3.84, 10.3.4, and 10.3.16 to specify Hyper-Text Transport Protocol Secure (HTTPS),</w:t>
      </w:r>
      <w:r w:rsidRPr="00E2173D">
        <w:rPr>
          <w:b/>
          <w:sz w:val="24"/>
          <w:vertAlign w:val="superscript"/>
        </w:rPr>
        <w:footnoteReference w:id="13"/>
      </w:r>
      <w:r w:rsidRPr="00E2173D">
        <w:rPr>
          <w:sz w:val="24"/>
        </w:rPr>
        <w:t xml:space="preserve"> which is an encrypted version of Hyper-Text Transport Protocol (HTTP),</w:t>
      </w:r>
      <w:r w:rsidRPr="00E2173D">
        <w:rPr>
          <w:b/>
          <w:sz w:val="24"/>
          <w:vertAlign w:val="superscript"/>
        </w:rPr>
        <w:footnoteReference w:id="14"/>
      </w:r>
      <w:r w:rsidRPr="00E2173D">
        <w:rPr>
          <w:sz w:val="24"/>
        </w:rPr>
        <w:t xml:space="preserve"> whenever a secure communication is required to protect information in transit and support overall privacy needs.  Moreover, NAESB revised existing Standards 4.3.60 and 10.3.16 to require multi-factor (e.g., two-factor) authentication on an individual basis and state that secure web sites should employ individual user credentials.</w:t>
      </w:r>
    </w:p>
    <w:p w:rsidRPr="00E2173D" w:rsidR="00E2173D" w:rsidP="00E2173D" w:rsidRDefault="00E2173D" w14:paraId="61BCA384" w14:textId="77777777">
      <w:pPr>
        <w:tabs>
          <w:tab w:val="num" w:pos="2160"/>
        </w:tabs>
        <w:rPr>
          <w:b/>
          <w:sz w:val="24"/>
          <w:u w:val="single"/>
        </w:rPr>
      </w:pPr>
      <w:bookmarkStart w:name="_bmk5" w:id="4"/>
      <w:bookmarkStart w:name="_Toc52890003" w:id="5"/>
      <w:r w:rsidRPr="00E2173D">
        <w:rPr>
          <w:b/>
          <w:sz w:val="24"/>
          <w:u w:val="single"/>
        </w:rPr>
        <w:t>M</w:t>
      </w:r>
      <w:bookmarkEnd w:id="4"/>
      <w:r w:rsidRPr="00E2173D">
        <w:rPr>
          <w:b/>
          <w:sz w:val="24"/>
          <w:u w:val="single"/>
        </w:rPr>
        <w:t>odifications in Response to Industry Request</w:t>
      </w:r>
      <w:bookmarkEnd w:id="5"/>
    </w:p>
    <w:p w:rsidRPr="00E2173D" w:rsidR="00E2173D" w:rsidP="00E2173D" w:rsidRDefault="00E2173D" w14:paraId="1CD9F3D8" w14:textId="77777777">
      <w:pPr>
        <w:rPr>
          <w:sz w:val="24"/>
        </w:rPr>
      </w:pPr>
      <w:r w:rsidRPr="00E2173D">
        <w:rPr>
          <w:sz w:val="24"/>
        </w:rPr>
        <w:t>The following section describes standards development efforts undertaken by NAESB in response to industry requests or through the normal course of WGQ activities that resulted in modifications to the Nomination Related Standards, QEDM Standards, and an effort that impacted multiple sets of standards.  NAESB made corresponding revisions, where appropriate, to the related data sets and technical implementation as part of the standards development effort.</w:t>
      </w:r>
    </w:p>
    <w:p w:rsidRPr="00E2173D" w:rsidR="00E2173D" w:rsidP="00E2173D" w:rsidRDefault="00E2173D" w14:paraId="706C66BB" w14:textId="77777777">
      <w:pPr>
        <w:tabs>
          <w:tab w:val="num" w:pos="2880"/>
        </w:tabs>
        <w:rPr>
          <w:b/>
          <w:iCs/>
          <w:sz w:val="24"/>
          <w:u w:val="single"/>
        </w:rPr>
      </w:pPr>
      <w:r w:rsidRPr="00E2173D">
        <w:rPr>
          <w:b/>
          <w:iCs/>
          <w:sz w:val="24"/>
          <w:u w:val="single"/>
        </w:rPr>
        <w:t>Nomination Related Standards</w:t>
      </w:r>
    </w:p>
    <w:p w:rsidRPr="00E2173D" w:rsidR="00E2173D" w:rsidP="00E2173D" w:rsidRDefault="00E2173D" w14:paraId="09ADF5CB" w14:textId="77777777">
      <w:pPr>
        <w:rPr>
          <w:sz w:val="24"/>
        </w:rPr>
      </w:pPr>
      <w:r w:rsidRPr="00E2173D">
        <w:rPr>
          <w:sz w:val="24"/>
        </w:rPr>
        <w:t xml:space="preserve">NAESB revised existing Standards 1.3.27, 1.4.1, and 1.4.2 to add a new data element “Capacity Block ID” to allow a Service Requester to determine which primary point rights of the contract </w:t>
      </w:r>
      <w:r w:rsidRPr="00E2173D">
        <w:rPr>
          <w:sz w:val="24"/>
        </w:rPr>
        <w:lastRenderedPageBreak/>
        <w:t>their segmented nomination</w:t>
      </w:r>
      <w:r w:rsidRPr="00E2173D">
        <w:rPr>
          <w:b/>
          <w:sz w:val="24"/>
          <w:vertAlign w:val="superscript"/>
        </w:rPr>
        <w:footnoteReference w:id="15"/>
      </w:r>
      <w:r w:rsidRPr="00E2173D">
        <w:rPr>
          <w:sz w:val="24"/>
        </w:rPr>
        <w:t xml:space="preserve"> is using and eliminate an existing manual business process from the TSP to automate the business process.</w:t>
      </w:r>
    </w:p>
    <w:p w:rsidRPr="00E2173D" w:rsidR="00E2173D" w:rsidP="00E2173D" w:rsidRDefault="00E2173D" w14:paraId="71BB28E9" w14:textId="77777777">
      <w:pPr>
        <w:tabs>
          <w:tab w:val="num" w:pos="2880"/>
        </w:tabs>
        <w:rPr>
          <w:b/>
          <w:iCs/>
          <w:sz w:val="24"/>
          <w:u w:val="single"/>
        </w:rPr>
      </w:pPr>
      <w:r w:rsidRPr="00E2173D">
        <w:rPr>
          <w:b/>
          <w:iCs/>
          <w:sz w:val="24"/>
          <w:u w:val="single"/>
        </w:rPr>
        <w:t>Quadrant Electronic Delivery Mechanisms Related Standards</w:t>
      </w:r>
    </w:p>
    <w:p w:rsidRPr="00E2173D" w:rsidR="00E2173D" w:rsidP="00E2173D" w:rsidRDefault="00E2173D" w14:paraId="341D6D61" w14:textId="77777777">
      <w:pPr>
        <w:rPr>
          <w:sz w:val="24"/>
        </w:rPr>
      </w:pPr>
      <w:r w:rsidRPr="00E2173D">
        <w:rPr>
          <w:sz w:val="24"/>
        </w:rPr>
        <w:t>NAESB developed two new standards, Standard 4.3.107 to establish a standard data retention period for retrieval of Operationally Available data from the Informational Postings Web site, and Standard 4.3.108, to establish a standard data retention period for retrieval of Notices for the subcategories of Critical, Non-Critical and Planned Service Outage from the Informational Postings Web site.</w:t>
      </w:r>
    </w:p>
    <w:p w:rsidRPr="00E2173D" w:rsidR="00E2173D" w:rsidP="00E2173D" w:rsidRDefault="00E2173D" w14:paraId="67F9EA18" w14:textId="77777777">
      <w:pPr>
        <w:tabs>
          <w:tab w:val="num" w:pos="2880"/>
        </w:tabs>
        <w:rPr>
          <w:b/>
          <w:iCs/>
          <w:sz w:val="24"/>
          <w:u w:val="single"/>
        </w:rPr>
      </w:pPr>
      <w:bookmarkStart w:name="_Toc52890004" w:id="6"/>
      <w:r w:rsidRPr="00E2173D">
        <w:rPr>
          <w:b/>
          <w:iCs/>
          <w:sz w:val="24"/>
          <w:u w:val="single"/>
        </w:rPr>
        <w:t>Revisions Impacting Multiple Standards</w:t>
      </w:r>
      <w:bookmarkEnd w:id="6"/>
    </w:p>
    <w:p w:rsidRPr="00E2173D" w:rsidR="00E2173D" w:rsidP="00E2173D" w:rsidRDefault="00E2173D" w14:paraId="79967BF9" w14:textId="77777777">
      <w:pPr>
        <w:rPr>
          <w:sz w:val="24"/>
        </w:rPr>
      </w:pPr>
      <w:r w:rsidRPr="00E2173D">
        <w:rPr>
          <w:sz w:val="24"/>
        </w:rPr>
        <w:t>NAESB revised multiple standards</w:t>
      </w:r>
      <w:r w:rsidRPr="00E2173D">
        <w:rPr>
          <w:b/>
          <w:sz w:val="24"/>
          <w:vertAlign w:val="superscript"/>
        </w:rPr>
        <w:footnoteReference w:id="16"/>
      </w:r>
      <w:r w:rsidRPr="00E2173D">
        <w:rPr>
          <w:sz w:val="24"/>
        </w:rPr>
        <w:t xml:space="preserve"> and data sets</w:t>
      </w:r>
      <w:r w:rsidRPr="00E2173D">
        <w:rPr>
          <w:b/>
          <w:sz w:val="24"/>
          <w:vertAlign w:val="superscript"/>
        </w:rPr>
        <w:footnoteReference w:id="17"/>
      </w:r>
      <w:r w:rsidRPr="00E2173D">
        <w:rPr>
          <w:sz w:val="24"/>
        </w:rPr>
        <w:t xml:space="preserve"> to remove references to the term “gigacalories” and add the term “gigajoules,” consistent with the standard quantity for nominations, confirmations, and scheduling in Mexico.</w:t>
      </w:r>
    </w:p>
    <w:p w:rsidRPr="00E2173D" w:rsidR="00E2173D" w:rsidP="00E2173D" w:rsidRDefault="00E2173D" w14:paraId="1D1EF6D2" w14:textId="77777777">
      <w:pPr>
        <w:tabs>
          <w:tab w:val="num" w:pos="2880"/>
        </w:tabs>
        <w:rPr>
          <w:b/>
          <w:iCs/>
          <w:sz w:val="24"/>
          <w:u w:val="single"/>
        </w:rPr>
      </w:pPr>
      <w:bookmarkStart w:name="_Toc52890005" w:id="7"/>
      <w:r w:rsidRPr="00E2173D">
        <w:rPr>
          <w:b/>
          <w:iCs/>
          <w:sz w:val="24"/>
          <w:u w:val="single"/>
        </w:rPr>
        <w:t>Other Material in NAESB’s Report</w:t>
      </w:r>
      <w:bookmarkEnd w:id="7"/>
    </w:p>
    <w:p w:rsidRPr="00E2173D" w:rsidR="00E2173D" w:rsidP="00E2173D" w:rsidRDefault="00E2173D" w14:paraId="47EF9767" w14:textId="77777777">
      <w:pPr>
        <w:rPr>
          <w:sz w:val="24"/>
        </w:rPr>
      </w:pPr>
      <w:r w:rsidRPr="00E2173D">
        <w:rPr>
          <w:sz w:val="24"/>
        </w:rPr>
        <w:t>NAESB revised multiple data sets which impacted technical implementation documentation only.</w:t>
      </w:r>
    </w:p>
    <w:p w:rsidRPr="00E2173D" w:rsidR="00E2173D" w:rsidP="00E2173D" w:rsidRDefault="00E2173D" w14:paraId="4D901E56" w14:textId="77777777">
      <w:pPr>
        <w:rPr>
          <w:sz w:val="24"/>
        </w:rPr>
      </w:pPr>
      <w:r w:rsidRPr="00E2173D">
        <w:rPr>
          <w:sz w:val="24"/>
        </w:rPr>
        <w:t>Further, NAESB revised its optional model contracts and corresponding Mexican and Canadian Addendums to reflect a standard digital representation of natural gas trade events.  NAESB states that these revisions are intended to capitalize on smart contracts and distributed ledger technologies.</w:t>
      </w:r>
    </w:p>
    <w:p w:rsidRPr="00E2173D" w:rsidR="00E2173D" w:rsidP="00E2173D" w:rsidRDefault="00E2173D" w14:paraId="2CE8B3DE" w14:textId="77777777">
      <w:pPr>
        <w:tabs>
          <w:tab w:val="num" w:pos="1440"/>
        </w:tabs>
        <w:rPr>
          <w:b/>
          <w:sz w:val="24"/>
          <w:u w:val="single"/>
        </w:rPr>
      </w:pPr>
      <w:bookmarkStart w:name="_bmk6" w:id="8"/>
      <w:bookmarkStart w:name="_Toc52890006" w:id="9"/>
      <w:r w:rsidRPr="00E2173D">
        <w:rPr>
          <w:b/>
          <w:sz w:val="24"/>
          <w:u w:val="single"/>
        </w:rPr>
        <w:t>S</w:t>
      </w:r>
      <w:bookmarkEnd w:id="8"/>
      <w:r w:rsidRPr="00E2173D">
        <w:rPr>
          <w:b/>
          <w:sz w:val="24"/>
          <w:u w:val="single"/>
        </w:rPr>
        <w:t>tandards Proposed Not to be Incorporated by Reference</w:t>
      </w:r>
      <w:bookmarkEnd w:id="9"/>
    </w:p>
    <w:p w:rsidRPr="00E2173D" w:rsidR="00E2173D" w:rsidP="00E2173D" w:rsidRDefault="00E2173D" w14:paraId="76491154" w14:textId="77777777">
      <w:pPr>
        <w:rPr>
          <w:sz w:val="24"/>
        </w:rPr>
      </w:pPr>
      <w:r w:rsidRPr="00E2173D">
        <w:rPr>
          <w:sz w:val="24"/>
        </w:rPr>
        <w:t>We propose to continue our past practice</w:t>
      </w:r>
      <w:r w:rsidRPr="00E2173D">
        <w:rPr>
          <w:b/>
          <w:sz w:val="24"/>
          <w:vertAlign w:val="superscript"/>
        </w:rPr>
        <w:footnoteReference w:id="18"/>
      </w:r>
      <w:r w:rsidRPr="00E2173D">
        <w:rPr>
          <w:sz w:val="24"/>
        </w:rPr>
        <w:t xml:space="preserve"> of not incorporating by reference into our regulations any optional model contracts because we do not require the use of these contracts and therefore we do not need to include them in our regulations.</w:t>
      </w:r>
      <w:r w:rsidRPr="00E2173D">
        <w:rPr>
          <w:b/>
          <w:sz w:val="24"/>
          <w:vertAlign w:val="superscript"/>
        </w:rPr>
        <w:footnoteReference w:id="19"/>
      </w:r>
      <w:r w:rsidRPr="00E2173D">
        <w:rPr>
          <w:sz w:val="24"/>
        </w:rPr>
        <w:t xml:space="preserve">  In addition, consistent with our findings in past proceedings, we are not proposing to incorporate by reference the Wholesale Electric </w:t>
      </w:r>
      <w:r w:rsidRPr="00E2173D">
        <w:rPr>
          <w:sz w:val="24"/>
        </w:rPr>
        <w:lastRenderedPageBreak/>
        <w:t>Quadrant/WGQ eTariff Related Standards because the Commission  adopted and posted its standards and protocols for electronic tariff filings</w:t>
      </w:r>
      <w:r w:rsidRPr="00E2173D">
        <w:rPr>
          <w:b/>
          <w:sz w:val="24"/>
          <w:vertAlign w:val="superscript"/>
        </w:rPr>
        <w:footnoteReference w:id="20"/>
      </w:r>
    </w:p>
    <w:p w:rsidRPr="00E2173D" w:rsidR="00E2173D" w:rsidP="00E2173D" w:rsidRDefault="00E2173D" w14:paraId="6C2AC0DE" w14:textId="77777777">
      <w:pPr>
        <w:tabs>
          <w:tab w:val="num" w:pos="1440"/>
        </w:tabs>
        <w:rPr>
          <w:b/>
          <w:sz w:val="24"/>
          <w:u w:val="single"/>
        </w:rPr>
      </w:pPr>
      <w:bookmarkStart w:name="_bmk7" w:id="10"/>
      <w:bookmarkStart w:name="_Toc52890007" w:id="11"/>
      <w:r w:rsidRPr="00E2173D">
        <w:rPr>
          <w:b/>
          <w:sz w:val="24"/>
          <w:u w:val="single"/>
        </w:rPr>
        <w:t>P</w:t>
      </w:r>
      <w:bookmarkEnd w:id="10"/>
      <w:r w:rsidRPr="00E2173D">
        <w:rPr>
          <w:b/>
          <w:sz w:val="24"/>
          <w:u w:val="single"/>
        </w:rPr>
        <w:t>roposed Implementation Procedures</w:t>
      </w:r>
      <w:bookmarkEnd w:id="11"/>
    </w:p>
    <w:p w:rsidRPr="00E2173D" w:rsidR="00E2173D" w:rsidP="00E2173D" w:rsidRDefault="00E2173D" w14:paraId="3F360081" w14:textId="77777777">
      <w:pPr>
        <w:rPr>
          <w:sz w:val="24"/>
        </w:rPr>
      </w:pPr>
      <w:r w:rsidRPr="00E2173D">
        <w:rPr>
          <w:sz w:val="24"/>
        </w:rPr>
        <w:t>We propose to continue the compliance filing requirements as revised in Order No. 587-V.</w:t>
      </w:r>
      <w:r w:rsidRPr="00E2173D">
        <w:rPr>
          <w:b/>
          <w:sz w:val="24"/>
          <w:vertAlign w:val="superscript"/>
        </w:rPr>
        <w:footnoteReference w:id="21"/>
      </w:r>
      <w:r w:rsidRPr="00E2173D">
        <w:rPr>
          <w:sz w:val="24"/>
        </w:rPr>
        <w:t xml:space="preserve">  We propose that compliance filings made in accordance with a final rule be made 120 days after issuance of a final rule in this proceeding or on the first business day thereafter if falling on a weekend or holiday, with an effective date 180 days from the date compliance filings are due in this proceeding or the first business day thereafter if falling on a weekend or holiday.  As the Commission found in Order No. 587-V, adoption of the revised compliance filing requirements increases the transparency of the interstate natural gas pipelines’ incorporation by reference of the NAESB WGQ Standards so that shippers and the Commission will know which tariff provision(s) implements each standard as well as the status of each standard.</w:t>
      </w:r>
      <w:r w:rsidRPr="00E2173D">
        <w:rPr>
          <w:b/>
          <w:sz w:val="24"/>
          <w:vertAlign w:val="superscript"/>
        </w:rPr>
        <w:footnoteReference w:id="22"/>
      </w:r>
    </w:p>
    <w:p w:rsidRPr="00E2173D" w:rsidR="00E2173D" w:rsidP="00E2173D" w:rsidRDefault="00E2173D" w14:paraId="15BE3872" w14:textId="77777777">
      <w:pPr>
        <w:rPr>
          <w:sz w:val="24"/>
        </w:rPr>
      </w:pPr>
      <w:r w:rsidRPr="00E2173D">
        <w:rPr>
          <w:sz w:val="24"/>
        </w:rPr>
        <w:t>Consistent with our practice since Order No. 587-V, each pipeline must designate a single tariff section under which every NAESB WGQ Standard incorporated by reference by the Commission is listed.</w:t>
      </w:r>
      <w:r w:rsidRPr="00E2173D">
        <w:rPr>
          <w:b/>
          <w:sz w:val="24"/>
          <w:vertAlign w:val="superscript"/>
        </w:rPr>
        <w:footnoteReference w:id="23"/>
      </w:r>
      <w:r w:rsidRPr="00E2173D">
        <w:rPr>
          <w:sz w:val="24"/>
        </w:rPr>
        <w:t xml:space="preserve">  For each standard, the pipeline must specify in the tariff section or tariff sheet(s) listing all the NAESB standards:</w:t>
      </w:r>
    </w:p>
    <w:p w:rsidRPr="00E2173D" w:rsidR="00E2173D" w:rsidP="00E2173D" w:rsidRDefault="00E2173D" w14:paraId="3D883040" w14:textId="77777777">
      <w:pPr>
        <w:numPr>
          <w:ilvl w:val="0"/>
          <w:numId w:val="15"/>
        </w:numPr>
        <w:rPr>
          <w:sz w:val="24"/>
        </w:rPr>
      </w:pPr>
      <w:r w:rsidRPr="00E2173D">
        <w:rPr>
          <w:sz w:val="24"/>
        </w:rPr>
        <w:t>whether the standard is incorporated by reference;</w:t>
      </w:r>
    </w:p>
    <w:p w:rsidRPr="00E2173D" w:rsidR="00E2173D" w:rsidP="00E2173D" w:rsidRDefault="00E2173D" w14:paraId="2CAFE1FD" w14:textId="77777777">
      <w:pPr>
        <w:numPr>
          <w:ilvl w:val="0"/>
          <w:numId w:val="15"/>
        </w:numPr>
        <w:rPr>
          <w:sz w:val="24"/>
        </w:rPr>
      </w:pPr>
      <w:r w:rsidRPr="00E2173D">
        <w:rPr>
          <w:sz w:val="24"/>
        </w:rPr>
        <w:t>for those standards not incorporated by reference, the tariff provision that complies with the standard; or</w:t>
      </w:r>
    </w:p>
    <w:p w:rsidRPr="00E2173D" w:rsidR="00E2173D" w:rsidP="00E2173D" w:rsidRDefault="00E2173D" w14:paraId="727D7F79" w14:textId="668A8F83">
      <w:pPr>
        <w:numPr>
          <w:ilvl w:val="0"/>
          <w:numId w:val="15"/>
        </w:numPr>
        <w:rPr>
          <w:sz w:val="24"/>
        </w:rPr>
      </w:pPr>
      <w:r w:rsidRPr="00E2173D">
        <w:rPr>
          <w:sz w:val="24"/>
        </w:rPr>
        <w:t>for those standards with which the pipeline does not comply, an explanatory statement, including an indication of whether the pipeline has been granted a waiver, extension of time, or other variance with respect to compliance with the standard.</w:t>
      </w:r>
      <w:r w:rsidRPr="00E2173D">
        <w:rPr>
          <w:b/>
          <w:sz w:val="24"/>
          <w:vertAlign w:val="superscript"/>
        </w:rPr>
        <w:footnoteReference w:id="24"/>
      </w:r>
    </w:p>
    <w:p w:rsidRPr="00E2173D" w:rsidR="00E2173D" w:rsidP="00E2173D" w:rsidRDefault="00E2173D" w14:paraId="0D2FC812" w14:textId="540BDF83">
      <w:pPr>
        <w:rPr>
          <w:sz w:val="24"/>
        </w:rPr>
      </w:pPr>
      <w:r w:rsidRPr="00E2173D">
        <w:rPr>
          <w:sz w:val="24"/>
        </w:rPr>
        <w:t xml:space="preserve">Likewise, consistent with past practice, we will post on our eLibrary web site (under Docket No. RM96-1-042) a sample tariff format, to provide filers an illustrative example to aid them in </w:t>
      </w:r>
      <w:r w:rsidRPr="00E2173D">
        <w:rPr>
          <w:sz w:val="24"/>
        </w:rPr>
        <w:lastRenderedPageBreak/>
        <w:t>preparing their compliance filings.</w:t>
      </w:r>
      <w:r>
        <w:rPr>
          <w:sz w:val="24"/>
        </w:rPr>
        <w:t xml:space="preserve"> </w:t>
      </w:r>
      <w:r w:rsidRPr="00E2173D">
        <w:rPr>
          <w:sz w:val="24"/>
        </w:rPr>
        <w:t>Consistent with our policy since Order No. 587-V,</w:t>
      </w:r>
      <w:r w:rsidRPr="00E2173D">
        <w:rPr>
          <w:b/>
          <w:sz w:val="24"/>
          <w:vertAlign w:val="superscript"/>
        </w:rPr>
        <w:footnoteReference w:id="25"/>
      </w:r>
      <w:r w:rsidRPr="00E2173D">
        <w:rPr>
          <w:sz w:val="24"/>
        </w:rPr>
        <w:t xml:space="preserve"> we </w:t>
      </w:r>
      <w:r>
        <w:rPr>
          <w:sz w:val="24"/>
        </w:rPr>
        <w:t xml:space="preserve"> </w:t>
      </w:r>
      <w:r w:rsidRPr="00E2173D">
        <w:rPr>
          <w:sz w:val="24"/>
        </w:rPr>
        <w:t>propose that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sidRPr="00E2173D">
        <w:rPr>
          <w:b/>
          <w:sz w:val="24"/>
          <w:vertAlign w:val="superscript"/>
        </w:rPr>
        <w:footnoteReference w:id="26"/>
      </w:r>
      <w:r w:rsidRPr="00E2173D">
        <w:rPr>
          <w:sz w:val="24"/>
        </w:rPr>
        <w:t>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3.2 Standards.</w:t>
      </w:r>
      <w:r>
        <w:rPr>
          <w:sz w:val="24"/>
        </w:rPr>
        <w:t xml:space="preserve"> </w:t>
      </w:r>
      <w:r w:rsidRPr="00E2173D">
        <w:rPr>
          <w:sz w:val="24"/>
        </w:rPr>
        <w:t>This continues our practice of having pipelines include in their tariffs a common location that identifies the way in which the pipeline is incorporating all the NAESB WGQ Standards and the standards with which it is required to comply.</w:t>
      </w:r>
    </w:p>
    <w:p w:rsidRPr="00F5428B" w:rsidR="003F0E97" w:rsidP="003F0E97" w:rsidRDefault="003F0E97" w14:paraId="52D8ADD2" w14:textId="77777777">
      <w:pPr>
        <w:rPr>
          <w:sz w:val="24"/>
        </w:rPr>
      </w:pPr>
    </w:p>
    <w:p w:rsidRPr="00E34C4E" w:rsidR="00BC15BE" w:rsidP="00BC15BE" w:rsidRDefault="00BC15BE" w14:paraId="29271503" w14:textId="23448976">
      <w:pPr>
        <w:pStyle w:val="Level1"/>
        <w:widowControl/>
        <w:tabs>
          <w:tab w:val="left" w:pos="-1440"/>
          <w:tab w:val="num" w:pos="720"/>
        </w:tabs>
        <w:rPr>
          <w:b/>
        </w:rPr>
      </w:pPr>
      <w:r w:rsidRPr="00F5428B">
        <w:rPr>
          <w:b/>
        </w:rPr>
        <w:t>DESCRIBE ANY CONSIDERATION FOR THE USE OF IMPROVED INFORMATION TECHNOLOGY TO REDUCE BURDEN AND TECHNICAL OR LEGAL OBSTACLES TO REDUCING BURDEN</w:t>
      </w:r>
    </w:p>
    <w:p w:rsidR="00573C31" w:rsidP="00F8150C" w:rsidRDefault="00573C31" w14:paraId="69014BD5" w14:textId="77777777">
      <w:pPr>
        <w:rPr>
          <w:sz w:val="24"/>
        </w:rPr>
      </w:pPr>
    </w:p>
    <w:p w:rsidR="00F8150C" w:rsidP="00F8150C" w:rsidRDefault="00F8150C" w14:paraId="0DDBEF9D" w14:textId="4B2561F9">
      <w:pPr>
        <w:rPr>
          <w:sz w:val="24"/>
        </w:rPr>
      </w:pPr>
      <w:r w:rsidRPr="00F5428B">
        <w:rPr>
          <w:sz w:val="24"/>
        </w:rPr>
        <w:t>In previous rulemakings,</w:t>
      </w:r>
      <w:r w:rsidRPr="00F5428B">
        <w:rPr>
          <w:sz w:val="24"/>
          <w:vertAlign w:val="superscript"/>
        </w:rPr>
        <w:footnoteReference w:id="27"/>
      </w:r>
      <w:r w:rsidRPr="00F5428B">
        <w:rPr>
          <w:sz w:val="24"/>
        </w:rPr>
        <w:t xml:space="preserve"> the Commission implemented the capability and requirement for electronic filing of all tariff submissions.  FERC also improved the security of submitting those electronic filings and the pipelines’ on-line process of appointing and modifying agents with the authority to make a filing on the pipeline’s behalf (providing filing companies with greater control over the agents eligible to make specific types of filings on their behalf).</w:t>
      </w:r>
    </w:p>
    <w:p w:rsidRPr="00F90719" w:rsidR="00F90719" w:rsidP="00F90719" w:rsidRDefault="00F90719" w14:paraId="797A2FED" w14:textId="5355C2EC">
      <w:pPr>
        <w:rPr>
          <w:sz w:val="24"/>
        </w:rPr>
      </w:pPr>
      <w:r w:rsidRPr="00F90719">
        <w:rPr>
          <w:sz w:val="24"/>
        </w:rPr>
        <w:t>The standards we are proposing consist of seven suites of NAESB WGQ Business Practice Standards that address a variety of topics and are designed to streamline the transactional processes for the wholesale natural gas industry by promoting a more competitive and efficient market.  These include the:  WGQ Additional Business Practice Standards; WGQ Nominations Related Business Practice Standards; WGQ Flowing Gas Related Business Practice Standards; WGQ Invoicing Related Business Practice Standards; Quadrant Electronic Delivery Mechanism Related Business Practice Standards; Capacity Release Related Business Practice Standards; and Internet Electronic Transport Related Business Practice Standards.  We summarize these standards below</w:t>
      </w:r>
      <w:r>
        <w:rPr>
          <w:sz w:val="24"/>
        </w:rPr>
        <w:t>:</w:t>
      </w:r>
    </w:p>
    <w:p w:rsidRPr="00F90719" w:rsidR="00F90719" w:rsidP="00F90719" w:rsidRDefault="00F90719" w14:paraId="5F8D86D0" w14:textId="77777777">
      <w:pPr>
        <w:rPr>
          <w:sz w:val="24"/>
        </w:rPr>
      </w:pPr>
      <w:r w:rsidRPr="00F90719">
        <w:rPr>
          <w:b/>
          <w:sz w:val="24"/>
        </w:rPr>
        <w:t>The WGQ Additional Business Practice Standards</w:t>
      </w:r>
      <w:r w:rsidRPr="00F90719">
        <w:rPr>
          <w:sz w:val="24"/>
        </w:rPr>
        <w:t xml:space="preserve"> address six areas: Creditworthiness; Storage Information; Gas/Electric Operational Communications; Operational Capacity; Unsubscribed Capacity; and Location Data Download.</w:t>
      </w:r>
    </w:p>
    <w:p w:rsidRPr="00F90719" w:rsidR="00F90719" w:rsidP="00F90719" w:rsidRDefault="00F90719" w14:paraId="5379D32C" w14:textId="77777777">
      <w:pPr>
        <w:numPr>
          <w:ilvl w:val="0"/>
          <w:numId w:val="16"/>
        </w:numPr>
        <w:rPr>
          <w:sz w:val="24"/>
        </w:rPr>
      </w:pPr>
      <w:r w:rsidRPr="00F90719">
        <w:rPr>
          <w:sz w:val="24"/>
        </w:rPr>
        <w:lastRenderedPageBreak/>
        <w:t>The Creditworthiness related standards describe requirements for the exchange of information, notification, and communication between parties during the creditworthiness evaluation process.</w:t>
      </w:r>
    </w:p>
    <w:p w:rsidRPr="00F90719" w:rsidR="00F90719" w:rsidP="00F90719" w:rsidRDefault="00F90719" w14:paraId="03A71142" w14:textId="77777777">
      <w:pPr>
        <w:numPr>
          <w:ilvl w:val="0"/>
          <w:numId w:val="16"/>
        </w:numPr>
        <w:rPr>
          <w:sz w:val="24"/>
        </w:rPr>
      </w:pPr>
      <w:r w:rsidRPr="00F90719">
        <w:rPr>
          <w:sz w:val="24"/>
        </w:rPr>
        <w:t>The Storage Information related standards define the information to be provided to natural gas service requesters related to storage activities and/or balances.</w:t>
      </w:r>
    </w:p>
    <w:p w:rsidRPr="00F90719" w:rsidR="00F90719" w:rsidP="00F90719" w:rsidRDefault="00F90719" w14:paraId="3B4DD563" w14:textId="77777777">
      <w:pPr>
        <w:numPr>
          <w:ilvl w:val="0"/>
          <w:numId w:val="16"/>
        </w:numPr>
        <w:rPr>
          <w:sz w:val="24"/>
        </w:rPr>
      </w:pPr>
      <w:r w:rsidRPr="00F90719">
        <w:rPr>
          <w:sz w:val="24"/>
        </w:rPr>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F90719" w:rsidR="00F90719" w:rsidP="00F90719" w:rsidRDefault="00F90719" w14:paraId="34000A96" w14:textId="77777777">
      <w:pPr>
        <w:numPr>
          <w:ilvl w:val="0"/>
          <w:numId w:val="16"/>
        </w:numPr>
        <w:rPr>
          <w:sz w:val="24"/>
        </w:rPr>
      </w:pPr>
      <w:r w:rsidRPr="00F90719">
        <w:rPr>
          <w:sz w:val="24"/>
        </w:rPr>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F90719" w:rsidR="00F90719" w:rsidP="00F90719" w:rsidRDefault="00F90719" w14:paraId="00A2EB3F" w14:textId="77777777">
      <w:pPr>
        <w:numPr>
          <w:ilvl w:val="0"/>
          <w:numId w:val="16"/>
        </w:numPr>
        <w:rPr>
          <w:sz w:val="24"/>
        </w:rPr>
      </w:pPr>
      <w:r w:rsidRPr="00F90719">
        <w:rPr>
          <w:sz w:val="24"/>
        </w:rPr>
        <w:t>The Unsubscribed Capacity related standards define requirements of the transportation service provider related to the reporting and requesting of a transportation service provider’s available unsubscribed capacity.</w:t>
      </w:r>
    </w:p>
    <w:p w:rsidRPr="00F90719" w:rsidR="00F90719" w:rsidP="00F8150C" w:rsidRDefault="00F90719" w14:paraId="742C5BAE" w14:textId="2FCEB482">
      <w:pPr>
        <w:numPr>
          <w:ilvl w:val="0"/>
          <w:numId w:val="16"/>
        </w:numPr>
        <w:rPr>
          <w:sz w:val="24"/>
        </w:rPr>
      </w:pPr>
      <w:r w:rsidRPr="00F90719">
        <w:rPr>
          <w:sz w:val="24"/>
        </w:rPr>
        <w:t>The Location Data Download related standards define requirements for the use of codes assigned by the transportation service provider for locations and common codes for parties communicating electronically.</w:t>
      </w:r>
    </w:p>
    <w:p w:rsidRPr="00F5428B" w:rsidR="00C4337B" w:rsidP="00F8150C" w:rsidRDefault="00C4337B" w14:paraId="4984098A" w14:textId="77777777">
      <w:pPr>
        <w:rPr>
          <w:sz w:val="24"/>
        </w:rPr>
      </w:pPr>
    </w:p>
    <w:p w:rsidRPr="00F5428B" w:rsidR="00BC15BE" w:rsidP="00BC15BE" w:rsidRDefault="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Pr="00F5428B" w:rsidR="00F8150C" w:rsidP="00F8150C" w:rsidRDefault="00F8150C" w14:paraId="087C3C6A" w14:textId="77777777">
      <w:pPr>
        <w:tabs>
          <w:tab w:val="num" w:pos="0"/>
        </w:tabs>
        <w:spacing w:before="100" w:beforeAutospacing="1" w:after="240"/>
        <w:rPr>
          <w:sz w:val="24"/>
        </w:rPr>
      </w:pPr>
      <w:r w:rsidRPr="00F5428B">
        <w:rPr>
          <w:sz w:val="24"/>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rsidRPr="00F5428B" w:rsidR="00BC15BE" w:rsidP="00BC15BE" w:rsidRDefault="00BC15BE" w14:paraId="21267518" w14:textId="77777777">
      <w:pPr>
        <w:pStyle w:val="Level1"/>
        <w:widowControl/>
        <w:numPr>
          <w:ilvl w:val="0"/>
          <w:numId w:val="0"/>
        </w:numPr>
        <w:tabs>
          <w:tab w:val="left" w:pos="-1440"/>
        </w:tabs>
        <w:ind w:firstLine="720"/>
      </w:pPr>
    </w:p>
    <w:p w:rsidRPr="00F5428B" w:rsidR="00BC15BE" w:rsidP="00BC15BE" w:rsidRDefault="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rsidRDefault="00966D03" w14:paraId="19CD3887" w14:textId="77777777">
      <w:pPr>
        <w:rPr>
          <w:sz w:val="24"/>
        </w:rPr>
      </w:pPr>
    </w:p>
    <w:p w:rsidRPr="00F5428B" w:rsidR="00F8150C" w:rsidP="00F8150C" w:rsidRDefault="00F8150C" w14:paraId="70FE6071" w14:textId="2C1D77D7">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 xml:space="preserve">The SBA (in 13 CFR 121.101) has established a size standard for pipelines </w:t>
      </w:r>
      <w:r w:rsidRPr="00F5428B">
        <w:rPr>
          <w:sz w:val="24"/>
        </w:rPr>
        <w:lastRenderedPageBreak/>
        <w:t>transporting natural gas, stating that a firm is a small entity if its annual receipts (including those of its affiliates) are $</w:t>
      </w:r>
      <w:r w:rsidR="00573C31">
        <w:rPr>
          <w:sz w:val="24"/>
        </w:rPr>
        <w:t>30</w:t>
      </w:r>
      <w:r w:rsidRPr="00F5428B">
        <w:rPr>
          <w:sz w:val="24"/>
        </w:rPr>
        <w:t xml:space="preserve"> million or less.</w:t>
      </w:r>
      <w:r w:rsidRPr="00F5428B">
        <w:rPr>
          <w:rStyle w:val="FootnoteReference"/>
          <w:sz w:val="24"/>
          <w:szCs w:val="24"/>
        </w:rPr>
        <w:footnoteReference w:id="28"/>
      </w:r>
    </w:p>
    <w:p w:rsidR="00966D03" w:rsidP="00F8150C" w:rsidRDefault="00966D03" w14:paraId="02FFEA5C" w14:textId="77777777">
      <w:pPr>
        <w:rPr>
          <w:b/>
          <w:sz w:val="24"/>
        </w:rPr>
      </w:pPr>
    </w:p>
    <w:p w:rsidRPr="00F5428B" w:rsidR="00F8150C" w:rsidP="00F8150C" w:rsidRDefault="00F8150C" w14:paraId="2ECE79F4" w14:textId="2D50573C">
      <w:pPr>
        <w:rPr>
          <w:sz w:val="24"/>
        </w:rPr>
      </w:pPr>
      <w:r w:rsidRPr="00F5428B">
        <w:rPr>
          <w:sz w:val="24"/>
        </w:rPr>
        <w:t xml:space="preserve">The FERC-545 </w:t>
      </w:r>
      <w:r w:rsidR="00F90719">
        <w:rPr>
          <w:sz w:val="24"/>
        </w:rPr>
        <w:t xml:space="preserve">and FERC-549C </w:t>
      </w:r>
      <w:r w:rsidRPr="00F5428B">
        <w:rPr>
          <w:sz w:val="24"/>
        </w:rPr>
        <w:t xml:space="preserve">is a filing requirement related to pipeline rate filing obligations for the transportation and storage of natural gas.  The filing collects data from both large and small respondent companies.  The data required </w:t>
      </w:r>
      <w:r w:rsidRPr="00F5428B" w:rsidR="00353A27">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Pr="00F5428B" w:rsidR="00BC15BE" w:rsidP="00573C31" w:rsidRDefault="00BC15BE" w14:paraId="1CB13102" w14:textId="77777777">
      <w:pPr>
        <w:pStyle w:val="FERCparanumber"/>
        <w:numPr>
          <w:ilvl w:val="0"/>
          <w:numId w:val="0"/>
        </w:numPr>
        <w:autoSpaceDE w:val="0"/>
        <w:autoSpaceDN w:val="0"/>
        <w:adjustRightInd w:val="0"/>
        <w:rPr>
          <w:sz w:val="24"/>
        </w:rPr>
      </w:pPr>
    </w:p>
    <w:p w:rsidRPr="00F5428B" w:rsidR="00BC15BE" w:rsidP="00BC15BE" w:rsidRDefault="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rsidRDefault="001B1135" w14:paraId="2BA137A1" w14:textId="77777777">
      <w:pPr>
        <w:tabs>
          <w:tab w:val="left" w:pos="0"/>
        </w:tabs>
        <w:rPr>
          <w:sz w:val="24"/>
        </w:rPr>
      </w:pPr>
    </w:p>
    <w:p w:rsidRPr="00F5428B" w:rsidR="00F8150C" w:rsidP="00F8150C" w:rsidRDefault="00F8150C" w14:paraId="62DFD3E8" w14:textId="0C648BCF">
      <w:pPr>
        <w:tabs>
          <w:tab w:val="left" w:pos="0"/>
        </w:tabs>
        <w:rPr>
          <w:sz w:val="24"/>
        </w:rPr>
      </w:pPr>
      <w:r w:rsidRPr="00F5428B">
        <w:rPr>
          <w:sz w:val="24"/>
        </w:rPr>
        <w:t>FERC-545</w:t>
      </w:r>
      <w:r w:rsidR="00573C31">
        <w:rPr>
          <w:sz w:val="24"/>
        </w:rPr>
        <w:t xml:space="preserve"> and FERC-549C</w:t>
      </w:r>
      <w:r w:rsidRPr="00F5428B">
        <w:rPr>
          <w:sz w:val="24"/>
        </w:rPr>
        <w:t xml:space="preserve"> </w:t>
      </w:r>
      <w:r w:rsidR="00BD6B0B">
        <w:rPr>
          <w:sz w:val="24"/>
        </w:rPr>
        <w:t>is a one-time compliance filing</w:t>
      </w:r>
      <w:r w:rsidRPr="00F5428B">
        <w:rPr>
          <w:sz w:val="24"/>
        </w:rPr>
        <w:t xml:space="preserve">.  Failure to collect the information would prohibit </w:t>
      </w:r>
      <w:r w:rsidR="001B1135">
        <w:rPr>
          <w:sz w:val="24"/>
        </w:rPr>
        <w:t>the Commission</w:t>
      </w:r>
      <w:r w:rsidRPr="00F5428B" w:rsidR="001B1135">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sidRPr="00F5428B">
        <w:rPr>
          <w:sz w:val="24"/>
        </w:rPr>
        <w:t>NGPA and NGA.</w:t>
      </w:r>
    </w:p>
    <w:p w:rsidRPr="00F5428B" w:rsidR="00BC15BE" w:rsidP="00BC15BE" w:rsidRDefault="00BC15BE" w14:paraId="3FD162DE" w14:textId="77777777">
      <w:pPr>
        <w:pStyle w:val="Level1"/>
        <w:widowControl/>
        <w:numPr>
          <w:ilvl w:val="0"/>
          <w:numId w:val="0"/>
        </w:numPr>
        <w:tabs>
          <w:tab w:val="left" w:pos="-1440"/>
        </w:tabs>
      </w:pPr>
    </w:p>
    <w:p w:rsidRPr="00F5428B" w:rsidR="00BC15BE" w:rsidP="00BC15BE" w:rsidRDefault="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Pr="00F5428B" w:rsidR="00BC15BE" w:rsidP="00BC15BE" w:rsidRDefault="00BC15BE" w14:paraId="217EEBCF" w14:textId="77777777">
      <w:pPr>
        <w:pStyle w:val="Level1"/>
        <w:numPr>
          <w:ilvl w:val="0"/>
          <w:numId w:val="0"/>
        </w:numPr>
      </w:pPr>
    </w:p>
    <w:p w:rsidRPr="00F5428B" w:rsidR="00F8150C" w:rsidP="00BC15BE" w:rsidRDefault="00BD6B0B" w14:paraId="41837890" w14:textId="7077BD58">
      <w:pPr>
        <w:pStyle w:val="Level1"/>
        <w:numPr>
          <w:ilvl w:val="0"/>
          <w:numId w:val="0"/>
        </w:numPr>
      </w:pPr>
      <w:r>
        <w:t xml:space="preserve">The FERC-545 </w:t>
      </w:r>
      <w:r w:rsidR="00573C31">
        <w:t xml:space="preserve">and FERC-549C </w:t>
      </w:r>
      <w:r w:rsidRPr="00F5428B" w:rsidR="00F8150C">
        <w:t>present</w:t>
      </w:r>
      <w:r>
        <w:t>s</w:t>
      </w:r>
      <w:r w:rsidRPr="00F5428B" w:rsidR="00F8150C">
        <w:t xml:space="preserve"> no special circumstances.</w:t>
      </w:r>
    </w:p>
    <w:p w:rsidRPr="00F5428B" w:rsidR="00F45B52" w:rsidP="00BC15BE" w:rsidRDefault="00F45B52" w14:paraId="6BB4F597" w14:textId="77777777">
      <w:pPr>
        <w:pStyle w:val="Level1"/>
        <w:numPr>
          <w:ilvl w:val="0"/>
          <w:numId w:val="0"/>
        </w:numPr>
      </w:pPr>
    </w:p>
    <w:p w:rsidRPr="00F5428B" w:rsidR="00BC15BE" w:rsidP="00BC15BE" w:rsidRDefault="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rsidRDefault="00A5298F" w14:paraId="517D2728" w14:textId="169B5E3F">
      <w:pPr>
        <w:tabs>
          <w:tab w:val="left" w:pos="-1440"/>
        </w:tabs>
        <w:rPr>
          <w:sz w:val="24"/>
        </w:rPr>
      </w:pPr>
    </w:p>
    <w:p w:rsidR="00A75096" w:rsidP="00BC15BE" w:rsidRDefault="00A75096" w14:paraId="617B4A23" w14:textId="4504F656">
      <w:pPr>
        <w:tabs>
          <w:tab w:val="left" w:pos="-1440"/>
        </w:tabs>
        <w:rPr>
          <w:b/>
          <w:sz w:val="24"/>
        </w:rPr>
      </w:pPr>
      <w:r>
        <w:rPr>
          <w:sz w:val="24"/>
        </w:rPr>
        <w:t>The federal register notice published on March 5, 2021 to solicit comment</w:t>
      </w:r>
      <w:r w:rsidR="001915FB">
        <w:rPr>
          <w:sz w:val="24"/>
        </w:rPr>
        <w:t>. Comments are due by April 19,2021.</w:t>
      </w:r>
    </w:p>
    <w:p w:rsidRPr="00F5428B" w:rsidR="00573C31" w:rsidP="00BC15BE" w:rsidRDefault="00573C31" w14:paraId="7CB15471" w14:textId="77777777">
      <w:pPr>
        <w:tabs>
          <w:tab w:val="left" w:pos="-1440"/>
        </w:tabs>
        <w:rPr>
          <w:b/>
          <w:sz w:val="24"/>
        </w:rPr>
      </w:pPr>
    </w:p>
    <w:p w:rsidRPr="00F5428B" w:rsidR="00BC15BE" w:rsidP="00BC15BE" w:rsidRDefault="00BC15BE" w14:paraId="3AD239FD" w14:textId="6A6B29EA">
      <w:pPr>
        <w:rPr>
          <w:b/>
          <w:sz w:val="24"/>
        </w:rPr>
      </w:pPr>
      <w:r w:rsidRPr="00F5428B">
        <w:rPr>
          <w:bCs/>
          <w:sz w:val="24"/>
        </w:rPr>
        <w:t>9.</w:t>
      </w:r>
      <w:r w:rsidRPr="00F5428B">
        <w:rPr>
          <w:bCs/>
          <w:sz w:val="24"/>
        </w:rPr>
        <w:tab/>
      </w:r>
      <w:r w:rsidRPr="00F5428B">
        <w:rPr>
          <w:b/>
          <w:sz w:val="24"/>
        </w:rPr>
        <w:t>EXPLAIN ANY PAYMENT OR GIFTS TO RESPONDENTS</w:t>
      </w:r>
      <w:bookmarkStart w:name="_GoBack" w:id="12"/>
      <w:bookmarkEnd w:id="12"/>
    </w:p>
    <w:p w:rsidR="002F39BD" w:rsidP="00BC15BE" w:rsidRDefault="002F39BD" w14:paraId="7051282D" w14:textId="77777777">
      <w:pPr>
        <w:rPr>
          <w:sz w:val="24"/>
        </w:rPr>
      </w:pPr>
    </w:p>
    <w:p w:rsidRPr="00F5428B" w:rsidR="00BC15BE" w:rsidP="00BC15BE" w:rsidRDefault="00BC15BE" w14:paraId="747F4580" w14:textId="4362EEE9">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Pr="00F5428B" w:rsidR="00F8150C">
        <w:rPr>
          <w:sz w:val="24"/>
        </w:rPr>
        <w:t>collections FERC-545</w:t>
      </w:r>
      <w:r w:rsidR="006512E7">
        <w:rPr>
          <w:sz w:val="24"/>
        </w:rPr>
        <w:t xml:space="preserve"> and </w:t>
      </w:r>
      <w:r w:rsidR="00573C31">
        <w:rPr>
          <w:sz w:val="24"/>
        </w:rPr>
        <w:t>549C</w:t>
      </w:r>
      <w:r w:rsidR="006512E7">
        <w:rPr>
          <w:sz w:val="24"/>
        </w:rPr>
        <w:t>.</w:t>
      </w:r>
    </w:p>
    <w:p w:rsidRPr="00F5428B" w:rsidR="00BC15BE" w:rsidP="00BC15BE" w:rsidRDefault="00BC15BE" w14:paraId="519A22C7" w14:textId="77777777">
      <w:pPr>
        <w:ind w:left="720" w:hanging="720"/>
        <w:rPr>
          <w:b/>
          <w:bCs/>
          <w:sz w:val="24"/>
        </w:rPr>
      </w:pPr>
    </w:p>
    <w:p w:rsidRPr="00F5428B" w:rsidR="00BC15BE" w:rsidP="00BC15BE" w:rsidRDefault="00BC15BE" w14:paraId="2135200F" w14:textId="77777777">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rsidR="00CE4075" w:rsidP="00BC15BE" w:rsidRDefault="00CE4075" w14:paraId="042B506D" w14:textId="77777777">
      <w:pPr>
        <w:rPr>
          <w:sz w:val="24"/>
        </w:rPr>
      </w:pPr>
    </w:p>
    <w:p w:rsidRPr="00F5428B" w:rsidR="00BC15BE" w:rsidP="00BC15BE" w:rsidRDefault="00C95983" w14:paraId="0CB91422" w14:textId="2C7119DB">
      <w:pPr>
        <w:rPr>
          <w:sz w:val="24"/>
        </w:rPr>
      </w:pPr>
      <w:r>
        <w:rPr>
          <w:sz w:val="24"/>
        </w:rPr>
        <w:lastRenderedPageBreak/>
        <w:t>T</w:t>
      </w:r>
      <w:r w:rsidRPr="00F5428B" w:rsidR="00F8150C">
        <w:rPr>
          <w:sz w:val="24"/>
        </w:rPr>
        <w:t xml:space="preserve">he FERC-545 </w:t>
      </w:r>
      <w:r w:rsidR="00573C31">
        <w:rPr>
          <w:sz w:val="24"/>
        </w:rPr>
        <w:t xml:space="preserve">and FERC-549C </w:t>
      </w:r>
      <w:r w:rsidRPr="00F5428B" w:rsidR="00F8150C">
        <w:rPr>
          <w:sz w:val="24"/>
        </w:rPr>
        <w:t>data is public.  In general, for all submittals to the Commission, filers may submit specific requests for confidential treatment to the extent permitted by law; details are available in 18 C.F.R. Section 388.112.</w:t>
      </w:r>
    </w:p>
    <w:p w:rsidRPr="00F5428B" w:rsidR="00F8150C" w:rsidP="00BC15BE" w:rsidRDefault="00F8150C" w14:paraId="3346081C" w14:textId="77777777">
      <w:pPr>
        <w:rPr>
          <w:sz w:val="24"/>
        </w:rPr>
      </w:pPr>
    </w:p>
    <w:p w:rsidRPr="00F5428B" w:rsidR="00BC15BE" w:rsidP="00BC15BE" w:rsidRDefault="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rsidRDefault="00A17430" w14:paraId="46AEDFC5" w14:textId="77777777">
      <w:pPr>
        <w:rPr>
          <w:sz w:val="24"/>
        </w:rPr>
      </w:pPr>
    </w:p>
    <w:p w:rsidRPr="00F5428B" w:rsidR="00BC15BE" w:rsidP="00BC15BE" w:rsidRDefault="00BC15BE" w14:paraId="3DCB60E8" w14:textId="77777777">
      <w:pPr>
        <w:rPr>
          <w:sz w:val="24"/>
        </w:rPr>
      </w:pPr>
      <w:r w:rsidRPr="00F5428B">
        <w:rPr>
          <w:sz w:val="24"/>
        </w:rPr>
        <w:t>There are no questions of a sensitive nature in the reporting requirements.</w:t>
      </w:r>
    </w:p>
    <w:p w:rsidRPr="00F5428B" w:rsidR="00BC15BE" w:rsidP="00BC15BE" w:rsidRDefault="00BC15BE" w14:paraId="3E51840A" w14:textId="77777777">
      <w:pPr>
        <w:rPr>
          <w:sz w:val="24"/>
        </w:rPr>
      </w:pPr>
    </w:p>
    <w:p w:rsidRPr="00F5428B" w:rsidR="00BC15BE" w:rsidP="00BC15BE" w:rsidRDefault="00BC15BE" w14:paraId="584352B7" w14:textId="77777777">
      <w:pPr>
        <w:pStyle w:val="Level1"/>
        <w:rPr>
          <w:b/>
        </w:rPr>
      </w:pPr>
      <w:r w:rsidRPr="00F5428B">
        <w:rPr>
          <w:b/>
        </w:rPr>
        <w:t>ESTIMATED BURDEN OF COLLECTION OF INFORMATION</w:t>
      </w:r>
    </w:p>
    <w:p w:rsidR="00EF3830" w:rsidP="00F8150C" w:rsidRDefault="00EF3830" w14:paraId="119D3529" w14:textId="77777777">
      <w:pPr>
        <w:pStyle w:val="FERCparanumber"/>
        <w:numPr>
          <w:ilvl w:val="0"/>
          <w:numId w:val="0"/>
        </w:numPr>
        <w:rPr>
          <w:b/>
          <w:sz w:val="24"/>
          <w:u w:val="single"/>
        </w:rPr>
      </w:pPr>
    </w:p>
    <w:p w:rsidR="00F90719" w:rsidP="00863189" w:rsidRDefault="00F90719" w14:paraId="552F7161" w14:textId="77777777">
      <w:pPr>
        <w:pStyle w:val="FERCparanumber"/>
        <w:numPr>
          <w:ilvl w:val="0"/>
          <w:numId w:val="0"/>
        </w:numPr>
      </w:pPr>
      <w:r w:rsidRPr="00932257">
        <w:t>The Commission’s burden estimates for the proposals in this NOPR are for one-time implementation of the information collection requirements of this NOPR (including tariff filing, documentation of the process and procedures, and information technology work).</w:t>
      </w:r>
    </w:p>
    <w:p w:rsidR="00F90719" w:rsidP="00863189" w:rsidRDefault="00F90719" w14:paraId="181D6FB5" w14:textId="77777777">
      <w:pPr>
        <w:pStyle w:val="FERCparanumber"/>
        <w:numPr>
          <w:ilvl w:val="0"/>
          <w:numId w:val="0"/>
        </w:numPr>
      </w:pPr>
      <w:r w:rsidRPr="00932257">
        <w:t>The collections of information related to this NOPR fall under FERC–545 (Gas Pipeline Rates: Rate Change (Non-Formal))</w:t>
      </w:r>
      <w:r w:rsidRPr="00932257">
        <w:rPr>
          <w:rStyle w:val="FootnoteReference"/>
        </w:rPr>
        <w:footnoteReference w:id="29"/>
      </w:r>
      <w:r w:rsidRPr="00932257">
        <w:t xml:space="preserve"> and FERC–549C (Standards for Business Practices of Interstate Natural Gas Pipelines).</w:t>
      </w:r>
      <w:r w:rsidRPr="00932257">
        <w:rPr>
          <w:rStyle w:val="FootnoteReference"/>
        </w:rPr>
        <w:footnoteReference w:id="30"/>
      </w:r>
      <w:r w:rsidRPr="00932257">
        <w:t xml:space="preserve">  The following estimates of reporting burden are related only to this NOPR and anticipate the costs to pipelines for compliance with </w:t>
      </w:r>
      <w:r>
        <w:t xml:space="preserve">our </w:t>
      </w:r>
      <w:r w:rsidRPr="00932257">
        <w:t>proposals in this NOPR.  The burden estimates are primarily related to implementing these standards and regulations and will not result in ongoing costs.</w:t>
      </w:r>
    </w:p>
    <w:tbl>
      <w:tblPr>
        <w:tblW w:w="5591"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24"/>
        <w:gridCol w:w="1407"/>
        <w:gridCol w:w="1495"/>
        <w:gridCol w:w="1499"/>
        <w:gridCol w:w="1227"/>
        <w:gridCol w:w="1928"/>
        <w:gridCol w:w="1675"/>
      </w:tblGrid>
      <w:tr w:rsidRPr="00932257" w:rsidR="00F90719" w:rsidTr="00E3104D" w14:paraId="5C3C3F1F" w14:textId="77777777">
        <w:trPr>
          <w:cantSplit/>
          <w:trHeight w:val="188"/>
          <w:tblHeader/>
        </w:trPr>
        <w:tc>
          <w:tcPr>
            <w:tcW w:w="5000" w:type="pct"/>
            <w:gridSpan w:val="7"/>
            <w:tcBorders>
              <w:bottom w:val="single" w:color="auto" w:sz="4" w:space="0"/>
            </w:tcBorders>
            <w:shd w:val="clear" w:color="auto" w:fill="D9D9D9"/>
          </w:tcPr>
          <w:p w:rsidRPr="00932257" w:rsidR="00F90719" w:rsidP="00E3104D" w:rsidRDefault="00F90719" w14:paraId="3C532196" w14:textId="77777777">
            <w:pPr>
              <w:keepNext/>
              <w:jc w:val="center"/>
              <w:rPr>
                <w:b/>
                <w:szCs w:val="20"/>
              </w:rPr>
            </w:pPr>
            <w:r w:rsidRPr="00932257">
              <w:rPr>
                <w:b/>
                <w:szCs w:val="20"/>
              </w:rPr>
              <w:lastRenderedPageBreak/>
              <w:t>RM96-1-04</w:t>
            </w:r>
            <w:r>
              <w:rPr>
                <w:b/>
                <w:szCs w:val="20"/>
              </w:rPr>
              <w:t>2</w:t>
            </w:r>
            <w:r w:rsidRPr="00932257">
              <w:rPr>
                <w:b/>
                <w:szCs w:val="20"/>
              </w:rPr>
              <w:t xml:space="preserve"> NOPR (Standards for Business Practices of Interstate Natural Gas Pipelines)</w:t>
            </w:r>
          </w:p>
        </w:tc>
      </w:tr>
      <w:tr w:rsidRPr="00932257" w:rsidR="00F90719" w:rsidTr="00E3104D" w14:paraId="0723EE96" w14:textId="77777777">
        <w:trPr>
          <w:cantSplit/>
          <w:tblHeader/>
        </w:trPr>
        <w:tc>
          <w:tcPr>
            <w:tcW w:w="585" w:type="pct"/>
            <w:shd w:val="clear" w:color="auto" w:fill="D9D9D9"/>
          </w:tcPr>
          <w:p w:rsidRPr="00932257" w:rsidR="00F90719" w:rsidP="00E3104D" w:rsidRDefault="00F90719" w14:paraId="0E4E7AFB" w14:textId="77777777">
            <w:pPr>
              <w:jc w:val="center"/>
              <w:rPr>
                <w:rFonts w:eastAsia="Calibri"/>
                <w:b/>
                <w:szCs w:val="20"/>
              </w:rPr>
            </w:pPr>
          </w:p>
        </w:tc>
        <w:tc>
          <w:tcPr>
            <w:tcW w:w="673" w:type="pct"/>
            <w:shd w:val="clear" w:color="auto" w:fill="D9D9D9"/>
            <w:vAlign w:val="bottom"/>
          </w:tcPr>
          <w:p w:rsidRPr="00932257" w:rsidR="00F90719" w:rsidP="00E3104D" w:rsidRDefault="00F90719" w14:paraId="73D0A62E" w14:textId="77777777">
            <w:pPr>
              <w:jc w:val="center"/>
              <w:rPr>
                <w:rFonts w:eastAsia="Calibri"/>
                <w:b/>
                <w:szCs w:val="20"/>
              </w:rPr>
            </w:pPr>
            <w:r w:rsidRPr="00932257">
              <w:rPr>
                <w:rFonts w:eastAsia="Calibri"/>
                <w:b/>
                <w:szCs w:val="20"/>
              </w:rPr>
              <w:t>Number of Respondents</w:t>
            </w:r>
            <w:r w:rsidRPr="00932257">
              <w:rPr>
                <w:rStyle w:val="FootnoteReference"/>
              </w:rPr>
              <w:footnoteReference w:id="31"/>
            </w:r>
          </w:p>
          <w:p w:rsidRPr="00932257" w:rsidR="00F90719" w:rsidP="00E3104D" w:rsidRDefault="00F90719" w14:paraId="268418FD" w14:textId="77777777">
            <w:pPr>
              <w:jc w:val="center"/>
              <w:rPr>
                <w:rFonts w:eastAsia="Calibri"/>
                <w:b/>
                <w:szCs w:val="20"/>
              </w:rPr>
            </w:pPr>
            <w:r w:rsidRPr="00932257">
              <w:rPr>
                <w:rFonts w:eastAsia="Calibri"/>
                <w:b/>
                <w:szCs w:val="20"/>
              </w:rPr>
              <w:t>(1)</w:t>
            </w:r>
          </w:p>
        </w:tc>
        <w:tc>
          <w:tcPr>
            <w:tcW w:w="715" w:type="pct"/>
            <w:shd w:val="clear" w:color="auto" w:fill="D9D9D9"/>
            <w:vAlign w:val="bottom"/>
          </w:tcPr>
          <w:p w:rsidRPr="00932257" w:rsidR="00F90719" w:rsidP="00E3104D" w:rsidRDefault="00F90719" w14:paraId="34BF7981" w14:textId="77777777">
            <w:pPr>
              <w:jc w:val="center"/>
              <w:rPr>
                <w:rFonts w:eastAsia="Calibri"/>
                <w:b/>
                <w:szCs w:val="20"/>
              </w:rPr>
            </w:pPr>
            <w:r w:rsidRPr="00932257">
              <w:rPr>
                <w:rFonts w:eastAsia="Calibri"/>
                <w:b/>
                <w:szCs w:val="20"/>
              </w:rPr>
              <w:t>Annual Number of Responses per Respondent</w:t>
            </w:r>
          </w:p>
          <w:p w:rsidRPr="00932257" w:rsidR="00F90719" w:rsidP="00E3104D" w:rsidRDefault="00F90719" w14:paraId="30A50A4E" w14:textId="77777777">
            <w:pPr>
              <w:jc w:val="center"/>
              <w:rPr>
                <w:rFonts w:eastAsia="Calibri"/>
                <w:b/>
                <w:szCs w:val="20"/>
              </w:rPr>
            </w:pPr>
            <w:r w:rsidRPr="00932257">
              <w:rPr>
                <w:rFonts w:eastAsia="Calibri"/>
                <w:b/>
                <w:szCs w:val="20"/>
              </w:rPr>
              <w:t>(2)</w:t>
            </w:r>
          </w:p>
        </w:tc>
        <w:tc>
          <w:tcPr>
            <w:tcW w:w="717" w:type="pct"/>
            <w:shd w:val="clear" w:color="auto" w:fill="D9D9D9"/>
            <w:vAlign w:val="bottom"/>
          </w:tcPr>
          <w:p w:rsidRPr="00932257" w:rsidR="00F90719" w:rsidP="00E3104D" w:rsidRDefault="00F90719" w14:paraId="46890DE7" w14:textId="77777777">
            <w:pPr>
              <w:jc w:val="center"/>
              <w:rPr>
                <w:rFonts w:eastAsia="Calibri"/>
                <w:b/>
                <w:szCs w:val="20"/>
              </w:rPr>
            </w:pPr>
            <w:r w:rsidRPr="00932257">
              <w:rPr>
                <w:rFonts w:eastAsia="Calibri"/>
                <w:b/>
                <w:szCs w:val="20"/>
              </w:rPr>
              <w:t>Total Number of Responses (1)*(2)=</w:t>
            </w:r>
          </w:p>
          <w:p w:rsidRPr="00932257" w:rsidR="00F90719" w:rsidP="00E3104D" w:rsidRDefault="00F90719" w14:paraId="12E74045" w14:textId="77777777">
            <w:pPr>
              <w:jc w:val="center"/>
              <w:rPr>
                <w:rFonts w:eastAsia="Calibri"/>
                <w:b/>
                <w:szCs w:val="20"/>
              </w:rPr>
            </w:pPr>
            <w:r w:rsidRPr="00932257">
              <w:rPr>
                <w:rFonts w:eastAsia="Calibri"/>
                <w:b/>
                <w:szCs w:val="20"/>
              </w:rPr>
              <w:t>(3)</w:t>
            </w:r>
          </w:p>
        </w:tc>
        <w:tc>
          <w:tcPr>
            <w:tcW w:w="587" w:type="pct"/>
            <w:shd w:val="clear" w:color="auto" w:fill="D9D9D9"/>
            <w:vAlign w:val="bottom"/>
          </w:tcPr>
          <w:p w:rsidRPr="00932257" w:rsidR="00F90719" w:rsidP="00E3104D" w:rsidRDefault="00F90719" w14:paraId="4C995961" w14:textId="77777777">
            <w:pPr>
              <w:jc w:val="center"/>
              <w:rPr>
                <w:rFonts w:eastAsia="Calibri"/>
                <w:b/>
                <w:szCs w:val="20"/>
              </w:rPr>
            </w:pPr>
            <w:r w:rsidRPr="00932257">
              <w:rPr>
                <w:rFonts w:eastAsia="Calibri"/>
                <w:b/>
                <w:szCs w:val="20"/>
              </w:rPr>
              <w:t>Average Burden Hr. Per Response</w:t>
            </w:r>
          </w:p>
          <w:p w:rsidRPr="00932257" w:rsidR="00F90719" w:rsidP="00E3104D" w:rsidRDefault="00F90719" w14:paraId="3206AE90" w14:textId="77777777">
            <w:pPr>
              <w:jc w:val="center"/>
              <w:rPr>
                <w:rFonts w:eastAsia="Calibri"/>
                <w:b/>
                <w:szCs w:val="20"/>
              </w:rPr>
            </w:pPr>
            <w:r w:rsidRPr="00932257">
              <w:rPr>
                <w:rFonts w:eastAsia="Calibri"/>
                <w:b/>
                <w:szCs w:val="20"/>
              </w:rPr>
              <w:t>(4)</w:t>
            </w:r>
          </w:p>
        </w:tc>
        <w:tc>
          <w:tcPr>
            <w:tcW w:w="922" w:type="pct"/>
            <w:shd w:val="clear" w:color="auto" w:fill="D9D9D9"/>
            <w:vAlign w:val="bottom"/>
          </w:tcPr>
          <w:p w:rsidRPr="00932257" w:rsidR="00F90719" w:rsidP="00E3104D" w:rsidRDefault="00F90719" w14:paraId="4563995D" w14:textId="77777777">
            <w:pPr>
              <w:jc w:val="center"/>
              <w:rPr>
                <w:rFonts w:eastAsia="Calibri"/>
                <w:b/>
                <w:szCs w:val="20"/>
              </w:rPr>
            </w:pPr>
            <w:r w:rsidRPr="00932257">
              <w:rPr>
                <w:rFonts w:eastAsia="Calibri"/>
                <w:b/>
                <w:szCs w:val="20"/>
              </w:rPr>
              <w:t>Total Annual Burden Hours &amp; Total Annual Cost</w:t>
            </w:r>
            <w:r w:rsidRPr="00932257">
              <w:rPr>
                <w:rStyle w:val="FootnoteReference"/>
              </w:rPr>
              <w:footnoteReference w:id="32"/>
            </w:r>
          </w:p>
          <w:p w:rsidRPr="00932257" w:rsidR="00F90719" w:rsidP="00E3104D" w:rsidRDefault="00F90719" w14:paraId="18FF5077" w14:textId="77777777">
            <w:pPr>
              <w:jc w:val="center"/>
              <w:rPr>
                <w:rFonts w:eastAsia="Calibri"/>
                <w:b/>
                <w:szCs w:val="20"/>
              </w:rPr>
            </w:pPr>
            <w:r w:rsidRPr="00932257">
              <w:rPr>
                <w:rFonts w:eastAsia="Calibri"/>
                <w:b/>
                <w:szCs w:val="20"/>
              </w:rPr>
              <w:t>(3)*(4)=(5)</w:t>
            </w:r>
          </w:p>
        </w:tc>
        <w:tc>
          <w:tcPr>
            <w:tcW w:w="801" w:type="pct"/>
            <w:shd w:val="clear" w:color="auto" w:fill="D9D9D9"/>
            <w:vAlign w:val="bottom"/>
          </w:tcPr>
          <w:p w:rsidRPr="00932257" w:rsidR="00F90719" w:rsidP="00E3104D" w:rsidRDefault="00F90719" w14:paraId="15BEAA3E" w14:textId="77777777">
            <w:pPr>
              <w:jc w:val="center"/>
              <w:rPr>
                <w:rFonts w:eastAsia="Calibri"/>
                <w:b/>
                <w:szCs w:val="20"/>
              </w:rPr>
            </w:pPr>
            <w:r w:rsidRPr="00932257">
              <w:rPr>
                <w:rFonts w:eastAsia="Calibri"/>
                <w:b/>
                <w:szCs w:val="20"/>
              </w:rPr>
              <w:t xml:space="preserve">Annual Costs Per Respondent </w:t>
            </w:r>
          </w:p>
          <w:p w:rsidRPr="00932257" w:rsidR="00F90719" w:rsidP="00E3104D" w:rsidRDefault="00F90719" w14:paraId="4E95CB2A" w14:textId="77777777">
            <w:pPr>
              <w:jc w:val="center"/>
              <w:rPr>
                <w:rFonts w:eastAsia="Calibri"/>
                <w:b/>
                <w:szCs w:val="20"/>
              </w:rPr>
            </w:pPr>
            <w:r w:rsidRPr="00932257">
              <w:rPr>
                <w:rFonts w:eastAsia="Calibri"/>
                <w:b/>
                <w:szCs w:val="20"/>
              </w:rPr>
              <w:t>($)</w:t>
            </w:r>
          </w:p>
          <w:p w:rsidRPr="00932257" w:rsidR="00F90719" w:rsidP="00E3104D" w:rsidRDefault="00F90719" w14:paraId="639FDE67" w14:textId="77777777">
            <w:pPr>
              <w:jc w:val="center"/>
              <w:rPr>
                <w:rFonts w:eastAsia="Calibri"/>
                <w:b/>
                <w:szCs w:val="20"/>
              </w:rPr>
            </w:pPr>
            <w:r w:rsidRPr="00932257">
              <w:rPr>
                <w:rFonts w:eastAsia="Calibri"/>
                <w:b/>
                <w:szCs w:val="20"/>
              </w:rPr>
              <w:t>(5)</w:t>
            </w:r>
            <w:r>
              <w:rPr>
                <w:rFonts w:eastAsia="Calibri"/>
                <w:b/>
                <w:szCs w:val="20"/>
              </w:rPr>
              <w:t>/</w:t>
            </w:r>
            <w:r w:rsidRPr="00932257">
              <w:rPr>
                <w:rFonts w:eastAsia="Calibri"/>
                <w:b/>
                <w:szCs w:val="20"/>
              </w:rPr>
              <w:t xml:space="preserve"> (1) = (6)</w:t>
            </w:r>
          </w:p>
        </w:tc>
      </w:tr>
      <w:tr w:rsidRPr="00932257" w:rsidR="00F90719" w:rsidTr="00E3104D" w14:paraId="42DDF1DA" w14:textId="77777777">
        <w:trPr>
          <w:cantSplit/>
        </w:trPr>
        <w:tc>
          <w:tcPr>
            <w:tcW w:w="585" w:type="pct"/>
          </w:tcPr>
          <w:p w:rsidRPr="00932257" w:rsidR="00F90719" w:rsidP="00E3104D" w:rsidRDefault="00F90719" w14:paraId="0884A9D1" w14:textId="77777777">
            <w:pPr>
              <w:rPr>
                <w:rFonts w:eastAsia="Calibri"/>
                <w:szCs w:val="20"/>
              </w:rPr>
            </w:pPr>
            <w:r w:rsidRPr="00932257">
              <w:rPr>
                <w:rFonts w:eastAsia="Calibri"/>
                <w:szCs w:val="20"/>
              </w:rPr>
              <w:t>FERC-545 (one-time)</w:t>
            </w:r>
          </w:p>
        </w:tc>
        <w:tc>
          <w:tcPr>
            <w:tcW w:w="673" w:type="pct"/>
          </w:tcPr>
          <w:p w:rsidRPr="00932257" w:rsidR="00F90719" w:rsidP="00E3104D" w:rsidRDefault="00F90719" w14:paraId="647368AD"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3A83A611"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67869F42"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329892F3" w14:textId="77777777">
            <w:pPr>
              <w:jc w:val="right"/>
              <w:rPr>
                <w:rFonts w:eastAsia="Calibri"/>
                <w:szCs w:val="20"/>
              </w:rPr>
            </w:pPr>
            <w:r w:rsidRPr="00932257">
              <w:rPr>
                <w:rFonts w:eastAsia="Calibri"/>
                <w:szCs w:val="20"/>
              </w:rPr>
              <w:t>10 hrs.;</w:t>
            </w:r>
          </w:p>
          <w:p w:rsidRPr="00932257" w:rsidR="00F90719" w:rsidP="00E3104D" w:rsidRDefault="00F90719" w14:paraId="224A444E" w14:textId="77777777">
            <w:pPr>
              <w:jc w:val="right"/>
              <w:rPr>
                <w:rFonts w:eastAsia="Calibri"/>
                <w:szCs w:val="20"/>
              </w:rPr>
            </w:pPr>
            <w:r w:rsidRPr="00932257">
              <w:rPr>
                <w:rFonts w:eastAsia="Calibri"/>
                <w:szCs w:val="20"/>
              </w:rPr>
              <w:t>$1,</w:t>
            </w:r>
            <w:r>
              <w:rPr>
                <w:rFonts w:eastAsia="Calibri"/>
                <w:szCs w:val="20"/>
              </w:rPr>
              <w:t>010</w:t>
            </w:r>
          </w:p>
        </w:tc>
        <w:tc>
          <w:tcPr>
            <w:tcW w:w="922" w:type="pct"/>
          </w:tcPr>
          <w:p w:rsidRPr="00932257" w:rsidR="00F90719" w:rsidP="00E3104D" w:rsidRDefault="00F90719" w14:paraId="162B1784" w14:textId="77777777">
            <w:pPr>
              <w:jc w:val="right"/>
              <w:rPr>
                <w:rFonts w:eastAsia="Calibri"/>
                <w:szCs w:val="20"/>
              </w:rPr>
            </w:pPr>
            <w:r w:rsidRPr="00932257">
              <w:rPr>
                <w:rFonts w:eastAsia="Calibri"/>
                <w:szCs w:val="20"/>
              </w:rPr>
              <w:t>1,</w:t>
            </w:r>
            <w:r>
              <w:rPr>
                <w:rFonts w:eastAsia="Calibri"/>
                <w:szCs w:val="20"/>
              </w:rPr>
              <w:t>780</w:t>
            </w:r>
            <w:r w:rsidRPr="00932257">
              <w:rPr>
                <w:rFonts w:eastAsia="Calibri"/>
                <w:szCs w:val="20"/>
              </w:rPr>
              <w:t xml:space="preserve"> hrs.;</w:t>
            </w:r>
          </w:p>
          <w:p w:rsidRPr="00932257" w:rsidR="00F90719" w:rsidP="00E3104D" w:rsidRDefault="00F90719" w14:paraId="0E31D8C1" w14:textId="77777777">
            <w:pPr>
              <w:jc w:val="right"/>
              <w:rPr>
                <w:rFonts w:eastAsia="Calibri"/>
                <w:szCs w:val="20"/>
              </w:rPr>
            </w:pPr>
            <w:r w:rsidRPr="00932257">
              <w:rPr>
                <w:rFonts w:eastAsia="Calibri"/>
                <w:szCs w:val="20"/>
              </w:rPr>
              <w:t>$</w:t>
            </w:r>
            <w:r>
              <w:rPr>
                <w:rFonts w:eastAsia="Calibri"/>
                <w:szCs w:val="20"/>
              </w:rPr>
              <w:t>179,780</w:t>
            </w:r>
          </w:p>
        </w:tc>
        <w:tc>
          <w:tcPr>
            <w:tcW w:w="801" w:type="pct"/>
          </w:tcPr>
          <w:p w:rsidRPr="00932257" w:rsidR="00F90719" w:rsidP="00E3104D" w:rsidRDefault="00F90719" w14:paraId="295527A0" w14:textId="77777777">
            <w:pPr>
              <w:jc w:val="right"/>
              <w:rPr>
                <w:rFonts w:eastAsia="Calibri"/>
                <w:szCs w:val="20"/>
              </w:rPr>
            </w:pPr>
            <w:r w:rsidRPr="00932257">
              <w:rPr>
                <w:rFonts w:eastAsia="Calibri"/>
                <w:szCs w:val="20"/>
              </w:rPr>
              <w:t>$1,</w:t>
            </w:r>
            <w:r>
              <w:rPr>
                <w:rFonts w:eastAsia="Calibri"/>
                <w:szCs w:val="20"/>
              </w:rPr>
              <w:t>010</w:t>
            </w:r>
          </w:p>
        </w:tc>
      </w:tr>
      <w:tr w:rsidRPr="00932257" w:rsidR="00F90719" w:rsidTr="00E3104D" w14:paraId="2A437B12" w14:textId="77777777">
        <w:trPr>
          <w:cantSplit/>
        </w:trPr>
        <w:tc>
          <w:tcPr>
            <w:tcW w:w="585" w:type="pct"/>
          </w:tcPr>
          <w:p w:rsidRPr="00932257" w:rsidR="00F90719" w:rsidP="00E3104D" w:rsidRDefault="00F90719" w14:paraId="57941209" w14:textId="77777777">
            <w:pPr>
              <w:rPr>
                <w:rFonts w:eastAsia="Calibri"/>
                <w:szCs w:val="20"/>
              </w:rPr>
            </w:pPr>
            <w:r w:rsidRPr="00932257">
              <w:rPr>
                <w:rFonts w:eastAsia="Calibri"/>
                <w:szCs w:val="20"/>
              </w:rPr>
              <w:t>FERC-549C (one-time)</w:t>
            </w:r>
          </w:p>
        </w:tc>
        <w:tc>
          <w:tcPr>
            <w:tcW w:w="673" w:type="pct"/>
          </w:tcPr>
          <w:p w:rsidRPr="00932257" w:rsidR="00F90719" w:rsidP="00E3104D" w:rsidRDefault="00F90719" w14:paraId="6684B4F0"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0C1E5AF2"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03939DC8"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5118A70B" w14:textId="77777777">
            <w:pPr>
              <w:jc w:val="right"/>
              <w:rPr>
                <w:rFonts w:eastAsia="Calibri"/>
                <w:szCs w:val="20"/>
              </w:rPr>
            </w:pPr>
            <w:r>
              <w:rPr>
                <w:rFonts w:eastAsia="Calibri"/>
                <w:szCs w:val="20"/>
              </w:rPr>
              <w:t>100</w:t>
            </w:r>
            <w:r w:rsidRPr="00932257">
              <w:rPr>
                <w:rFonts w:eastAsia="Calibri"/>
                <w:szCs w:val="20"/>
              </w:rPr>
              <w:t xml:space="preserve"> hrs.;</w:t>
            </w:r>
          </w:p>
          <w:p w:rsidRPr="00932257" w:rsidR="00F90719" w:rsidP="00E3104D" w:rsidRDefault="00F90719" w14:paraId="39CD4356" w14:textId="77777777">
            <w:pPr>
              <w:jc w:val="right"/>
              <w:rPr>
                <w:rFonts w:eastAsia="Calibri"/>
                <w:szCs w:val="20"/>
              </w:rPr>
            </w:pPr>
            <w:r w:rsidRPr="00932257">
              <w:rPr>
                <w:rFonts w:eastAsia="Calibri"/>
                <w:szCs w:val="20"/>
              </w:rPr>
              <w:t>$</w:t>
            </w:r>
            <w:r>
              <w:rPr>
                <w:rFonts w:eastAsia="Calibri"/>
                <w:szCs w:val="20"/>
              </w:rPr>
              <w:t>10,100</w:t>
            </w:r>
          </w:p>
        </w:tc>
        <w:tc>
          <w:tcPr>
            <w:tcW w:w="922" w:type="pct"/>
          </w:tcPr>
          <w:p w:rsidRPr="00932257" w:rsidR="00F90719" w:rsidP="00E3104D" w:rsidRDefault="00F90719" w14:paraId="129D1B21" w14:textId="77777777">
            <w:pPr>
              <w:jc w:val="right"/>
              <w:rPr>
                <w:rFonts w:eastAsia="Calibri"/>
                <w:szCs w:val="20"/>
              </w:rPr>
            </w:pPr>
            <w:r>
              <w:rPr>
                <w:rFonts w:eastAsia="Calibri"/>
                <w:szCs w:val="20"/>
              </w:rPr>
              <w:t>17,800</w:t>
            </w:r>
            <w:r w:rsidRPr="00932257">
              <w:rPr>
                <w:rFonts w:eastAsia="Calibri"/>
                <w:szCs w:val="20"/>
              </w:rPr>
              <w:t xml:space="preserve"> hrs.;</w:t>
            </w:r>
          </w:p>
          <w:p w:rsidRPr="00932257" w:rsidR="00F90719" w:rsidP="00E3104D" w:rsidRDefault="00F90719" w14:paraId="30266F25" w14:textId="77777777">
            <w:pPr>
              <w:jc w:val="right"/>
              <w:rPr>
                <w:rFonts w:eastAsia="Calibri"/>
                <w:szCs w:val="20"/>
              </w:rPr>
            </w:pPr>
            <w:r w:rsidRPr="00932257">
              <w:rPr>
                <w:rFonts w:eastAsia="Calibri"/>
                <w:szCs w:val="20"/>
              </w:rPr>
              <w:t>$</w:t>
            </w:r>
            <w:r>
              <w:rPr>
                <w:rFonts w:eastAsia="Calibri"/>
                <w:szCs w:val="20"/>
              </w:rPr>
              <w:t>1,797,800</w:t>
            </w:r>
          </w:p>
        </w:tc>
        <w:tc>
          <w:tcPr>
            <w:tcW w:w="801" w:type="pct"/>
          </w:tcPr>
          <w:p w:rsidRPr="00932257" w:rsidR="00F90719" w:rsidP="00E3104D" w:rsidRDefault="00F90719" w14:paraId="4D82B415" w14:textId="77777777">
            <w:pPr>
              <w:jc w:val="right"/>
              <w:rPr>
                <w:rFonts w:eastAsia="Calibri"/>
                <w:szCs w:val="20"/>
              </w:rPr>
            </w:pPr>
            <w:r w:rsidRPr="00932257">
              <w:rPr>
                <w:rFonts w:eastAsia="Calibri"/>
                <w:szCs w:val="20"/>
              </w:rPr>
              <w:t>$</w:t>
            </w:r>
            <w:r>
              <w:rPr>
                <w:rFonts w:eastAsia="Calibri"/>
                <w:szCs w:val="20"/>
              </w:rPr>
              <w:t>10,100</w:t>
            </w:r>
          </w:p>
        </w:tc>
      </w:tr>
      <w:tr w:rsidRPr="00932257" w:rsidR="00F90719" w:rsidTr="00E3104D" w14:paraId="7BF8F59C" w14:textId="77777777">
        <w:trPr>
          <w:cantSplit/>
        </w:trPr>
        <w:tc>
          <w:tcPr>
            <w:tcW w:w="585" w:type="pct"/>
          </w:tcPr>
          <w:p w:rsidRPr="00932257" w:rsidR="00F90719" w:rsidP="00E3104D" w:rsidRDefault="00F90719" w14:paraId="79D53B86" w14:textId="77777777">
            <w:pPr>
              <w:rPr>
                <w:rFonts w:eastAsia="Calibri"/>
                <w:b/>
                <w:szCs w:val="20"/>
              </w:rPr>
            </w:pPr>
            <w:r w:rsidRPr="00932257">
              <w:rPr>
                <w:rFonts w:eastAsia="Calibri"/>
                <w:b/>
                <w:szCs w:val="20"/>
              </w:rPr>
              <w:t>TOTAL</w:t>
            </w:r>
          </w:p>
        </w:tc>
        <w:tc>
          <w:tcPr>
            <w:tcW w:w="1388" w:type="pct"/>
            <w:gridSpan w:val="2"/>
            <w:shd w:val="clear" w:color="auto" w:fill="D9D9D9" w:themeFill="background1" w:themeFillShade="D9"/>
          </w:tcPr>
          <w:p w:rsidRPr="00932257" w:rsidR="00F90719" w:rsidP="00E3104D" w:rsidRDefault="00F90719" w14:paraId="045989A8" w14:textId="77777777">
            <w:pPr>
              <w:jc w:val="right"/>
              <w:rPr>
                <w:rFonts w:eastAsia="Calibri"/>
                <w:szCs w:val="20"/>
              </w:rPr>
            </w:pPr>
          </w:p>
        </w:tc>
        <w:tc>
          <w:tcPr>
            <w:tcW w:w="717" w:type="pct"/>
          </w:tcPr>
          <w:p w:rsidRPr="00932257" w:rsidR="00F90719" w:rsidP="00E3104D" w:rsidRDefault="00F90719" w14:paraId="7A029CD0" w14:textId="77777777">
            <w:pPr>
              <w:jc w:val="right"/>
              <w:rPr>
                <w:rFonts w:eastAsia="Calibri"/>
                <w:szCs w:val="20"/>
              </w:rPr>
            </w:pPr>
            <w:r w:rsidRPr="00932257">
              <w:rPr>
                <w:rFonts w:eastAsia="Calibri"/>
                <w:szCs w:val="20"/>
              </w:rPr>
              <w:t>3</w:t>
            </w:r>
            <w:r>
              <w:rPr>
                <w:rFonts w:eastAsia="Calibri"/>
                <w:szCs w:val="20"/>
              </w:rPr>
              <w:t>56</w:t>
            </w:r>
          </w:p>
        </w:tc>
        <w:tc>
          <w:tcPr>
            <w:tcW w:w="587" w:type="pct"/>
            <w:shd w:val="clear" w:color="auto" w:fill="D9D9D9" w:themeFill="background1" w:themeFillShade="D9"/>
          </w:tcPr>
          <w:p w:rsidRPr="00932257" w:rsidR="00F90719" w:rsidP="00E3104D" w:rsidRDefault="00F90719" w14:paraId="5146CCE6" w14:textId="77777777">
            <w:pPr>
              <w:jc w:val="right"/>
              <w:rPr>
                <w:rFonts w:eastAsia="Calibri"/>
                <w:szCs w:val="20"/>
              </w:rPr>
            </w:pPr>
          </w:p>
        </w:tc>
        <w:tc>
          <w:tcPr>
            <w:tcW w:w="922" w:type="pct"/>
          </w:tcPr>
          <w:p w:rsidRPr="00932257" w:rsidR="00F90719" w:rsidP="00E3104D" w:rsidRDefault="00F90719" w14:paraId="242F7EC7" w14:textId="77777777">
            <w:pPr>
              <w:jc w:val="right"/>
              <w:rPr>
                <w:rFonts w:eastAsia="Calibri"/>
                <w:szCs w:val="20"/>
              </w:rPr>
            </w:pPr>
            <w:r>
              <w:rPr>
                <w:rFonts w:eastAsia="Calibri"/>
                <w:szCs w:val="20"/>
              </w:rPr>
              <w:t>19,580</w:t>
            </w:r>
            <w:r w:rsidRPr="00932257">
              <w:rPr>
                <w:rFonts w:eastAsia="Calibri"/>
                <w:szCs w:val="20"/>
              </w:rPr>
              <w:t xml:space="preserve"> hrs.;</w:t>
            </w:r>
          </w:p>
          <w:p w:rsidRPr="00932257" w:rsidR="00F90719" w:rsidP="00E3104D" w:rsidRDefault="00F90719" w14:paraId="4D1F6F5C" w14:textId="77777777">
            <w:pPr>
              <w:jc w:val="right"/>
              <w:rPr>
                <w:rFonts w:eastAsia="Calibri"/>
                <w:szCs w:val="20"/>
              </w:rPr>
            </w:pPr>
            <w:r w:rsidRPr="00932257">
              <w:rPr>
                <w:rFonts w:eastAsia="Calibri"/>
                <w:szCs w:val="20"/>
              </w:rPr>
              <w:t>$</w:t>
            </w:r>
            <w:bookmarkStart w:name="_Hlk54788655" w:id="13"/>
            <w:r>
              <w:rPr>
                <w:rFonts w:eastAsia="Calibri"/>
                <w:szCs w:val="20"/>
              </w:rPr>
              <w:t>1,</w:t>
            </w:r>
            <w:bookmarkEnd w:id="13"/>
            <w:r>
              <w:rPr>
                <w:rFonts w:eastAsia="Calibri"/>
                <w:szCs w:val="20"/>
              </w:rPr>
              <w:t>977,580</w:t>
            </w:r>
          </w:p>
        </w:tc>
        <w:tc>
          <w:tcPr>
            <w:tcW w:w="801" w:type="pct"/>
            <w:shd w:val="clear" w:color="auto" w:fill="D9D9D9" w:themeFill="background1" w:themeFillShade="D9"/>
          </w:tcPr>
          <w:p w:rsidRPr="00932257" w:rsidR="00F90719" w:rsidP="00E3104D" w:rsidRDefault="00F90719" w14:paraId="49FFF8CF" w14:textId="77777777">
            <w:pPr>
              <w:jc w:val="right"/>
              <w:rPr>
                <w:rFonts w:eastAsia="Calibri"/>
                <w:szCs w:val="20"/>
              </w:rPr>
            </w:pPr>
          </w:p>
        </w:tc>
      </w:tr>
    </w:tbl>
    <w:p w:rsidR="00F90719" w:rsidP="00F90719" w:rsidRDefault="00F90719" w14:paraId="18F36EC4" w14:textId="77777777">
      <w:pPr>
        <w:pStyle w:val="FERCparanumber"/>
        <w:numPr>
          <w:ilvl w:val="0"/>
          <w:numId w:val="0"/>
        </w:numPr>
      </w:pPr>
    </w:p>
    <w:p w:rsidRPr="00932257" w:rsidR="00F90719" w:rsidP="00F90719" w:rsidRDefault="00F90719" w14:paraId="4DED09E1" w14:textId="3F07A51D">
      <w:pPr>
        <w:pStyle w:val="FERCparanumber"/>
        <w:numPr>
          <w:ilvl w:val="0"/>
          <w:numId w:val="0"/>
        </w:numPr>
      </w:pPr>
      <w:r w:rsidRPr="00932257">
        <w:lastRenderedPageBreak/>
        <w:t>The one-time burden (for both the FERC-545 and FERC-549C)</w:t>
      </w:r>
      <w:r>
        <w:t xml:space="preserve"> will take place in Year 1 and </w:t>
      </w:r>
      <w:r w:rsidRPr="00932257">
        <w:t>will be averaged over three years:</w:t>
      </w:r>
    </w:p>
    <w:p w:rsidRPr="00932257" w:rsidR="00F90719" w:rsidP="00F90719" w:rsidRDefault="00F90719" w14:paraId="19A0CAD1" w14:textId="77777777">
      <w:pPr>
        <w:pStyle w:val="FERCparanumber"/>
        <w:numPr>
          <w:ilvl w:val="0"/>
          <w:numId w:val="0"/>
        </w:numPr>
      </w:pPr>
      <w:r w:rsidRPr="00932257">
        <w:t>FERC-545: 1,</w:t>
      </w:r>
      <w:r>
        <w:t>78</w:t>
      </w:r>
      <w:r w:rsidRPr="00932257">
        <w:t xml:space="preserve">0 hours ÷ 3 = </w:t>
      </w:r>
      <w:r>
        <w:t>593</w:t>
      </w:r>
      <w:r w:rsidRPr="00932257">
        <w:t xml:space="preserve"> hours/year over three years</w:t>
      </w:r>
    </w:p>
    <w:p w:rsidRPr="00932257" w:rsidR="00F90719" w:rsidP="00F90719" w:rsidRDefault="00F90719" w14:paraId="489171BE" w14:textId="77777777">
      <w:pPr>
        <w:pStyle w:val="FERCparanumber"/>
        <w:numPr>
          <w:ilvl w:val="0"/>
          <w:numId w:val="0"/>
        </w:numPr>
      </w:pPr>
      <w:r w:rsidRPr="00932257">
        <w:t xml:space="preserve">FERC-549C: </w:t>
      </w:r>
      <w:r>
        <w:t>17,800</w:t>
      </w:r>
      <w:r w:rsidRPr="00932257">
        <w:t xml:space="preserve"> hours ÷ 3 = </w:t>
      </w:r>
      <w:r>
        <w:t>5,933</w:t>
      </w:r>
      <w:r w:rsidRPr="00932257">
        <w:t xml:space="preserve"> hours/year over three years</w:t>
      </w:r>
    </w:p>
    <w:p w:rsidRPr="00932257" w:rsidR="00F90719" w:rsidP="00F90719" w:rsidRDefault="00F90719" w14:paraId="0EC55A3F" w14:textId="77777777">
      <w:pPr>
        <w:pStyle w:val="FERCparanumber"/>
        <w:numPr>
          <w:ilvl w:val="0"/>
          <w:numId w:val="0"/>
        </w:numPr>
      </w:pPr>
      <w:r w:rsidRPr="00932257">
        <w:t>The number of responses is also averaged over three years (for both the FERC-545 and FERC-549C):</w:t>
      </w:r>
    </w:p>
    <w:p w:rsidRPr="00932257" w:rsidR="00F90719" w:rsidP="00F90719" w:rsidRDefault="00F90719" w14:paraId="4423DCA8" w14:textId="77777777">
      <w:pPr>
        <w:pStyle w:val="FERCparanumber"/>
        <w:numPr>
          <w:ilvl w:val="0"/>
          <w:numId w:val="0"/>
        </w:numPr>
      </w:pPr>
      <w:r w:rsidRPr="00932257">
        <w:t>FERC-545: 1</w:t>
      </w:r>
      <w:r>
        <w:t>78</w:t>
      </w:r>
      <w:r w:rsidRPr="00932257">
        <w:t xml:space="preserve"> responses ÷ 3 = 5</w:t>
      </w:r>
      <w:r>
        <w:t>9</w:t>
      </w:r>
      <w:r w:rsidRPr="00932257">
        <w:t xml:space="preserve"> responses/year</w:t>
      </w:r>
    </w:p>
    <w:p w:rsidRPr="00932257" w:rsidR="00F90719" w:rsidP="00F90719" w:rsidRDefault="00F90719" w14:paraId="2ED4F498" w14:textId="77777777">
      <w:pPr>
        <w:pStyle w:val="FERCparanumber"/>
        <w:numPr>
          <w:ilvl w:val="0"/>
          <w:numId w:val="0"/>
        </w:numPr>
      </w:pPr>
      <w:r w:rsidRPr="00932257">
        <w:t>FERC-549C: 1</w:t>
      </w:r>
      <w:r>
        <w:t>78</w:t>
      </w:r>
      <w:r w:rsidRPr="00932257">
        <w:t xml:space="preserve"> responses ÷ 3 = 5</w:t>
      </w:r>
      <w:r>
        <w:t>9</w:t>
      </w:r>
      <w:r w:rsidRPr="00932257">
        <w:t xml:space="preserve"> responses/year</w:t>
      </w:r>
    </w:p>
    <w:p w:rsidRPr="00932257" w:rsidR="00F90719" w:rsidP="00F90719" w:rsidRDefault="00F90719" w14:paraId="3AB843B6" w14:textId="77777777">
      <w:pPr>
        <w:pStyle w:val="FERCparanumber"/>
        <w:numPr>
          <w:ilvl w:val="0"/>
          <w:numId w:val="0"/>
        </w:numPr>
      </w:pPr>
      <w:r w:rsidRPr="00932257">
        <w:t>The responses and burden for Years 1-3 will total respectively as follows:</w:t>
      </w:r>
    </w:p>
    <w:p w:rsidRPr="00932257" w:rsidR="00F90719" w:rsidP="00F90719" w:rsidRDefault="00F90719" w14:paraId="4A0A6473" w14:textId="77777777">
      <w:pPr>
        <w:pStyle w:val="FERCparanumber"/>
        <w:numPr>
          <w:ilvl w:val="0"/>
          <w:numId w:val="0"/>
        </w:numPr>
      </w:pPr>
      <w:r w:rsidRPr="00932257">
        <w:t>Year 1: 5</w:t>
      </w:r>
      <w:r>
        <w:t>9</w:t>
      </w:r>
      <w:r w:rsidRPr="00932257">
        <w:t xml:space="preserve"> responses; 5</w:t>
      </w:r>
      <w:r>
        <w:t>93</w:t>
      </w:r>
      <w:r w:rsidRPr="00932257">
        <w:t xml:space="preserve"> hours (FERC-545); </w:t>
      </w:r>
      <w:r>
        <w:t>5,933</w:t>
      </w:r>
      <w:r w:rsidRPr="00932257">
        <w:t xml:space="preserve"> hours (FERC-549C)</w:t>
      </w:r>
    </w:p>
    <w:p w:rsidRPr="00932257" w:rsidR="00F90719" w:rsidP="00F90719" w:rsidRDefault="00F90719" w14:paraId="0BBC669F" w14:textId="77777777">
      <w:pPr>
        <w:pStyle w:val="FERCparanumber"/>
        <w:numPr>
          <w:ilvl w:val="0"/>
          <w:numId w:val="0"/>
        </w:numPr>
      </w:pPr>
      <w:r w:rsidRPr="00932257">
        <w:t>Year 2: 5</w:t>
      </w:r>
      <w:r>
        <w:t>9</w:t>
      </w:r>
      <w:r w:rsidRPr="00932257">
        <w:t xml:space="preserve"> responses; 5</w:t>
      </w:r>
      <w:r>
        <w:t>93</w:t>
      </w:r>
      <w:r w:rsidRPr="00932257">
        <w:t xml:space="preserve"> hours (FERC-545); </w:t>
      </w:r>
      <w:r>
        <w:t>5,933</w:t>
      </w:r>
      <w:r w:rsidRPr="00932257">
        <w:t xml:space="preserve"> hours (FERC-549C)</w:t>
      </w:r>
    </w:p>
    <w:p w:rsidR="00F90719" w:rsidP="00F90719" w:rsidRDefault="00F90719" w14:paraId="55B9A93E" w14:textId="48303C7F">
      <w:pPr>
        <w:pStyle w:val="FERCparanumber"/>
        <w:numPr>
          <w:ilvl w:val="0"/>
          <w:numId w:val="0"/>
        </w:numPr>
      </w:pPr>
      <w:r w:rsidRPr="00932257">
        <w:t>Year 3: 5</w:t>
      </w:r>
      <w:r>
        <w:t>9</w:t>
      </w:r>
      <w:r w:rsidRPr="00932257">
        <w:t xml:space="preserve"> responses; 5</w:t>
      </w:r>
      <w:r>
        <w:t>93</w:t>
      </w:r>
      <w:r w:rsidRPr="00932257">
        <w:t xml:space="preserve"> hours (FERC-545); </w:t>
      </w:r>
      <w:r>
        <w:t>5,933</w:t>
      </w:r>
      <w:r w:rsidRPr="00932257">
        <w:t xml:space="preserve"> hours (FERC-549C)</w:t>
      </w:r>
    </w:p>
    <w:p w:rsidRPr="00932257" w:rsidR="00F90719" w:rsidP="00F90719" w:rsidRDefault="00F90719" w14:paraId="7D8DABE0" w14:textId="77777777">
      <w:pPr>
        <w:pStyle w:val="FERCparanumber"/>
        <w:numPr>
          <w:ilvl w:val="0"/>
          <w:numId w:val="0"/>
        </w:numPr>
      </w:pPr>
    </w:p>
    <w:p w:rsidRPr="00F5428B" w:rsidR="00BC15BE" w:rsidP="00BC15BE" w:rsidRDefault="00BC15BE" w14:paraId="2D5A5365" w14:textId="77777777">
      <w:pPr>
        <w:pStyle w:val="Level1"/>
        <w:rPr>
          <w:b/>
        </w:rPr>
      </w:pPr>
      <w:r w:rsidRPr="00F5428B">
        <w:rPr>
          <w:b/>
        </w:rPr>
        <w:t>ESTIMATE OF THE TOTAL ANNUAL COST BURDEN TO RESPONDENTS</w:t>
      </w:r>
    </w:p>
    <w:p w:rsidR="008F65E6" w:rsidP="00BC15BE" w:rsidRDefault="008F65E6" w14:paraId="42F2561B" w14:textId="77777777">
      <w:pPr>
        <w:rPr>
          <w:sz w:val="24"/>
        </w:rPr>
      </w:pPr>
    </w:p>
    <w:p w:rsidRPr="00F5428B" w:rsidR="00BC15BE" w:rsidP="00BC15BE" w:rsidRDefault="00F8150C" w14:paraId="65DE3541" w14:textId="742970B7">
      <w:pPr>
        <w:rPr>
          <w:sz w:val="24"/>
        </w:rPr>
      </w:pPr>
      <w:r w:rsidRPr="00F5428B">
        <w:rPr>
          <w:sz w:val="24"/>
        </w:rPr>
        <w:t xml:space="preserve">There are no capital or start-up costs for the requirements in the </w:t>
      </w:r>
      <w:r w:rsidR="00573C31">
        <w:rPr>
          <w:sz w:val="24"/>
        </w:rPr>
        <w:t>NOPR</w:t>
      </w:r>
      <w:r w:rsidRPr="00F5428B">
        <w:rPr>
          <w:sz w:val="24"/>
        </w:rPr>
        <w:t xml:space="preserve"> in RM96-1-0</w:t>
      </w:r>
      <w:r w:rsidR="00D36F12">
        <w:rPr>
          <w:sz w:val="24"/>
        </w:rPr>
        <w:t>4</w:t>
      </w:r>
      <w:r w:rsidR="00573C31">
        <w:rPr>
          <w:sz w:val="24"/>
        </w:rPr>
        <w:t>2</w:t>
      </w:r>
      <w:r w:rsidRPr="00F5428B">
        <w:rPr>
          <w:sz w:val="24"/>
        </w:rPr>
        <w:t xml:space="preserve">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Pr="00F5428B" w:rsidR="00F8150C" w:rsidP="00BC15BE" w:rsidRDefault="00F8150C" w14:paraId="18ADEA96" w14:textId="77777777">
      <w:pPr>
        <w:rPr>
          <w:sz w:val="24"/>
        </w:rPr>
      </w:pPr>
    </w:p>
    <w:p w:rsidRPr="00F5428B" w:rsidR="00BC15BE" w:rsidP="00BC15BE" w:rsidRDefault="00BC15BE" w14:paraId="630D4C84" w14:textId="77777777">
      <w:pPr>
        <w:pStyle w:val="Level1"/>
        <w:rPr>
          <w:b/>
        </w:rPr>
      </w:pPr>
      <w:r w:rsidRPr="00F5428B">
        <w:rPr>
          <w:b/>
        </w:rPr>
        <w:t>ESTIMATED ANNUALIZED COST TO FEDERAL GOVERNMENT</w:t>
      </w:r>
    </w:p>
    <w:p w:rsidRPr="00F5428B" w:rsidR="00BC15BE" w:rsidP="00BC15BE" w:rsidRDefault="00BC15BE" w14:paraId="103D3D7F" w14:textId="77777777">
      <w:pPr>
        <w:rPr>
          <w:sz w:val="24"/>
        </w:rPr>
      </w:pPr>
    </w:p>
    <w:p w:rsidRPr="00F5428B" w:rsidR="003D2136" w:rsidP="003D2136" w:rsidRDefault="003D2136" w14:paraId="186CE6F0" w14:textId="675709C8">
      <w:pPr>
        <w:rPr>
          <w:sz w:val="24"/>
          <w:vertAlign w:val="superscript"/>
        </w:rPr>
      </w:pPr>
      <w:r w:rsidRPr="00F5428B">
        <w:rPr>
          <w:sz w:val="24"/>
        </w:rPr>
        <w:t xml:space="preserve">The following federal costs relate only to the new requirements in the </w:t>
      </w:r>
      <w:r w:rsidR="00602497">
        <w:rPr>
          <w:sz w:val="24"/>
        </w:rPr>
        <w:t>NOPR</w:t>
      </w:r>
      <w:r w:rsidRPr="00F5428B">
        <w:rPr>
          <w:sz w:val="24"/>
        </w:rPr>
        <w:t>.</w:t>
      </w:r>
      <w:r w:rsidRPr="00F5428B" w:rsidDel="00807E75">
        <w:rPr>
          <w:sz w:val="24"/>
          <w:vertAlign w:val="superscript"/>
        </w:rPr>
        <w:t xml:space="preserve"> </w:t>
      </w:r>
    </w:p>
    <w:p w:rsidRPr="00F5428B" w:rsidR="002C118D" w:rsidP="002C118D" w:rsidRDefault="002C118D" w14:paraId="24E448B3" w14:textId="77777777">
      <w:pPr>
        <w:rPr>
          <w:sz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5428B" w:rsidR="002C118D" w:rsidTr="00573C31" w14:paraId="76270073" w14:textId="77777777">
        <w:tc>
          <w:tcPr>
            <w:tcW w:w="3148" w:type="dxa"/>
            <w:shd w:val="clear" w:color="auto" w:fill="CCCCCC"/>
          </w:tcPr>
          <w:p w:rsidRPr="00F5428B" w:rsidR="002C118D" w:rsidP="008D4689" w:rsidRDefault="002C118D" w14:paraId="64C5C7C1" w14:textId="77777777">
            <w:pPr>
              <w:rPr>
                <w:sz w:val="24"/>
              </w:rPr>
            </w:pPr>
          </w:p>
        </w:tc>
        <w:tc>
          <w:tcPr>
            <w:tcW w:w="3101" w:type="dxa"/>
            <w:shd w:val="clear" w:color="auto" w:fill="CCCCCC"/>
            <w:vAlign w:val="bottom"/>
          </w:tcPr>
          <w:p w:rsidRPr="00F5428B" w:rsidR="002C118D" w:rsidP="008D4689" w:rsidRDefault="002C118D" w14:paraId="128D10F5" w14:textId="77777777">
            <w:pPr>
              <w:jc w:val="center"/>
              <w:rPr>
                <w:b/>
                <w:sz w:val="24"/>
              </w:rPr>
            </w:pPr>
            <w:r w:rsidRPr="00F5428B">
              <w:rPr>
                <w:b/>
                <w:sz w:val="24"/>
              </w:rPr>
              <w:t>Number of Hours or FTE’s</w:t>
            </w:r>
          </w:p>
        </w:tc>
        <w:tc>
          <w:tcPr>
            <w:tcW w:w="3196" w:type="dxa"/>
            <w:shd w:val="clear" w:color="auto" w:fill="CCCCCC"/>
            <w:vAlign w:val="bottom"/>
          </w:tcPr>
          <w:p w:rsidRPr="00F5428B" w:rsidR="002C118D" w:rsidP="008D4689" w:rsidRDefault="002C118D" w14:paraId="48D03250" w14:textId="77777777">
            <w:pPr>
              <w:jc w:val="center"/>
              <w:rPr>
                <w:b/>
                <w:sz w:val="24"/>
              </w:rPr>
            </w:pPr>
            <w:r w:rsidRPr="00F5428B">
              <w:rPr>
                <w:b/>
                <w:sz w:val="24"/>
              </w:rPr>
              <w:t>Estimated Annual Federal Cost ($)</w:t>
            </w:r>
            <w:r w:rsidRPr="00F5428B">
              <w:rPr>
                <w:sz w:val="24"/>
                <w:vertAlign w:val="superscript"/>
              </w:rPr>
              <w:footnoteReference w:id="33"/>
            </w:r>
            <w:r w:rsidRPr="00F5428B">
              <w:rPr>
                <w:b/>
                <w:sz w:val="24"/>
              </w:rPr>
              <w:t xml:space="preserve"> </w:t>
            </w:r>
          </w:p>
        </w:tc>
      </w:tr>
      <w:tr w:rsidRPr="00E37BB0" w:rsidR="002C118D" w:rsidTr="00573C31" w14:paraId="5823F039" w14:textId="77777777">
        <w:tc>
          <w:tcPr>
            <w:tcW w:w="3148" w:type="dxa"/>
          </w:tcPr>
          <w:p w:rsidRPr="00F5428B" w:rsidR="002C118D" w:rsidP="008D4689" w:rsidRDefault="002C118D" w14:paraId="5149305D" w14:textId="659DC968">
            <w:pPr>
              <w:rPr>
                <w:sz w:val="24"/>
              </w:rPr>
            </w:pPr>
            <w:r w:rsidRPr="00F5428B">
              <w:rPr>
                <w:sz w:val="24"/>
              </w:rPr>
              <w:t>PRA</w:t>
            </w:r>
            <w:r w:rsidRPr="00F5428B">
              <w:rPr>
                <w:rStyle w:val="FootnoteReference"/>
                <w:sz w:val="24"/>
                <w:szCs w:val="24"/>
              </w:rPr>
              <w:footnoteReference w:id="34"/>
            </w:r>
            <w:r w:rsidRPr="00F5428B">
              <w:rPr>
                <w:sz w:val="24"/>
              </w:rPr>
              <w:t xml:space="preserve"> Administration Cost</w:t>
            </w:r>
            <w:r w:rsidRPr="00F5428B">
              <w:rPr>
                <w:sz w:val="24"/>
                <w:vertAlign w:val="superscript"/>
              </w:rPr>
              <w:footnoteReference w:id="35"/>
            </w:r>
          </w:p>
        </w:tc>
        <w:tc>
          <w:tcPr>
            <w:tcW w:w="3101" w:type="dxa"/>
            <w:shd w:val="clear" w:color="auto" w:fill="FFFFFF"/>
            <w:vAlign w:val="bottom"/>
          </w:tcPr>
          <w:p w:rsidRPr="00F5428B" w:rsidR="002C118D" w:rsidP="008D4689" w:rsidRDefault="002C118D" w14:paraId="7FD151E6" w14:textId="77777777">
            <w:pPr>
              <w:jc w:val="right"/>
              <w:rPr>
                <w:sz w:val="24"/>
              </w:rPr>
            </w:pPr>
            <w:r w:rsidRPr="00F5428B">
              <w:rPr>
                <w:sz w:val="24"/>
              </w:rPr>
              <w:t>-</w:t>
            </w:r>
          </w:p>
        </w:tc>
        <w:tc>
          <w:tcPr>
            <w:tcW w:w="3196" w:type="dxa"/>
            <w:vAlign w:val="bottom"/>
          </w:tcPr>
          <w:p w:rsidRPr="00E37BB0" w:rsidR="002C118D" w:rsidP="008D4689" w:rsidRDefault="00565AA0" w14:paraId="1C3FD6E6" w14:textId="466C057A">
            <w:pPr>
              <w:jc w:val="right"/>
              <w:rPr>
                <w:sz w:val="24"/>
              </w:rPr>
            </w:pPr>
            <w:r w:rsidRPr="00E37BB0">
              <w:rPr>
                <w:sz w:val="24"/>
              </w:rPr>
              <w:t xml:space="preserve">$ </w:t>
            </w:r>
            <w:r w:rsidR="00573C31">
              <w:rPr>
                <w:sz w:val="24"/>
              </w:rPr>
              <w:t>6,</w:t>
            </w:r>
            <w:r w:rsidR="00714BD9">
              <w:rPr>
                <w:sz w:val="24"/>
              </w:rPr>
              <w:t>475</w:t>
            </w:r>
            <w:r w:rsidRPr="00E37BB0" w:rsidR="00A277D4">
              <w:rPr>
                <w:rStyle w:val="FootnoteReference"/>
                <w:b w:val="0"/>
              </w:rPr>
              <w:footnoteReference w:id="36"/>
            </w:r>
          </w:p>
        </w:tc>
      </w:tr>
      <w:tr w:rsidRPr="00F5428B" w:rsidR="002C118D" w:rsidTr="00573C31" w14:paraId="69BB6999" w14:textId="77777777">
        <w:tc>
          <w:tcPr>
            <w:tcW w:w="3148" w:type="dxa"/>
            <w:vAlign w:val="bottom"/>
          </w:tcPr>
          <w:p w:rsidRPr="00F5428B" w:rsidR="002C118D" w:rsidP="008D4689" w:rsidRDefault="002C118D" w14:paraId="75C39D29" w14:textId="77777777">
            <w:pPr>
              <w:ind w:left="720"/>
              <w:jc w:val="right"/>
              <w:rPr>
                <w:i/>
                <w:sz w:val="24"/>
              </w:rPr>
            </w:pPr>
            <w:r w:rsidRPr="00F5428B">
              <w:rPr>
                <w:sz w:val="24"/>
              </w:rPr>
              <w:t>Data Processing and Analysis, Sub-Total</w:t>
            </w:r>
            <w:r w:rsidRPr="00E37BB0">
              <w:rPr>
                <w:rStyle w:val="FootnoteReference"/>
                <w:b w:val="0"/>
                <w:sz w:val="24"/>
                <w:szCs w:val="24"/>
              </w:rPr>
              <w:footnoteReference w:id="37"/>
            </w:r>
          </w:p>
        </w:tc>
        <w:tc>
          <w:tcPr>
            <w:tcW w:w="3101" w:type="dxa"/>
            <w:shd w:val="clear" w:color="auto" w:fill="FFFFFF" w:themeFill="background1"/>
            <w:vAlign w:val="bottom"/>
          </w:tcPr>
          <w:p w:rsidRPr="00F5428B" w:rsidR="002C118D" w:rsidP="008D4689" w:rsidRDefault="002C118D" w14:paraId="6C7121A8" w14:textId="77777777">
            <w:pPr>
              <w:jc w:val="right"/>
              <w:rPr>
                <w:sz w:val="24"/>
              </w:rPr>
            </w:pPr>
            <w:r w:rsidRPr="00F5428B">
              <w:rPr>
                <w:sz w:val="24"/>
              </w:rPr>
              <w:t>1</w:t>
            </w:r>
            <w:r w:rsidRPr="00E37BB0">
              <w:rPr>
                <w:rStyle w:val="FootnoteReference"/>
                <w:b w:val="0"/>
                <w:sz w:val="24"/>
                <w:szCs w:val="24"/>
              </w:rPr>
              <w:footnoteReference w:id="38"/>
            </w:r>
          </w:p>
        </w:tc>
        <w:tc>
          <w:tcPr>
            <w:tcW w:w="3196" w:type="dxa"/>
            <w:vAlign w:val="bottom"/>
          </w:tcPr>
          <w:p w:rsidRPr="00F5428B" w:rsidR="002C118D" w:rsidDel="00423194" w:rsidP="008D4689" w:rsidRDefault="005409EE" w14:paraId="4B251C4C" w14:textId="7EF51884">
            <w:pPr>
              <w:jc w:val="right"/>
              <w:rPr>
                <w:sz w:val="24"/>
              </w:rPr>
            </w:pPr>
            <w:r>
              <w:rPr>
                <w:sz w:val="24"/>
              </w:rPr>
              <w:t>$1</w:t>
            </w:r>
            <w:r w:rsidR="00573C31">
              <w:rPr>
                <w:sz w:val="24"/>
              </w:rPr>
              <w:t>72,329</w:t>
            </w:r>
          </w:p>
        </w:tc>
      </w:tr>
      <w:tr w:rsidRPr="00F5428B" w:rsidR="002C118D" w:rsidTr="00573C31" w14:paraId="16E4597A" w14:textId="77777777">
        <w:tc>
          <w:tcPr>
            <w:tcW w:w="3148" w:type="dxa"/>
            <w:vAlign w:val="bottom"/>
          </w:tcPr>
          <w:p w:rsidRPr="00F5428B" w:rsidR="002C118D" w:rsidP="008D4689" w:rsidRDefault="002C118D" w14:paraId="55CEF231" w14:textId="77777777">
            <w:pPr>
              <w:ind w:left="720"/>
              <w:jc w:val="right"/>
              <w:rPr>
                <w:i/>
                <w:sz w:val="24"/>
              </w:rPr>
            </w:pPr>
            <w:r w:rsidRPr="00F5428B">
              <w:rPr>
                <w:i/>
                <w:sz w:val="24"/>
              </w:rPr>
              <w:lastRenderedPageBreak/>
              <w:t>FERC-545</w:t>
            </w:r>
          </w:p>
        </w:tc>
        <w:tc>
          <w:tcPr>
            <w:tcW w:w="3101" w:type="dxa"/>
            <w:shd w:val="clear" w:color="auto" w:fill="FFFFFF" w:themeFill="background1"/>
            <w:vAlign w:val="bottom"/>
          </w:tcPr>
          <w:p w:rsidRPr="00F5428B" w:rsidR="002C118D" w:rsidP="008D4689" w:rsidRDefault="002C118D" w14:paraId="7F2E12F2" w14:textId="77777777">
            <w:pPr>
              <w:jc w:val="right"/>
              <w:rPr>
                <w:i/>
                <w:sz w:val="24"/>
              </w:rPr>
            </w:pPr>
            <w:r w:rsidRPr="00F5428B">
              <w:rPr>
                <w:sz w:val="24"/>
              </w:rPr>
              <w:t>0.</w:t>
            </w:r>
            <w:r w:rsidR="00D36F12">
              <w:rPr>
                <w:sz w:val="24"/>
              </w:rPr>
              <w:t>7</w:t>
            </w:r>
            <w:r w:rsidRPr="00F5428B">
              <w:rPr>
                <w:sz w:val="24"/>
              </w:rPr>
              <w:t>5</w:t>
            </w:r>
          </w:p>
        </w:tc>
        <w:tc>
          <w:tcPr>
            <w:tcW w:w="3196" w:type="dxa"/>
            <w:vAlign w:val="bottom"/>
          </w:tcPr>
          <w:p w:rsidRPr="00F5428B" w:rsidR="002C118D" w:rsidP="008D4689" w:rsidRDefault="005409EE" w14:paraId="2599C341" w14:textId="7602349C">
            <w:pPr>
              <w:jc w:val="right"/>
              <w:rPr>
                <w:i/>
                <w:sz w:val="24"/>
              </w:rPr>
            </w:pPr>
            <w:r>
              <w:rPr>
                <w:sz w:val="24"/>
              </w:rPr>
              <w:t>$</w:t>
            </w:r>
            <w:r w:rsidR="00D36F12">
              <w:rPr>
                <w:sz w:val="24"/>
              </w:rPr>
              <w:t>12</w:t>
            </w:r>
            <w:r w:rsidR="00573C31">
              <w:rPr>
                <w:sz w:val="24"/>
              </w:rPr>
              <w:t>9,247</w:t>
            </w:r>
          </w:p>
        </w:tc>
      </w:tr>
      <w:tr w:rsidRPr="00F5428B" w:rsidR="002C118D" w:rsidTr="00573C31" w14:paraId="61D79815" w14:textId="77777777">
        <w:tc>
          <w:tcPr>
            <w:tcW w:w="3148" w:type="dxa"/>
            <w:vAlign w:val="bottom"/>
          </w:tcPr>
          <w:p w:rsidRPr="00F5428B" w:rsidR="002C118D" w:rsidP="008D4689" w:rsidRDefault="002C118D" w14:paraId="51494E06" w14:textId="77777777">
            <w:pPr>
              <w:ind w:left="720"/>
              <w:jc w:val="right"/>
              <w:rPr>
                <w:i/>
                <w:sz w:val="24"/>
              </w:rPr>
            </w:pPr>
            <w:r w:rsidRPr="00F5428B">
              <w:rPr>
                <w:i/>
                <w:sz w:val="24"/>
              </w:rPr>
              <w:t>FERC-549C</w:t>
            </w:r>
          </w:p>
        </w:tc>
        <w:tc>
          <w:tcPr>
            <w:tcW w:w="3101" w:type="dxa"/>
            <w:shd w:val="clear" w:color="auto" w:fill="FFFFFF" w:themeFill="background1"/>
            <w:vAlign w:val="bottom"/>
          </w:tcPr>
          <w:p w:rsidRPr="00F5428B" w:rsidR="002C118D" w:rsidP="008D4689" w:rsidRDefault="002C118D" w14:paraId="04431892" w14:textId="77777777">
            <w:pPr>
              <w:jc w:val="right"/>
              <w:rPr>
                <w:i/>
                <w:sz w:val="24"/>
              </w:rPr>
            </w:pPr>
            <w:r w:rsidRPr="00F5428B">
              <w:rPr>
                <w:sz w:val="24"/>
              </w:rPr>
              <w:t>0.</w:t>
            </w:r>
            <w:r w:rsidR="00D36F12">
              <w:rPr>
                <w:sz w:val="24"/>
              </w:rPr>
              <w:t>2</w:t>
            </w:r>
            <w:r w:rsidRPr="00F5428B">
              <w:rPr>
                <w:sz w:val="24"/>
              </w:rPr>
              <w:t>5</w:t>
            </w:r>
          </w:p>
        </w:tc>
        <w:tc>
          <w:tcPr>
            <w:tcW w:w="3196" w:type="dxa"/>
            <w:vAlign w:val="bottom"/>
          </w:tcPr>
          <w:p w:rsidRPr="00F5428B" w:rsidR="002C118D" w:rsidP="008D4689" w:rsidRDefault="005409EE" w14:paraId="1D124B18" w14:textId="14DA7631">
            <w:pPr>
              <w:jc w:val="right"/>
              <w:rPr>
                <w:i/>
                <w:sz w:val="24"/>
              </w:rPr>
            </w:pPr>
            <w:r>
              <w:rPr>
                <w:sz w:val="24"/>
              </w:rPr>
              <w:t>$</w:t>
            </w:r>
            <w:r w:rsidR="00D36F12">
              <w:rPr>
                <w:sz w:val="24"/>
              </w:rPr>
              <w:t>4</w:t>
            </w:r>
            <w:r w:rsidR="00573C31">
              <w:rPr>
                <w:sz w:val="24"/>
              </w:rPr>
              <w:t>3,082</w:t>
            </w:r>
          </w:p>
        </w:tc>
      </w:tr>
      <w:tr w:rsidRPr="00F5428B" w:rsidR="002C118D" w:rsidTr="00573C31" w14:paraId="5D9EC3FC" w14:textId="77777777">
        <w:tc>
          <w:tcPr>
            <w:tcW w:w="3148" w:type="dxa"/>
          </w:tcPr>
          <w:p w:rsidRPr="00F5428B" w:rsidR="002C118D" w:rsidP="008D4689" w:rsidRDefault="002C118D" w14:paraId="26F23898" w14:textId="77777777">
            <w:pPr>
              <w:rPr>
                <w:b/>
                <w:sz w:val="24"/>
              </w:rPr>
            </w:pPr>
            <w:r w:rsidRPr="00F5428B">
              <w:rPr>
                <w:b/>
                <w:sz w:val="24"/>
              </w:rPr>
              <w:t>FERC Total</w:t>
            </w:r>
          </w:p>
        </w:tc>
        <w:tc>
          <w:tcPr>
            <w:tcW w:w="3101" w:type="dxa"/>
            <w:vAlign w:val="bottom"/>
          </w:tcPr>
          <w:p w:rsidRPr="00F5428B" w:rsidR="002C118D" w:rsidP="008D4689" w:rsidRDefault="002C118D" w14:paraId="3571E654" w14:textId="77777777">
            <w:pPr>
              <w:jc w:val="right"/>
              <w:rPr>
                <w:sz w:val="24"/>
              </w:rPr>
            </w:pPr>
            <w:r w:rsidRPr="00F5428B">
              <w:rPr>
                <w:sz w:val="24"/>
              </w:rPr>
              <w:t>1</w:t>
            </w:r>
          </w:p>
        </w:tc>
        <w:tc>
          <w:tcPr>
            <w:tcW w:w="3196" w:type="dxa"/>
            <w:vAlign w:val="bottom"/>
          </w:tcPr>
          <w:p w:rsidRPr="00F5428B" w:rsidR="002C118D" w:rsidP="008D4689" w:rsidRDefault="00A277D4" w14:paraId="6D9DE673" w14:textId="1A98860A">
            <w:pPr>
              <w:jc w:val="right"/>
              <w:rPr>
                <w:sz w:val="24"/>
              </w:rPr>
            </w:pPr>
            <w:r>
              <w:rPr>
                <w:sz w:val="24"/>
              </w:rPr>
              <w:t>$1</w:t>
            </w:r>
            <w:r w:rsidR="00261F73">
              <w:rPr>
                <w:sz w:val="24"/>
              </w:rPr>
              <w:t>7</w:t>
            </w:r>
            <w:r w:rsidR="000652A8">
              <w:rPr>
                <w:sz w:val="24"/>
              </w:rPr>
              <w:t>8,804</w:t>
            </w:r>
          </w:p>
        </w:tc>
      </w:tr>
    </w:tbl>
    <w:p w:rsidRPr="00F5428B" w:rsidR="00BC15BE" w:rsidP="00BC15BE" w:rsidRDefault="00BC15BE" w14:paraId="2ED17E47" w14:textId="77777777">
      <w:pPr>
        <w:rPr>
          <w:sz w:val="24"/>
        </w:rPr>
      </w:pPr>
    </w:p>
    <w:p w:rsidR="00AC5B84" w:rsidP="00AC5B84" w:rsidRDefault="00BC15BE" w14:paraId="116A3679" w14:textId="229E72D9">
      <w:pPr>
        <w:pStyle w:val="Level1"/>
        <w:rPr>
          <w:b/>
        </w:rPr>
      </w:pPr>
      <w:r w:rsidRPr="00F5428B">
        <w:rPr>
          <w:b/>
        </w:rPr>
        <w:t>REASONS FOR CHANGES IN BURDEN INCLUDING THE NEED FOR ANY INCREASE</w:t>
      </w:r>
    </w:p>
    <w:p w:rsidRPr="00573C31" w:rsidR="00573C31" w:rsidP="00573C31" w:rsidRDefault="00573C31" w14:paraId="33A8BD82" w14:textId="77777777">
      <w:pPr>
        <w:pStyle w:val="Level1"/>
        <w:numPr>
          <w:ilvl w:val="0"/>
          <w:numId w:val="0"/>
        </w:numPr>
        <w:rPr>
          <w:b/>
        </w:rPr>
      </w:pPr>
    </w:p>
    <w:p w:rsidR="00AC5B84" w:rsidP="00AC5B84" w:rsidRDefault="002C118D" w14:paraId="5D6F67BD" w14:textId="15313B83">
      <w:pPr>
        <w:rPr>
          <w:b/>
          <w:sz w:val="24"/>
          <w:u w:val="single"/>
        </w:rPr>
      </w:pPr>
      <w:r w:rsidRPr="00F5428B">
        <w:rPr>
          <w:sz w:val="24"/>
        </w:rPr>
        <w:t>The</w:t>
      </w:r>
      <w:r w:rsidRPr="00F5428B">
        <w:rPr>
          <w:b/>
          <w:sz w:val="24"/>
        </w:rPr>
        <w:t xml:space="preserve"> </w:t>
      </w:r>
      <w:r w:rsidR="00602497">
        <w:rPr>
          <w:sz w:val="24"/>
        </w:rPr>
        <w:t xml:space="preserve">NOPR </w:t>
      </w:r>
      <w:r w:rsidR="005228C3">
        <w:rPr>
          <w:sz w:val="24"/>
        </w:rPr>
        <w:t>in RM96-1-04</w:t>
      </w:r>
      <w:r w:rsidR="00602497">
        <w:rPr>
          <w:sz w:val="24"/>
        </w:rPr>
        <w:t>2</w:t>
      </w:r>
      <w:r w:rsidRPr="00F5428B">
        <w:rPr>
          <w:sz w:val="24"/>
        </w:rPr>
        <w:t xml:space="preserve"> </w:t>
      </w:r>
      <w:r w:rsidRPr="00F52DA0" w:rsidR="002D1A59">
        <w:rPr>
          <w:sz w:val="24"/>
        </w:rPr>
        <w:t>amends the Commission’s regulations at 18 CFR 284.12</w:t>
      </w:r>
      <w:r w:rsidR="002D1A59">
        <w:rPr>
          <w:sz w:val="24"/>
        </w:rPr>
        <w:t>(a)</w:t>
      </w:r>
      <w:r w:rsidRPr="00F52DA0" w:rsidR="002D1A59">
        <w:rPr>
          <w:sz w:val="24"/>
        </w:rPr>
        <w:t xml:space="preserve"> to incorporate by reference the latest version (Version 3.</w:t>
      </w:r>
      <w:r w:rsidR="00602497">
        <w:rPr>
          <w:sz w:val="24"/>
        </w:rPr>
        <w:t>2</w:t>
      </w:r>
      <w:r w:rsidRPr="00F52DA0" w:rsidR="002D1A59">
        <w:rPr>
          <w:sz w:val="24"/>
        </w:rPr>
        <w:t xml:space="preserve">) of seven business practice standards applicable to interstate natural gas pipelines adopted by NAESB’s WGQ.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r w:rsidRPr="00F52DA0" w:rsidR="002D1A59">
        <w:rPr>
          <w:sz w:val="24"/>
        </w:rPr>
        <w:t>The final rule revises and replaces the existing incorporated business practices standards (the Version 3.</w:t>
      </w:r>
      <w:r w:rsidR="00602497">
        <w:rPr>
          <w:sz w:val="24"/>
        </w:rPr>
        <w:t>1</w:t>
      </w:r>
      <w:r w:rsidRPr="00F52DA0" w:rsidR="002D1A59">
        <w:rPr>
          <w:sz w:val="24"/>
        </w:rPr>
        <w:t xml:space="preserve"> standards) to make </w:t>
      </w:r>
      <w:r w:rsidRPr="0073773B" w:rsidR="002D1A59">
        <w:rPr>
          <w:rFonts w:eastAsia="Calibri"/>
          <w:sz w:val="24"/>
        </w:rPr>
        <w:t>two substantive revisions to its Nominations Related Standards, one to establish a standard rounding process for elapsed-prorated-scheduled quantity calculations, and a second to revise the specifications for the information to be included in a nomination request.</w:t>
      </w:r>
    </w:p>
    <w:p w:rsidR="00AC5B84" w:rsidP="00AC5B84" w:rsidRDefault="002D1A59" w14:paraId="726CEFD5" w14:textId="6683293A">
      <w:pPr>
        <w:rPr>
          <w:b/>
          <w:sz w:val="24"/>
          <w:u w:val="single"/>
        </w:rPr>
      </w:pPr>
      <w:r w:rsidRPr="0073773B">
        <w:rPr>
          <w:rFonts w:eastAsia="Calibri"/>
          <w:sz w:val="24"/>
        </w:rPr>
        <w:t>NAESB also adopted three revisions to the Quadrant Electronic Delivery Mechanism Related Standards.  First, it has increased the allowable field length in ASCII Comma Separated Value Files to 3000 characters.  Second, it has adopted new Standard 4.3.106 to allow checkboxes and radio buttons in the Transmission Service Providers’ Electronic Bulletin Boards.  Third, NAESB modified its standards to update the operating systems and web browsers that entities should support on behalf of users.  Additionally, clarifying language was added to the Secure Sockets Layer/Transport Layer Security protocols.</w:t>
      </w:r>
    </w:p>
    <w:p w:rsidRPr="00AC5B84" w:rsidR="002D1A59" w:rsidP="00AC5B84" w:rsidRDefault="002D1A59" w14:paraId="149E7061" w14:textId="2C346E01">
      <w:pPr>
        <w:rPr>
          <w:b/>
          <w:sz w:val="24"/>
          <w:u w:val="single"/>
        </w:rPr>
      </w:pPr>
      <w:r w:rsidRPr="0073773B">
        <w:rPr>
          <w:rFonts w:eastAsia="Calibri"/>
          <w:sz w:val="24"/>
        </w:rPr>
        <w:t xml:space="preserve">Other changes adopted by NAESB </w:t>
      </w:r>
      <w:r>
        <w:rPr>
          <w:rFonts w:eastAsia="Calibri"/>
          <w:sz w:val="24"/>
        </w:rPr>
        <w:t xml:space="preserve">to the business practice standards </w:t>
      </w:r>
      <w:r w:rsidRPr="0073773B">
        <w:rPr>
          <w:rFonts w:eastAsia="Calibri"/>
          <w:sz w:val="24"/>
        </w:rPr>
        <w:t>included changes to the NAESB WGQ data sets and other technical implementation documentation as well as revisions to the Flowing Gas Related data sets and technical implementation.  Further, NAESB revised the Imbalance Trade data set and revised two Senders Option data elements.  In addition, NAESB adopted revisions to the Capacity Release Related data sets and technical implementation.  NAESB also revised Standard 6.3.1 (i.e., the NAESB Base Contract for Sale and Purchase of Natural Gas) to add language directing users to NAESB’s copyright disclaimer posted on the NAESB website.  Identical language was added to three additional NAESB WGQ Contracts.</w:t>
      </w:r>
    </w:p>
    <w:p w:rsidR="00095B57" w:rsidP="00565AA0" w:rsidRDefault="002D1A59" w14:paraId="58B21BC2" w14:textId="70757E82">
      <w:pPr>
        <w:rPr>
          <w:rFonts w:eastAsia="Calibri"/>
          <w:sz w:val="24"/>
        </w:rPr>
      </w:pPr>
      <w:r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rsidRPr="00F5428B" w:rsidR="002C118D" w:rsidP="002C118D" w:rsidRDefault="002C118D" w14:paraId="7932BC89" w14:textId="2C9938FD">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burden</w:t>
      </w:r>
      <w:r w:rsidR="00B572D2">
        <w:rPr>
          <w:bCs/>
          <w:sz w:val="24"/>
        </w:rPr>
        <w:t xml:space="preserve"> is being implemented due to</w:t>
      </w:r>
      <w:r w:rsidRPr="00F5428B">
        <w:rPr>
          <w:bCs/>
          <w:sz w:val="24"/>
        </w:rPr>
        <w:t xml:space="preserve"> due to the </w:t>
      </w:r>
      <w:r w:rsidR="00B572D2">
        <w:rPr>
          <w:bCs/>
          <w:sz w:val="24"/>
        </w:rPr>
        <w:t>NOPR</w:t>
      </w:r>
      <w:r w:rsidR="00565AA0">
        <w:rPr>
          <w:bCs/>
          <w:sz w:val="24"/>
        </w:rPr>
        <w:t xml:space="preserve"> in RM96-1-04</w:t>
      </w:r>
      <w:r w:rsidR="00B572D2">
        <w:rPr>
          <w:bCs/>
          <w:sz w:val="24"/>
        </w:rPr>
        <w:t>2</w:t>
      </w:r>
      <w:r w:rsidRPr="00F5428B">
        <w:rPr>
          <w:bCs/>
          <w:sz w:val="24"/>
        </w:rPr>
        <w:t xml:space="preserve"> is being averaged over Years 1-3, as discussed in #12 above.)</w:t>
      </w:r>
    </w:p>
    <w:p w:rsidRPr="00F5428B" w:rsidR="002C118D" w:rsidP="002C118D" w:rsidRDefault="002C118D" w14:paraId="2A77D060" w14:textId="77777777">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F5428B" w:rsidR="002C118D" w:rsidTr="003F1AE2" w14:paraId="5CE990D0" w14:textId="77777777">
        <w:trPr>
          <w:trHeight w:val="870"/>
        </w:trPr>
        <w:tc>
          <w:tcPr>
            <w:tcW w:w="2679" w:type="dxa"/>
            <w:tcBorders>
              <w:bottom w:val="single" w:color="auto" w:sz="4" w:space="0"/>
            </w:tcBorders>
            <w:shd w:val="clear" w:color="auto" w:fill="D9D9D9"/>
            <w:vAlign w:val="bottom"/>
          </w:tcPr>
          <w:p w:rsidRPr="00F5428B" w:rsidR="002C118D" w:rsidP="008D4689" w:rsidRDefault="002C118D" w14:paraId="5181CF69" w14:textId="77777777">
            <w:pPr>
              <w:jc w:val="center"/>
              <w:rPr>
                <w:rFonts w:eastAsia="Calibri"/>
                <w:b/>
                <w:sz w:val="24"/>
              </w:rPr>
            </w:pPr>
          </w:p>
        </w:tc>
        <w:tc>
          <w:tcPr>
            <w:tcW w:w="1461" w:type="dxa"/>
            <w:tcBorders>
              <w:bottom w:val="single" w:color="auto" w:sz="4" w:space="0"/>
            </w:tcBorders>
            <w:shd w:val="clear" w:color="auto" w:fill="D9D9D9"/>
            <w:vAlign w:val="bottom"/>
          </w:tcPr>
          <w:p w:rsidRPr="00F5428B" w:rsidR="002C118D" w:rsidP="008D4689" w:rsidRDefault="002C118D" w14:paraId="7BFED57E" w14:textId="77777777">
            <w:pPr>
              <w:jc w:val="center"/>
              <w:rPr>
                <w:rFonts w:eastAsia="Calibri"/>
                <w:b/>
                <w:sz w:val="24"/>
              </w:rPr>
            </w:pPr>
            <w:r w:rsidRPr="00F5428B">
              <w:rPr>
                <w:rFonts w:eastAsia="Calibri"/>
                <w:b/>
                <w:sz w:val="24"/>
              </w:rPr>
              <w:t>Total Request</w:t>
            </w:r>
          </w:p>
        </w:tc>
        <w:tc>
          <w:tcPr>
            <w:tcW w:w="1620" w:type="dxa"/>
            <w:tcBorders>
              <w:bottom w:val="single" w:color="auto" w:sz="4" w:space="0"/>
            </w:tcBorders>
            <w:shd w:val="clear" w:color="auto" w:fill="D9D9D9"/>
            <w:vAlign w:val="bottom"/>
          </w:tcPr>
          <w:p w:rsidRPr="00F5428B" w:rsidR="002C118D" w:rsidP="008D4689" w:rsidRDefault="002C118D" w14:paraId="7A51479E" w14:textId="77777777">
            <w:pPr>
              <w:jc w:val="center"/>
              <w:rPr>
                <w:rFonts w:eastAsia="Calibri"/>
                <w:b/>
                <w:sz w:val="24"/>
              </w:rPr>
            </w:pPr>
            <w:r w:rsidRPr="00F5428B">
              <w:rPr>
                <w:rFonts w:eastAsia="Calibri"/>
                <w:b/>
                <w:sz w:val="24"/>
              </w:rPr>
              <w:t>Previously Approved</w:t>
            </w:r>
          </w:p>
        </w:tc>
        <w:tc>
          <w:tcPr>
            <w:tcW w:w="1800" w:type="dxa"/>
            <w:tcBorders>
              <w:bottom w:val="single" w:color="auto" w:sz="4" w:space="0"/>
            </w:tcBorders>
            <w:shd w:val="clear" w:color="auto" w:fill="D9D9D9"/>
            <w:vAlign w:val="bottom"/>
          </w:tcPr>
          <w:p w:rsidRPr="00F5428B" w:rsidR="002C118D" w:rsidP="008D4689" w:rsidRDefault="002C118D" w14:paraId="1B357A8D" w14:textId="77777777">
            <w:pPr>
              <w:jc w:val="center"/>
              <w:rPr>
                <w:rFonts w:eastAsia="Calibri"/>
                <w:b/>
                <w:sz w:val="24"/>
              </w:rPr>
            </w:pPr>
            <w:r w:rsidRPr="00F5428B">
              <w:rPr>
                <w:rFonts w:eastAsia="Calibri"/>
                <w:b/>
                <w:sz w:val="24"/>
              </w:rPr>
              <w:t>Change due to Adjustment in Estimate</w:t>
            </w:r>
          </w:p>
        </w:tc>
        <w:tc>
          <w:tcPr>
            <w:tcW w:w="1957" w:type="dxa"/>
            <w:tcBorders>
              <w:bottom w:val="single" w:color="auto" w:sz="4" w:space="0"/>
            </w:tcBorders>
            <w:shd w:val="clear" w:color="auto" w:fill="D9D9D9"/>
            <w:vAlign w:val="bottom"/>
          </w:tcPr>
          <w:p w:rsidRPr="00F5428B" w:rsidR="002C118D" w:rsidP="008D4689" w:rsidRDefault="002C118D" w14:paraId="6DAB3A54" w14:textId="77777777">
            <w:pPr>
              <w:jc w:val="center"/>
              <w:rPr>
                <w:rFonts w:eastAsia="Calibri"/>
                <w:b/>
                <w:sz w:val="24"/>
              </w:rPr>
            </w:pPr>
            <w:r w:rsidRPr="00F5428B">
              <w:rPr>
                <w:rFonts w:eastAsia="Calibri"/>
                <w:b/>
                <w:sz w:val="24"/>
              </w:rPr>
              <w:t>Change Due to Agency Discretion</w:t>
            </w:r>
          </w:p>
        </w:tc>
      </w:tr>
      <w:tr w:rsidRPr="00F5428B" w:rsidR="002C118D" w:rsidTr="003F1AE2" w14:paraId="5A63EA38" w14:textId="77777777">
        <w:trPr>
          <w:trHeight w:val="431"/>
        </w:trPr>
        <w:tc>
          <w:tcPr>
            <w:tcW w:w="9517" w:type="dxa"/>
            <w:gridSpan w:val="5"/>
            <w:shd w:val="clear" w:color="auto" w:fill="C6D9F1" w:themeFill="text2" w:themeFillTint="33"/>
            <w:vAlign w:val="bottom"/>
          </w:tcPr>
          <w:p w:rsidRPr="00F5428B" w:rsidR="002C118D" w:rsidP="008D4689" w:rsidRDefault="005228C3" w14:paraId="076575C6" w14:textId="77777777">
            <w:pPr>
              <w:jc w:val="center"/>
              <w:rPr>
                <w:b/>
                <w:bCs/>
                <w:sz w:val="24"/>
              </w:rPr>
            </w:pPr>
            <w:r>
              <w:rPr>
                <w:b/>
                <w:bCs/>
                <w:sz w:val="24"/>
              </w:rPr>
              <w:t>FERC-545</w:t>
            </w:r>
          </w:p>
        </w:tc>
      </w:tr>
      <w:tr w:rsidRPr="00F5428B" w:rsidR="002C118D" w:rsidTr="003F1AE2" w14:paraId="05D53088" w14:textId="77777777">
        <w:trPr>
          <w:trHeight w:val="591"/>
        </w:trPr>
        <w:tc>
          <w:tcPr>
            <w:tcW w:w="2679" w:type="dxa"/>
            <w:shd w:val="clear" w:color="auto" w:fill="auto"/>
          </w:tcPr>
          <w:p w:rsidRPr="00F5428B" w:rsidR="002C118D" w:rsidP="008D4689" w:rsidRDefault="002C118D" w14:paraId="461D5683" w14:textId="77777777">
            <w:pPr>
              <w:jc w:val="center"/>
              <w:rPr>
                <w:rFonts w:eastAsia="Calibri"/>
                <w:sz w:val="24"/>
              </w:rPr>
            </w:pPr>
            <w:r w:rsidRPr="00F5428B">
              <w:rPr>
                <w:rFonts w:eastAsia="Calibri"/>
                <w:sz w:val="24"/>
              </w:rPr>
              <w:t>Annual Number of Responses</w:t>
            </w:r>
          </w:p>
        </w:tc>
        <w:tc>
          <w:tcPr>
            <w:tcW w:w="1461" w:type="dxa"/>
            <w:shd w:val="clear" w:color="auto" w:fill="auto"/>
            <w:vAlign w:val="bottom"/>
          </w:tcPr>
          <w:p w:rsidRPr="00F5428B" w:rsidR="002C118D" w:rsidP="00862E03" w:rsidRDefault="00862E03" w14:paraId="6E8CB634" w14:textId="6EB5362C">
            <w:pPr>
              <w:jc w:val="center"/>
              <w:rPr>
                <w:rFonts w:eastAsia="Calibri"/>
                <w:sz w:val="24"/>
              </w:rPr>
            </w:pPr>
            <w:r>
              <w:rPr>
                <w:rFonts w:eastAsia="Calibri"/>
                <w:sz w:val="24"/>
              </w:rPr>
              <w:t>1,465</w:t>
            </w:r>
          </w:p>
        </w:tc>
        <w:tc>
          <w:tcPr>
            <w:tcW w:w="1620" w:type="dxa"/>
            <w:shd w:val="clear" w:color="auto" w:fill="auto"/>
            <w:vAlign w:val="bottom"/>
          </w:tcPr>
          <w:p w:rsidRPr="00F5428B" w:rsidR="002C118D" w:rsidP="00862E03" w:rsidRDefault="003F1AE2" w14:paraId="2736E832" w14:textId="787E318D">
            <w:pPr>
              <w:jc w:val="center"/>
              <w:rPr>
                <w:rFonts w:eastAsia="Calibri"/>
                <w:sz w:val="24"/>
              </w:rPr>
            </w:pPr>
            <w:r>
              <w:rPr>
                <w:rFonts w:eastAsia="Calibri"/>
                <w:sz w:val="24"/>
              </w:rPr>
              <w:t>1287</w:t>
            </w:r>
          </w:p>
        </w:tc>
        <w:tc>
          <w:tcPr>
            <w:tcW w:w="1800" w:type="dxa"/>
            <w:shd w:val="clear" w:color="auto" w:fill="auto"/>
            <w:vAlign w:val="bottom"/>
          </w:tcPr>
          <w:p w:rsidRPr="00F5428B" w:rsidR="002C118D" w:rsidP="00862E03" w:rsidRDefault="00862E03" w14:paraId="00769106" w14:textId="5FC0C245">
            <w:pPr>
              <w:jc w:val="center"/>
              <w:rPr>
                <w:rFonts w:eastAsia="Calibri"/>
                <w:sz w:val="24"/>
              </w:rPr>
            </w:pPr>
            <w:r>
              <w:rPr>
                <w:rFonts w:eastAsia="Calibri"/>
                <w:sz w:val="24"/>
              </w:rPr>
              <w:t>178</w:t>
            </w:r>
          </w:p>
        </w:tc>
        <w:tc>
          <w:tcPr>
            <w:tcW w:w="1957" w:type="dxa"/>
            <w:shd w:val="clear" w:color="auto" w:fill="auto"/>
            <w:vAlign w:val="bottom"/>
          </w:tcPr>
          <w:p w:rsidRPr="00F5428B" w:rsidR="002C118D" w:rsidP="00862E03" w:rsidRDefault="00862E03" w14:paraId="5FA631E6" w14:textId="66DC1DAC">
            <w:pPr>
              <w:jc w:val="center"/>
              <w:rPr>
                <w:rFonts w:eastAsia="Calibri"/>
                <w:sz w:val="24"/>
              </w:rPr>
            </w:pPr>
            <w:r>
              <w:rPr>
                <w:rFonts w:eastAsia="Calibri"/>
                <w:sz w:val="24"/>
              </w:rPr>
              <w:t>0</w:t>
            </w:r>
          </w:p>
        </w:tc>
      </w:tr>
      <w:tr w:rsidRPr="00F5428B" w:rsidR="002C118D" w:rsidTr="003F1AE2" w14:paraId="4B89B22C" w14:textId="77777777">
        <w:trPr>
          <w:trHeight w:val="575"/>
        </w:trPr>
        <w:tc>
          <w:tcPr>
            <w:tcW w:w="2679" w:type="dxa"/>
            <w:shd w:val="clear" w:color="auto" w:fill="auto"/>
          </w:tcPr>
          <w:p w:rsidRPr="00F5428B" w:rsidR="002C118D" w:rsidP="008D4689" w:rsidRDefault="002C118D" w14:paraId="5EB38687" w14:textId="77777777">
            <w:pPr>
              <w:jc w:val="center"/>
              <w:rPr>
                <w:rFonts w:eastAsia="Calibri"/>
                <w:sz w:val="24"/>
              </w:rPr>
            </w:pPr>
            <w:r w:rsidRPr="00F5428B">
              <w:rPr>
                <w:rFonts w:eastAsia="Calibri"/>
                <w:sz w:val="24"/>
              </w:rPr>
              <w:t>Annual Time Burden (Hr.)</w:t>
            </w:r>
          </w:p>
        </w:tc>
        <w:tc>
          <w:tcPr>
            <w:tcW w:w="1461" w:type="dxa"/>
            <w:shd w:val="clear" w:color="auto" w:fill="auto"/>
            <w:vAlign w:val="bottom"/>
          </w:tcPr>
          <w:p w:rsidRPr="00F5428B" w:rsidR="002C118D" w:rsidP="00862E03" w:rsidRDefault="00862E03" w14:paraId="283CE0EE" w14:textId="42099D7F">
            <w:pPr>
              <w:jc w:val="center"/>
              <w:rPr>
                <w:rFonts w:eastAsia="Calibri"/>
                <w:sz w:val="24"/>
              </w:rPr>
            </w:pPr>
            <w:r>
              <w:rPr>
                <w:rFonts w:eastAsia="Calibri"/>
                <w:sz w:val="24"/>
              </w:rPr>
              <w:t>2</w:t>
            </w:r>
            <w:r w:rsidR="002C7122">
              <w:rPr>
                <w:rFonts w:eastAsia="Calibri"/>
                <w:sz w:val="24"/>
              </w:rPr>
              <w:t>40,668</w:t>
            </w:r>
          </w:p>
        </w:tc>
        <w:tc>
          <w:tcPr>
            <w:tcW w:w="1620" w:type="dxa"/>
            <w:shd w:val="clear" w:color="auto" w:fill="auto"/>
            <w:vAlign w:val="bottom"/>
          </w:tcPr>
          <w:p w:rsidRPr="00F5428B" w:rsidR="002C118D" w:rsidP="00862E03" w:rsidRDefault="0073773B" w14:paraId="428DD5EA" w14:textId="37236C41">
            <w:pPr>
              <w:jc w:val="center"/>
              <w:rPr>
                <w:rFonts w:eastAsia="Calibri"/>
                <w:sz w:val="24"/>
              </w:rPr>
            </w:pPr>
            <w:r>
              <w:rPr>
                <w:rFonts w:eastAsia="Calibri"/>
                <w:sz w:val="24"/>
              </w:rPr>
              <w:t>2</w:t>
            </w:r>
            <w:r w:rsidR="003F1AE2">
              <w:rPr>
                <w:rFonts w:eastAsia="Calibri"/>
                <w:sz w:val="24"/>
              </w:rPr>
              <w:t>38,888</w:t>
            </w:r>
          </w:p>
        </w:tc>
        <w:tc>
          <w:tcPr>
            <w:tcW w:w="1800" w:type="dxa"/>
            <w:shd w:val="clear" w:color="auto" w:fill="auto"/>
            <w:vAlign w:val="bottom"/>
          </w:tcPr>
          <w:p w:rsidRPr="00F5428B" w:rsidR="002C118D" w:rsidP="00862E03" w:rsidRDefault="00862E03" w14:paraId="56544879" w14:textId="0CE6A02F">
            <w:pPr>
              <w:jc w:val="center"/>
              <w:rPr>
                <w:rFonts w:eastAsia="Calibri"/>
                <w:sz w:val="24"/>
              </w:rPr>
            </w:pPr>
            <w:r>
              <w:rPr>
                <w:rFonts w:eastAsia="Calibri"/>
                <w:sz w:val="24"/>
              </w:rPr>
              <w:t>1</w:t>
            </w:r>
            <w:r w:rsidR="002C7122">
              <w:rPr>
                <w:rFonts w:eastAsia="Calibri"/>
                <w:sz w:val="24"/>
              </w:rPr>
              <w:t>,780</w:t>
            </w:r>
          </w:p>
        </w:tc>
        <w:tc>
          <w:tcPr>
            <w:tcW w:w="1957" w:type="dxa"/>
            <w:shd w:val="clear" w:color="auto" w:fill="auto"/>
            <w:vAlign w:val="bottom"/>
          </w:tcPr>
          <w:p w:rsidRPr="00F5428B" w:rsidR="002C118D" w:rsidP="00862E03" w:rsidRDefault="00862E03" w14:paraId="7A6D3B52" w14:textId="256B42F3">
            <w:pPr>
              <w:jc w:val="center"/>
              <w:rPr>
                <w:rFonts w:eastAsia="Calibri"/>
                <w:sz w:val="24"/>
              </w:rPr>
            </w:pPr>
            <w:r>
              <w:rPr>
                <w:rFonts w:eastAsia="Calibri"/>
                <w:sz w:val="24"/>
              </w:rPr>
              <w:t>0</w:t>
            </w:r>
          </w:p>
        </w:tc>
      </w:tr>
      <w:tr w:rsidRPr="00F5428B" w:rsidR="002C118D" w:rsidTr="003F1AE2" w14:paraId="3CC2CB67" w14:textId="77777777">
        <w:trPr>
          <w:trHeight w:val="295"/>
        </w:trPr>
        <w:tc>
          <w:tcPr>
            <w:tcW w:w="2679" w:type="dxa"/>
            <w:tcBorders>
              <w:bottom w:val="single" w:color="auto" w:sz="4" w:space="0"/>
            </w:tcBorders>
            <w:shd w:val="clear" w:color="auto" w:fill="auto"/>
          </w:tcPr>
          <w:p w:rsidRPr="00F5428B" w:rsidR="002C118D" w:rsidP="008D4689" w:rsidRDefault="002C118D" w14:paraId="7C8525B6" w14:textId="77777777">
            <w:pPr>
              <w:jc w:val="center"/>
              <w:rPr>
                <w:rFonts w:eastAsia="Calibri"/>
                <w:sz w:val="24"/>
              </w:rPr>
            </w:pPr>
            <w:r w:rsidRPr="00F5428B">
              <w:rPr>
                <w:rFonts w:eastAsia="Calibri"/>
                <w:sz w:val="24"/>
              </w:rPr>
              <w:t>Annual Cost Burden ($)</w:t>
            </w:r>
          </w:p>
        </w:tc>
        <w:tc>
          <w:tcPr>
            <w:tcW w:w="1461" w:type="dxa"/>
            <w:tcBorders>
              <w:bottom w:val="single" w:color="auto" w:sz="4" w:space="0"/>
            </w:tcBorders>
            <w:shd w:val="clear" w:color="auto" w:fill="auto"/>
            <w:vAlign w:val="bottom"/>
          </w:tcPr>
          <w:p w:rsidRPr="00F5428B" w:rsidR="002C118D" w:rsidP="00862E03" w:rsidRDefault="002C118D" w14:paraId="1B04AE41" w14:textId="77777777">
            <w:pPr>
              <w:jc w:val="center"/>
              <w:rPr>
                <w:rFonts w:eastAsia="Calibri"/>
                <w:sz w:val="24"/>
                <w:highlight w:val="yellow"/>
              </w:rPr>
            </w:pPr>
            <w:r w:rsidRPr="00F5428B">
              <w:rPr>
                <w:rFonts w:eastAsia="Calibri"/>
                <w:sz w:val="24"/>
              </w:rPr>
              <w:t>$0</w:t>
            </w:r>
          </w:p>
        </w:tc>
        <w:tc>
          <w:tcPr>
            <w:tcW w:w="1620" w:type="dxa"/>
            <w:tcBorders>
              <w:bottom w:val="single" w:color="auto" w:sz="4" w:space="0"/>
            </w:tcBorders>
            <w:shd w:val="clear" w:color="auto" w:fill="auto"/>
            <w:vAlign w:val="bottom"/>
          </w:tcPr>
          <w:p w:rsidRPr="00F5428B" w:rsidR="002C118D" w:rsidP="00862E03" w:rsidRDefault="002C118D" w14:paraId="1D9DC643" w14:textId="77777777">
            <w:pPr>
              <w:jc w:val="center"/>
              <w:rPr>
                <w:rFonts w:eastAsia="Calibri"/>
                <w:sz w:val="24"/>
              </w:rPr>
            </w:pPr>
            <w:r w:rsidRPr="00F5428B">
              <w:rPr>
                <w:rFonts w:eastAsia="Calibri"/>
                <w:sz w:val="24"/>
              </w:rPr>
              <w:t>$0</w:t>
            </w:r>
          </w:p>
        </w:tc>
        <w:tc>
          <w:tcPr>
            <w:tcW w:w="1800" w:type="dxa"/>
            <w:tcBorders>
              <w:bottom w:val="single" w:color="auto" w:sz="4" w:space="0"/>
            </w:tcBorders>
            <w:shd w:val="clear" w:color="auto" w:fill="auto"/>
            <w:vAlign w:val="bottom"/>
          </w:tcPr>
          <w:p w:rsidRPr="00F5428B" w:rsidR="002C118D" w:rsidP="00862E03" w:rsidRDefault="002C118D" w14:paraId="48CBB93A" w14:textId="77777777">
            <w:pPr>
              <w:jc w:val="center"/>
              <w:rPr>
                <w:rFonts w:eastAsia="Calibri"/>
                <w:sz w:val="24"/>
              </w:rPr>
            </w:pPr>
            <w:r w:rsidRPr="00F5428B">
              <w:rPr>
                <w:rFonts w:eastAsia="Calibri"/>
                <w:sz w:val="24"/>
              </w:rPr>
              <w:t>$0</w:t>
            </w:r>
          </w:p>
        </w:tc>
        <w:tc>
          <w:tcPr>
            <w:tcW w:w="1957" w:type="dxa"/>
            <w:tcBorders>
              <w:bottom w:val="single" w:color="auto" w:sz="4" w:space="0"/>
            </w:tcBorders>
            <w:shd w:val="clear" w:color="auto" w:fill="auto"/>
            <w:vAlign w:val="bottom"/>
          </w:tcPr>
          <w:p w:rsidRPr="00F5428B" w:rsidR="002C118D" w:rsidP="00862E03" w:rsidRDefault="002C118D" w14:paraId="4A8DCB73" w14:textId="77777777">
            <w:pPr>
              <w:jc w:val="center"/>
              <w:rPr>
                <w:rFonts w:eastAsia="Calibri"/>
                <w:sz w:val="24"/>
              </w:rPr>
            </w:pPr>
            <w:r w:rsidRPr="00F5428B">
              <w:rPr>
                <w:rFonts w:eastAsia="Calibri"/>
                <w:sz w:val="24"/>
              </w:rPr>
              <w:t>$0</w:t>
            </w:r>
          </w:p>
        </w:tc>
      </w:tr>
    </w:tbl>
    <w:p w:rsidR="002C118D" w:rsidP="00BC15BE" w:rsidRDefault="002C118D" w14:paraId="1801F2FB" w14:textId="4001F7A9">
      <w:pPr>
        <w:rPr>
          <w:sz w:val="24"/>
        </w:rPr>
      </w:pPr>
    </w:p>
    <w:p w:rsidR="00862E03" w:rsidP="00BC15BE" w:rsidRDefault="00862E03" w14:paraId="2686D727" w14:textId="1DF8B4F5">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862E03" w:rsidR="00862E03" w:rsidTr="00E3104D" w14:paraId="184E9D04" w14:textId="77777777">
        <w:trPr>
          <w:trHeight w:val="870"/>
        </w:trPr>
        <w:tc>
          <w:tcPr>
            <w:tcW w:w="2679" w:type="dxa"/>
            <w:tcBorders>
              <w:bottom w:val="single" w:color="auto" w:sz="4" w:space="0"/>
            </w:tcBorders>
            <w:shd w:val="clear" w:color="auto" w:fill="D9D9D9"/>
            <w:vAlign w:val="bottom"/>
          </w:tcPr>
          <w:p w:rsidRPr="00862E03" w:rsidR="00862E03" w:rsidP="00862E03" w:rsidRDefault="00862E03" w14:paraId="6ABE724F" w14:textId="77777777">
            <w:pPr>
              <w:rPr>
                <w:b/>
                <w:sz w:val="24"/>
              </w:rPr>
            </w:pPr>
          </w:p>
        </w:tc>
        <w:tc>
          <w:tcPr>
            <w:tcW w:w="1461" w:type="dxa"/>
            <w:tcBorders>
              <w:bottom w:val="single" w:color="auto" w:sz="4" w:space="0"/>
            </w:tcBorders>
            <w:shd w:val="clear" w:color="auto" w:fill="D9D9D9"/>
            <w:vAlign w:val="bottom"/>
          </w:tcPr>
          <w:p w:rsidRPr="00862E03" w:rsidR="00862E03" w:rsidP="00862E03" w:rsidRDefault="00862E03" w14:paraId="2734319E" w14:textId="77777777">
            <w:pPr>
              <w:rPr>
                <w:b/>
                <w:sz w:val="24"/>
              </w:rPr>
            </w:pPr>
            <w:r w:rsidRPr="00862E03">
              <w:rPr>
                <w:b/>
                <w:sz w:val="24"/>
              </w:rPr>
              <w:t>Total Request</w:t>
            </w:r>
          </w:p>
        </w:tc>
        <w:tc>
          <w:tcPr>
            <w:tcW w:w="1620" w:type="dxa"/>
            <w:tcBorders>
              <w:bottom w:val="single" w:color="auto" w:sz="4" w:space="0"/>
            </w:tcBorders>
            <w:shd w:val="clear" w:color="auto" w:fill="D9D9D9"/>
            <w:vAlign w:val="bottom"/>
          </w:tcPr>
          <w:p w:rsidRPr="00862E03" w:rsidR="00862E03" w:rsidP="00862E03" w:rsidRDefault="00862E03" w14:paraId="186049FA" w14:textId="77777777">
            <w:pPr>
              <w:rPr>
                <w:b/>
                <w:sz w:val="24"/>
              </w:rPr>
            </w:pPr>
            <w:r w:rsidRPr="00862E03">
              <w:rPr>
                <w:b/>
                <w:sz w:val="24"/>
              </w:rPr>
              <w:t>Previously Approved</w:t>
            </w:r>
          </w:p>
        </w:tc>
        <w:tc>
          <w:tcPr>
            <w:tcW w:w="1800" w:type="dxa"/>
            <w:tcBorders>
              <w:bottom w:val="single" w:color="auto" w:sz="4" w:space="0"/>
            </w:tcBorders>
            <w:shd w:val="clear" w:color="auto" w:fill="D9D9D9"/>
            <w:vAlign w:val="bottom"/>
          </w:tcPr>
          <w:p w:rsidRPr="00862E03" w:rsidR="00862E03" w:rsidP="00862E03" w:rsidRDefault="00862E03" w14:paraId="4102AB8D" w14:textId="77777777">
            <w:pPr>
              <w:rPr>
                <w:b/>
                <w:sz w:val="24"/>
              </w:rPr>
            </w:pPr>
            <w:r w:rsidRPr="00862E03">
              <w:rPr>
                <w:b/>
                <w:sz w:val="24"/>
              </w:rPr>
              <w:t>Change due to Adjustment in Estimate</w:t>
            </w:r>
          </w:p>
        </w:tc>
        <w:tc>
          <w:tcPr>
            <w:tcW w:w="1957" w:type="dxa"/>
            <w:tcBorders>
              <w:bottom w:val="single" w:color="auto" w:sz="4" w:space="0"/>
            </w:tcBorders>
            <w:shd w:val="clear" w:color="auto" w:fill="D9D9D9"/>
            <w:vAlign w:val="bottom"/>
          </w:tcPr>
          <w:p w:rsidRPr="00862E03" w:rsidR="00862E03" w:rsidP="00862E03" w:rsidRDefault="00862E03" w14:paraId="1E7C0EC0" w14:textId="77777777">
            <w:pPr>
              <w:rPr>
                <w:b/>
                <w:sz w:val="24"/>
              </w:rPr>
            </w:pPr>
            <w:r w:rsidRPr="00862E03">
              <w:rPr>
                <w:b/>
                <w:sz w:val="24"/>
              </w:rPr>
              <w:t>Change Due to Agency Discretion</w:t>
            </w:r>
          </w:p>
        </w:tc>
      </w:tr>
      <w:tr w:rsidRPr="00862E03" w:rsidR="00862E03" w:rsidTr="00E3104D" w14:paraId="2C22EF4C" w14:textId="77777777">
        <w:trPr>
          <w:trHeight w:val="431"/>
        </w:trPr>
        <w:tc>
          <w:tcPr>
            <w:tcW w:w="9517" w:type="dxa"/>
            <w:gridSpan w:val="5"/>
            <w:shd w:val="clear" w:color="auto" w:fill="C6D9F1" w:themeFill="text2" w:themeFillTint="33"/>
            <w:vAlign w:val="bottom"/>
          </w:tcPr>
          <w:p w:rsidRPr="00862E03" w:rsidR="00862E03" w:rsidP="00862E03" w:rsidRDefault="00862E03" w14:paraId="1AEA5DF3" w14:textId="0C1183A8">
            <w:pPr>
              <w:jc w:val="center"/>
              <w:rPr>
                <w:b/>
                <w:bCs/>
                <w:sz w:val="24"/>
              </w:rPr>
            </w:pPr>
            <w:r w:rsidRPr="00862E03">
              <w:rPr>
                <w:b/>
                <w:bCs/>
                <w:sz w:val="24"/>
              </w:rPr>
              <w:t>FERC-54</w:t>
            </w:r>
            <w:r>
              <w:rPr>
                <w:b/>
                <w:bCs/>
                <w:sz w:val="24"/>
              </w:rPr>
              <w:t>9C</w:t>
            </w:r>
          </w:p>
        </w:tc>
      </w:tr>
      <w:tr w:rsidRPr="00862E03" w:rsidR="00862E03" w:rsidTr="00E3104D" w14:paraId="543AF2B3" w14:textId="77777777">
        <w:trPr>
          <w:trHeight w:val="591"/>
        </w:trPr>
        <w:tc>
          <w:tcPr>
            <w:tcW w:w="2679" w:type="dxa"/>
            <w:shd w:val="clear" w:color="auto" w:fill="auto"/>
          </w:tcPr>
          <w:p w:rsidRPr="00862E03" w:rsidR="00862E03" w:rsidP="00862E03" w:rsidRDefault="00862E03" w14:paraId="5342FD0B" w14:textId="77777777">
            <w:pPr>
              <w:rPr>
                <w:sz w:val="24"/>
              </w:rPr>
            </w:pPr>
            <w:r w:rsidRPr="00862E03">
              <w:rPr>
                <w:sz w:val="24"/>
              </w:rPr>
              <w:t>Annual Number of Responses</w:t>
            </w:r>
          </w:p>
        </w:tc>
        <w:tc>
          <w:tcPr>
            <w:tcW w:w="1461" w:type="dxa"/>
            <w:shd w:val="clear" w:color="auto" w:fill="auto"/>
            <w:vAlign w:val="bottom"/>
          </w:tcPr>
          <w:p w:rsidRPr="00862E03" w:rsidR="00862E03" w:rsidP="00862E03" w:rsidRDefault="00862E03" w14:paraId="4BF25EF2" w14:textId="399BFFA0">
            <w:pPr>
              <w:jc w:val="center"/>
              <w:rPr>
                <w:sz w:val="24"/>
              </w:rPr>
            </w:pPr>
            <w:r>
              <w:rPr>
                <w:sz w:val="24"/>
              </w:rPr>
              <w:t>723</w:t>
            </w:r>
          </w:p>
        </w:tc>
        <w:tc>
          <w:tcPr>
            <w:tcW w:w="1620" w:type="dxa"/>
            <w:shd w:val="clear" w:color="auto" w:fill="auto"/>
            <w:vAlign w:val="bottom"/>
          </w:tcPr>
          <w:p w:rsidRPr="00862E03" w:rsidR="00862E03" w:rsidP="00862E03" w:rsidRDefault="00862E03" w14:paraId="2C313C7D" w14:textId="53A951A0">
            <w:pPr>
              <w:jc w:val="center"/>
              <w:rPr>
                <w:sz w:val="24"/>
              </w:rPr>
            </w:pPr>
            <w:r>
              <w:rPr>
                <w:sz w:val="24"/>
              </w:rPr>
              <w:t>545</w:t>
            </w:r>
          </w:p>
        </w:tc>
        <w:tc>
          <w:tcPr>
            <w:tcW w:w="1800" w:type="dxa"/>
            <w:shd w:val="clear" w:color="auto" w:fill="auto"/>
            <w:vAlign w:val="bottom"/>
          </w:tcPr>
          <w:p w:rsidRPr="00862E03" w:rsidR="00862E03" w:rsidP="00862E03" w:rsidRDefault="00862E03" w14:paraId="77EA4154" w14:textId="22F1104F">
            <w:pPr>
              <w:jc w:val="center"/>
              <w:rPr>
                <w:sz w:val="24"/>
              </w:rPr>
            </w:pPr>
            <w:r>
              <w:rPr>
                <w:sz w:val="24"/>
              </w:rPr>
              <w:t>178</w:t>
            </w:r>
          </w:p>
        </w:tc>
        <w:tc>
          <w:tcPr>
            <w:tcW w:w="1957" w:type="dxa"/>
            <w:shd w:val="clear" w:color="auto" w:fill="auto"/>
            <w:vAlign w:val="bottom"/>
          </w:tcPr>
          <w:p w:rsidRPr="00862E03" w:rsidR="00862E03" w:rsidP="00862E03" w:rsidRDefault="00862E03" w14:paraId="70D91D03" w14:textId="1B0340DD">
            <w:pPr>
              <w:jc w:val="center"/>
              <w:rPr>
                <w:sz w:val="24"/>
              </w:rPr>
            </w:pPr>
            <w:r>
              <w:rPr>
                <w:sz w:val="24"/>
              </w:rPr>
              <w:t>0</w:t>
            </w:r>
          </w:p>
        </w:tc>
      </w:tr>
      <w:tr w:rsidRPr="00862E03" w:rsidR="00862E03" w:rsidTr="00E3104D" w14:paraId="6E286B1C" w14:textId="77777777">
        <w:trPr>
          <w:trHeight w:val="575"/>
        </w:trPr>
        <w:tc>
          <w:tcPr>
            <w:tcW w:w="2679" w:type="dxa"/>
            <w:shd w:val="clear" w:color="auto" w:fill="auto"/>
          </w:tcPr>
          <w:p w:rsidRPr="00862E03" w:rsidR="00862E03" w:rsidP="00862E03" w:rsidRDefault="00862E03" w14:paraId="747DAB8B" w14:textId="77777777">
            <w:pPr>
              <w:rPr>
                <w:sz w:val="24"/>
              </w:rPr>
            </w:pPr>
            <w:r w:rsidRPr="00862E03">
              <w:rPr>
                <w:sz w:val="24"/>
              </w:rPr>
              <w:t>Annual Time Burden (Hr.)</w:t>
            </w:r>
          </w:p>
        </w:tc>
        <w:tc>
          <w:tcPr>
            <w:tcW w:w="1461" w:type="dxa"/>
            <w:shd w:val="clear" w:color="auto" w:fill="auto"/>
            <w:vAlign w:val="bottom"/>
          </w:tcPr>
          <w:p w:rsidRPr="00862E03" w:rsidR="00862E03" w:rsidP="00862E03" w:rsidRDefault="00862E03" w14:paraId="142AF0A1" w14:textId="4D606430">
            <w:pPr>
              <w:jc w:val="center"/>
              <w:rPr>
                <w:sz w:val="24"/>
              </w:rPr>
            </w:pPr>
            <w:r>
              <w:rPr>
                <w:sz w:val="24"/>
              </w:rPr>
              <w:t>66,050</w:t>
            </w:r>
          </w:p>
        </w:tc>
        <w:tc>
          <w:tcPr>
            <w:tcW w:w="1620" w:type="dxa"/>
            <w:shd w:val="clear" w:color="auto" w:fill="auto"/>
            <w:vAlign w:val="bottom"/>
          </w:tcPr>
          <w:p w:rsidRPr="00862E03" w:rsidR="00862E03" w:rsidP="00862E03" w:rsidRDefault="00862E03" w14:paraId="4E5E1127" w14:textId="53C9584C">
            <w:pPr>
              <w:jc w:val="center"/>
              <w:rPr>
                <w:sz w:val="24"/>
              </w:rPr>
            </w:pPr>
            <w:r>
              <w:rPr>
                <w:sz w:val="24"/>
              </w:rPr>
              <w:t>48,250</w:t>
            </w:r>
          </w:p>
        </w:tc>
        <w:tc>
          <w:tcPr>
            <w:tcW w:w="1800" w:type="dxa"/>
            <w:shd w:val="clear" w:color="auto" w:fill="auto"/>
            <w:vAlign w:val="bottom"/>
          </w:tcPr>
          <w:p w:rsidRPr="00862E03" w:rsidR="00862E03" w:rsidP="00862E03" w:rsidRDefault="00862E03" w14:paraId="09C4D5A5" w14:textId="280D22F8">
            <w:pPr>
              <w:jc w:val="center"/>
              <w:rPr>
                <w:sz w:val="24"/>
              </w:rPr>
            </w:pPr>
            <w:r>
              <w:rPr>
                <w:sz w:val="24"/>
              </w:rPr>
              <w:t>17,800</w:t>
            </w:r>
          </w:p>
        </w:tc>
        <w:tc>
          <w:tcPr>
            <w:tcW w:w="1957" w:type="dxa"/>
            <w:shd w:val="clear" w:color="auto" w:fill="auto"/>
            <w:vAlign w:val="bottom"/>
          </w:tcPr>
          <w:p w:rsidRPr="00862E03" w:rsidR="00862E03" w:rsidP="00862E03" w:rsidRDefault="00862E03" w14:paraId="5F44D190" w14:textId="1EF43A99">
            <w:pPr>
              <w:jc w:val="center"/>
              <w:rPr>
                <w:sz w:val="24"/>
              </w:rPr>
            </w:pPr>
            <w:r>
              <w:rPr>
                <w:sz w:val="24"/>
              </w:rPr>
              <w:t>0</w:t>
            </w:r>
          </w:p>
        </w:tc>
      </w:tr>
      <w:tr w:rsidRPr="00862E03" w:rsidR="00862E03" w:rsidTr="00E3104D" w14:paraId="15FB5753" w14:textId="77777777">
        <w:trPr>
          <w:trHeight w:val="295"/>
        </w:trPr>
        <w:tc>
          <w:tcPr>
            <w:tcW w:w="2679" w:type="dxa"/>
            <w:tcBorders>
              <w:bottom w:val="single" w:color="auto" w:sz="4" w:space="0"/>
            </w:tcBorders>
            <w:shd w:val="clear" w:color="auto" w:fill="auto"/>
          </w:tcPr>
          <w:p w:rsidRPr="00862E03" w:rsidR="00862E03" w:rsidP="00862E03" w:rsidRDefault="00862E03" w14:paraId="1FA1FD4C" w14:textId="77777777">
            <w:pPr>
              <w:rPr>
                <w:sz w:val="24"/>
              </w:rPr>
            </w:pPr>
            <w:r w:rsidRPr="00862E03">
              <w:rPr>
                <w:sz w:val="24"/>
              </w:rPr>
              <w:t>Annual Cost Burden ($)</w:t>
            </w:r>
          </w:p>
        </w:tc>
        <w:tc>
          <w:tcPr>
            <w:tcW w:w="1461" w:type="dxa"/>
            <w:tcBorders>
              <w:bottom w:val="single" w:color="auto" w:sz="4" w:space="0"/>
            </w:tcBorders>
            <w:shd w:val="clear" w:color="auto" w:fill="auto"/>
            <w:vAlign w:val="bottom"/>
          </w:tcPr>
          <w:p w:rsidRPr="00862E03" w:rsidR="00862E03" w:rsidP="00862E03" w:rsidRDefault="00862E03" w14:paraId="247F0448" w14:textId="77777777">
            <w:pPr>
              <w:jc w:val="center"/>
              <w:rPr>
                <w:sz w:val="24"/>
              </w:rPr>
            </w:pPr>
            <w:r w:rsidRPr="00862E03">
              <w:rPr>
                <w:sz w:val="24"/>
              </w:rPr>
              <w:t>$0</w:t>
            </w:r>
          </w:p>
        </w:tc>
        <w:tc>
          <w:tcPr>
            <w:tcW w:w="1620" w:type="dxa"/>
            <w:tcBorders>
              <w:bottom w:val="single" w:color="auto" w:sz="4" w:space="0"/>
            </w:tcBorders>
            <w:shd w:val="clear" w:color="auto" w:fill="auto"/>
            <w:vAlign w:val="bottom"/>
          </w:tcPr>
          <w:p w:rsidRPr="00862E03" w:rsidR="00862E03" w:rsidP="00862E03" w:rsidRDefault="00862E03" w14:paraId="37D4166C" w14:textId="77777777">
            <w:pPr>
              <w:jc w:val="center"/>
              <w:rPr>
                <w:sz w:val="24"/>
              </w:rPr>
            </w:pPr>
            <w:r w:rsidRPr="00862E03">
              <w:rPr>
                <w:sz w:val="24"/>
              </w:rPr>
              <w:t>$0</w:t>
            </w:r>
          </w:p>
        </w:tc>
        <w:tc>
          <w:tcPr>
            <w:tcW w:w="1800" w:type="dxa"/>
            <w:tcBorders>
              <w:bottom w:val="single" w:color="auto" w:sz="4" w:space="0"/>
            </w:tcBorders>
            <w:shd w:val="clear" w:color="auto" w:fill="auto"/>
            <w:vAlign w:val="bottom"/>
          </w:tcPr>
          <w:p w:rsidRPr="00862E03" w:rsidR="00862E03" w:rsidP="00862E03" w:rsidRDefault="00862E03" w14:paraId="5E6D0606" w14:textId="77777777">
            <w:pPr>
              <w:jc w:val="center"/>
              <w:rPr>
                <w:sz w:val="24"/>
              </w:rPr>
            </w:pPr>
            <w:r w:rsidRPr="00862E03">
              <w:rPr>
                <w:sz w:val="24"/>
              </w:rPr>
              <w:t>$0</w:t>
            </w:r>
          </w:p>
        </w:tc>
        <w:tc>
          <w:tcPr>
            <w:tcW w:w="1957" w:type="dxa"/>
            <w:tcBorders>
              <w:bottom w:val="single" w:color="auto" w:sz="4" w:space="0"/>
            </w:tcBorders>
            <w:shd w:val="clear" w:color="auto" w:fill="auto"/>
            <w:vAlign w:val="bottom"/>
          </w:tcPr>
          <w:p w:rsidRPr="00862E03" w:rsidR="00862E03" w:rsidP="00862E03" w:rsidRDefault="00862E03" w14:paraId="178CF763" w14:textId="77777777">
            <w:pPr>
              <w:jc w:val="center"/>
              <w:rPr>
                <w:sz w:val="24"/>
              </w:rPr>
            </w:pPr>
            <w:r w:rsidRPr="00862E03">
              <w:rPr>
                <w:sz w:val="24"/>
              </w:rPr>
              <w:t>$0</w:t>
            </w:r>
          </w:p>
        </w:tc>
      </w:tr>
    </w:tbl>
    <w:p w:rsidRPr="00F5428B" w:rsidR="00862E03" w:rsidP="00BC15BE" w:rsidRDefault="00862E03" w14:paraId="6942E0E9" w14:textId="77777777">
      <w:pPr>
        <w:rPr>
          <w:sz w:val="24"/>
        </w:rPr>
      </w:pPr>
    </w:p>
    <w:p w:rsidRPr="00F5428B" w:rsidR="00BC15BE" w:rsidP="00BC15BE" w:rsidRDefault="00BC15BE" w14:paraId="1DD34261" w14:textId="77777777">
      <w:pPr>
        <w:pStyle w:val="Level1"/>
        <w:rPr>
          <w:b/>
        </w:rPr>
      </w:pPr>
      <w:r w:rsidRPr="00F5428B">
        <w:rPr>
          <w:b/>
        </w:rPr>
        <w:t>TIME SCHEDULE FOR PUBLICATION OF DATA</w:t>
      </w:r>
    </w:p>
    <w:p w:rsidR="000C0189" w:rsidP="00BC15BE" w:rsidRDefault="000C0189" w14:paraId="0A20ADCA" w14:textId="77777777">
      <w:pPr>
        <w:rPr>
          <w:sz w:val="24"/>
        </w:rPr>
      </w:pPr>
    </w:p>
    <w:p w:rsidRPr="00F5428B" w:rsidR="00BC15BE" w:rsidP="00BC15BE" w:rsidRDefault="003D2136" w14:paraId="22B7D8AE" w14:textId="77777777">
      <w:pPr>
        <w:rPr>
          <w:sz w:val="24"/>
        </w:rPr>
      </w:pPr>
      <w:r w:rsidRPr="00F5428B">
        <w:rPr>
          <w:sz w:val="24"/>
        </w:rPr>
        <w:t>There are no publications of the information</w:t>
      </w:r>
      <w:r w:rsidRPr="00F5428B" w:rsidR="00BC15BE">
        <w:rPr>
          <w:sz w:val="24"/>
        </w:rPr>
        <w:t>.</w:t>
      </w:r>
    </w:p>
    <w:p w:rsidRPr="00F5428B" w:rsidR="00BC15BE" w:rsidP="00BC15BE" w:rsidRDefault="00BC15BE" w14:paraId="02004AD4" w14:textId="77777777">
      <w:pPr>
        <w:rPr>
          <w:sz w:val="24"/>
        </w:rPr>
      </w:pPr>
    </w:p>
    <w:p w:rsidRPr="00F5428B" w:rsidR="00BC15BE" w:rsidP="00BC15BE" w:rsidRDefault="00BC15BE" w14:paraId="604362A8" w14:textId="77777777">
      <w:pPr>
        <w:pStyle w:val="Level1"/>
        <w:rPr>
          <w:b/>
        </w:rPr>
      </w:pPr>
      <w:r w:rsidRPr="00F5428B">
        <w:rPr>
          <w:b/>
        </w:rPr>
        <w:t>DISPLAY OF EXPIRATION DATE</w:t>
      </w:r>
    </w:p>
    <w:p w:rsidR="000C0189" w:rsidP="00BC15BE" w:rsidRDefault="000C0189" w14:paraId="3EFB0E76" w14:textId="77777777">
      <w:pPr>
        <w:rPr>
          <w:sz w:val="24"/>
        </w:rPr>
      </w:pPr>
    </w:p>
    <w:p w:rsidRPr="00F5428B" w:rsidR="00BC15BE" w:rsidP="00BC15BE" w:rsidRDefault="003D2136" w14:paraId="40669138" w14:textId="0F1533D2">
      <w:pPr>
        <w:rPr>
          <w:sz w:val="24"/>
        </w:rPr>
      </w:pPr>
      <w:r w:rsidRPr="00F5428B">
        <w:rPr>
          <w:sz w:val="24"/>
        </w:rPr>
        <w:t xml:space="preserve">The expiration dates are displayed on ferc.gov with links to the updated table from </w:t>
      </w:r>
      <w:hyperlink w:history="1" r:id="rId13">
        <w:r w:rsidRPr="00232BA8" w:rsidR="003F1AE2">
          <w:rPr>
            <w:rStyle w:val="Hyperlink"/>
            <w:sz w:val="24"/>
          </w:rPr>
          <w:t>http://www.ferc.gov/docs-filing/efiling.asp</w:t>
        </w:r>
      </w:hyperlink>
      <w:r w:rsidRPr="00F5428B" w:rsidR="00BC15BE">
        <w:rPr>
          <w:sz w:val="24"/>
        </w:rPr>
        <w:t xml:space="preserve">. </w:t>
      </w:r>
    </w:p>
    <w:p w:rsidRPr="00F5428B" w:rsidR="00BC15BE" w:rsidP="00BC15BE" w:rsidRDefault="00BC15BE" w14:paraId="39DDEEB5" w14:textId="77777777">
      <w:pPr>
        <w:rPr>
          <w:sz w:val="24"/>
        </w:rPr>
      </w:pPr>
    </w:p>
    <w:p w:rsidRPr="00F5428B" w:rsidR="00BC15BE" w:rsidP="00BC15BE" w:rsidRDefault="00BC15BE" w14:paraId="121B55AC" w14:textId="77777777">
      <w:pPr>
        <w:pStyle w:val="Level1"/>
        <w:rPr>
          <w:b/>
        </w:rPr>
      </w:pPr>
      <w:r w:rsidRPr="00F5428B">
        <w:rPr>
          <w:b/>
        </w:rPr>
        <w:t>EXCEPTIONS TO THE CERTIFICATION STATEMENT</w:t>
      </w:r>
    </w:p>
    <w:p w:rsidR="000C0189" w:rsidP="00BC15BE" w:rsidRDefault="000C0189" w14:paraId="4508C369" w14:textId="77777777">
      <w:pPr>
        <w:rPr>
          <w:sz w:val="24"/>
        </w:rPr>
      </w:pPr>
    </w:p>
    <w:p w:rsidRPr="00F5428B" w:rsidR="00BC15BE" w:rsidP="00BC15BE" w:rsidRDefault="00BC15BE" w14:paraId="7C3D7C44" w14:textId="77777777">
      <w:pPr>
        <w:rPr>
          <w:sz w:val="24"/>
        </w:rPr>
      </w:pPr>
      <w:r w:rsidRPr="00F5428B">
        <w:rPr>
          <w:sz w:val="24"/>
        </w:rPr>
        <w:t>There are no exceptions.</w:t>
      </w:r>
    </w:p>
    <w:p w:rsidRPr="00F5428B" w:rsidR="0010764F" w:rsidRDefault="0010764F" w14:paraId="5DD536D6" w14:textId="77777777">
      <w:pPr>
        <w:rPr>
          <w:sz w:val="24"/>
        </w:rPr>
      </w:pPr>
    </w:p>
    <w:sectPr w:rsidRPr="00F5428B" w:rsidR="0010764F" w:rsidSect="008D468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9D3C" w14:textId="77777777" w:rsidR="007E1376" w:rsidRDefault="007E1376" w:rsidP="00BC15BE">
      <w:r>
        <w:separator/>
      </w:r>
    </w:p>
  </w:endnote>
  <w:endnote w:type="continuationSeparator" w:id="0">
    <w:p w14:paraId="5BE37EC2" w14:textId="77777777" w:rsidR="007E1376" w:rsidRDefault="007E1376" w:rsidP="00BC15BE">
      <w:r>
        <w:continuationSeparator/>
      </w:r>
    </w:p>
  </w:endnote>
  <w:endnote w:type="continuationNotice" w:id="1">
    <w:p w14:paraId="4D5046FC" w14:textId="77777777" w:rsidR="007E1376" w:rsidRDefault="007E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70E8" w14:textId="77777777" w:rsidR="001915FB" w:rsidRDefault="0019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3BC1" w14:textId="77777777" w:rsidR="001915FB" w:rsidRDefault="00191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6F92" w14:textId="77777777" w:rsidR="001915FB" w:rsidRDefault="0019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5C3B" w14:textId="77777777" w:rsidR="007E1376" w:rsidRDefault="007E1376" w:rsidP="00BC15BE">
      <w:r>
        <w:separator/>
      </w:r>
    </w:p>
  </w:footnote>
  <w:footnote w:type="continuationSeparator" w:id="0">
    <w:p w14:paraId="4EFB95B7" w14:textId="77777777" w:rsidR="007E1376" w:rsidRDefault="007E1376" w:rsidP="00BC15BE">
      <w:r>
        <w:continuationSeparator/>
      </w:r>
    </w:p>
  </w:footnote>
  <w:footnote w:type="continuationNotice" w:id="1">
    <w:p w14:paraId="6208BF88" w14:textId="77777777" w:rsidR="007E1376" w:rsidRDefault="007E1376"/>
  </w:footnote>
  <w:footnote w:id="2">
    <w:p w14:paraId="0CB6E7C8" w14:textId="77777777" w:rsidR="00B51119" w:rsidRDefault="00B51119" w:rsidP="00B51119">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 No.</w:t>
      </w:r>
      <w:r w:rsidRPr="00110725">
        <w:t xml:space="preserve"> 587</w:t>
      </w:r>
      <w:r w:rsidRPr="00BA1F44">
        <w:t xml:space="preserve">, FERC Stats. </w:t>
      </w:r>
      <w:r w:rsidRPr="00BA1F44">
        <w:br/>
        <w:t>&amp; Regs. ¶ 31,038</w:t>
      </w:r>
      <w:r w:rsidRPr="0000262C">
        <w:t xml:space="preserve"> (1996).</w:t>
      </w:r>
    </w:p>
  </w:footnote>
  <w:footnote w:id="3">
    <w:p w14:paraId="5FE6ABA9" w14:textId="77777777" w:rsidR="00B51119" w:rsidRDefault="00B51119" w:rsidP="00B51119">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4">
    <w:p w14:paraId="2F546197" w14:textId="77777777" w:rsidR="00B51119" w:rsidRDefault="00B51119" w:rsidP="00B51119">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5">
    <w:p w14:paraId="7D1B058B" w14:textId="77777777" w:rsidR="00E2173D" w:rsidRDefault="00E2173D" w:rsidP="00E2173D">
      <w:pPr>
        <w:pStyle w:val="FootnoteText"/>
      </w:pPr>
      <w:r w:rsidRPr="00932257">
        <w:rPr>
          <w:rStyle w:val="FootnoteReference"/>
        </w:rPr>
        <w:footnoteRef/>
      </w:r>
      <w:r>
        <w:t xml:space="preserve"> In the discussion below we identify the NAESB WGQ Version 3.2 Standards that we propose </w:t>
      </w:r>
      <w:r w:rsidRPr="00077D3E">
        <w:rPr>
          <w:u w:val="single"/>
        </w:rPr>
        <w:t>not</w:t>
      </w:r>
      <w:r>
        <w:t xml:space="preserve"> to incorporate by reference.</w:t>
      </w:r>
    </w:p>
  </w:footnote>
  <w:footnote w:id="6">
    <w:p w14:paraId="10B0AFBE" w14:textId="77777777" w:rsidR="00E2173D" w:rsidRDefault="00E2173D" w:rsidP="00E2173D">
      <w:pPr>
        <w:pStyle w:val="FootnoteText"/>
      </w:pPr>
      <w:r w:rsidRPr="00932257">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7">
    <w:p w14:paraId="6552C471"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Rivest-Shamir-Adelman is a public key infrastructure algorithm composed of a public component and a private component that is typically installed on a recognized Certificate Authority.</w:t>
      </w:r>
    </w:p>
  </w:footnote>
  <w:footnote w:id="8">
    <w:p w14:paraId="33471AA3"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Elliptic Curve Digital Signature Algorithm public keys generate an encrypted signature to validate data.</w:t>
      </w:r>
    </w:p>
  </w:footnote>
  <w:footnote w:id="9">
    <w:p w14:paraId="49D5B528" w14:textId="77777777" w:rsidR="00E2173D" w:rsidRPr="00093C52" w:rsidRDefault="00E2173D" w:rsidP="00E2173D">
      <w:pPr>
        <w:pStyle w:val="FootnoteText"/>
        <w:rPr>
          <w:szCs w:val="26"/>
        </w:rPr>
      </w:pPr>
      <w:r>
        <w:rPr>
          <w:rStyle w:val="FootnoteReference"/>
        </w:rPr>
        <w:footnoteRef/>
      </w:r>
      <w:r>
        <w:rPr>
          <w:szCs w:val="26"/>
        </w:rPr>
        <w:t xml:space="preserve"> A Hash is cryptology technique used for digital signatures in which a series of numbers that may represent, for example, a password, an image, a document, or an executable file is used to generate a cryptographic hash (i.e., a large number).</w:t>
      </w:r>
    </w:p>
  </w:footnote>
  <w:footnote w:id="10">
    <w:p w14:paraId="2693A67C" w14:textId="77777777" w:rsidR="00E2173D" w:rsidRPr="00093C52" w:rsidRDefault="00E2173D" w:rsidP="00E2173D">
      <w:pPr>
        <w:pStyle w:val="FootnoteText"/>
        <w:rPr>
          <w:szCs w:val="26"/>
        </w:rPr>
      </w:pPr>
      <w:r>
        <w:rPr>
          <w:rStyle w:val="FootnoteReference"/>
        </w:rPr>
        <w:footnoteRef/>
      </w:r>
      <w:r>
        <w:rPr>
          <w:szCs w:val="26"/>
        </w:rPr>
        <w:t xml:space="preserve"> SHA-2 is a set of cryptographic hash functions.</w:t>
      </w:r>
    </w:p>
  </w:footnote>
  <w:footnote w:id="11">
    <w:p w14:paraId="0966AC8E" w14:textId="77777777" w:rsidR="00E2173D" w:rsidRDefault="00E2173D" w:rsidP="00E2173D">
      <w:pPr>
        <w:pStyle w:val="FootnoteText"/>
        <w:rPr>
          <w:szCs w:val="26"/>
        </w:rPr>
      </w:pPr>
      <w:r>
        <w:rPr>
          <w:rStyle w:val="FootnoteReference"/>
        </w:rPr>
        <w:footnoteRef/>
      </w:r>
      <w:r>
        <w:rPr>
          <w:szCs w:val="26"/>
        </w:rPr>
        <w:t xml:space="preserve"> PGP is a proprietary (i.e., an organization must pay to use it) encryption program developed to enhance the confidentiality and integrity of data.</w:t>
      </w:r>
    </w:p>
  </w:footnote>
  <w:footnote w:id="12">
    <w:p w14:paraId="42F67E54" w14:textId="77777777" w:rsidR="00E2173D" w:rsidRPr="000603CD" w:rsidRDefault="00E2173D" w:rsidP="00E2173D">
      <w:pPr>
        <w:pStyle w:val="FootnoteText"/>
        <w:rPr>
          <w:szCs w:val="26"/>
        </w:rPr>
      </w:pPr>
      <w:r>
        <w:rPr>
          <w:rStyle w:val="FootnoteReference"/>
        </w:rPr>
        <w:footnoteRef/>
      </w:r>
      <w:r>
        <w:rPr>
          <w:szCs w:val="26"/>
        </w:rPr>
        <w:t xml:space="preserve"> OpenPGP is an encryption standard defined by the Internet Engineering Task Force enabling design and implementation free of licensing fees.  At present, the encryption method is generally considered the most secure.</w:t>
      </w:r>
    </w:p>
  </w:footnote>
  <w:footnote w:id="13">
    <w:p w14:paraId="055945F2" w14:textId="77777777" w:rsidR="00E2173D" w:rsidRPr="000603CD" w:rsidRDefault="00E2173D" w:rsidP="00E2173D">
      <w:pPr>
        <w:pStyle w:val="FootnoteText"/>
        <w:rPr>
          <w:szCs w:val="26"/>
        </w:rPr>
      </w:pPr>
      <w:r>
        <w:rPr>
          <w:rStyle w:val="FootnoteReference"/>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14">
    <w:p w14:paraId="4CDCF7D5" w14:textId="77777777" w:rsidR="00E2173D" w:rsidRPr="00093C52" w:rsidRDefault="00E2173D" w:rsidP="00E2173D">
      <w:pPr>
        <w:pStyle w:val="FootnoteText"/>
        <w:rPr>
          <w:szCs w:val="26"/>
        </w:rPr>
      </w:pPr>
      <w:r>
        <w:rPr>
          <w:rStyle w:val="FootnoteReference"/>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password combinations are not encrypted in HTTP basic authentication</w:t>
      </w:r>
      <w:r>
        <w:rPr>
          <w:szCs w:val="26"/>
        </w:rPr>
        <w:t>.</w:t>
      </w:r>
    </w:p>
  </w:footnote>
  <w:footnote w:id="15">
    <w:p w14:paraId="541C7295" w14:textId="77777777" w:rsidR="00E2173D" w:rsidRPr="000603CD" w:rsidRDefault="00E2173D" w:rsidP="00E2173D">
      <w:pPr>
        <w:pStyle w:val="FootnoteText"/>
        <w:rPr>
          <w:szCs w:val="26"/>
        </w:rPr>
      </w:pPr>
      <w:r>
        <w:rPr>
          <w:rStyle w:val="FootnoteReference"/>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16">
    <w:p w14:paraId="62648D8D"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NAESB WGQ Version 3.2 Standards 1.3.14, 1.3.15, 1.3.82, and 3.3.3.</w:t>
      </w:r>
    </w:p>
  </w:footnote>
  <w:footnote w:id="17">
    <w:p w14:paraId="469748BE"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NAESB WGQ Version 3.2 Standards 0.4.1 through 0.4.3, 1.4.1, 1.4.3 through 1.4.6, 2.4.1, 2.4.6, 2.4.17, 3.4.1, 3.4.2, 5.4.24 through 5.4.26.</w:t>
      </w:r>
    </w:p>
  </w:footnote>
  <w:footnote w:id="18">
    <w:p w14:paraId="34CE77CB" w14:textId="77777777" w:rsidR="00E2173D" w:rsidRDefault="00E2173D" w:rsidP="00E2173D">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39464E">
        <w:t>164 FERC ¶ 61,125</w:t>
      </w:r>
      <w:r>
        <w:t>, at P 16 (2018) (</w:t>
      </w:r>
      <w:r w:rsidRPr="000603CD">
        <w:rPr>
          <w:i/>
          <w:iCs/>
        </w:rPr>
        <w:t>WGQ Version 3.</w:t>
      </w:r>
      <w:r>
        <w:rPr>
          <w:i/>
          <w:iCs/>
        </w:rPr>
        <w:t>1</w:t>
      </w:r>
      <w:r w:rsidRPr="000603CD">
        <w:rPr>
          <w:i/>
          <w:iCs/>
        </w:rPr>
        <w:t xml:space="preserve"> NOPR</w:t>
      </w:r>
      <w:r>
        <w:t>).</w:t>
      </w:r>
    </w:p>
  </w:footnote>
  <w:footnote w:id="19">
    <w:p w14:paraId="6FD66742" w14:textId="77777777" w:rsidR="00E2173D" w:rsidRPr="00393FAA" w:rsidRDefault="00E2173D" w:rsidP="00E2173D">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Ord. No.</w:t>
      </w:r>
      <w:r w:rsidRPr="006224AA">
        <w:t xml:space="preserve"> 587-V, </w:t>
      </w:r>
      <w:r w:rsidRPr="008127C6">
        <w:t>140 FERC ¶ 61,036</w:t>
      </w:r>
      <w:r>
        <w:t>,</w:t>
      </w:r>
      <w:r w:rsidRPr="006224AA">
        <w:t xml:space="preserve"> at </w:t>
      </w:r>
      <w:r>
        <w:t>n.11 (2012) (Ord. No. 587-V).</w:t>
      </w:r>
    </w:p>
  </w:footnote>
  <w:footnote w:id="20">
    <w:p w14:paraId="0F4437E1" w14:textId="77777777" w:rsidR="00E2173D" w:rsidRDefault="00E2173D" w:rsidP="00E2173D">
      <w:pPr>
        <w:pStyle w:val="FootnoteText"/>
      </w:pPr>
      <w:r w:rsidRPr="00932257">
        <w:rPr>
          <w:rStyle w:val="FootnoteReference"/>
        </w:rPr>
        <w:footnoteRef/>
      </w:r>
      <w:r>
        <w:t xml:space="preserve"> </w:t>
      </w:r>
      <w:r w:rsidRPr="005B1E93">
        <w:rPr>
          <w:i/>
        </w:rPr>
        <w:t>WGQ Version 3.</w:t>
      </w:r>
      <w:r>
        <w:rPr>
          <w:i/>
        </w:rPr>
        <w:t>1</w:t>
      </w:r>
      <w:r w:rsidRPr="005B1E93">
        <w:rPr>
          <w:i/>
        </w:rPr>
        <w:t xml:space="preserve"> NOPR</w:t>
      </w:r>
      <w:r w:rsidRPr="005B1E93">
        <w:t xml:space="preserve">, </w:t>
      </w:r>
      <w:r w:rsidRPr="0039464E">
        <w:t>164 FERC ¶ 61,125</w:t>
      </w:r>
      <w:r w:rsidRPr="005B1E93">
        <w:t xml:space="preserve"> at P </w:t>
      </w:r>
      <w:r>
        <w:t xml:space="preserve">16; </w:t>
      </w:r>
      <w:r>
        <w:rPr>
          <w:i/>
        </w:rPr>
        <w:t>Elec.</w:t>
      </w:r>
      <w:r w:rsidRPr="006B6CBC">
        <w:rPr>
          <w:i/>
        </w:rPr>
        <w:t xml:space="preserve"> Tariff Filings</w:t>
      </w:r>
      <w:r>
        <w:t xml:space="preserve">, Ord. No. 714, </w:t>
      </w:r>
      <w:r w:rsidRPr="008127C6">
        <w:t>124 FERC ¶ 61,270</w:t>
      </w:r>
      <w:r>
        <w:t xml:space="preserve"> (2008).</w:t>
      </w:r>
    </w:p>
  </w:footnote>
  <w:footnote w:id="21">
    <w:p w14:paraId="4720719A" w14:textId="77777777" w:rsidR="00E2173D" w:rsidRDefault="00E2173D" w:rsidP="00E2173D">
      <w:pPr>
        <w:pStyle w:val="FootnoteText"/>
      </w:pPr>
      <w:r w:rsidRPr="00932257">
        <w:rPr>
          <w:rStyle w:val="FootnoteReference"/>
        </w:rPr>
        <w:footnoteRef/>
      </w:r>
      <w:r>
        <w:t xml:space="preserve"> Ord. No.</w:t>
      </w:r>
      <w:r w:rsidRPr="00561059">
        <w:t xml:space="preserve"> 587-V, </w:t>
      </w:r>
      <w:r w:rsidRPr="008127C6">
        <w:t>140 FERC ¶ 61,036</w:t>
      </w:r>
      <w:r w:rsidRPr="00561059">
        <w:t xml:space="preserve"> at</w:t>
      </w:r>
      <w:r>
        <w:t xml:space="preserve"> PP 36-39.</w:t>
      </w:r>
    </w:p>
  </w:footnote>
  <w:footnote w:id="22">
    <w:p w14:paraId="42B309FF" w14:textId="77777777" w:rsidR="00E2173D" w:rsidRDefault="00E2173D" w:rsidP="00E2173D">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xml:space="preserve"> </w:t>
      </w:r>
      <w:r w:rsidRPr="00561059">
        <w:t>61,167</w:t>
      </w:r>
      <w:r>
        <w:t>, at P 36 (2012) (Ord. No.</w:t>
      </w:r>
      <w:r w:rsidRPr="00716C7A">
        <w:t xml:space="preserve"> 587-V</w:t>
      </w:r>
      <w:r>
        <w:t xml:space="preserve"> Compliance Order).</w:t>
      </w:r>
    </w:p>
  </w:footnote>
  <w:footnote w:id="23">
    <w:p w14:paraId="69934870" w14:textId="77777777" w:rsidR="00E2173D" w:rsidRDefault="00E2173D" w:rsidP="00E2173D">
      <w:pPr>
        <w:pStyle w:val="FootnoteText"/>
      </w:pPr>
      <w:r w:rsidRPr="00932257">
        <w:rPr>
          <w:rStyle w:val="FootnoteReference"/>
        </w:rPr>
        <w:footnoteRef/>
      </w:r>
      <w:r>
        <w:t xml:space="preserve"> </w:t>
      </w:r>
      <w:r w:rsidRPr="00E832D2">
        <w:rPr>
          <w:i/>
        </w:rPr>
        <w:t>Id.</w:t>
      </w:r>
      <w:r w:rsidRPr="00E832D2">
        <w:t xml:space="preserve"> P 3</w:t>
      </w:r>
      <w:r>
        <w:t xml:space="preserve">6; </w:t>
      </w:r>
      <w:r w:rsidRPr="000603CD">
        <w:rPr>
          <w:i/>
          <w:iCs/>
        </w:rPr>
        <w:t>WGQ Version 3.1 NOPR</w:t>
      </w:r>
      <w:r>
        <w:t xml:space="preserve">, </w:t>
      </w:r>
      <w:r w:rsidRPr="0039464E">
        <w:t>164 FERC ¶ 61,125</w:t>
      </w:r>
      <w:r>
        <w:t xml:space="preserve"> at P 18</w:t>
      </w:r>
      <w:r w:rsidRPr="00E832D2">
        <w:t>.</w:t>
      </w:r>
    </w:p>
  </w:footnote>
  <w:footnote w:id="24">
    <w:p w14:paraId="524ED17E" w14:textId="77777777" w:rsidR="00E2173D" w:rsidRDefault="00E2173D" w:rsidP="00E2173D">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5">
    <w:p w14:paraId="34C7C2B0" w14:textId="77777777" w:rsidR="00E2173D" w:rsidRDefault="00E2173D" w:rsidP="00E2173D">
      <w:pPr>
        <w:pStyle w:val="FootnoteText"/>
      </w:pPr>
      <w:r w:rsidRPr="00932257">
        <w:rPr>
          <w:rStyle w:val="FootnoteReference"/>
        </w:rPr>
        <w:footnoteRef/>
      </w:r>
      <w:r>
        <w:t xml:space="preserve"> Ord. No. 587-V, </w:t>
      </w:r>
      <w:r w:rsidRPr="008127C6">
        <w:t>140 FERC ¶ 61,036</w:t>
      </w:r>
      <w:r>
        <w:t>.</w:t>
      </w:r>
    </w:p>
  </w:footnote>
  <w:footnote w:id="26">
    <w:p w14:paraId="6E84B3B3" w14:textId="77777777" w:rsidR="00E2173D" w:rsidRPr="00561059" w:rsidRDefault="00E2173D" w:rsidP="00E2173D">
      <w:pPr>
        <w:pStyle w:val="FootnoteText"/>
        <w:rPr>
          <w:color w:val="000000"/>
          <w:szCs w:val="23"/>
        </w:rPr>
      </w:pPr>
      <w:r w:rsidRPr="00932257">
        <w:rPr>
          <w:rStyle w:val="FootnoteReference"/>
        </w:rPr>
        <w:footnoteRef/>
      </w:r>
      <w:r>
        <w:t xml:space="preserve"> </w:t>
      </w:r>
      <w:r>
        <w:rPr>
          <w:color w:val="000000"/>
          <w:szCs w:val="23"/>
        </w:rPr>
        <w:t>Ord. No.</w:t>
      </w:r>
      <w:r w:rsidRPr="00BE6301">
        <w:rPr>
          <w:color w:val="000000"/>
          <w:szCs w:val="23"/>
        </w:rPr>
        <w:t xml:space="preserve"> 587-V Compliance Order,</w:t>
      </w:r>
      <w:r>
        <w:rPr>
          <w:i/>
          <w:color w:val="000000"/>
          <w:szCs w:val="23"/>
        </w:rPr>
        <w:t xml:space="preserve"> </w:t>
      </w:r>
      <w:r w:rsidRPr="00301287">
        <w:rPr>
          <w:color w:val="000000"/>
          <w:szCs w:val="23"/>
        </w:rPr>
        <w:t>141 FERC ¶</w:t>
      </w:r>
      <w:r>
        <w:t xml:space="preserve"> </w:t>
      </w:r>
      <w:r w:rsidRPr="00301287">
        <w:rPr>
          <w:color w:val="000000"/>
          <w:szCs w:val="23"/>
        </w:rPr>
        <w:t>61,167</w:t>
      </w:r>
      <w:r>
        <w:rPr>
          <w:color w:val="000000"/>
          <w:szCs w:val="23"/>
        </w:rPr>
        <w:t xml:space="preserve"> at PP 4, 38.</w:t>
      </w:r>
    </w:p>
  </w:footnote>
  <w:footnote w:id="27">
    <w:p w14:paraId="40F6DFDB"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More information is available on FERC’s eTariff page at </w:t>
      </w:r>
      <w:hyperlink r:id="rId1" w:history="1">
        <w:r w:rsidRPr="002567E4">
          <w:rPr>
            <w:rStyle w:val="Hyperlink"/>
            <w:sz w:val="20"/>
          </w:rPr>
          <w:t>http://www.ferc.gov/docs-filing/etariff.asp</w:t>
        </w:r>
      </w:hyperlink>
      <w:r w:rsidRPr="002567E4">
        <w:rPr>
          <w:sz w:val="20"/>
        </w:rPr>
        <w:t xml:space="preserve"> .</w:t>
      </w:r>
    </w:p>
  </w:footnote>
  <w:footnote w:id="28">
    <w:p w14:paraId="59F6B092" w14:textId="3490C10A"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U.S. Small Business Administration, Table of Small Business Size Standards for  Pipeline Transportation of Natural Gas, NAICS Code 486210,  available at </w:t>
      </w:r>
      <w:hyperlink r:id="rId2" w:history="1">
        <w:r w:rsidRPr="002567E4">
          <w:rPr>
            <w:rStyle w:val="Hyperlink"/>
            <w:sz w:val="20"/>
          </w:rPr>
          <w:t>https://www.sba.gov/sites/default/files/files/Size_Standards_Table.pdf</w:t>
        </w:r>
      </w:hyperlink>
      <w:r w:rsidRPr="002567E4">
        <w:rPr>
          <w:sz w:val="20"/>
        </w:rPr>
        <w:t xml:space="preserve">, Subsector 486. </w:t>
      </w:r>
    </w:p>
    <w:p w14:paraId="67E0ACF9" w14:textId="7D9585A6" w:rsidR="00D36F12" w:rsidRPr="002567E4" w:rsidRDefault="00D36F12" w:rsidP="002567E4">
      <w:pPr>
        <w:pStyle w:val="FootnoteText"/>
        <w:spacing w:after="0"/>
        <w:ind w:firstLine="0"/>
        <w:rPr>
          <w:sz w:val="20"/>
        </w:rPr>
      </w:pPr>
      <w:r w:rsidRPr="002567E4">
        <w:rPr>
          <w:sz w:val="20"/>
        </w:rPr>
        <w:t>Matched to North American Industry Classification System Codes, Natural Gas Pipeline Transportation, NAICS Code 486210, page 27.</w:t>
      </w:r>
    </w:p>
  </w:footnote>
  <w:footnote w:id="29">
    <w:p w14:paraId="4E9E944D" w14:textId="77777777" w:rsidR="00F90719" w:rsidRDefault="00F90719" w:rsidP="00F9071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30">
    <w:p w14:paraId="34AC3394" w14:textId="77777777" w:rsidR="00F90719" w:rsidRDefault="00F90719" w:rsidP="00F9071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31">
    <w:p w14:paraId="4D4373EE" w14:textId="77777777" w:rsidR="00F90719" w:rsidRDefault="00F90719" w:rsidP="00F9071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2">
    <w:p w14:paraId="2FC35006" w14:textId="77777777" w:rsidR="00F90719" w:rsidRDefault="00F90719" w:rsidP="00F90719">
      <w:pPr>
        <w:pStyle w:val="FootnoteText"/>
        <w:spacing w:after="0"/>
        <w:rPr>
          <w:szCs w:val="26"/>
        </w:rPr>
      </w:pPr>
      <w:r w:rsidRPr="00932257">
        <w:rPr>
          <w:rStyle w:val="FootnoteReference"/>
        </w:rPr>
        <w:footnoteRef/>
      </w:r>
      <w:r>
        <w:t xml:space="preserve"> </w:t>
      </w:r>
      <w:r w:rsidRPr="00086BC1">
        <w:rPr>
          <w:szCs w:val="26"/>
        </w:rPr>
        <w:t>The estimated hourly cost (salary plus benefits) provided in this section is based on</w:t>
      </w:r>
      <w:r>
        <w:rPr>
          <w:szCs w:val="26"/>
        </w:rPr>
        <w:t xml:space="preserve"> the salary figures for </w:t>
      </w:r>
      <w:r w:rsidRPr="00795D0F">
        <w:rPr>
          <w:szCs w:val="26"/>
        </w:rPr>
        <w:t xml:space="preserve">May 2019 posted </w:t>
      </w:r>
      <w:r w:rsidRPr="00086BC1">
        <w:rPr>
          <w:szCs w:val="26"/>
        </w:rPr>
        <w:t xml:space="preserve">by the Bureau of Labor Statistics for the Utilities sector (available at </w:t>
      </w:r>
      <w:hyperlink r:id="rId3" w:history="1">
        <w:r w:rsidRPr="007C0B8D">
          <w:rPr>
            <w:rStyle w:val="Hyperlink"/>
            <w:szCs w:val="26"/>
          </w:rPr>
          <w:t>https://www.bls.gov/oes/current/naics3_221000.htm</w:t>
        </w:r>
      </w:hyperlink>
      <w:r w:rsidRPr="00F629A1">
        <w:rPr>
          <w:szCs w:val="26"/>
        </w:rPr>
        <w:t>)</w:t>
      </w:r>
      <w:r>
        <w:rPr>
          <w:szCs w:val="26"/>
        </w:rPr>
        <w:t xml:space="preserve"> </w:t>
      </w:r>
      <w:r w:rsidRPr="00086BC1">
        <w:rPr>
          <w:szCs w:val="26"/>
        </w:rPr>
        <w:t xml:space="preserve">and scaled to reflect benefits using the relative importance of employer costs </w:t>
      </w:r>
      <w:r>
        <w:rPr>
          <w:szCs w:val="26"/>
        </w:rPr>
        <w:t xml:space="preserve">for </w:t>
      </w:r>
      <w:r w:rsidRPr="00086BC1">
        <w:rPr>
          <w:szCs w:val="26"/>
        </w:rPr>
        <w:t>empl</w:t>
      </w:r>
      <w:r>
        <w:rPr>
          <w:szCs w:val="26"/>
        </w:rPr>
        <w:t>oyee compensation from June 2020</w:t>
      </w:r>
      <w:r w:rsidRPr="00086BC1">
        <w:rPr>
          <w:szCs w:val="26"/>
        </w:rPr>
        <w:t xml:space="preserve"> (available at</w:t>
      </w:r>
      <w:r>
        <w:rPr>
          <w:szCs w:val="26"/>
        </w:rPr>
        <w:t xml:space="preserve"> </w:t>
      </w:r>
      <w:hyperlink r:id="rId4" w:history="1">
        <w:r w:rsidRPr="007C0B8D">
          <w:rPr>
            <w:rStyle w:val="Hyperlink"/>
            <w:szCs w:val="26"/>
          </w:rPr>
          <w:t>https://www.bls.gov/news.release/ecec.nr0.htm</w:t>
        </w:r>
      </w:hyperlink>
      <w:r w:rsidRPr="00086BC1">
        <w:rPr>
          <w:szCs w:val="26"/>
        </w:rPr>
        <w:t xml:space="preserve">). </w:t>
      </w:r>
      <w:r>
        <w:rPr>
          <w:szCs w:val="26"/>
        </w:rPr>
        <w:t xml:space="preserve"> </w:t>
      </w:r>
      <w:r w:rsidRPr="00086BC1">
        <w:rPr>
          <w:szCs w:val="26"/>
        </w:rPr>
        <w:t xml:space="preserve">The hourly estimates for salary plus benefits are: </w:t>
      </w:r>
    </w:p>
    <w:p w14:paraId="72E1B27F" w14:textId="77777777" w:rsidR="00F90719" w:rsidRDefault="00F90719" w:rsidP="00F90719">
      <w:pPr>
        <w:pStyle w:val="FootnoteText"/>
        <w:spacing w:after="0"/>
        <w:rPr>
          <w:rFonts w:eastAsia="Calibri"/>
          <w:szCs w:val="26"/>
        </w:rPr>
      </w:pPr>
      <w:r w:rsidRPr="00086BC1">
        <w:rPr>
          <w:rFonts w:eastAsia="Calibri"/>
          <w:szCs w:val="26"/>
        </w:rPr>
        <w:t>Computer and I</w:t>
      </w:r>
      <w:r>
        <w:rPr>
          <w:rFonts w:eastAsia="Calibri"/>
          <w:szCs w:val="26"/>
        </w:rPr>
        <w:t>nformation Systems Manager (Occupation Code: 11-3021), $101.58</w:t>
      </w:r>
    </w:p>
    <w:p w14:paraId="57899471" w14:textId="77777777" w:rsidR="00F90719" w:rsidRDefault="00F90719" w:rsidP="00F90719">
      <w:pPr>
        <w:pStyle w:val="FootnoteText"/>
        <w:spacing w:after="0"/>
        <w:rPr>
          <w:rFonts w:eastAsia="Calibri"/>
          <w:szCs w:val="26"/>
        </w:rPr>
      </w:pPr>
      <w:r>
        <w:rPr>
          <w:rFonts w:eastAsia="Calibri"/>
          <w:szCs w:val="26"/>
        </w:rPr>
        <w:t>Computer and Information Analysts (Occupation Code:  15-1120(1221), $87.42</w:t>
      </w:r>
    </w:p>
    <w:p w14:paraId="541098E1" w14:textId="77777777" w:rsidR="00F90719" w:rsidRDefault="00F90719" w:rsidP="00F90719">
      <w:pPr>
        <w:pStyle w:val="FootnoteText"/>
        <w:spacing w:after="0"/>
        <w:rPr>
          <w:rFonts w:eastAsia="Calibri"/>
          <w:szCs w:val="26"/>
        </w:rPr>
      </w:pPr>
      <w:r>
        <w:rPr>
          <w:rFonts w:eastAsia="Calibri"/>
          <w:szCs w:val="26"/>
        </w:rPr>
        <w:t>Electrical Engineer (Occupation Code: 17-2071), $70.19</w:t>
      </w:r>
    </w:p>
    <w:p w14:paraId="1BC5C3CF" w14:textId="77777777" w:rsidR="00F90719" w:rsidRPr="00086BC1" w:rsidRDefault="00F90719" w:rsidP="00F90719">
      <w:pPr>
        <w:pStyle w:val="FootnoteText"/>
        <w:spacing w:after="0"/>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0CF5AE66" w14:textId="77777777" w:rsidR="00F90719" w:rsidRPr="00C328EF" w:rsidRDefault="00F90719" w:rsidP="00F90719">
      <w:pPr>
        <w:autoSpaceDE w:val="0"/>
        <w:autoSpaceDN w:val="0"/>
        <w:adjustRightInd w:val="0"/>
        <w:spacing w:after="240"/>
        <w:rPr>
          <w:szCs w:val="26"/>
        </w:rPr>
      </w:pPr>
      <w:r w:rsidRPr="00086BC1">
        <w:rPr>
          <w:szCs w:val="26"/>
        </w:rPr>
        <w:t>The average hourly cost (salary plus benefits), weighting all of th</w:t>
      </w:r>
      <w:r>
        <w:rPr>
          <w:szCs w:val="26"/>
        </w:rPr>
        <w:t>ese skill sets evenly, is $100.50</w:t>
      </w:r>
      <w:r w:rsidRPr="00086BC1">
        <w:rPr>
          <w:szCs w:val="26"/>
        </w:rPr>
        <w:t>.</w:t>
      </w:r>
      <w:r>
        <w:rPr>
          <w:szCs w:val="26"/>
        </w:rPr>
        <w:t xml:space="preserve">  We round it to $101/</w:t>
      </w:r>
      <w:r w:rsidRPr="00086BC1">
        <w:rPr>
          <w:szCs w:val="26"/>
        </w:rPr>
        <w:t>hour.</w:t>
      </w:r>
    </w:p>
  </w:footnote>
  <w:footnote w:id="33">
    <w:p w14:paraId="1AA21F48" w14:textId="7A9EEC79"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Based on FERC’s Fiscal Year 20</w:t>
      </w:r>
      <w:r w:rsidR="00573C31">
        <w:rPr>
          <w:sz w:val="20"/>
        </w:rPr>
        <w:t>19</w:t>
      </w:r>
      <w:r w:rsidRPr="002567E4">
        <w:rPr>
          <w:sz w:val="20"/>
        </w:rPr>
        <w:t xml:space="preserve"> average cost per FTE (salary plus benefits) of $1</w:t>
      </w:r>
      <w:r w:rsidR="00573C31">
        <w:rPr>
          <w:sz w:val="20"/>
        </w:rPr>
        <w:t>72,329</w:t>
      </w:r>
      <w:r w:rsidRPr="002567E4">
        <w:rPr>
          <w:sz w:val="20"/>
        </w:rPr>
        <w:t xml:space="preserve"> per year (or 2,080 work hours), rounded to $</w:t>
      </w:r>
      <w:r w:rsidR="00F90719">
        <w:rPr>
          <w:sz w:val="20"/>
        </w:rPr>
        <w:t>83</w:t>
      </w:r>
      <w:r w:rsidRPr="002567E4">
        <w:rPr>
          <w:sz w:val="20"/>
        </w:rPr>
        <w:t xml:space="preserve">.00 per hour. </w:t>
      </w:r>
    </w:p>
  </w:footnote>
  <w:footnote w:id="34">
    <w:p w14:paraId="5896C281"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Paperwork Reduction Act of 1995 (PRA)</w:t>
      </w:r>
    </w:p>
  </w:footnote>
  <w:footnote w:id="35">
    <w:p w14:paraId="2AB0B54B" w14:textId="36AB1365"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PRA Administration Cost is $ </w:t>
      </w:r>
      <w:r w:rsidR="00573C31">
        <w:rPr>
          <w:sz w:val="20"/>
        </w:rPr>
        <w:t>6,</w:t>
      </w:r>
      <w:r w:rsidR="00714BD9">
        <w:rPr>
          <w:sz w:val="20"/>
        </w:rPr>
        <w:t>475</w:t>
      </w:r>
      <w:r w:rsidRPr="002567E4">
        <w:rPr>
          <w:sz w:val="20"/>
        </w:rPr>
        <w:t>, and includes preparing supporting statements, notices, and other activities associated with Paperwork Reduction Act compliance.</w:t>
      </w:r>
    </w:p>
  </w:footnote>
  <w:footnote w:id="36">
    <w:p w14:paraId="26909FBA" w14:textId="7AE3AD8B" w:rsidR="00A277D4" w:rsidRPr="002567E4" w:rsidRDefault="00A277D4" w:rsidP="002567E4">
      <w:pPr>
        <w:pStyle w:val="FootnoteText"/>
        <w:spacing w:after="0"/>
        <w:ind w:firstLine="0"/>
        <w:rPr>
          <w:sz w:val="20"/>
        </w:rPr>
      </w:pPr>
      <w:r w:rsidRPr="002567E4">
        <w:rPr>
          <w:rStyle w:val="FootnoteReference"/>
          <w:sz w:val="20"/>
          <w:szCs w:val="20"/>
        </w:rPr>
        <w:footnoteRef/>
      </w:r>
      <w:r w:rsidRPr="002567E4">
        <w:rPr>
          <w:sz w:val="20"/>
        </w:rPr>
        <w:t xml:space="preserve"> This cost will be applied to both the FERC-545 and FERC-549C</w:t>
      </w:r>
      <w:r w:rsidR="004D5056" w:rsidRPr="002567E4">
        <w:rPr>
          <w:sz w:val="20"/>
        </w:rPr>
        <w:t xml:space="preserve"> information collections</w:t>
      </w:r>
      <w:r w:rsidR="006462AD" w:rsidRPr="002567E4">
        <w:rPr>
          <w:sz w:val="20"/>
        </w:rPr>
        <w:t xml:space="preserve"> as related their respective ICRs.</w:t>
      </w:r>
    </w:p>
  </w:footnote>
  <w:footnote w:id="37">
    <w:p w14:paraId="5827BD56"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estimate of federal FTE’s and the indicated split between FERC-545 and FERC-549C is based on staff’s experience and the fact that the FERC-545 filings are one-time filings, with the FERC-549C requirements both one-time and on-going.</w:t>
      </w:r>
    </w:p>
  </w:footnote>
  <w:footnote w:id="38">
    <w:p w14:paraId="079763D6" w14:textId="2A802C61"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Pr="002567E4">
        <w:rPr>
          <w:sz w:val="20"/>
          <w:shd w:val="clear" w:color="auto" w:fill="FFFFFF"/>
        </w:rPr>
        <w:t xml:space="preserve">The 1 FTE we are estimating here in connection with the issuance of the </w:t>
      </w:r>
      <w:r w:rsidR="00573C31">
        <w:rPr>
          <w:sz w:val="20"/>
          <w:shd w:val="clear" w:color="auto" w:fill="FFFFFF"/>
        </w:rPr>
        <w:t>NOPR</w:t>
      </w:r>
      <w:r w:rsidRPr="002567E4">
        <w:rPr>
          <w:sz w:val="20"/>
          <w:shd w:val="clear" w:color="auto" w:fill="FFFFFF"/>
        </w:rPr>
        <w:t xml:space="preserve"> in Docket No. </w:t>
      </w:r>
      <w:r w:rsidRPr="002567E4">
        <w:rPr>
          <w:bCs/>
          <w:sz w:val="20"/>
          <w:shd w:val="clear" w:color="auto" w:fill="FFFFFF"/>
        </w:rPr>
        <w:t>RM96-1-04</w:t>
      </w:r>
      <w:r w:rsidR="00573C31">
        <w:rPr>
          <w:bCs/>
          <w:sz w:val="20"/>
          <w:shd w:val="clear" w:color="auto" w:fill="FFFFFF"/>
        </w:rPr>
        <w:t>2</w:t>
      </w:r>
      <w:r w:rsidRPr="002567E4">
        <w:rPr>
          <w:sz w:val="20"/>
          <w:shd w:val="clear" w:color="auto" w:fill="FFFFFF"/>
        </w:rPr>
        <w:t xml:space="preserve"> does not represent an additional FTE.</w:t>
      </w:r>
      <w:r w:rsidR="00AC5B84" w:rsidRPr="002567E4">
        <w:rPr>
          <w:sz w:val="20"/>
          <w:shd w:val="clear" w:color="auto" w:fill="FFFFFF"/>
        </w:rPr>
        <w:t xml:space="preserve"> Rather, 1 FTE represents federal effort as applied to both FERC-545 and FERC-549C currently and after the Final Rule is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37B6" w14:textId="77777777" w:rsidR="001915FB" w:rsidRDefault="0019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2FA6C4C5" w:rsidR="00D36F12" w:rsidRDefault="00D36F12" w:rsidP="002B45F1">
    <w:pPr>
      <w:pStyle w:val="Header"/>
    </w:pPr>
    <w:r w:rsidRPr="00A873E5">
      <w:t>FERC-545 (OMB Control No. 1902-0154)</w:t>
    </w:r>
  </w:p>
  <w:p w14:paraId="2BD795A8" w14:textId="6AB0FBC9" w:rsidR="003B6C0A" w:rsidRPr="00A873E5" w:rsidRDefault="003B6C0A" w:rsidP="002B45F1">
    <w:pPr>
      <w:pStyle w:val="Header"/>
    </w:pPr>
    <w:r>
      <w:t>FERC-549C (OMB Control No. 1902-0174)</w:t>
    </w:r>
  </w:p>
  <w:p w14:paraId="4E3188D1" w14:textId="09D85C13" w:rsidR="00D36F12" w:rsidRPr="00A873E5" w:rsidRDefault="00D36F12" w:rsidP="008D4689">
    <w:pPr>
      <w:tabs>
        <w:tab w:val="left" w:pos="-1440"/>
      </w:tabs>
      <w:ind w:left="5760" w:right="360" w:hanging="5760"/>
      <w:rPr>
        <w:sz w:val="24"/>
      </w:rPr>
    </w:pPr>
    <w:r w:rsidRPr="00A873E5">
      <w:rPr>
        <w:sz w:val="24"/>
      </w:rPr>
      <w:t>Docket No. RM96-1-04</w:t>
    </w:r>
    <w:r w:rsidR="003F1AE2">
      <w:rPr>
        <w:sz w:val="24"/>
      </w:rPr>
      <w:t>2</w:t>
    </w:r>
    <w:r w:rsidRPr="00A873E5">
      <w:rPr>
        <w:sz w:val="24"/>
      </w:rPr>
      <w:t xml:space="preserve"> </w:t>
    </w:r>
    <w:r w:rsidR="003B6C0A">
      <w:rPr>
        <w:sz w:val="24"/>
      </w:rPr>
      <w:t>NOPR</w:t>
    </w:r>
    <w:r w:rsidRPr="00A873E5">
      <w:rPr>
        <w:sz w:val="24"/>
      </w:rPr>
      <w:t xml:space="preserve"> (issued </w:t>
    </w:r>
    <w:r w:rsidR="003B6C0A">
      <w:rPr>
        <w:sz w:val="24"/>
      </w:rPr>
      <w:t>1</w:t>
    </w:r>
    <w:r w:rsidRPr="00A873E5">
      <w:rPr>
        <w:sz w:val="24"/>
      </w:rPr>
      <w:t>/</w:t>
    </w:r>
    <w:r w:rsidR="00C6428D">
      <w:rPr>
        <w:sz w:val="24"/>
      </w:rPr>
      <w:t>19</w:t>
    </w:r>
    <w:r w:rsidRPr="00A873E5">
      <w:rPr>
        <w:sz w:val="24"/>
      </w:rPr>
      <w:t>/20</w:t>
    </w:r>
    <w:r w:rsidR="003B6C0A">
      <w:rPr>
        <w:sz w:val="24"/>
      </w:rPr>
      <w:t>2</w:t>
    </w:r>
    <w:r w:rsidR="00C6428D">
      <w:rPr>
        <w:sz w:val="24"/>
      </w:rPr>
      <w:t>1</w:t>
    </w:r>
    <w:r w:rsidRPr="00A873E5">
      <w:rPr>
        <w:sz w:val="24"/>
      </w:rPr>
      <w:t>)</w:t>
    </w:r>
  </w:p>
  <w:p w14:paraId="780E8A6C" w14:textId="0B5686F7" w:rsidR="00D36F12" w:rsidRDefault="00D36F12" w:rsidP="008D4689">
    <w:pPr>
      <w:tabs>
        <w:tab w:val="left" w:pos="-1440"/>
      </w:tabs>
      <w:ind w:left="5760" w:right="360" w:hanging="5760"/>
      <w:rPr>
        <w:sz w:val="24"/>
      </w:rPr>
    </w:pPr>
    <w:r w:rsidRPr="00A873E5">
      <w:rPr>
        <w:sz w:val="24"/>
      </w:rPr>
      <w:t xml:space="preserve">RIN:  </w:t>
    </w:r>
    <w:r w:rsidR="001915FB" w:rsidRPr="001915FB">
      <w:t>1902-AF80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90CF" w14:textId="77777777" w:rsidR="001915FB" w:rsidRDefault="0019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9"/>
  </w:num>
  <w:num w:numId="5">
    <w:abstractNumId w:val="4"/>
  </w:num>
  <w:num w:numId="6">
    <w:abstractNumId w:val="14"/>
  </w:num>
  <w:num w:numId="7">
    <w:abstractNumId w:val="3"/>
  </w:num>
  <w:num w:numId="8">
    <w:abstractNumId w:val="1"/>
  </w:num>
  <w:num w:numId="9">
    <w:abstractNumId w:val="6"/>
  </w:num>
  <w:num w:numId="10">
    <w:abstractNumId w:val="8"/>
  </w:num>
  <w:num w:numId="11">
    <w:abstractNumId w:val="12"/>
  </w:num>
  <w:num w:numId="12">
    <w:abstractNumId w:val="2"/>
  </w:num>
  <w:num w:numId="13">
    <w:abstractNumId w:val="11"/>
  </w:num>
  <w:num w:numId="14">
    <w:abstractNumId w:val="1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6D51"/>
    <w:rsid w:val="00023257"/>
    <w:rsid w:val="000326C9"/>
    <w:rsid w:val="00035182"/>
    <w:rsid w:val="000524C2"/>
    <w:rsid w:val="000652A8"/>
    <w:rsid w:val="00074EFD"/>
    <w:rsid w:val="00095B57"/>
    <w:rsid w:val="000C0189"/>
    <w:rsid w:val="000C4030"/>
    <w:rsid w:val="000E2C3C"/>
    <w:rsid w:val="000E71C5"/>
    <w:rsid w:val="0010764F"/>
    <w:rsid w:val="001235FD"/>
    <w:rsid w:val="00133C8D"/>
    <w:rsid w:val="001456AE"/>
    <w:rsid w:val="00162EBD"/>
    <w:rsid w:val="00185817"/>
    <w:rsid w:val="001915FB"/>
    <w:rsid w:val="001B1135"/>
    <w:rsid w:val="0020662B"/>
    <w:rsid w:val="00212D57"/>
    <w:rsid w:val="00215D6C"/>
    <w:rsid w:val="00256088"/>
    <w:rsid w:val="002567E4"/>
    <w:rsid w:val="00261F73"/>
    <w:rsid w:val="00275D69"/>
    <w:rsid w:val="0027779E"/>
    <w:rsid w:val="00295055"/>
    <w:rsid w:val="002978F1"/>
    <w:rsid w:val="002A2273"/>
    <w:rsid w:val="002A2AFD"/>
    <w:rsid w:val="002A4EBF"/>
    <w:rsid w:val="002B4415"/>
    <w:rsid w:val="002B45F1"/>
    <w:rsid w:val="002C118D"/>
    <w:rsid w:val="002C7122"/>
    <w:rsid w:val="002D1A59"/>
    <w:rsid w:val="002D4D89"/>
    <w:rsid w:val="002D7F3A"/>
    <w:rsid w:val="002E2010"/>
    <w:rsid w:val="002E6CFA"/>
    <w:rsid w:val="002E7DA9"/>
    <w:rsid w:val="002F39BD"/>
    <w:rsid w:val="002F6758"/>
    <w:rsid w:val="00353A27"/>
    <w:rsid w:val="00382D44"/>
    <w:rsid w:val="00385B39"/>
    <w:rsid w:val="003A6CBA"/>
    <w:rsid w:val="003B6C0A"/>
    <w:rsid w:val="003D2136"/>
    <w:rsid w:val="003E0393"/>
    <w:rsid w:val="003F0E97"/>
    <w:rsid w:val="003F1AE2"/>
    <w:rsid w:val="00402714"/>
    <w:rsid w:val="00416822"/>
    <w:rsid w:val="00440A6C"/>
    <w:rsid w:val="00462F10"/>
    <w:rsid w:val="00467A1C"/>
    <w:rsid w:val="004714B2"/>
    <w:rsid w:val="00476985"/>
    <w:rsid w:val="00481661"/>
    <w:rsid w:val="004832CE"/>
    <w:rsid w:val="00486D73"/>
    <w:rsid w:val="004D5056"/>
    <w:rsid w:val="00504150"/>
    <w:rsid w:val="005228C3"/>
    <w:rsid w:val="00533037"/>
    <w:rsid w:val="005409EE"/>
    <w:rsid w:val="00552843"/>
    <w:rsid w:val="00554171"/>
    <w:rsid w:val="00565AA0"/>
    <w:rsid w:val="005703D3"/>
    <w:rsid w:val="00573C31"/>
    <w:rsid w:val="00577E07"/>
    <w:rsid w:val="005A77A4"/>
    <w:rsid w:val="005B305F"/>
    <w:rsid w:val="005C31E9"/>
    <w:rsid w:val="005E7DE0"/>
    <w:rsid w:val="005F2E53"/>
    <w:rsid w:val="00602497"/>
    <w:rsid w:val="00613D99"/>
    <w:rsid w:val="00622554"/>
    <w:rsid w:val="006462AD"/>
    <w:rsid w:val="006512E7"/>
    <w:rsid w:val="00652747"/>
    <w:rsid w:val="00653765"/>
    <w:rsid w:val="00671BA2"/>
    <w:rsid w:val="00681128"/>
    <w:rsid w:val="00684BD1"/>
    <w:rsid w:val="00691DF4"/>
    <w:rsid w:val="006943C1"/>
    <w:rsid w:val="006B7B80"/>
    <w:rsid w:val="006B7EB4"/>
    <w:rsid w:val="006E49AD"/>
    <w:rsid w:val="007051A1"/>
    <w:rsid w:val="00714BD9"/>
    <w:rsid w:val="00725D1D"/>
    <w:rsid w:val="0073773B"/>
    <w:rsid w:val="00741AE3"/>
    <w:rsid w:val="0076212B"/>
    <w:rsid w:val="007777B4"/>
    <w:rsid w:val="00786B8A"/>
    <w:rsid w:val="007973BC"/>
    <w:rsid w:val="007A7CD6"/>
    <w:rsid w:val="007C35D1"/>
    <w:rsid w:val="007D0453"/>
    <w:rsid w:val="007E1376"/>
    <w:rsid w:val="007F1802"/>
    <w:rsid w:val="007F2B47"/>
    <w:rsid w:val="007F3726"/>
    <w:rsid w:val="007F4D97"/>
    <w:rsid w:val="00817FF3"/>
    <w:rsid w:val="00860043"/>
    <w:rsid w:val="008611ED"/>
    <w:rsid w:val="00862E03"/>
    <w:rsid w:val="00863189"/>
    <w:rsid w:val="00866355"/>
    <w:rsid w:val="0087618D"/>
    <w:rsid w:val="008A250D"/>
    <w:rsid w:val="008D3989"/>
    <w:rsid w:val="008D4689"/>
    <w:rsid w:val="008F65E6"/>
    <w:rsid w:val="008F718E"/>
    <w:rsid w:val="0094085E"/>
    <w:rsid w:val="00950A2F"/>
    <w:rsid w:val="00966D03"/>
    <w:rsid w:val="00971F55"/>
    <w:rsid w:val="00986AA7"/>
    <w:rsid w:val="009878A3"/>
    <w:rsid w:val="009B43B6"/>
    <w:rsid w:val="009C3D22"/>
    <w:rsid w:val="009C5ED8"/>
    <w:rsid w:val="009D1B59"/>
    <w:rsid w:val="009F020C"/>
    <w:rsid w:val="00A17430"/>
    <w:rsid w:val="00A1752A"/>
    <w:rsid w:val="00A277D4"/>
    <w:rsid w:val="00A4633A"/>
    <w:rsid w:val="00A5298F"/>
    <w:rsid w:val="00A75096"/>
    <w:rsid w:val="00A873E5"/>
    <w:rsid w:val="00AA44F5"/>
    <w:rsid w:val="00AC5B84"/>
    <w:rsid w:val="00B2471C"/>
    <w:rsid w:val="00B3074E"/>
    <w:rsid w:val="00B33E93"/>
    <w:rsid w:val="00B3775B"/>
    <w:rsid w:val="00B51119"/>
    <w:rsid w:val="00B572D2"/>
    <w:rsid w:val="00B6435E"/>
    <w:rsid w:val="00B719A3"/>
    <w:rsid w:val="00B83849"/>
    <w:rsid w:val="00B83CB7"/>
    <w:rsid w:val="00B90ECF"/>
    <w:rsid w:val="00B96244"/>
    <w:rsid w:val="00BC15BE"/>
    <w:rsid w:val="00BD6B0B"/>
    <w:rsid w:val="00BE7994"/>
    <w:rsid w:val="00C002D1"/>
    <w:rsid w:val="00C132B3"/>
    <w:rsid w:val="00C16812"/>
    <w:rsid w:val="00C375B5"/>
    <w:rsid w:val="00C40086"/>
    <w:rsid w:val="00C4337B"/>
    <w:rsid w:val="00C51371"/>
    <w:rsid w:val="00C60DEA"/>
    <w:rsid w:val="00C6428D"/>
    <w:rsid w:val="00C82FB6"/>
    <w:rsid w:val="00C91AC4"/>
    <w:rsid w:val="00C95983"/>
    <w:rsid w:val="00CE4075"/>
    <w:rsid w:val="00D008ED"/>
    <w:rsid w:val="00D019E6"/>
    <w:rsid w:val="00D25A7D"/>
    <w:rsid w:val="00D36F12"/>
    <w:rsid w:val="00D60724"/>
    <w:rsid w:val="00D64990"/>
    <w:rsid w:val="00D81DD0"/>
    <w:rsid w:val="00D856B0"/>
    <w:rsid w:val="00D93F72"/>
    <w:rsid w:val="00DA0302"/>
    <w:rsid w:val="00DA678D"/>
    <w:rsid w:val="00DE3EE7"/>
    <w:rsid w:val="00DE6187"/>
    <w:rsid w:val="00DF17B3"/>
    <w:rsid w:val="00DF624B"/>
    <w:rsid w:val="00E06116"/>
    <w:rsid w:val="00E111A5"/>
    <w:rsid w:val="00E2173D"/>
    <w:rsid w:val="00E34C4E"/>
    <w:rsid w:val="00E37BB0"/>
    <w:rsid w:val="00E57C05"/>
    <w:rsid w:val="00E639DE"/>
    <w:rsid w:val="00E64A43"/>
    <w:rsid w:val="00E83E38"/>
    <w:rsid w:val="00EC2AAF"/>
    <w:rsid w:val="00ED09DA"/>
    <w:rsid w:val="00EF3830"/>
    <w:rsid w:val="00F35E8E"/>
    <w:rsid w:val="00F4226F"/>
    <w:rsid w:val="00F45B52"/>
    <w:rsid w:val="00F513B7"/>
    <w:rsid w:val="00F52DA0"/>
    <w:rsid w:val="00F5428B"/>
    <w:rsid w:val="00F56F9C"/>
    <w:rsid w:val="00F66FF0"/>
    <w:rsid w:val="00F8150C"/>
    <w:rsid w:val="00F86954"/>
    <w:rsid w:val="00F90719"/>
    <w:rsid w:val="00F959E9"/>
    <w:rsid w:val="00FA7C2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221000.htm" TargetMode="External"/><Relationship Id="rId2" Type="http://schemas.openxmlformats.org/officeDocument/2006/relationships/hyperlink" Target="https://www.sba.gov/sites/default/files/files/Size_Standards_Table.pdf" TargetMode="External"/><Relationship Id="rId1" Type="http://schemas.openxmlformats.org/officeDocument/2006/relationships/hyperlink" Target="http://www.ferc.gov/docs-filing/etariff.asp"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2019-02-04T05:00:00+00:00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2.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4.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5.xml><?xml version="1.0" encoding="utf-8"?>
<ds:datastoreItem xmlns:ds="http://schemas.openxmlformats.org/officeDocument/2006/customXml" ds:itemID="{23C472E6-E3F7-4C35-B2DC-3F4E7649F8B4}">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4417A794-65E5-4629-87CA-3CEF185C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Camilla Ryan</dc:creator>
  <cp:lastModifiedBy>Kayla Williams</cp:lastModifiedBy>
  <cp:revision>3</cp:revision>
  <dcterms:created xsi:type="dcterms:W3CDTF">2021-03-08T22:03:00Z</dcterms:created>
  <dcterms:modified xsi:type="dcterms:W3CDTF">2021-03-08T22:10:00Z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2021-01-05T09:52:39.1466082Z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ae0499c6-ecec-428b-aa41-a06398d5bd4a</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