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1BB8" w:rsidR="00E14C63" w:rsidP="002A4142" w:rsidRDefault="00D350A8" w14:paraId="25256BF8" w14:textId="77777777">
      <w:pPr>
        <w:tabs>
          <w:tab w:val="left" w:pos="3320"/>
        </w:tabs>
        <w:spacing w:after="0" w:line="240" w:lineRule="auto"/>
        <w:jc w:val="center"/>
        <w:rPr>
          <w:rFonts w:ascii="Times New Roman" w:hAnsi="Times New Roman" w:cs="Times New Roman"/>
          <w:sz w:val="24"/>
          <w:szCs w:val="24"/>
        </w:rPr>
      </w:pPr>
      <w:r w:rsidRPr="00B51BB8">
        <w:rPr>
          <w:rFonts w:ascii="Times New Roman" w:hAnsi="Times New Roman" w:cs="Times New Roman"/>
          <w:sz w:val="24"/>
          <w:szCs w:val="24"/>
        </w:rPr>
        <w:t>Supporting Statement for</w:t>
      </w:r>
    </w:p>
    <w:p w:rsidRPr="00B51BB8" w:rsidR="002A4142" w:rsidP="002A4142" w:rsidRDefault="00797852" w14:paraId="27ABE0D6" w14:textId="6C71C6F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Pr="00FC6722" w:rsidR="00612E67">
        <w:rPr>
          <w:rFonts w:ascii="Times New Roman" w:hAnsi="Times New Roman" w:cs="Times New Roman"/>
          <w:b/>
          <w:sz w:val="24"/>
          <w:szCs w:val="24"/>
        </w:rPr>
        <w:t xml:space="preserve"> </w:t>
      </w:r>
      <w:r w:rsidRPr="00B51BB8" w:rsidR="00612E67">
        <w:rPr>
          <w:rFonts w:ascii="Times New Roman" w:hAnsi="Times New Roman" w:cs="Times New Roman"/>
          <w:b/>
          <w:sz w:val="24"/>
          <w:szCs w:val="24"/>
        </w:rPr>
        <w:t>(Mandatory Reliability Standards: BAL Reliability Standards)</w:t>
      </w:r>
      <w:r w:rsidR="004723F3">
        <w:rPr>
          <w:rFonts w:ascii="Times New Roman" w:hAnsi="Times New Roman" w:cs="Times New Roman"/>
          <w:b/>
          <w:sz w:val="24"/>
          <w:szCs w:val="24"/>
        </w:rPr>
        <w:t>,</w:t>
      </w:r>
    </w:p>
    <w:p w:rsidRPr="00B51BB8" w:rsidR="00D350A8" w:rsidP="002A4142" w:rsidRDefault="00717A1C" w14:paraId="07DD401F" w14:textId="13C32CA6">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Pr="00B51BB8" w:rsidR="00612E67">
        <w:rPr>
          <w:rFonts w:ascii="Times New Roman" w:hAnsi="Times New Roman" w:cs="Times New Roman"/>
          <w:b/>
          <w:sz w:val="24"/>
          <w:szCs w:val="24"/>
        </w:rPr>
        <w:t xml:space="preserve">the </w:t>
      </w:r>
      <w:r w:rsidR="00D17060">
        <w:rPr>
          <w:rFonts w:ascii="Times New Roman" w:hAnsi="Times New Roman" w:cs="Times New Roman"/>
          <w:b/>
          <w:sz w:val="24"/>
          <w:szCs w:val="24"/>
        </w:rPr>
        <w:t xml:space="preserve">Delegated Letter </w:t>
      </w:r>
      <w:r w:rsidR="00CB52C6">
        <w:rPr>
          <w:rFonts w:ascii="Times New Roman" w:hAnsi="Times New Roman" w:cs="Times New Roman"/>
          <w:b/>
          <w:sz w:val="24"/>
          <w:szCs w:val="24"/>
        </w:rPr>
        <w:t>Order</w:t>
      </w:r>
      <w:r w:rsidRPr="00B51BB8" w:rsidR="00612E67">
        <w:rPr>
          <w:rFonts w:ascii="Times New Roman" w:hAnsi="Times New Roman" w:cs="Times New Roman"/>
          <w:b/>
          <w:sz w:val="24"/>
          <w:szCs w:val="24"/>
        </w:rPr>
        <w:t xml:space="preserve"> in Docket </w:t>
      </w:r>
      <w:r w:rsidR="00CB52C6">
        <w:rPr>
          <w:rFonts w:ascii="Times New Roman" w:hAnsi="Times New Roman" w:cs="Times New Roman"/>
          <w:b/>
          <w:sz w:val="24"/>
          <w:szCs w:val="24"/>
        </w:rPr>
        <w:t>No. RD</w:t>
      </w:r>
      <w:r w:rsidR="003A1E5A">
        <w:rPr>
          <w:rFonts w:ascii="Times New Roman" w:hAnsi="Times New Roman" w:cs="Times New Roman"/>
          <w:b/>
          <w:sz w:val="24"/>
          <w:szCs w:val="24"/>
        </w:rPr>
        <w:t>20-9-000</w:t>
      </w:r>
    </w:p>
    <w:p w:rsidRPr="00B51BB8" w:rsidR="002A4142" w:rsidP="002A4142" w:rsidRDefault="002A4142" w14:paraId="4DF19896" w14:textId="77777777">
      <w:pPr>
        <w:spacing w:after="0" w:line="240" w:lineRule="auto"/>
        <w:ind w:right="-180"/>
        <w:jc w:val="center"/>
        <w:rPr>
          <w:rFonts w:ascii="Times New Roman" w:hAnsi="Times New Roman" w:cs="Times New Roman"/>
          <w:b/>
          <w:sz w:val="24"/>
          <w:szCs w:val="24"/>
        </w:rPr>
      </w:pPr>
    </w:p>
    <w:p w:rsidR="000F0C7B" w:rsidP="002A4142" w:rsidRDefault="00D350A8" w14:paraId="77550DE5" w14:textId="3E6885C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Pr="00965E2F" w:rsidR="000F5088">
        <w:rPr>
          <w:rFonts w:ascii="Times New Roman" w:hAnsi="Times New Roman" w:cs="Times New Roman"/>
          <w:sz w:val="24"/>
          <w:szCs w:val="24"/>
        </w:rPr>
        <w:t>the Commission’s request in Docket No. IC20-23 for renewal</w:t>
      </w:r>
      <w:r w:rsidR="000F5088">
        <w:rPr>
          <w:rFonts w:ascii="Times New Roman" w:hAnsi="Times New Roman" w:cs="Times New Roman"/>
          <w:sz w:val="24"/>
          <w:szCs w:val="24"/>
        </w:rPr>
        <w:t xml:space="preserve"> of </w:t>
      </w:r>
      <w:r w:rsidR="00797852">
        <w:rPr>
          <w:rFonts w:ascii="Times New Roman" w:hAnsi="Times New Roman" w:cs="Times New Roman"/>
          <w:sz w:val="24"/>
          <w:szCs w:val="24"/>
        </w:rPr>
        <w:t>FERC-725R</w:t>
      </w:r>
      <w:r w:rsidRPr="00B51BB8" w:rsidR="00612E67">
        <w:rPr>
          <w:rFonts w:ascii="Times New Roman" w:hAnsi="Times New Roman" w:cs="Times New Roman"/>
          <w:sz w:val="24"/>
          <w:szCs w:val="24"/>
        </w:rPr>
        <w:t xml:space="preserve"> (Mandatory Reliability Standards: BAL Reliability Standards)</w:t>
      </w:r>
      <w:r w:rsidRPr="00B51BB8" w:rsidR="00606999">
        <w:rPr>
          <w:rFonts w:ascii="Times New Roman" w:hAnsi="Times New Roman" w:cs="Times New Roman"/>
          <w:sz w:val="24"/>
          <w:szCs w:val="24"/>
        </w:rPr>
        <w:t xml:space="preserve">, as </w:t>
      </w:r>
      <w:r w:rsidR="00255862">
        <w:rPr>
          <w:rFonts w:ascii="Times New Roman" w:hAnsi="Times New Roman" w:cs="Times New Roman"/>
          <w:sz w:val="24"/>
          <w:szCs w:val="24"/>
        </w:rPr>
        <w:t xml:space="preserve">revised in </w:t>
      </w:r>
      <w:r w:rsidR="003C4B09">
        <w:rPr>
          <w:rFonts w:ascii="Times New Roman" w:hAnsi="Times New Roman" w:cs="Times New Roman"/>
          <w:sz w:val="24"/>
          <w:szCs w:val="24"/>
        </w:rPr>
        <w:t>Docket No. RD</w:t>
      </w:r>
      <w:r w:rsidR="00255862">
        <w:rPr>
          <w:rFonts w:ascii="Times New Roman" w:hAnsi="Times New Roman" w:cs="Times New Roman"/>
          <w:sz w:val="24"/>
          <w:szCs w:val="24"/>
        </w:rPr>
        <w:t>20-9</w:t>
      </w:r>
      <w:r w:rsidR="003C4B09">
        <w:rPr>
          <w:rFonts w:ascii="Times New Roman" w:hAnsi="Times New Roman" w:cs="Times New Roman"/>
          <w:sz w:val="24"/>
          <w:szCs w:val="24"/>
        </w:rPr>
        <w:t>.</w:t>
      </w:r>
    </w:p>
    <w:p w:rsidRPr="00B51BB8" w:rsidR="002A4142" w:rsidP="002A4142" w:rsidRDefault="002A4142" w14:paraId="2FBF2E7D" w14:textId="77777777">
      <w:pPr>
        <w:spacing w:after="0" w:line="240" w:lineRule="auto"/>
        <w:rPr>
          <w:rFonts w:ascii="Times New Roman" w:hAnsi="Times New Roman" w:cs="Times New Roman"/>
          <w:b/>
          <w:sz w:val="24"/>
          <w:szCs w:val="24"/>
        </w:rPr>
      </w:pPr>
    </w:p>
    <w:p w:rsidRPr="00B51BB8" w:rsidR="00C4205B" w:rsidP="007C39D3" w:rsidRDefault="00C4205B" w14:paraId="54673EE3"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rsidRPr="00B51BB8" w:rsidR="00C4205B" w:rsidP="005E2448" w:rsidRDefault="00C4205B" w14:paraId="17E45D43"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Pr="005515AF" w:rsidR="005515AF" w:rsidP="003C4B09" w:rsidRDefault="005515AF" w14:paraId="2CE985A5" w14:textId="00E523AD">
      <w:pPr>
        <w:widowControl w:val="0"/>
        <w:autoSpaceDE w:val="0"/>
        <w:autoSpaceDN w:val="0"/>
        <w:adjustRightInd w:val="0"/>
        <w:spacing w:after="0" w:line="240" w:lineRule="auto"/>
        <w:rPr>
          <w:rFonts w:ascii="Times New Roman" w:hAnsi="Times New Roman" w:cs="Times New Roman"/>
          <w:sz w:val="24"/>
          <w:szCs w:val="24"/>
        </w:rPr>
      </w:pPr>
      <w:r w:rsidRPr="005515AF">
        <w:rPr>
          <w:rFonts w:ascii="Times New Roman" w:hAnsi="Times New Roman" w:cs="Times New Roman"/>
          <w:sz w:val="24"/>
          <w:szCs w:val="24"/>
        </w:rPr>
        <w:t xml:space="preserve">On August 8, 2005, </w:t>
      </w:r>
      <w:r w:rsidR="00956612">
        <w:rPr>
          <w:rFonts w:ascii="Times New Roman" w:hAnsi="Times New Roman" w:cs="Times New Roman"/>
          <w:sz w:val="24"/>
          <w:szCs w:val="24"/>
        </w:rPr>
        <w:t>t</w:t>
      </w:r>
      <w:r w:rsidRPr="005515AF">
        <w:rPr>
          <w:rFonts w:ascii="Times New Roman" w:hAnsi="Times New Roman" w:cs="Times New Roman"/>
          <w:sz w:val="24"/>
          <w:szCs w:val="24"/>
        </w:rPr>
        <w:t xml:space="preserve">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rsidRPr="005515AF" w:rsidR="005515AF" w:rsidP="003C4B09" w:rsidRDefault="005515AF" w14:paraId="15B8D31A" w14:textId="77777777">
      <w:pPr>
        <w:widowControl w:val="0"/>
        <w:autoSpaceDE w:val="0"/>
        <w:autoSpaceDN w:val="0"/>
        <w:adjustRightInd w:val="0"/>
        <w:spacing w:after="0" w:line="240" w:lineRule="auto"/>
        <w:rPr>
          <w:rFonts w:ascii="Times New Roman" w:hAnsi="Times New Roman" w:cs="Times New Roman"/>
          <w:sz w:val="24"/>
          <w:szCs w:val="24"/>
        </w:rPr>
      </w:pPr>
    </w:p>
    <w:p w:rsidRPr="005515AF" w:rsidR="005515AF" w:rsidP="003C4B09" w:rsidRDefault="005515AF" w14:paraId="6E873CD9" w14:textId="6D672DD0">
      <w:pPr>
        <w:widowControl w:val="0"/>
        <w:autoSpaceDE w:val="0"/>
        <w:autoSpaceDN w:val="0"/>
        <w:adjustRightInd w:val="0"/>
        <w:spacing w:after="0" w:line="240" w:lineRule="auto"/>
        <w:rPr>
          <w:rFonts w:ascii="Times New Roman" w:hAnsi="Times New Roman" w:cs="Times New Roman"/>
          <w:sz w:val="24"/>
          <w:szCs w:val="24"/>
        </w:rPr>
      </w:pPr>
      <w:r w:rsidRPr="005515AF">
        <w:rPr>
          <w:rFonts w:ascii="Times New Roman" w:hAnsi="Times New Roman" w:cs="Times New Roman"/>
          <w:sz w:val="24"/>
          <w:szCs w:val="24"/>
        </w:rPr>
        <w:t>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the North American Electric Reliability Corporation</w:t>
      </w:r>
      <w:r w:rsidR="00437EEE">
        <w:rPr>
          <w:rFonts w:ascii="Times New Roman" w:hAnsi="Times New Roman" w:cs="Times New Roman"/>
          <w:sz w:val="24"/>
          <w:szCs w:val="24"/>
        </w:rPr>
        <w:t xml:space="preserve"> (NERC</w:t>
      </w:r>
      <w:r w:rsidRPr="005515AF">
        <w:rPr>
          <w:rFonts w:ascii="Times New Roman" w:hAnsi="Times New Roman" w:cs="Times New Roman"/>
          <w:sz w:val="24"/>
          <w:szCs w:val="24"/>
        </w:rPr>
        <w:t xml:space="preserve">) as the ERO pursuant to section 215 of the FPA. </w:t>
      </w:r>
    </w:p>
    <w:p w:rsidRPr="005515AF" w:rsidR="005515AF" w:rsidP="005515AF" w:rsidRDefault="005515AF" w14:paraId="553637B5"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5515AF" w:rsidP="005515AF" w:rsidRDefault="005515AF" w14:paraId="26018CA0" w14:textId="48A80365">
      <w:pPr>
        <w:spacing w:after="0" w:line="240" w:lineRule="auto"/>
        <w:rPr>
          <w:rFonts w:ascii="Times New Roman" w:hAnsi="Times New Roman" w:cs="Times New Roman"/>
          <w:sz w:val="24"/>
          <w:szCs w:val="24"/>
        </w:rPr>
      </w:pPr>
      <w:r w:rsidRPr="005515AF">
        <w:rPr>
          <w:rFonts w:ascii="Times New Roman" w:hAnsi="Times New Roman" w:cs="Times New Roman"/>
          <w:sz w:val="24"/>
          <w:szCs w:val="24"/>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001F257C">
        <w:rPr>
          <w:rFonts w:ascii="Times New Roman" w:hAnsi="Times New Roman" w:cs="Times New Roman"/>
          <w:sz w:val="24"/>
          <w:szCs w:val="24"/>
        </w:rPr>
        <w:t>.</w:t>
      </w:r>
    </w:p>
    <w:p w:rsidR="00520A3F" w:rsidP="005515AF" w:rsidRDefault="00520A3F" w14:paraId="70972835" w14:textId="71EE7662">
      <w:pPr>
        <w:spacing w:after="0" w:line="240" w:lineRule="auto"/>
        <w:rPr>
          <w:rFonts w:ascii="Times New Roman" w:hAnsi="Times New Roman" w:cs="Times New Roman"/>
          <w:sz w:val="24"/>
          <w:szCs w:val="24"/>
        </w:rPr>
      </w:pPr>
    </w:p>
    <w:p w:rsidR="00B51BB8" w:rsidP="002A4142" w:rsidRDefault="00A41C82" w14:paraId="1AED8803" w14:textId="29C94F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present, </w:t>
      </w:r>
      <w:r w:rsidR="00520A3F">
        <w:rPr>
          <w:rFonts w:ascii="Times New Roman" w:hAnsi="Times New Roman" w:cs="Times New Roman"/>
          <w:sz w:val="24"/>
          <w:szCs w:val="24"/>
        </w:rPr>
        <w:t xml:space="preserve">FERC-725R </w:t>
      </w:r>
      <w:r>
        <w:rPr>
          <w:rFonts w:ascii="Times New Roman" w:hAnsi="Times New Roman" w:cs="Times New Roman"/>
          <w:sz w:val="24"/>
          <w:szCs w:val="24"/>
        </w:rPr>
        <w:t xml:space="preserve">consists of a collection of information associated with </w:t>
      </w:r>
      <w:r w:rsidR="00520A3F">
        <w:rPr>
          <w:rFonts w:ascii="Times New Roman" w:hAnsi="Times New Roman" w:cs="Times New Roman"/>
          <w:sz w:val="24"/>
          <w:szCs w:val="24"/>
        </w:rPr>
        <w:t xml:space="preserve">the following </w:t>
      </w:r>
      <w:r w:rsidR="00684F3E">
        <w:rPr>
          <w:rFonts w:ascii="Times New Roman" w:hAnsi="Times New Roman" w:cs="Times New Roman"/>
          <w:sz w:val="24"/>
          <w:szCs w:val="24"/>
        </w:rPr>
        <w:t xml:space="preserve">nationwide </w:t>
      </w:r>
      <w:r w:rsidR="00520A3F">
        <w:rPr>
          <w:rFonts w:ascii="Times New Roman" w:hAnsi="Times New Roman" w:cs="Times New Roman"/>
          <w:sz w:val="24"/>
          <w:szCs w:val="24"/>
        </w:rPr>
        <w:t>Reliability Standards:</w:t>
      </w:r>
    </w:p>
    <w:p w:rsidR="00520A3F" w:rsidP="002A4142" w:rsidRDefault="00520A3F" w14:paraId="28D7A6AA" w14:textId="74218366">
      <w:pPr>
        <w:spacing w:after="0" w:line="240" w:lineRule="auto"/>
        <w:rPr>
          <w:rFonts w:ascii="Times New Roman" w:hAnsi="Times New Roman" w:cs="Times New Roman"/>
          <w:sz w:val="24"/>
          <w:szCs w:val="24"/>
        </w:rPr>
      </w:pPr>
    </w:p>
    <w:p w:rsidR="00520A3F" w:rsidP="00520A3F" w:rsidRDefault="00520A3F" w14:paraId="44BAD05F" w14:textId="54EC80F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BAL-001-2,</w:t>
      </w:r>
      <w:r w:rsidRPr="00684F3E" w:rsidR="00684F3E">
        <w:rPr>
          <w:rFonts w:ascii="Times New Roman" w:hAnsi="Times New Roman" w:cs="Times New Roman"/>
          <w:sz w:val="24"/>
          <w:szCs w:val="24"/>
        </w:rPr>
        <w:t xml:space="preserve"> Real Power Balancing Control Performance</w:t>
      </w:r>
      <w:r w:rsidR="00CC559F">
        <w:rPr>
          <w:rFonts w:ascii="Times New Roman" w:hAnsi="Times New Roman" w:cs="Times New Roman"/>
          <w:sz w:val="24"/>
          <w:szCs w:val="24"/>
        </w:rPr>
        <w:t>;</w:t>
      </w:r>
    </w:p>
    <w:p w:rsidR="00CC559F" w:rsidP="00520A3F" w:rsidRDefault="0020374D" w14:paraId="101BF3ED" w14:textId="5C8E99B8">
      <w:pPr>
        <w:pStyle w:val="ListParagraph"/>
        <w:numPr>
          <w:ilvl w:val="0"/>
          <w:numId w:val="10"/>
        </w:numPr>
        <w:spacing w:after="0" w:line="240" w:lineRule="auto"/>
        <w:rPr>
          <w:rFonts w:ascii="Times New Roman" w:hAnsi="Times New Roman" w:cs="Times New Roman"/>
          <w:sz w:val="24"/>
          <w:szCs w:val="24"/>
        </w:rPr>
      </w:pPr>
      <w:r w:rsidRPr="0020374D">
        <w:rPr>
          <w:rFonts w:ascii="Times New Roman" w:hAnsi="Times New Roman" w:cs="Times New Roman"/>
          <w:sz w:val="24"/>
          <w:szCs w:val="24"/>
        </w:rPr>
        <w:t>BAL-002-3, Disturbance Control Standard – Contingency Reserve for Recovery from a Balancing Contingency Event</w:t>
      </w:r>
      <w:r w:rsidR="00CF644D">
        <w:rPr>
          <w:rFonts w:ascii="Times New Roman" w:hAnsi="Times New Roman" w:cs="Times New Roman"/>
          <w:sz w:val="24"/>
          <w:szCs w:val="24"/>
        </w:rPr>
        <w:t>;</w:t>
      </w:r>
      <w:r w:rsidR="00A55400">
        <w:rPr>
          <w:rFonts w:ascii="Times New Roman" w:hAnsi="Times New Roman" w:cs="Times New Roman"/>
          <w:sz w:val="24"/>
          <w:szCs w:val="24"/>
        </w:rPr>
        <w:t xml:space="preserve"> and</w:t>
      </w:r>
    </w:p>
    <w:p w:rsidR="00CF644D" w:rsidP="00520A3F" w:rsidRDefault="00A55400" w14:paraId="0A708555" w14:textId="61DF3CAA">
      <w:pPr>
        <w:pStyle w:val="ListParagraph"/>
        <w:numPr>
          <w:ilvl w:val="0"/>
          <w:numId w:val="10"/>
        </w:numPr>
        <w:spacing w:after="0" w:line="240" w:lineRule="auto"/>
        <w:rPr>
          <w:rFonts w:ascii="Times New Roman" w:hAnsi="Times New Roman" w:cs="Times New Roman"/>
          <w:sz w:val="24"/>
          <w:szCs w:val="24"/>
        </w:rPr>
      </w:pPr>
      <w:r w:rsidRPr="00A55400">
        <w:rPr>
          <w:rFonts w:ascii="Times New Roman" w:hAnsi="Times New Roman" w:cs="Times New Roman"/>
          <w:sz w:val="24"/>
          <w:szCs w:val="24"/>
        </w:rPr>
        <w:t>BAL-003-1, Frequency Response and Frequency Bias Setting</w:t>
      </w:r>
      <w:r w:rsidR="00EC314F">
        <w:rPr>
          <w:rFonts w:ascii="Times New Roman" w:hAnsi="Times New Roman" w:cs="Times New Roman"/>
          <w:sz w:val="24"/>
          <w:szCs w:val="24"/>
        </w:rPr>
        <w:t>; and</w:t>
      </w:r>
    </w:p>
    <w:p w:rsidR="00EC314F" w:rsidP="00520A3F" w:rsidRDefault="00EC314F" w14:paraId="4C271F5F" w14:textId="29F86A3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BAL-005-1, </w:t>
      </w:r>
      <w:r w:rsidRPr="000E3075" w:rsidR="000E3075">
        <w:rPr>
          <w:rFonts w:ascii="Times New Roman" w:hAnsi="Times New Roman" w:cs="Times New Roman"/>
          <w:sz w:val="24"/>
          <w:szCs w:val="24"/>
        </w:rPr>
        <w:t>Balancing Authority Control</w:t>
      </w:r>
      <w:r w:rsidR="000E3075">
        <w:rPr>
          <w:rFonts w:ascii="Times New Roman" w:hAnsi="Times New Roman" w:cs="Times New Roman"/>
          <w:sz w:val="24"/>
          <w:szCs w:val="24"/>
        </w:rPr>
        <w:t>.</w:t>
      </w:r>
    </w:p>
    <w:p w:rsidR="00C33170" w:rsidP="00C33170" w:rsidRDefault="00C33170" w14:paraId="413F38A5" w14:textId="11EC8ECF">
      <w:pPr>
        <w:spacing w:after="0" w:line="240" w:lineRule="auto"/>
        <w:rPr>
          <w:rFonts w:ascii="Times New Roman" w:hAnsi="Times New Roman" w:cs="Times New Roman"/>
          <w:sz w:val="24"/>
          <w:szCs w:val="24"/>
        </w:rPr>
      </w:pPr>
    </w:p>
    <w:p w:rsidRPr="00C33170" w:rsidR="00C33170" w:rsidP="00EC314F" w:rsidRDefault="0058191C" w14:paraId="3B2F43D0" w14:textId="68D270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Pr="00A41C82" w:rsidR="00A41C82">
        <w:rPr>
          <w:rFonts w:ascii="Times New Roman" w:hAnsi="Times New Roman" w:cs="Times New Roman"/>
          <w:sz w:val="24"/>
          <w:szCs w:val="24"/>
        </w:rPr>
        <w:t>July 15, 2020</w:t>
      </w:r>
      <w:r w:rsidR="00A41C82">
        <w:rPr>
          <w:rFonts w:ascii="Times New Roman" w:hAnsi="Times New Roman" w:cs="Times New Roman"/>
          <w:sz w:val="24"/>
          <w:szCs w:val="24"/>
        </w:rPr>
        <w:t>, BAL-003-1</w:t>
      </w:r>
      <w:r w:rsidR="00EF302A">
        <w:rPr>
          <w:rFonts w:ascii="Times New Roman" w:hAnsi="Times New Roman" w:cs="Times New Roman"/>
          <w:sz w:val="24"/>
          <w:szCs w:val="24"/>
        </w:rPr>
        <w:t xml:space="preserve"> </w:t>
      </w:r>
      <w:r w:rsidR="00A41C82">
        <w:rPr>
          <w:rFonts w:ascii="Times New Roman" w:hAnsi="Times New Roman" w:cs="Times New Roman"/>
          <w:sz w:val="24"/>
          <w:szCs w:val="24"/>
        </w:rPr>
        <w:t xml:space="preserve">was replaced with BAL-003-2 </w:t>
      </w:r>
      <w:r w:rsidRPr="00A41C82" w:rsidR="00A41C82">
        <w:rPr>
          <w:rFonts w:ascii="Times New Roman" w:hAnsi="Times New Roman" w:cs="Times New Roman"/>
          <w:sz w:val="24"/>
          <w:szCs w:val="24"/>
        </w:rPr>
        <w:t>in a Delegated Letter Order (</w:t>
      </w:r>
      <w:r w:rsidR="00A41C82">
        <w:rPr>
          <w:rFonts w:ascii="Times New Roman" w:hAnsi="Times New Roman" w:cs="Times New Roman"/>
          <w:sz w:val="24"/>
          <w:szCs w:val="24"/>
        </w:rPr>
        <w:t>Docket No. RD20-9-000)</w:t>
      </w:r>
      <w:r w:rsidRPr="00A41C82" w:rsidR="00A41C82">
        <w:rPr>
          <w:rFonts w:ascii="Times New Roman" w:hAnsi="Times New Roman" w:cs="Times New Roman"/>
          <w:sz w:val="24"/>
          <w:szCs w:val="24"/>
        </w:rPr>
        <w:t>.</w:t>
      </w:r>
      <w:r w:rsidRPr="00A41C82" w:rsidR="00A41C82">
        <w:rPr>
          <w:rFonts w:ascii="Times New Roman" w:hAnsi="Times New Roman" w:cs="Times New Roman"/>
          <w:b/>
          <w:sz w:val="24"/>
          <w:szCs w:val="24"/>
          <w:vertAlign w:val="superscript"/>
        </w:rPr>
        <w:footnoteReference w:id="2"/>
      </w:r>
      <w:r w:rsidR="00A41C82">
        <w:rPr>
          <w:rFonts w:ascii="Times New Roman" w:hAnsi="Times New Roman" w:cs="Times New Roman"/>
          <w:sz w:val="24"/>
          <w:szCs w:val="24"/>
        </w:rPr>
        <w:t xml:space="preserve">  The Commission requests that FERC-725R be renewed, as revised </w:t>
      </w:r>
      <w:r w:rsidR="001D339C">
        <w:rPr>
          <w:rFonts w:ascii="Times New Roman" w:hAnsi="Times New Roman" w:cs="Times New Roman"/>
          <w:sz w:val="24"/>
          <w:szCs w:val="24"/>
        </w:rPr>
        <w:t>i</w:t>
      </w:r>
      <w:r w:rsidR="00A41C82">
        <w:rPr>
          <w:rFonts w:ascii="Times New Roman" w:hAnsi="Times New Roman" w:cs="Times New Roman"/>
          <w:sz w:val="24"/>
          <w:szCs w:val="24"/>
        </w:rPr>
        <w:t>n Docket No. RD20-9-000.</w:t>
      </w:r>
      <w:r w:rsidR="00EC314F">
        <w:rPr>
          <w:rFonts w:ascii="Times New Roman" w:hAnsi="Times New Roman" w:cs="Times New Roman"/>
          <w:sz w:val="24"/>
          <w:szCs w:val="24"/>
        </w:rPr>
        <w:t xml:space="preserve"> </w:t>
      </w:r>
    </w:p>
    <w:p w:rsidRPr="00B51BB8" w:rsidR="00520A3F" w:rsidP="002A4142" w:rsidRDefault="00520A3F" w14:paraId="0872B093" w14:textId="77777777">
      <w:pPr>
        <w:spacing w:after="0" w:line="240" w:lineRule="auto"/>
        <w:rPr>
          <w:rFonts w:ascii="Times New Roman" w:hAnsi="Times New Roman" w:cs="Times New Roman"/>
          <w:sz w:val="24"/>
          <w:szCs w:val="24"/>
        </w:rPr>
      </w:pPr>
    </w:p>
    <w:p w:rsidR="00C4205B" w:rsidP="007C39D3" w:rsidRDefault="00C4205B" w14:paraId="2587A559" w14:textId="01827CDE">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rsidR="004A1428" w:rsidP="00164B1B" w:rsidRDefault="004A1428" w14:paraId="5FDEFB08" w14:textId="4F32D997">
      <w:pPr>
        <w:widowControl w:val="0"/>
        <w:autoSpaceDE w:val="0"/>
        <w:autoSpaceDN w:val="0"/>
        <w:adjustRightInd w:val="0"/>
        <w:spacing w:after="0" w:line="240" w:lineRule="auto"/>
        <w:rPr>
          <w:rFonts w:ascii="Times New Roman" w:hAnsi="Times New Roman" w:cs="Times New Roman"/>
          <w:sz w:val="24"/>
          <w:szCs w:val="24"/>
        </w:rPr>
      </w:pPr>
    </w:p>
    <w:p w:rsidR="00561C8E" w:rsidP="00561C8E" w:rsidRDefault="00561C8E" w14:paraId="0A205D5D" w14:textId="67A72E2E">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 xml:space="preserve">On December 19, 2019, NERC submitted a petition seeking Commission approval </w:t>
      </w:r>
      <w:r w:rsidR="008772F2">
        <w:rPr>
          <w:rFonts w:ascii="Times New Roman" w:hAnsi="Times New Roman" w:cs="Times New Roman"/>
          <w:sz w:val="24"/>
          <w:szCs w:val="24"/>
        </w:rPr>
        <w:t xml:space="preserve">to replace Reliability Standard BAL-003-1 with </w:t>
      </w:r>
      <w:r w:rsidRPr="00514C31">
        <w:rPr>
          <w:rFonts w:ascii="Times New Roman" w:hAnsi="Times New Roman" w:cs="Times New Roman"/>
          <w:sz w:val="24"/>
          <w:szCs w:val="24"/>
        </w:rPr>
        <w:t>proposed Reliability Standard BAL-003-2.  On May 20, 2020, the Commission noticed the petition in Docket No. RD20-9-000.  Interventions, comments, and protests were due on or before June 29, 2020.  None were received.</w:t>
      </w:r>
      <w:r w:rsidR="008772F2">
        <w:rPr>
          <w:rFonts w:ascii="Times New Roman" w:hAnsi="Times New Roman" w:cs="Times New Roman"/>
          <w:sz w:val="24"/>
          <w:szCs w:val="24"/>
        </w:rPr>
        <w:t xml:space="preserve">  </w:t>
      </w:r>
      <w:r w:rsidR="00E778BE">
        <w:rPr>
          <w:rFonts w:ascii="Times New Roman" w:hAnsi="Times New Roman" w:cs="Times New Roman"/>
          <w:sz w:val="24"/>
          <w:szCs w:val="24"/>
        </w:rPr>
        <w:t>A</w:t>
      </w:r>
      <w:r w:rsidR="008772F2">
        <w:rPr>
          <w:rFonts w:ascii="Times New Roman" w:hAnsi="Times New Roman" w:cs="Times New Roman"/>
          <w:sz w:val="24"/>
          <w:szCs w:val="24"/>
        </w:rPr>
        <w:t xml:space="preserve"> Delegated Letter Order approving BAL-003-2 was issued on July 15, 2020</w:t>
      </w:r>
      <w:r w:rsidR="004F6484">
        <w:rPr>
          <w:rFonts w:ascii="Times New Roman" w:hAnsi="Times New Roman" w:cs="Times New Roman"/>
          <w:sz w:val="24"/>
          <w:szCs w:val="24"/>
        </w:rPr>
        <w:t xml:space="preserve">, on grounds that BAL-003-02 clarifies the process and methods for calculating the amount of Frequency Response that must be provided in a given operating year to support the reliable operation of the Bulk-Power System.  </w:t>
      </w:r>
    </w:p>
    <w:p w:rsidRPr="00514C31" w:rsidR="00FB4B9A" w:rsidP="00561C8E" w:rsidRDefault="00FB4B9A" w14:paraId="302F6C82" w14:textId="77777777">
      <w:pPr>
        <w:widowControl w:val="0"/>
        <w:autoSpaceDE w:val="0"/>
        <w:autoSpaceDN w:val="0"/>
        <w:adjustRightInd w:val="0"/>
        <w:spacing w:after="0" w:line="240" w:lineRule="auto"/>
        <w:rPr>
          <w:rFonts w:ascii="Times New Roman" w:hAnsi="Times New Roman" w:cs="Times New Roman"/>
          <w:sz w:val="24"/>
          <w:szCs w:val="24"/>
        </w:rPr>
      </w:pPr>
    </w:p>
    <w:p w:rsidR="00561C8E" w:rsidP="00164B1B" w:rsidRDefault="00561C8E" w14:paraId="6CD25CBB" w14:textId="63127C68">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On August 26, 2020, the Commission published a notice of revision of FERC-725R in Docket No. RD20-9-000 (85 FR 52584).  The Commission received no comments in response to the notice of revision.  The Commission now seeks renewal of FERC-725R with the revisions that the Commission has approved in Docket No. RD20-9-000.</w:t>
      </w:r>
    </w:p>
    <w:p w:rsidR="004F6484" w:rsidP="00164B1B" w:rsidRDefault="004F6484" w14:paraId="573B9FF6" w14:textId="257475B6">
      <w:pPr>
        <w:widowControl w:val="0"/>
        <w:autoSpaceDE w:val="0"/>
        <w:autoSpaceDN w:val="0"/>
        <w:adjustRightInd w:val="0"/>
        <w:spacing w:after="0" w:line="240" w:lineRule="auto"/>
        <w:rPr>
          <w:rFonts w:ascii="Times New Roman" w:hAnsi="Times New Roman" w:cs="Times New Roman"/>
          <w:sz w:val="24"/>
          <w:szCs w:val="24"/>
        </w:rPr>
      </w:pPr>
    </w:p>
    <w:p w:rsidR="00514C31" w:rsidP="00514C31" w:rsidRDefault="004F6484" w14:paraId="336DEBFC" w14:textId="4A7A5DE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nationwide </w:t>
      </w:r>
      <w:r w:rsidRPr="00514C31" w:rsidR="00514C31">
        <w:rPr>
          <w:rFonts w:ascii="Times New Roman" w:hAnsi="Times New Roman" w:cs="Times New Roman"/>
          <w:sz w:val="24"/>
          <w:szCs w:val="24"/>
        </w:rPr>
        <w:t xml:space="preserve">Reliability Standards </w:t>
      </w:r>
      <w:r>
        <w:rPr>
          <w:rFonts w:ascii="Times New Roman" w:hAnsi="Times New Roman" w:cs="Times New Roman"/>
          <w:sz w:val="24"/>
          <w:szCs w:val="24"/>
        </w:rPr>
        <w:t xml:space="preserve">in FERC-725R </w:t>
      </w:r>
      <w:r w:rsidRPr="00514C31" w:rsidR="00514C31">
        <w:rPr>
          <w:rFonts w:ascii="Times New Roman" w:hAnsi="Times New Roman" w:cs="Times New Roman"/>
          <w:sz w:val="24"/>
          <w:szCs w:val="24"/>
        </w:rPr>
        <w:t>would not be affected by Docket No. RD20-9-000:</w:t>
      </w:r>
      <w:r w:rsidRPr="00514C31" w:rsidR="00514C31">
        <w:rPr>
          <w:rFonts w:ascii="Times New Roman" w:hAnsi="Times New Roman" w:cs="Times New Roman"/>
          <w:sz w:val="24"/>
          <w:szCs w:val="24"/>
          <w:vertAlign w:val="superscript"/>
        </w:rPr>
        <w:footnoteReference w:id="3"/>
      </w:r>
    </w:p>
    <w:p w:rsidRPr="00514C31" w:rsidR="004F6484" w:rsidP="00514C31" w:rsidRDefault="004F6484" w14:paraId="01DA89F7" w14:textId="77777777">
      <w:pPr>
        <w:widowControl w:val="0"/>
        <w:autoSpaceDE w:val="0"/>
        <w:autoSpaceDN w:val="0"/>
        <w:adjustRightInd w:val="0"/>
        <w:spacing w:after="0" w:line="240" w:lineRule="auto"/>
        <w:rPr>
          <w:rFonts w:ascii="Times New Roman" w:hAnsi="Times New Roman" w:cs="Times New Roman"/>
          <w:sz w:val="24"/>
          <w:szCs w:val="24"/>
        </w:rPr>
      </w:pPr>
    </w:p>
    <w:p w:rsidR="00514C31" w:rsidP="00514C31" w:rsidRDefault="00514C31" w14:paraId="1B02E0D1" w14:textId="6845B8F6">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w:t>
      </w:r>
      <w:r w:rsidRPr="00514C31">
        <w:rPr>
          <w:rFonts w:ascii="Times New Roman" w:hAnsi="Times New Roman" w:cs="Times New Roman"/>
          <w:sz w:val="24"/>
          <w:szCs w:val="24"/>
        </w:rPr>
        <w:tab/>
        <w:t>BAL-001-2,</w:t>
      </w:r>
      <w:r w:rsidRPr="00514C31">
        <w:rPr>
          <w:rFonts w:ascii="Times New Roman" w:hAnsi="Times New Roman" w:cs="Times New Roman"/>
          <w:sz w:val="24"/>
          <w:szCs w:val="24"/>
          <w:vertAlign w:val="superscript"/>
        </w:rPr>
        <w:footnoteReference w:id="4"/>
      </w:r>
      <w:r w:rsidRPr="00514C31">
        <w:rPr>
          <w:rFonts w:ascii="Times New Roman" w:hAnsi="Times New Roman" w:cs="Times New Roman"/>
          <w:sz w:val="24"/>
          <w:szCs w:val="24"/>
        </w:rPr>
        <w:t xml:space="preserve"> Real Power Balancing Control Performance.  Reliability Standard BAL-001-2 is designed to ensure that applicable entities balance generation and load by maintaining system frequency within narrow bounds around a scheduled value, and it improves reliability by adding a frequency component to the measurement of a Balancing Authority’s Area Control Error (ACE).</w:t>
      </w:r>
      <w:r w:rsidRPr="00514C31">
        <w:rPr>
          <w:rFonts w:ascii="Times New Roman" w:hAnsi="Times New Roman" w:cs="Times New Roman"/>
          <w:sz w:val="24"/>
          <w:szCs w:val="24"/>
          <w:vertAlign w:val="superscript"/>
        </w:rPr>
        <w:footnoteReference w:id="5"/>
      </w:r>
    </w:p>
    <w:p w:rsidRPr="00514C31" w:rsidR="004F6484" w:rsidP="00514C31" w:rsidRDefault="004F6484" w14:paraId="55D5A0AA" w14:textId="77777777">
      <w:pPr>
        <w:widowControl w:val="0"/>
        <w:autoSpaceDE w:val="0"/>
        <w:autoSpaceDN w:val="0"/>
        <w:adjustRightInd w:val="0"/>
        <w:spacing w:after="0" w:line="240" w:lineRule="auto"/>
        <w:rPr>
          <w:rFonts w:ascii="Times New Roman" w:hAnsi="Times New Roman" w:cs="Times New Roman"/>
          <w:sz w:val="24"/>
          <w:szCs w:val="24"/>
        </w:rPr>
      </w:pPr>
    </w:p>
    <w:p w:rsidR="00514C31" w:rsidP="00514C31" w:rsidRDefault="00514C31" w14:paraId="5877633A" w14:textId="5513C95F">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w:t>
      </w:r>
      <w:r w:rsidRPr="00514C31">
        <w:rPr>
          <w:rFonts w:ascii="Times New Roman" w:hAnsi="Times New Roman" w:cs="Times New Roman"/>
          <w:sz w:val="24"/>
          <w:szCs w:val="24"/>
        </w:rPr>
        <w:tab/>
        <w:t>BAL-002-3,</w:t>
      </w:r>
      <w:r w:rsidRPr="00514C31">
        <w:rPr>
          <w:rFonts w:ascii="Times New Roman" w:hAnsi="Times New Roman" w:cs="Times New Roman"/>
          <w:sz w:val="24"/>
          <w:szCs w:val="24"/>
          <w:vertAlign w:val="superscript"/>
        </w:rPr>
        <w:footnoteReference w:id="6"/>
      </w:r>
      <w:r w:rsidRPr="00514C31">
        <w:rPr>
          <w:rFonts w:ascii="Times New Roman" w:hAnsi="Times New Roman" w:cs="Times New Roman"/>
          <w:sz w:val="24"/>
          <w:szCs w:val="24"/>
        </w:rPr>
        <w:t xml:space="preserve"> Disturbance Control Standard – Contingency Reserve for Recovery from a Balancing Contingency Event.  This standard ensures that a responsible entity, either a balancing authority or reserve sharing group, is able to recover from system contingencies by deploying </w:t>
      </w:r>
      <w:r w:rsidRPr="00514C31">
        <w:rPr>
          <w:rFonts w:ascii="Times New Roman" w:hAnsi="Times New Roman" w:cs="Times New Roman"/>
          <w:sz w:val="24"/>
          <w:szCs w:val="24"/>
        </w:rPr>
        <w:lastRenderedPageBreak/>
        <w:t>adequate reserves to return their Area Control Error to defined values and replacing the capacity and energy lost due to generation or transmission equipment outages.</w:t>
      </w:r>
    </w:p>
    <w:p w:rsidRPr="00514C31" w:rsidR="00F012DD" w:rsidP="00514C31" w:rsidRDefault="00F012DD" w14:paraId="732122B1" w14:textId="77777777">
      <w:pPr>
        <w:widowControl w:val="0"/>
        <w:autoSpaceDE w:val="0"/>
        <w:autoSpaceDN w:val="0"/>
        <w:adjustRightInd w:val="0"/>
        <w:spacing w:after="0" w:line="240" w:lineRule="auto"/>
        <w:rPr>
          <w:rFonts w:ascii="Times New Roman" w:hAnsi="Times New Roman" w:cs="Times New Roman"/>
          <w:sz w:val="24"/>
          <w:szCs w:val="24"/>
        </w:rPr>
      </w:pPr>
    </w:p>
    <w:p w:rsidRPr="00514C31" w:rsidR="00514C31" w:rsidP="00514C31" w:rsidRDefault="00514C31" w14:paraId="772695D6" w14:textId="77777777">
      <w:pPr>
        <w:widowControl w:val="0"/>
        <w:autoSpaceDE w:val="0"/>
        <w:autoSpaceDN w:val="0"/>
        <w:adjustRightInd w:val="0"/>
        <w:spacing w:after="0" w:line="240" w:lineRule="auto"/>
        <w:rPr>
          <w:rFonts w:ascii="Times New Roman" w:hAnsi="Times New Roman" w:cs="Times New Roman"/>
          <w:sz w:val="24"/>
          <w:szCs w:val="24"/>
        </w:rPr>
      </w:pPr>
      <w:r w:rsidRPr="00514C31">
        <w:rPr>
          <w:rFonts w:ascii="Times New Roman" w:hAnsi="Times New Roman" w:cs="Times New Roman"/>
          <w:sz w:val="24"/>
          <w:szCs w:val="24"/>
        </w:rPr>
        <w:t>•</w:t>
      </w:r>
      <w:r w:rsidRPr="00514C31">
        <w:rPr>
          <w:rFonts w:ascii="Times New Roman" w:hAnsi="Times New Roman" w:cs="Times New Roman"/>
          <w:sz w:val="24"/>
          <w:szCs w:val="24"/>
        </w:rPr>
        <w:tab/>
        <w:t>BAL-005-1,</w:t>
      </w:r>
      <w:r w:rsidRPr="00514C31">
        <w:rPr>
          <w:rFonts w:ascii="Times New Roman" w:hAnsi="Times New Roman" w:cs="Times New Roman"/>
          <w:sz w:val="24"/>
          <w:szCs w:val="24"/>
          <w:vertAlign w:val="superscript"/>
        </w:rPr>
        <w:footnoteReference w:id="7"/>
      </w:r>
      <w:r w:rsidRPr="00514C31">
        <w:rPr>
          <w:rFonts w:ascii="Times New Roman" w:hAnsi="Times New Roman" w:cs="Times New Roman"/>
          <w:sz w:val="24"/>
          <w:szCs w:val="24"/>
        </w:rPr>
        <w:t xml:space="preserve"> Balancing Authority Control.  This standard establishes requirements for acquiring data necessary to calculate Reporting Area Control Error (Reporting ACE).  The standard also specifies a minimum periodicity, accuracy, and availability requirement for acquisition of the data and for providing the information to the System Operator.  It requires balancing authorities to maintain minimum levels of annual availability of 99.5% for each balancing authority system for calculating Reporting ACE.</w:t>
      </w:r>
    </w:p>
    <w:p w:rsidRPr="00514C31" w:rsidR="00514C31" w:rsidP="00514C31" w:rsidRDefault="00514C31" w14:paraId="1E4F36EB" w14:textId="1CD9EA7C">
      <w:pPr>
        <w:widowControl w:val="0"/>
        <w:autoSpaceDE w:val="0"/>
        <w:autoSpaceDN w:val="0"/>
        <w:adjustRightInd w:val="0"/>
        <w:spacing w:after="0" w:line="240" w:lineRule="auto"/>
        <w:rPr>
          <w:rFonts w:ascii="Times New Roman" w:hAnsi="Times New Roman" w:cs="Times New Roman"/>
          <w:sz w:val="24"/>
          <w:szCs w:val="24"/>
          <w:u w:val="single"/>
        </w:rPr>
      </w:pPr>
    </w:p>
    <w:p w:rsidRPr="00B51BB8" w:rsidR="00C4205B" w:rsidP="007C39D3" w:rsidRDefault="00C4205B" w14:paraId="3FDEF35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rsidRPr="00B51BB8" w:rsidR="004A1428" w:rsidP="005E2448" w:rsidRDefault="004A1428" w14:paraId="672AF6EC"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Pr="00B51BB8" w:rsidR="00055683" w:rsidP="002A4142" w:rsidRDefault="00DF1C8D" w14:paraId="764FA827" w14:textId="77777777">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Pr="00B51BB8" w:rsidR="0012731F">
        <w:rPr>
          <w:rFonts w:ascii="Times New Roman" w:hAnsi="Times New Roman" w:cs="Times New Roman"/>
          <w:sz w:val="24"/>
          <w:szCs w:val="24"/>
        </w:rPr>
        <w:t xml:space="preserve">.  </w:t>
      </w:r>
    </w:p>
    <w:p w:rsidRPr="00B51BB8" w:rsidR="00042D80" w:rsidP="002A4142" w:rsidRDefault="00042D80" w14:paraId="68F2DA00" w14:textId="77777777">
      <w:pPr>
        <w:spacing w:after="0" w:line="240" w:lineRule="auto"/>
        <w:rPr>
          <w:rFonts w:ascii="Times New Roman" w:hAnsi="Times New Roman" w:cs="Times New Roman"/>
          <w:b/>
          <w:bCs/>
          <w:sz w:val="24"/>
          <w:szCs w:val="24"/>
        </w:rPr>
      </w:pPr>
    </w:p>
    <w:p w:rsidRPr="00B51BB8" w:rsidR="00C4205B" w:rsidP="007C39D3" w:rsidRDefault="00C4205B" w14:paraId="47A21953"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00C4205B" w:rsidP="002A4142" w:rsidRDefault="00C4205B" w14:paraId="30B27180" w14:textId="77777777">
      <w:pPr>
        <w:spacing w:after="0" w:line="240" w:lineRule="auto"/>
        <w:rPr>
          <w:rFonts w:ascii="Times New Roman" w:hAnsi="Times New Roman" w:cs="Times New Roman"/>
          <w:sz w:val="24"/>
          <w:szCs w:val="24"/>
        </w:rPr>
      </w:pPr>
    </w:p>
    <w:p w:rsidRPr="00B51BB8" w:rsidR="00757251" w:rsidP="002A4142" w:rsidRDefault="00757251" w14:paraId="4AD3C24E" w14:textId="3D485113">
      <w:pPr>
        <w:spacing w:after="0" w:line="240" w:lineRule="auto"/>
        <w:rPr>
          <w:rFonts w:ascii="Times New Roman" w:hAnsi="Times New Roman" w:cs="Times New Roman"/>
          <w:sz w:val="24"/>
          <w:szCs w:val="24"/>
        </w:rPr>
      </w:pPr>
      <w:r>
        <w:rPr>
          <w:rFonts w:ascii="Times New Roman" w:hAnsi="Times New Roman" w:cs="Times New Roman"/>
          <w:sz w:val="24"/>
          <w:szCs w:val="24"/>
        </w:rPr>
        <w:t>There is no similar information available.</w:t>
      </w:r>
    </w:p>
    <w:p w:rsidRPr="00B51BB8" w:rsidR="00F64A6F" w:rsidP="002A4142" w:rsidRDefault="00F64A6F" w14:paraId="3A1BDA48" w14:textId="77777777">
      <w:pPr>
        <w:spacing w:after="0" w:line="240" w:lineRule="auto"/>
        <w:rPr>
          <w:rFonts w:ascii="Times New Roman" w:hAnsi="Times New Roman" w:cs="Times New Roman"/>
          <w:sz w:val="24"/>
          <w:szCs w:val="24"/>
        </w:rPr>
      </w:pPr>
    </w:p>
    <w:p w:rsidRPr="00B51BB8" w:rsidR="00C4205B" w:rsidP="007C39D3" w:rsidRDefault="00C4205B" w14:paraId="5991DBEA"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rsidRPr="00B51BB8" w:rsidR="00C4205B" w:rsidP="002A4142" w:rsidRDefault="00C4205B" w14:paraId="4BAE7F17" w14:textId="77777777">
      <w:pPr>
        <w:spacing w:after="0" w:line="240" w:lineRule="auto"/>
        <w:rPr>
          <w:rFonts w:ascii="Times New Roman" w:hAnsi="Times New Roman" w:cs="Times New Roman"/>
          <w:b/>
          <w:bCs/>
          <w:sz w:val="24"/>
          <w:szCs w:val="24"/>
        </w:rPr>
      </w:pPr>
    </w:p>
    <w:p w:rsidR="00581276" w:rsidP="00DF1C8D" w:rsidRDefault="00757251" w14:paraId="5ABF12AE" w14:textId="3782B99A">
      <w:pPr>
        <w:spacing w:after="0" w:line="240" w:lineRule="auto"/>
        <w:rPr>
          <w:rFonts w:ascii="Times New Roman" w:hAnsi="Times New Roman" w:cs="Times New Roman"/>
          <w:bCs/>
          <w:sz w:val="24"/>
          <w:szCs w:val="24"/>
        </w:rPr>
      </w:pPr>
      <w:r w:rsidRPr="00757251">
        <w:rPr>
          <w:rFonts w:ascii="Times New Roman" w:hAnsi="Times New Roman" w:cs="Times New Roman"/>
          <w:bCs/>
          <w:sz w:val="24"/>
          <w:szCs w:val="24"/>
        </w:rPr>
        <w:t xml:space="preserve">FERC considers the impact to be </w:t>
      </w:r>
      <w:r w:rsidR="00CD609C">
        <w:rPr>
          <w:rFonts w:ascii="Times New Roman" w:hAnsi="Times New Roman" w:cs="Times New Roman"/>
          <w:bCs/>
          <w:sz w:val="24"/>
          <w:szCs w:val="24"/>
        </w:rPr>
        <w:t>the minimum that is necessary.</w:t>
      </w:r>
      <w:r w:rsidRPr="00757251">
        <w:rPr>
          <w:rFonts w:ascii="Times New Roman" w:hAnsi="Times New Roman" w:cs="Times New Roman"/>
          <w:bCs/>
          <w:sz w:val="24"/>
          <w:szCs w:val="24"/>
        </w:rPr>
        <w:t xml:space="preserve">  </w:t>
      </w:r>
    </w:p>
    <w:p w:rsidR="00581276" w:rsidP="00DF1C8D" w:rsidRDefault="00581276" w14:paraId="7D00A748" w14:textId="77777777">
      <w:pPr>
        <w:spacing w:after="0" w:line="240" w:lineRule="auto"/>
        <w:rPr>
          <w:rFonts w:ascii="Times New Roman" w:hAnsi="Times New Roman" w:cs="Times New Roman"/>
          <w:bCs/>
          <w:sz w:val="24"/>
          <w:szCs w:val="24"/>
        </w:rPr>
      </w:pPr>
    </w:p>
    <w:p w:rsidR="00DF1C8D" w:rsidP="00DF1C8D" w:rsidRDefault="00757251" w14:paraId="13DF92C2" w14:textId="1598B6D5">
      <w:pPr>
        <w:spacing w:after="0" w:line="240" w:lineRule="auto"/>
        <w:rPr>
          <w:rFonts w:ascii="Times New Roman" w:hAnsi="Times New Roman" w:cs="Times New Roman"/>
          <w:bCs/>
          <w:sz w:val="24"/>
          <w:szCs w:val="24"/>
        </w:rPr>
      </w:pPr>
      <w:r w:rsidRPr="00757251">
        <w:rPr>
          <w:rFonts w:ascii="Times New Roman" w:hAnsi="Times New Roman" w:cs="Times New Roman"/>
          <w:bCs/>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00B574DE">
        <w:rPr>
          <w:rFonts w:ascii="Times New Roman" w:hAnsi="Times New Roman" w:cs="Times New Roman"/>
          <w:bCs/>
          <w:sz w:val="24"/>
          <w:szCs w:val="24"/>
        </w:rPr>
        <w:t>.</w:t>
      </w:r>
    </w:p>
    <w:p w:rsidRPr="00B51BB8" w:rsidR="00757251" w:rsidP="00DF1C8D" w:rsidRDefault="00757251" w14:paraId="0FA90926" w14:textId="77777777">
      <w:pPr>
        <w:spacing w:after="0" w:line="240" w:lineRule="auto"/>
        <w:rPr>
          <w:rFonts w:ascii="Times New Roman" w:hAnsi="Times New Roman" w:cs="Times New Roman"/>
          <w:bCs/>
          <w:sz w:val="24"/>
          <w:szCs w:val="24"/>
        </w:rPr>
      </w:pPr>
    </w:p>
    <w:p w:rsidRPr="00B51BB8" w:rsidR="00C4205B" w:rsidP="007C39D3" w:rsidRDefault="00C4205B" w14:paraId="030DDA9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rsidR="00C4205B" w:rsidP="005E2448" w:rsidRDefault="00C4205B" w14:paraId="4587C2F3" w14:textId="77777777">
      <w:pPr>
        <w:pStyle w:val="FERCparanumber"/>
        <w:widowControl/>
        <w:numPr>
          <w:ilvl w:val="0"/>
          <w:numId w:val="0"/>
        </w:numPr>
        <w:tabs>
          <w:tab w:val="left" w:pos="720"/>
        </w:tabs>
        <w:rPr>
          <w:rFonts w:ascii="Times New Roman" w:hAnsi="Times New Roman" w:cs="Times New Roman"/>
        </w:rPr>
      </w:pPr>
    </w:p>
    <w:p w:rsidRPr="00B51BB8" w:rsidR="00757251" w:rsidP="005E2448" w:rsidRDefault="00757251" w14:paraId="1087634E" w14:textId="3E48C561">
      <w:pPr>
        <w:pStyle w:val="FERCparanumber"/>
        <w:widowControl/>
        <w:numPr>
          <w:ilvl w:val="0"/>
          <w:numId w:val="0"/>
        </w:numPr>
        <w:tabs>
          <w:tab w:val="left" w:pos="720"/>
        </w:tabs>
        <w:rPr>
          <w:rFonts w:ascii="Times New Roman" w:hAnsi="Times New Roman" w:cs="Times New Roman"/>
        </w:rPr>
      </w:pPr>
      <w:r w:rsidRPr="00757251">
        <w:rPr>
          <w:rFonts w:ascii="Times New Roman" w:hAnsi="Times New Roman" w:cs="Times New Roman"/>
        </w:rPr>
        <w:lastRenderedPageBreak/>
        <w:t>If the requirements of th</w:t>
      </w:r>
      <w:r w:rsidR="00C87CAF">
        <w:rPr>
          <w:rFonts w:ascii="Times New Roman" w:hAnsi="Times New Roman" w:cs="Times New Roman"/>
        </w:rPr>
        <w:t>e pertinent</w:t>
      </w:r>
      <w:r w:rsidRPr="00757251">
        <w:rPr>
          <w:rFonts w:ascii="Times New Roman" w:hAnsi="Times New Roman" w:cs="Times New Roman"/>
        </w:rPr>
        <w:t xml:space="preserve"> standard</w:t>
      </w:r>
      <w:r w:rsidR="00C87CAF">
        <w:rPr>
          <w:rFonts w:ascii="Times New Roman" w:hAnsi="Times New Roman" w:cs="Times New Roman"/>
        </w:rPr>
        <w:t>s</w:t>
      </w:r>
      <w:r w:rsidRPr="00757251">
        <w:rPr>
          <w:rFonts w:ascii="Times New Roman" w:hAnsi="Times New Roman" w:cs="Times New Roman"/>
        </w:rPr>
        <w:t xml:space="preserve"> (and </w:t>
      </w:r>
      <w:r w:rsidR="00C87CAF">
        <w:rPr>
          <w:rFonts w:ascii="Times New Roman" w:hAnsi="Times New Roman" w:cs="Times New Roman"/>
        </w:rPr>
        <w:t>their</w:t>
      </w:r>
      <w:r w:rsidRPr="00757251">
        <w:rPr>
          <w:rFonts w:ascii="Times New Roman" w:hAnsi="Times New Roman" w:cs="Times New Roman"/>
        </w:rPr>
        <w:t xml:space="preserve"> associated information collection requirements) were performed less frequently, NERC would not be provided the necessary information to appropriately maintain reserves nor adequately define events that predicate action under the Reliability Standard</w:t>
      </w:r>
      <w:r w:rsidR="001507EE">
        <w:rPr>
          <w:rFonts w:ascii="Times New Roman" w:hAnsi="Times New Roman" w:cs="Times New Roman"/>
        </w:rPr>
        <w:t>s</w:t>
      </w:r>
      <w:r w:rsidRPr="00757251">
        <w:rPr>
          <w:rFonts w:ascii="Times New Roman" w:hAnsi="Times New Roman" w:cs="Times New Roman"/>
        </w:rPr>
        <w:t>.  Without this data, NERC would not be able to ensure that interconnection frequency is maintained within predefined limits to improve reliability.</w:t>
      </w:r>
    </w:p>
    <w:p w:rsidRPr="00B51BB8" w:rsidR="006C0F0B" w:rsidP="002A4142" w:rsidRDefault="006C0F0B" w14:paraId="5A597F29" w14:textId="77777777">
      <w:pPr>
        <w:spacing w:after="0" w:line="240" w:lineRule="auto"/>
        <w:rPr>
          <w:rFonts w:ascii="Times New Roman" w:hAnsi="Times New Roman" w:cs="Times New Roman"/>
          <w:sz w:val="24"/>
          <w:szCs w:val="24"/>
        </w:rPr>
      </w:pPr>
    </w:p>
    <w:p w:rsidRPr="00B51BB8" w:rsidR="00C4205B" w:rsidP="007C39D3" w:rsidRDefault="00C4205B" w14:paraId="36702F9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rsidRPr="00B51BB8" w:rsidR="00C4205B" w:rsidP="002A4142" w:rsidRDefault="00C4205B" w14:paraId="08DEC30C" w14:textId="77777777">
      <w:pPr>
        <w:spacing w:after="0" w:line="240" w:lineRule="auto"/>
        <w:rPr>
          <w:rFonts w:ascii="Times New Roman" w:hAnsi="Times New Roman" w:cs="Times New Roman"/>
          <w:b/>
          <w:bCs/>
          <w:sz w:val="24"/>
          <w:szCs w:val="24"/>
        </w:rPr>
      </w:pPr>
    </w:p>
    <w:p w:rsidRPr="008619AB" w:rsidR="00581276" w:rsidP="007B2F86" w:rsidRDefault="003C4B09" w14:paraId="7919F259" w14:textId="11804A3D">
      <w:pPr>
        <w:spacing w:after="0" w:line="240" w:lineRule="auto"/>
        <w:rPr>
          <w:rFonts w:ascii="Times New Roman" w:hAnsi="Times New Roman" w:eastAsia="Calibri" w:cs="Times New Roman"/>
          <w:sz w:val="24"/>
          <w:szCs w:val="24"/>
        </w:rPr>
      </w:pPr>
      <w:r w:rsidRPr="00757251">
        <w:rPr>
          <w:rFonts w:ascii="Times New Roman" w:hAnsi="Times New Roman" w:eastAsia="Calibri" w:cs="Times New Roman"/>
          <w:sz w:val="24"/>
          <w:szCs w:val="24"/>
        </w:rPr>
        <w:t>There are</w:t>
      </w:r>
      <w:r w:rsidRPr="00CB0831" w:rsidR="00CB0831">
        <w:rPr>
          <w:rFonts w:ascii="Times New Roman" w:hAnsi="Times New Roman" w:eastAsia="Calibri" w:cs="Times New Roman"/>
          <w:sz w:val="24"/>
          <w:szCs w:val="24"/>
        </w:rPr>
        <w:t xml:space="preserve"> no special circumstances</w:t>
      </w:r>
      <w:r w:rsidR="007B2F86">
        <w:rPr>
          <w:rFonts w:ascii="Times New Roman" w:hAnsi="Times New Roman" w:eastAsia="Calibri" w:cs="Times New Roman"/>
          <w:sz w:val="24"/>
          <w:szCs w:val="24"/>
        </w:rPr>
        <w:t>.</w:t>
      </w:r>
    </w:p>
    <w:p w:rsidRPr="00B51BB8" w:rsidR="006C0F0B" w:rsidP="002A4142" w:rsidRDefault="006C0F0B" w14:paraId="2F2E2073" w14:textId="35ED4B84">
      <w:pPr>
        <w:spacing w:after="0" w:line="240" w:lineRule="auto"/>
        <w:rPr>
          <w:rFonts w:ascii="Times New Roman" w:hAnsi="Times New Roman" w:cs="Times New Roman"/>
          <w:sz w:val="24"/>
          <w:szCs w:val="24"/>
        </w:rPr>
      </w:pPr>
    </w:p>
    <w:p w:rsidRPr="00B51BB8" w:rsidR="00C4205B" w:rsidP="007C39D3" w:rsidRDefault="00C4205B" w14:paraId="179F99BF"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rsidRPr="00B51BB8" w:rsidR="00C4205B" w:rsidP="002A4142" w:rsidRDefault="00C4205B" w14:paraId="60D9FBAE" w14:textId="77777777">
      <w:pPr>
        <w:spacing w:after="0" w:line="240" w:lineRule="auto"/>
        <w:rPr>
          <w:rFonts w:ascii="Times New Roman" w:hAnsi="Times New Roman" w:cs="Times New Roman"/>
          <w:b/>
          <w:bCs/>
          <w:sz w:val="24"/>
          <w:szCs w:val="24"/>
        </w:rPr>
      </w:pPr>
    </w:p>
    <w:p w:rsidRPr="00B51BB8" w:rsidR="00C4205B" w:rsidP="00F64A6F" w:rsidRDefault="00C4205B" w14:paraId="51E51154"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rsidRPr="00B51BB8" w:rsidR="00C4205B" w:rsidP="00F26A37" w:rsidRDefault="00C4205B" w14:paraId="5BD69B41" w14:textId="77777777">
      <w:pPr>
        <w:spacing w:after="0" w:line="240" w:lineRule="auto"/>
        <w:rPr>
          <w:rFonts w:ascii="Times New Roman" w:hAnsi="Times New Roman" w:cs="Times New Roman"/>
          <w:b/>
          <w:bCs/>
          <w:sz w:val="24"/>
          <w:szCs w:val="24"/>
        </w:rPr>
      </w:pPr>
    </w:p>
    <w:p w:rsidRPr="00B51BB8" w:rsidR="00C4205B" w:rsidP="00F26A37" w:rsidRDefault="00C4205B" w14:paraId="530F015A"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rsidRPr="00B51BB8" w:rsidR="00391060" w:rsidP="00F26A37" w:rsidRDefault="00391060" w14:paraId="01B3B363" w14:textId="77777777">
      <w:pPr>
        <w:spacing w:after="0" w:line="240" w:lineRule="auto"/>
        <w:rPr>
          <w:rFonts w:ascii="Times New Roman" w:hAnsi="Times New Roman" w:cs="Times New Roman"/>
          <w:sz w:val="24"/>
          <w:szCs w:val="24"/>
        </w:rPr>
      </w:pPr>
    </w:p>
    <w:p w:rsidRPr="00B51BB8" w:rsidR="00C4205B" w:rsidP="007C39D3" w:rsidRDefault="00C4205B" w14:paraId="65F5A0B3"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rsidRPr="00B51BB8" w:rsidR="00C4205B" w:rsidP="00F26A37" w:rsidRDefault="00C4205B" w14:paraId="1B22D4AA" w14:textId="77777777">
      <w:pPr>
        <w:spacing w:after="0" w:line="240" w:lineRule="auto"/>
        <w:rPr>
          <w:rFonts w:ascii="Times New Roman" w:hAnsi="Times New Roman" w:cs="Times New Roman"/>
          <w:b/>
          <w:bCs/>
          <w:sz w:val="24"/>
          <w:szCs w:val="24"/>
        </w:rPr>
      </w:pPr>
    </w:p>
    <w:p w:rsidRPr="00B51BB8" w:rsidR="00F14924" w:rsidP="002A4142" w:rsidRDefault="00F14924" w14:paraId="22453BE0" w14:textId="77777777">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8"/>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B51BB8" w:rsidR="00F14924" w:rsidP="002A4142" w:rsidRDefault="00F14924" w14:paraId="5516CA1A" w14:textId="77777777">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Pr="00B51BB8" w:rsidR="00522521">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rsidRPr="00B51BB8" w:rsidR="00C4205B" w:rsidP="002A4142" w:rsidRDefault="00C4205B" w14:paraId="66543D75" w14:textId="77777777">
      <w:pPr>
        <w:spacing w:after="0" w:line="240" w:lineRule="auto"/>
        <w:ind w:firstLine="720"/>
        <w:rPr>
          <w:rFonts w:ascii="Times New Roman" w:hAnsi="Times New Roman" w:cs="Times New Roman"/>
          <w:sz w:val="24"/>
          <w:szCs w:val="24"/>
        </w:rPr>
      </w:pPr>
    </w:p>
    <w:p w:rsidR="00C4205B" w:rsidP="002A4142" w:rsidRDefault="00C4205B" w14:paraId="48C68E91"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Pr="00B51BB8" w:rsidR="00E0001D">
        <w:rPr>
          <w:rFonts w:ascii="Times New Roman" w:hAnsi="Times New Roman" w:cs="Times New Roman"/>
          <w:b/>
          <w:bCs/>
          <w:sz w:val="24"/>
          <w:szCs w:val="24"/>
        </w:rPr>
        <w:t>, SUCH AS SEXUAL BEHAVIOR AND ATTITUDES, RELIGIOUS BELIEFS, AND OTHER MATTERS THAT ARE COMMONLY CONSIDERED PRIVATE</w:t>
      </w:r>
    </w:p>
    <w:p w:rsidRPr="00115F24" w:rsidR="00115F24" w:rsidP="00115F24" w:rsidRDefault="00115F24" w14:paraId="04581B15"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115F24" w:rsidR="003C19D0" w:rsidP="002A4142" w:rsidRDefault="00503BD5" w14:paraId="4313B644" w14:textId="72CFD30B">
      <w:pPr>
        <w:spacing w:line="240" w:lineRule="auto"/>
        <w:rPr>
          <w:rFonts w:ascii="Times New Roman" w:hAnsi="Times New Roman" w:cs="Times New Roman"/>
          <w:sz w:val="24"/>
          <w:szCs w:val="24"/>
        </w:rPr>
      </w:pPr>
      <w:r>
        <w:rPr>
          <w:rFonts w:ascii="Times New Roman" w:hAnsi="Times New Roman" w:cs="Times New Roman"/>
          <w:sz w:val="24"/>
          <w:szCs w:val="24"/>
        </w:rPr>
        <w:t>The</w:t>
      </w:r>
      <w:r w:rsidRPr="00B51BB8" w:rsidR="00F14924">
        <w:rPr>
          <w:rFonts w:ascii="Times New Roman" w:hAnsi="Times New Roman" w:cs="Times New Roman"/>
          <w:sz w:val="24"/>
          <w:szCs w:val="24"/>
        </w:rPr>
        <w:t xml:space="preserve"> collection do</w:t>
      </w:r>
      <w:r w:rsidR="006D6849">
        <w:rPr>
          <w:rFonts w:ascii="Times New Roman" w:hAnsi="Times New Roman" w:cs="Times New Roman"/>
          <w:sz w:val="24"/>
          <w:szCs w:val="24"/>
        </w:rPr>
        <w:t>es</w:t>
      </w:r>
      <w:r w:rsidRPr="00B51BB8" w:rsidR="00F14924">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rsidRPr="00B51BB8" w:rsidR="00C4205B" w:rsidP="007C39D3" w:rsidRDefault="00C4205B" w14:paraId="66442D0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rsidR="00FC11BA" w:rsidP="005E2448" w:rsidRDefault="00FC11BA" w14:paraId="6080A668"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B574DE" w:rsidP="00B574DE" w:rsidRDefault="00B574DE" w14:paraId="157D8737" w14:textId="2E3C17A4">
      <w:pPr>
        <w:widowControl w:val="0"/>
        <w:autoSpaceDE w:val="0"/>
        <w:autoSpaceDN w:val="0"/>
        <w:adjustRightInd w:val="0"/>
        <w:spacing w:after="0" w:line="240" w:lineRule="auto"/>
        <w:rPr>
          <w:rFonts w:ascii="Times New Roman" w:hAnsi="Times New Roman" w:cs="Times New Roman"/>
          <w:sz w:val="24"/>
          <w:szCs w:val="24"/>
        </w:rPr>
      </w:pPr>
      <w:r w:rsidRPr="00B574DE">
        <w:rPr>
          <w:rFonts w:ascii="Times New Roman" w:hAnsi="Times New Roman" w:cs="Times New Roman"/>
          <w:sz w:val="24"/>
          <w:szCs w:val="24"/>
        </w:rPr>
        <w:t>Our estimate of the number of respondents affected is based on the NERC Compliance Registry as of July 17, 2020.</w:t>
      </w:r>
      <w:r w:rsidRPr="00B574DE">
        <w:rPr>
          <w:rFonts w:ascii="Times New Roman" w:hAnsi="Times New Roman" w:cs="Times New Roman"/>
          <w:b/>
          <w:sz w:val="24"/>
          <w:szCs w:val="24"/>
          <w:vertAlign w:val="superscript"/>
        </w:rPr>
        <w:footnoteReference w:id="9"/>
      </w:r>
      <w:r w:rsidRPr="00B574DE">
        <w:rPr>
          <w:rFonts w:ascii="Times New Roman" w:hAnsi="Times New Roman" w:cs="Times New Roman"/>
          <w:sz w:val="24"/>
          <w:szCs w:val="24"/>
        </w:rPr>
        <w:t xml:space="preserve">  According to the Compliance Registry, NERC has registered 97 Balancing </w:t>
      </w:r>
      <w:r w:rsidRPr="00B574DE">
        <w:rPr>
          <w:rFonts w:ascii="Times New Roman" w:hAnsi="Times New Roman" w:cs="Times New Roman"/>
          <w:sz w:val="24"/>
          <w:szCs w:val="24"/>
        </w:rPr>
        <w:lastRenderedPageBreak/>
        <w:t>Authorities (BA),  11 Response Sharing Groups (RSG), and 1 Frequency Response Sharing Group (FRSG) within the United States, as noted. The burden estimates reflect the number of affected entities for each standard.  Estimates for the average annual burden and cost</w:t>
      </w:r>
      <w:r w:rsidRPr="00B574DE">
        <w:rPr>
          <w:rFonts w:ascii="Times New Roman" w:hAnsi="Times New Roman" w:cs="Times New Roman"/>
          <w:b/>
          <w:sz w:val="24"/>
          <w:szCs w:val="24"/>
          <w:vertAlign w:val="superscript"/>
        </w:rPr>
        <w:footnoteReference w:id="10"/>
      </w:r>
      <w:r w:rsidRPr="00B574DE">
        <w:rPr>
          <w:rFonts w:ascii="Times New Roman" w:hAnsi="Times New Roman" w:cs="Times New Roman"/>
          <w:sz w:val="24"/>
          <w:szCs w:val="24"/>
        </w:rPr>
        <w:t xml:space="preserve"> follow.</w:t>
      </w:r>
    </w:p>
    <w:p w:rsidR="009708EE" w:rsidP="00B574DE" w:rsidRDefault="009708EE" w14:paraId="5263BF6D" w14:textId="57B39210">
      <w:pPr>
        <w:widowControl w:val="0"/>
        <w:autoSpaceDE w:val="0"/>
        <w:autoSpaceDN w:val="0"/>
        <w:adjustRightInd w:val="0"/>
        <w:spacing w:after="0" w:line="240" w:lineRule="auto"/>
        <w:rPr>
          <w:rFonts w:ascii="Times New Roman" w:hAnsi="Times New Roman" w:cs="Times New Roman"/>
          <w:sz w:val="24"/>
          <w:szCs w:val="24"/>
        </w:rPr>
      </w:pPr>
    </w:p>
    <w:tbl>
      <w:tblPr>
        <w:tblW w:w="550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43"/>
        <w:gridCol w:w="1631"/>
        <w:gridCol w:w="1530"/>
        <w:gridCol w:w="1405"/>
        <w:gridCol w:w="1257"/>
        <w:gridCol w:w="1919"/>
      </w:tblGrid>
      <w:tr w:rsidRPr="009708EE" w:rsidR="009708EE" w:rsidTr="00A712A4" w14:paraId="7E82A489" w14:textId="77777777">
        <w:trPr>
          <w:cantSplit/>
          <w:trHeight w:val="431"/>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08EE" w:rsidR="009708EE" w:rsidP="009708EE" w:rsidRDefault="009708EE" w14:paraId="73BEEC78"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FERC-725R, as Revised by RD20-9</w:t>
            </w:r>
          </w:p>
        </w:tc>
      </w:tr>
      <w:tr w:rsidRPr="009708EE" w:rsidR="009708EE" w:rsidTr="00A712A4" w14:paraId="7806B896" w14:textId="77777777">
        <w:trPr>
          <w:cantSplit/>
          <w:trHeight w:val="710"/>
        </w:trPr>
        <w:tc>
          <w:tcPr>
            <w:tcW w:w="123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708EE" w:rsidR="009708EE" w:rsidP="009708EE" w:rsidRDefault="009708EE" w14:paraId="74EF202A"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Function</w:t>
            </w:r>
          </w:p>
        </w:tc>
        <w:tc>
          <w:tcPr>
            <w:tcW w:w="79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708EE" w:rsidR="009708EE" w:rsidP="009708EE" w:rsidRDefault="009708EE" w14:paraId="14B1E9F7"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Number &amp; Type of Respondents</w:t>
            </w:r>
            <w:r w:rsidRPr="009708EE">
              <w:rPr>
                <w:rFonts w:ascii="Times New Roman" w:hAnsi="Times New Roman" w:cs="Times New Roman"/>
                <w:b/>
                <w:sz w:val="24"/>
                <w:szCs w:val="24"/>
                <w:vertAlign w:val="superscript"/>
              </w:rPr>
              <w:t xml:space="preserve"> </w:t>
            </w:r>
            <w:r w:rsidRPr="009708EE">
              <w:rPr>
                <w:rFonts w:ascii="Times New Roman" w:hAnsi="Times New Roman" w:cs="Times New Roman"/>
                <w:b/>
                <w:sz w:val="24"/>
                <w:szCs w:val="24"/>
              </w:rPr>
              <w:t>(1)</w:t>
            </w:r>
          </w:p>
        </w:tc>
        <w:tc>
          <w:tcPr>
            <w:tcW w:w="74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708EE" w:rsidR="009708EE" w:rsidP="009708EE" w:rsidRDefault="009708EE" w14:paraId="08696234"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Number of Annual Responses per Respondent</w:t>
            </w:r>
          </w:p>
          <w:p w:rsidRPr="009708EE" w:rsidR="009708EE" w:rsidP="009708EE" w:rsidRDefault="009708EE" w14:paraId="4DE92494"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(2)</w:t>
            </w:r>
          </w:p>
        </w:tc>
        <w:tc>
          <w:tcPr>
            <w:tcW w:w="68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708EE" w:rsidR="009708EE" w:rsidP="009708EE" w:rsidRDefault="009708EE" w14:paraId="042D2ABE"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Total No. of Annual Responses</w:t>
            </w:r>
          </w:p>
          <w:p w:rsidRPr="009708EE" w:rsidR="009708EE" w:rsidP="009708EE" w:rsidRDefault="009708EE" w14:paraId="53CD80DB"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(1)x(2)=(3)</w:t>
            </w:r>
          </w:p>
        </w:tc>
        <w:tc>
          <w:tcPr>
            <w:tcW w:w="61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708EE" w:rsidR="009708EE" w:rsidP="009708EE" w:rsidRDefault="009708EE" w14:paraId="0DD5367E"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Average Burden Hours &amp; Cost ($) Per Response</w:t>
            </w:r>
          </w:p>
          <w:p w:rsidRPr="009708EE" w:rsidR="009708EE" w:rsidP="009708EE" w:rsidRDefault="009708EE" w14:paraId="47982696"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(4)</w:t>
            </w:r>
          </w:p>
        </w:tc>
        <w:tc>
          <w:tcPr>
            <w:tcW w:w="93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708EE" w:rsidR="009708EE" w:rsidP="009708EE" w:rsidRDefault="009708EE" w14:paraId="330D25C7"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Total Annual Burden Hours &amp; Total Annual Cost ($)</w:t>
            </w:r>
          </w:p>
          <w:p w:rsidRPr="009708EE" w:rsidR="009708EE" w:rsidP="009708EE" w:rsidRDefault="009708EE" w14:paraId="1A6F229B" w14:textId="77777777">
            <w:pPr>
              <w:widowControl w:val="0"/>
              <w:autoSpaceDE w:val="0"/>
              <w:autoSpaceDN w:val="0"/>
              <w:adjustRightInd w:val="0"/>
              <w:spacing w:after="0" w:line="240" w:lineRule="auto"/>
              <w:rPr>
                <w:rFonts w:ascii="Times New Roman" w:hAnsi="Times New Roman" w:cs="Times New Roman"/>
                <w:b/>
                <w:sz w:val="24"/>
                <w:szCs w:val="24"/>
              </w:rPr>
            </w:pPr>
            <w:r w:rsidRPr="009708EE">
              <w:rPr>
                <w:rFonts w:ascii="Times New Roman" w:hAnsi="Times New Roman" w:cs="Times New Roman"/>
                <w:b/>
                <w:sz w:val="24"/>
                <w:szCs w:val="24"/>
              </w:rPr>
              <w:t>(3)x(4) =(5)</w:t>
            </w:r>
          </w:p>
          <w:p w:rsidRPr="009708EE" w:rsidR="009708EE" w:rsidP="009708EE" w:rsidRDefault="009708EE" w14:paraId="348F4995" w14:textId="77777777">
            <w:pPr>
              <w:widowControl w:val="0"/>
              <w:autoSpaceDE w:val="0"/>
              <w:autoSpaceDN w:val="0"/>
              <w:adjustRightInd w:val="0"/>
              <w:spacing w:after="0" w:line="240" w:lineRule="auto"/>
              <w:rPr>
                <w:rFonts w:ascii="Times New Roman" w:hAnsi="Times New Roman" w:cs="Times New Roman"/>
                <w:b/>
                <w:sz w:val="24"/>
                <w:szCs w:val="24"/>
              </w:rPr>
            </w:pPr>
          </w:p>
        </w:tc>
      </w:tr>
      <w:tr w:rsidRPr="009708EE" w:rsidR="009708EE" w:rsidTr="00A712A4" w14:paraId="32E12F78" w14:textId="77777777">
        <w:trPr>
          <w:cantSplit/>
          <w:trHeight w:val="440"/>
        </w:trPr>
        <w:tc>
          <w:tcPr>
            <w:tcW w:w="5000" w:type="pct"/>
            <w:gridSpan w:val="6"/>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34E43C11" w14:textId="77777777">
            <w:pPr>
              <w:widowControl w:val="0"/>
              <w:autoSpaceDE w:val="0"/>
              <w:autoSpaceDN w:val="0"/>
              <w:adjustRightInd w:val="0"/>
              <w:spacing w:after="0" w:line="240" w:lineRule="auto"/>
              <w:rPr>
                <w:rFonts w:ascii="Times New Roman" w:hAnsi="Times New Roman" w:cs="Times New Roman"/>
                <w:b/>
                <w:bCs/>
                <w:sz w:val="24"/>
                <w:szCs w:val="24"/>
              </w:rPr>
            </w:pPr>
            <w:r w:rsidRPr="009708EE">
              <w:rPr>
                <w:rFonts w:ascii="Times New Roman" w:hAnsi="Times New Roman" w:cs="Times New Roman"/>
                <w:b/>
                <w:bCs/>
                <w:sz w:val="24"/>
                <w:szCs w:val="24"/>
              </w:rPr>
              <w:t>BAL-001-2</w:t>
            </w:r>
          </w:p>
        </w:tc>
      </w:tr>
      <w:tr w:rsidRPr="009708EE" w:rsidR="009708EE" w:rsidTr="00A712A4" w14:paraId="32C38C59"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03E6D98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w:t>
            </w:r>
            <w:r w:rsidRPr="009708EE">
              <w:rPr>
                <w:rFonts w:ascii="Times New Roman" w:hAnsi="Times New Roman" w:cs="Times New Roman"/>
                <w:b/>
                <w:sz w:val="24"/>
                <w:szCs w:val="24"/>
              </w:rPr>
              <w:br/>
            </w:r>
            <w:r w:rsidRPr="009708EE">
              <w:rPr>
                <w:rFonts w:ascii="Times New Roman" w:hAnsi="Times New Roman" w:cs="Times New Roman"/>
                <w:sz w:val="24"/>
                <w:szCs w:val="24"/>
              </w:rPr>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4A33B5BB"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CCFAEC9"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0671256C"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DB54FE4"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8 hrs.; $561.52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6FC6A562"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776 hrs.; $54,467.44</w:t>
            </w:r>
          </w:p>
        </w:tc>
      </w:tr>
      <w:tr w:rsidRPr="009708EE" w:rsidR="009708EE" w:rsidTr="00A712A4" w14:paraId="320E08C2"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12EC13F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05C6B836"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3959C0D"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0D906D8D"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78C770FE"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4 hrs.; $164.12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1646B803"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388 hrs.; $15,919.64</w:t>
            </w:r>
          </w:p>
        </w:tc>
      </w:tr>
      <w:tr w:rsidRPr="009708EE" w:rsidR="009708EE" w:rsidTr="00A712A4" w14:paraId="5059BADA" w14:textId="77777777">
        <w:trPr>
          <w:cantSplit/>
          <w:trHeight w:val="440"/>
        </w:trPr>
        <w:tc>
          <w:tcPr>
            <w:tcW w:w="5000" w:type="pct"/>
            <w:gridSpan w:val="6"/>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5F72C0C2" w14:textId="77777777">
            <w:pPr>
              <w:widowControl w:val="0"/>
              <w:autoSpaceDE w:val="0"/>
              <w:autoSpaceDN w:val="0"/>
              <w:adjustRightInd w:val="0"/>
              <w:spacing w:after="0" w:line="240" w:lineRule="auto"/>
              <w:rPr>
                <w:rFonts w:ascii="Times New Roman" w:hAnsi="Times New Roman" w:cs="Times New Roman"/>
                <w:b/>
                <w:bCs/>
                <w:sz w:val="24"/>
                <w:szCs w:val="24"/>
              </w:rPr>
            </w:pPr>
            <w:r w:rsidRPr="009708EE">
              <w:rPr>
                <w:rFonts w:ascii="Times New Roman" w:hAnsi="Times New Roman" w:cs="Times New Roman"/>
                <w:b/>
                <w:bCs/>
                <w:sz w:val="24"/>
                <w:szCs w:val="24"/>
              </w:rPr>
              <w:t>BAL-002-3</w:t>
            </w:r>
          </w:p>
        </w:tc>
      </w:tr>
      <w:tr w:rsidRPr="009708EE" w:rsidR="009708EE" w:rsidTr="00A712A4" w14:paraId="4D63A025"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1D621803"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 &amp; RSG</w:t>
            </w:r>
          </w:p>
          <w:p w:rsidRPr="009708EE" w:rsidR="009708EE" w:rsidP="009708EE" w:rsidRDefault="009708EE" w14:paraId="573FE442"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4924A885"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108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1E61C96A"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2878ABD8"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108</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8654A1F"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8 hrs.; $561.52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20D95A22"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 xml:space="preserve">864 hrs.; $60,644.16 </w:t>
            </w:r>
          </w:p>
        </w:tc>
      </w:tr>
      <w:tr w:rsidRPr="009708EE" w:rsidR="009708EE" w:rsidTr="00A712A4" w14:paraId="037D78FB"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02038476"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 &amp; RSG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5BFD4E40"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108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1FAFCD9D"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66FBAC8"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108</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775D4DB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4 hrs.; $164.12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517B551F"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432 hrs.; $17,724.96</w:t>
            </w:r>
          </w:p>
        </w:tc>
      </w:tr>
      <w:tr w:rsidRPr="009708EE" w:rsidR="009708EE" w:rsidTr="00A712A4" w14:paraId="5BEF86FD" w14:textId="77777777">
        <w:trPr>
          <w:cantSplit/>
          <w:trHeight w:val="377"/>
        </w:trPr>
        <w:tc>
          <w:tcPr>
            <w:tcW w:w="5000" w:type="pct"/>
            <w:gridSpan w:val="6"/>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7F96EC2D" w14:textId="77777777">
            <w:pPr>
              <w:widowControl w:val="0"/>
              <w:autoSpaceDE w:val="0"/>
              <w:autoSpaceDN w:val="0"/>
              <w:adjustRightInd w:val="0"/>
              <w:spacing w:after="0" w:line="240" w:lineRule="auto"/>
              <w:rPr>
                <w:rFonts w:ascii="Times New Roman" w:hAnsi="Times New Roman" w:cs="Times New Roman"/>
                <w:b/>
                <w:bCs/>
                <w:sz w:val="24"/>
                <w:szCs w:val="24"/>
              </w:rPr>
            </w:pPr>
            <w:r w:rsidRPr="009708EE">
              <w:rPr>
                <w:rFonts w:ascii="Times New Roman" w:hAnsi="Times New Roman" w:cs="Times New Roman"/>
                <w:b/>
                <w:bCs/>
                <w:sz w:val="24"/>
                <w:szCs w:val="24"/>
              </w:rPr>
              <w:t>BAL-003-2 (as approved in Docket No. RD20-9-000)</w:t>
            </w:r>
          </w:p>
        </w:tc>
      </w:tr>
      <w:tr w:rsidRPr="009708EE" w:rsidR="009708EE" w:rsidTr="00A712A4" w14:paraId="145F7E77"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0F1A6F81"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 &amp; FRSG</w:t>
            </w:r>
          </w:p>
          <w:p w:rsidRPr="009708EE" w:rsidR="009708EE" w:rsidP="009708EE" w:rsidRDefault="009708EE" w14:paraId="0434684E"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699233E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28DE0E45"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28</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69D62F60"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2,744</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58E46C8F"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8 hrs.; $561.52</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4E259F5C"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21,952 hrs.; $1,540,810.88</w:t>
            </w:r>
          </w:p>
        </w:tc>
      </w:tr>
      <w:tr w:rsidRPr="009708EE" w:rsidR="009708EE" w:rsidTr="00A712A4" w14:paraId="1C6F7C49"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2E83603E"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 &amp; FRSG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010FE92B"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98</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5A70C46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32B7C96"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98</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26574B4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2 hrs.;</w:t>
            </w:r>
          </w:p>
          <w:p w:rsidRPr="009708EE" w:rsidR="009708EE" w:rsidP="009708EE" w:rsidRDefault="009708EE" w14:paraId="7DEFB2E3"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$82.06</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6FAEB555"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196 hrs.; $8,041.88</w:t>
            </w:r>
          </w:p>
        </w:tc>
      </w:tr>
      <w:tr w:rsidRPr="009708EE" w:rsidR="009708EE" w:rsidTr="00A712A4" w14:paraId="1D87FEDC" w14:textId="77777777">
        <w:trPr>
          <w:cantSplit/>
          <w:trHeight w:val="395"/>
        </w:trPr>
        <w:tc>
          <w:tcPr>
            <w:tcW w:w="5000" w:type="pct"/>
            <w:gridSpan w:val="6"/>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7BFFC07A" w14:textId="77777777">
            <w:pPr>
              <w:widowControl w:val="0"/>
              <w:autoSpaceDE w:val="0"/>
              <w:autoSpaceDN w:val="0"/>
              <w:adjustRightInd w:val="0"/>
              <w:spacing w:after="0" w:line="240" w:lineRule="auto"/>
              <w:rPr>
                <w:rFonts w:ascii="Times New Roman" w:hAnsi="Times New Roman" w:cs="Times New Roman"/>
                <w:b/>
                <w:bCs/>
                <w:sz w:val="24"/>
                <w:szCs w:val="24"/>
              </w:rPr>
            </w:pPr>
            <w:r w:rsidRPr="009708EE">
              <w:rPr>
                <w:rFonts w:ascii="Times New Roman" w:hAnsi="Times New Roman" w:cs="Times New Roman"/>
                <w:b/>
                <w:bCs/>
                <w:sz w:val="24"/>
                <w:szCs w:val="24"/>
              </w:rPr>
              <w:lastRenderedPageBreak/>
              <w:t>BAL-005-1</w:t>
            </w:r>
          </w:p>
        </w:tc>
      </w:tr>
      <w:tr w:rsidRPr="009708EE" w:rsidR="009708EE" w:rsidTr="00A712A4" w14:paraId="47B47E5E"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0548FF30"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w:t>
            </w:r>
          </w:p>
          <w:p w:rsidRPr="009708EE" w:rsidR="009708EE" w:rsidP="009708EE" w:rsidRDefault="009708EE" w14:paraId="5C728FEE"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Reporting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2087FD8"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0B1D47E8"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7D5C38DD"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55FE6F38"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 xml:space="preserve">1 hr.; $70.19 </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1CFD97C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 hrs.; $6,808.43</w:t>
            </w:r>
          </w:p>
        </w:tc>
      </w:tr>
      <w:tr w:rsidRPr="009708EE" w:rsidR="009708EE" w:rsidTr="00A712A4" w14:paraId="0E63C235" w14:textId="77777777">
        <w:trPr>
          <w:cantSplit/>
          <w:trHeight w:val="665"/>
        </w:trPr>
        <w:tc>
          <w:tcPr>
            <w:tcW w:w="1236" w:type="pct"/>
            <w:tcBorders>
              <w:top w:val="single" w:color="auto" w:sz="4" w:space="0"/>
              <w:left w:val="single" w:color="auto" w:sz="4" w:space="0"/>
              <w:bottom w:val="single" w:color="auto" w:sz="4" w:space="0"/>
              <w:right w:val="single" w:color="auto" w:sz="4" w:space="0"/>
            </w:tcBorders>
            <w:hideMark/>
          </w:tcPr>
          <w:p w:rsidRPr="009708EE" w:rsidR="009708EE" w:rsidP="009708EE" w:rsidRDefault="009708EE" w14:paraId="7260A427"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BA Recordkeeping Requirements</w:t>
            </w:r>
          </w:p>
        </w:tc>
        <w:tc>
          <w:tcPr>
            <w:tcW w:w="79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00865B5E"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744"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D6BC78A"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w:t>
            </w:r>
          </w:p>
        </w:tc>
        <w:tc>
          <w:tcPr>
            <w:tcW w:w="68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6AD2E148"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w:t>
            </w:r>
          </w:p>
        </w:tc>
        <w:tc>
          <w:tcPr>
            <w:tcW w:w="611"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37197EE4"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 hr.; $41.03</w:t>
            </w: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6825D4DB"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97 hrs.; $3,979.91</w:t>
            </w:r>
          </w:p>
        </w:tc>
      </w:tr>
      <w:tr w:rsidRPr="009708EE" w:rsidR="009708EE" w:rsidTr="00A712A4" w14:paraId="2ABBB497" w14:textId="77777777">
        <w:trPr>
          <w:cantSplit/>
          <w:trHeight w:val="368"/>
        </w:trPr>
        <w:tc>
          <w:tcPr>
            <w:tcW w:w="1236"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241E2D45" w14:textId="77777777">
            <w:pPr>
              <w:widowControl w:val="0"/>
              <w:autoSpaceDE w:val="0"/>
              <w:autoSpaceDN w:val="0"/>
              <w:adjustRightInd w:val="0"/>
              <w:spacing w:after="0" w:line="240" w:lineRule="auto"/>
              <w:rPr>
                <w:rFonts w:ascii="Times New Roman" w:hAnsi="Times New Roman" w:cs="Times New Roman"/>
                <w:b/>
                <w:bCs/>
                <w:sz w:val="24"/>
                <w:szCs w:val="24"/>
              </w:rPr>
            </w:pPr>
            <w:r w:rsidRPr="009708EE">
              <w:rPr>
                <w:rFonts w:ascii="Times New Roman" w:hAnsi="Times New Roman" w:cs="Times New Roman"/>
                <w:b/>
                <w:bCs/>
                <w:sz w:val="24"/>
                <w:szCs w:val="24"/>
              </w:rPr>
              <w:t>SUB-TOTAL FOR REPORTING REQUIREMENTS</w:t>
            </w:r>
          </w:p>
        </w:tc>
        <w:tc>
          <w:tcPr>
            <w:tcW w:w="2831"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708EE" w:rsidR="009708EE" w:rsidP="009708EE" w:rsidRDefault="009708EE" w14:paraId="34BB6484" w14:textId="77777777">
            <w:pPr>
              <w:widowControl w:val="0"/>
              <w:autoSpaceDE w:val="0"/>
              <w:autoSpaceDN w:val="0"/>
              <w:adjustRightInd w:val="0"/>
              <w:spacing w:after="0" w:line="240" w:lineRule="auto"/>
              <w:rPr>
                <w:rFonts w:ascii="Times New Roman" w:hAnsi="Times New Roman" w:cs="Times New Roman"/>
                <w:sz w:val="24"/>
                <w:szCs w:val="24"/>
              </w:rPr>
            </w:pP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140BFB7D"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 xml:space="preserve">23,689 hrs.; $1,662,730.91 </w:t>
            </w:r>
          </w:p>
        </w:tc>
      </w:tr>
      <w:tr w:rsidRPr="009708EE" w:rsidR="009708EE" w:rsidTr="00A712A4" w14:paraId="4E4572D4" w14:textId="77777777">
        <w:trPr>
          <w:cantSplit/>
          <w:trHeight w:val="368"/>
        </w:trPr>
        <w:tc>
          <w:tcPr>
            <w:tcW w:w="1236"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7E0BD7F3" w14:textId="77777777">
            <w:pPr>
              <w:widowControl w:val="0"/>
              <w:autoSpaceDE w:val="0"/>
              <w:autoSpaceDN w:val="0"/>
              <w:adjustRightInd w:val="0"/>
              <w:spacing w:after="0" w:line="240" w:lineRule="auto"/>
              <w:rPr>
                <w:rFonts w:ascii="Times New Roman" w:hAnsi="Times New Roman" w:cs="Times New Roman"/>
                <w:b/>
                <w:bCs/>
                <w:sz w:val="24"/>
                <w:szCs w:val="24"/>
              </w:rPr>
            </w:pPr>
            <w:r w:rsidRPr="009708EE">
              <w:rPr>
                <w:rFonts w:ascii="Times New Roman" w:hAnsi="Times New Roman" w:cs="Times New Roman"/>
                <w:b/>
                <w:bCs/>
                <w:sz w:val="24"/>
                <w:szCs w:val="24"/>
              </w:rPr>
              <w:t>SUB-TOTAL FOR RECORDKEEPING REQUIREMENTS</w:t>
            </w:r>
          </w:p>
        </w:tc>
        <w:tc>
          <w:tcPr>
            <w:tcW w:w="2831"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708EE" w:rsidR="009708EE" w:rsidP="009708EE" w:rsidRDefault="009708EE" w14:paraId="27686FFA" w14:textId="77777777">
            <w:pPr>
              <w:widowControl w:val="0"/>
              <w:autoSpaceDE w:val="0"/>
              <w:autoSpaceDN w:val="0"/>
              <w:adjustRightInd w:val="0"/>
              <w:spacing w:after="0" w:line="240" w:lineRule="auto"/>
              <w:rPr>
                <w:rFonts w:ascii="Times New Roman" w:hAnsi="Times New Roman" w:cs="Times New Roman"/>
                <w:sz w:val="24"/>
                <w:szCs w:val="24"/>
              </w:rPr>
            </w:pP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6C9C9678"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1,113 hrs.; $45,666.39</w:t>
            </w:r>
          </w:p>
        </w:tc>
      </w:tr>
      <w:tr w:rsidRPr="009708EE" w:rsidR="009708EE" w:rsidTr="00A712A4" w14:paraId="58B83555" w14:textId="77777777">
        <w:trPr>
          <w:cantSplit/>
          <w:trHeight w:val="368"/>
        </w:trPr>
        <w:tc>
          <w:tcPr>
            <w:tcW w:w="1236"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595304F5" w14:textId="77777777">
            <w:pPr>
              <w:widowControl w:val="0"/>
              <w:autoSpaceDE w:val="0"/>
              <w:autoSpaceDN w:val="0"/>
              <w:adjustRightInd w:val="0"/>
              <w:spacing w:after="0" w:line="240" w:lineRule="auto"/>
              <w:rPr>
                <w:rFonts w:ascii="Times New Roman" w:hAnsi="Times New Roman" w:cs="Times New Roman"/>
                <w:b/>
                <w:bCs/>
                <w:sz w:val="24"/>
                <w:szCs w:val="24"/>
              </w:rPr>
            </w:pPr>
            <w:r w:rsidRPr="009708EE">
              <w:rPr>
                <w:rFonts w:ascii="Times New Roman" w:hAnsi="Times New Roman" w:cs="Times New Roman"/>
                <w:b/>
                <w:bCs/>
                <w:sz w:val="24"/>
                <w:szCs w:val="24"/>
              </w:rPr>
              <w:t>TOTAL FOR FERC-725R (rounded)</w:t>
            </w:r>
          </w:p>
        </w:tc>
        <w:tc>
          <w:tcPr>
            <w:tcW w:w="2831"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708EE" w:rsidR="009708EE" w:rsidP="009708EE" w:rsidRDefault="009708EE" w14:paraId="60F211F4" w14:textId="77777777">
            <w:pPr>
              <w:widowControl w:val="0"/>
              <w:autoSpaceDE w:val="0"/>
              <w:autoSpaceDN w:val="0"/>
              <w:adjustRightInd w:val="0"/>
              <w:spacing w:after="0" w:line="240" w:lineRule="auto"/>
              <w:rPr>
                <w:rFonts w:ascii="Times New Roman" w:hAnsi="Times New Roman" w:cs="Times New Roman"/>
                <w:sz w:val="24"/>
                <w:szCs w:val="24"/>
              </w:rPr>
            </w:pPr>
          </w:p>
        </w:tc>
        <w:tc>
          <w:tcPr>
            <w:tcW w:w="933" w:type="pct"/>
            <w:tcBorders>
              <w:top w:val="single" w:color="auto" w:sz="4" w:space="0"/>
              <w:left w:val="single" w:color="auto" w:sz="4" w:space="0"/>
              <w:bottom w:val="single" w:color="auto" w:sz="4" w:space="0"/>
              <w:right w:val="single" w:color="auto" w:sz="4" w:space="0"/>
            </w:tcBorders>
            <w:vAlign w:val="bottom"/>
            <w:hideMark/>
          </w:tcPr>
          <w:p w:rsidRPr="009708EE" w:rsidR="009708EE" w:rsidP="009708EE" w:rsidRDefault="009708EE" w14:paraId="41A7AD82" w14:textId="77777777">
            <w:pPr>
              <w:widowControl w:val="0"/>
              <w:autoSpaceDE w:val="0"/>
              <w:autoSpaceDN w:val="0"/>
              <w:adjustRightInd w:val="0"/>
              <w:spacing w:after="0" w:line="240" w:lineRule="auto"/>
              <w:rPr>
                <w:rFonts w:ascii="Times New Roman" w:hAnsi="Times New Roman" w:cs="Times New Roman"/>
                <w:sz w:val="24"/>
                <w:szCs w:val="24"/>
              </w:rPr>
            </w:pPr>
            <w:r w:rsidRPr="009708EE">
              <w:rPr>
                <w:rFonts w:ascii="Times New Roman" w:hAnsi="Times New Roman" w:cs="Times New Roman"/>
                <w:sz w:val="24"/>
                <w:szCs w:val="24"/>
              </w:rPr>
              <w:t>24,802 hrs.; $1,708,397.30</w:t>
            </w:r>
          </w:p>
        </w:tc>
      </w:tr>
    </w:tbl>
    <w:p w:rsidRPr="00B51BB8" w:rsidR="003C4B09" w:rsidP="005E2448" w:rsidRDefault="003C4B09" w14:paraId="62C5B5A6"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B51BB8" w:rsidR="00C4205B" w:rsidP="005E2448" w:rsidRDefault="00C4205B" w14:paraId="7408662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rsidRPr="00B51BB8" w:rsidR="002359F6" w:rsidP="002A4142" w:rsidRDefault="002359F6" w14:paraId="0144A37E" w14:textId="77777777">
      <w:pPr>
        <w:spacing w:after="0" w:line="240" w:lineRule="auto"/>
        <w:rPr>
          <w:rFonts w:ascii="Times New Roman" w:hAnsi="Times New Roman" w:cs="Times New Roman"/>
          <w:sz w:val="24"/>
          <w:szCs w:val="24"/>
        </w:rPr>
      </w:pPr>
    </w:p>
    <w:p w:rsidRPr="00B51BB8" w:rsidR="002359F6" w:rsidP="002A4142" w:rsidRDefault="002359F6" w14:paraId="4140D5D7" w14:textId="297EAC1E">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bookmarkStart w:name="_Ref500412215" w:id="1"/>
      <w:r w:rsidRPr="00954D7E" w:rsidDel="003C4B09" w:rsidR="003C4B09">
        <w:rPr>
          <w:rStyle w:val="FootnoteReference"/>
          <w:rFonts w:ascii="Times New Roman" w:hAnsi="Times New Roman" w:cs="Times New Roman"/>
          <w:sz w:val="24"/>
          <w:szCs w:val="24"/>
          <w:vertAlign w:val="superscript"/>
        </w:rPr>
        <w:t xml:space="preserve"> </w:t>
      </w:r>
      <w:bookmarkEnd w:id="1"/>
    </w:p>
    <w:p w:rsidRPr="00B51BB8" w:rsidR="002359F6" w:rsidP="0079402D" w:rsidRDefault="002359F6" w14:paraId="6F58745E" w14:textId="77777777">
      <w:pPr>
        <w:spacing w:after="0" w:line="240" w:lineRule="auto"/>
        <w:ind w:right="-720"/>
        <w:rPr>
          <w:rFonts w:ascii="Times New Roman" w:hAnsi="Times New Roman" w:cs="Times New Roman"/>
          <w:sz w:val="24"/>
          <w:szCs w:val="24"/>
        </w:rPr>
      </w:pPr>
    </w:p>
    <w:p w:rsidRPr="00B51BB8" w:rsidR="002359F6" w:rsidP="002A4142" w:rsidRDefault="002359F6" w14:paraId="2F752898" w14:textId="77777777">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rsidRPr="00B51BB8" w:rsidR="002359F6" w:rsidP="002A4142" w:rsidRDefault="002359F6" w14:paraId="3CA31F2B" w14:textId="77777777">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rsidRPr="00B51BB8" w:rsidR="002359F6" w:rsidP="002A4142" w:rsidRDefault="002359F6" w14:paraId="58EF8731" w14:textId="77777777">
      <w:pPr>
        <w:spacing w:after="0" w:line="240" w:lineRule="auto"/>
        <w:rPr>
          <w:rFonts w:ascii="Times New Roman" w:hAnsi="Times New Roman" w:cs="Times New Roman"/>
          <w:sz w:val="24"/>
          <w:szCs w:val="24"/>
        </w:rPr>
      </w:pPr>
    </w:p>
    <w:p w:rsidRPr="00B51BB8" w:rsidR="002359F6" w:rsidP="002A4142" w:rsidRDefault="009922B2" w14:paraId="78224315" w14:textId="75D136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of the costs </w:t>
      </w:r>
      <w:r w:rsidRPr="00B51BB8" w:rsidR="002359F6">
        <w:rPr>
          <w:rFonts w:ascii="Times New Roman" w:hAnsi="Times New Roman" w:cs="Times New Roman"/>
          <w:sz w:val="24"/>
          <w:szCs w:val="24"/>
        </w:rPr>
        <w:t xml:space="preserve">are associated with burden hours (labor) and described in Questions #12 and #15 in this supporting statement. </w:t>
      </w:r>
    </w:p>
    <w:p w:rsidRPr="00B51BB8" w:rsidR="003C19D0" w:rsidP="00954D7E" w:rsidRDefault="003C19D0" w14:paraId="55746621" w14:textId="77777777">
      <w:pPr>
        <w:spacing w:after="0" w:line="240" w:lineRule="auto"/>
        <w:rPr>
          <w:rFonts w:ascii="Times New Roman" w:hAnsi="Times New Roman" w:cs="Times New Roman"/>
          <w:sz w:val="24"/>
          <w:szCs w:val="24"/>
        </w:rPr>
      </w:pPr>
    </w:p>
    <w:p w:rsidRPr="00B51BB8" w:rsidR="00C4205B" w:rsidP="007C39D3" w:rsidRDefault="00C4205B" w14:paraId="6D7ED03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rsidRPr="00B51BB8" w:rsidR="00C4205B" w:rsidP="0007783F" w:rsidRDefault="00C4205B" w14:paraId="35077C3E" w14:textId="77777777">
      <w:pPr>
        <w:spacing w:after="0" w:line="240" w:lineRule="auto"/>
        <w:rPr>
          <w:rFonts w:ascii="Times New Roman" w:hAnsi="Times New Roman" w:cs="Times New Roman"/>
          <w:b/>
          <w:bCs/>
          <w:sz w:val="24"/>
          <w:szCs w:val="24"/>
        </w:rPr>
      </w:pPr>
    </w:p>
    <w:p w:rsidR="00BA2E0E" w:rsidP="00BA2E0E" w:rsidRDefault="00BA2E0E" w14:paraId="41A2AE2C" w14:textId="181DA55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rsidR="00BA2E0E" w:rsidP="0007783F" w:rsidRDefault="00BA2E0E" w14:paraId="1B2682AE" w14:textId="77777777">
      <w:pPr>
        <w:spacing w:after="0" w:line="240" w:lineRule="auto"/>
        <w:rPr>
          <w:rFonts w:ascii="Times New Roman" w:hAnsi="Times New Roman" w:cs="Times New Roman"/>
          <w:sz w:val="24"/>
          <w:szCs w:val="24"/>
        </w:rPr>
      </w:pPr>
    </w:p>
    <w:p w:rsidR="002359F6" w:rsidP="0007783F" w:rsidRDefault="00BA2E0E" w14:paraId="19583A65" w14:textId="2614A56D">
      <w:pPr>
        <w:spacing w:after="0" w:line="240" w:lineRule="auto"/>
        <w:rPr>
          <w:rFonts w:ascii="Times New Roman" w:hAnsi="Times New Roman" w:cs="Times New Roman"/>
          <w:sz w:val="24"/>
          <w:szCs w:val="24"/>
        </w:rPr>
      </w:pPr>
      <w:r w:rsidRPr="00BA2E0E">
        <w:rPr>
          <w:rFonts w:ascii="Times New Roman" w:hAnsi="Times New Roman" w:cs="Times New Roman"/>
          <w:sz w:val="24"/>
          <w:szCs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B51BB8" w:rsidR="00BA2E0E" w:rsidP="0007783F" w:rsidRDefault="00BA2E0E" w14:paraId="12461808" w14:textId="77777777">
      <w:pPr>
        <w:spacing w:after="0" w:line="240" w:lineRule="auto"/>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B51BB8" w:rsidR="009922B2" w:rsidTr="00C55457" w14:paraId="286DB52A"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9922B2" w:rsidP="00C55457" w:rsidRDefault="00797852" w14:paraId="2F32332B" w14:textId="23118AF4">
            <w:pPr>
              <w:spacing w:after="0" w:line="240" w:lineRule="auto"/>
              <w:rPr>
                <w:rFonts w:ascii="Times New Roman" w:hAnsi="Times New Roman" w:cs="Times New Roman"/>
                <w:b/>
                <w:sz w:val="24"/>
                <w:szCs w:val="24"/>
              </w:rPr>
            </w:pPr>
            <w:r>
              <w:rPr>
                <w:rFonts w:ascii="Times New Roman" w:hAnsi="Times New Roman" w:cs="Times New Roman"/>
                <w:b/>
                <w:sz w:val="24"/>
                <w:szCs w:val="24"/>
              </w:rPr>
              <w:t>FERC-725R</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9922B2" w:rsidP="00C55457" w:rsidRDefault="009922B2" w14:paraId="33E1D156"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9922B2" w:rsidP="00C55457" w:rsidRDefault="009922B2" w14:paraId="7928AC7A"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Pr="00B51BB8" w:rsidR="009922B2" w:rsidTr="00C55457" w14:paraId="678FD3DB"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9922B2" w:rsidP="00C55457" w:rsidRDefault="009922B2" w14:paraId="13CBD504"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center"/>
            <w:hideMark/>
          </w:tcPr>
          <w:p w:rsidRPr="00B51BB8" w:rsidR="009922B2" w:rsidP="00C55457" w:rsidRDefault="009922B2" w14:paraId="0DB7BC3E"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9922B2" w:rsidP="00C55457" w:rsidRDefault="009922B2" w14:paraId="5CBD5C6E"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Pr="00B51BB8" w:rsidR="009922B2" w:rsidTr="00C55457" w14:paraId="1935C1FE"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9922B2" w:rsidRDefault="009922B2" w14:paraId="13BF67FB" w14:textId="10C9E659">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9922B2" w:rsidP="00C55457" w:rsidRDefault="009922B2" w14:paraId="3104BF7B" w14:textId="77777777">
            <w:pPr>
              <w:spacing w:after="0"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DF2F57" w:rsidR="009922B2" w:rsidP="000E1B92" w:rsidRDefault="00DF2F57" w14:paraId="1E32AD79" w14:textId="7C9BE573">
            <w:pPr>
              <w:spacing w:after="0" w:line="240" w:lineRule="auto"/>
              <w:jc w:val="right"/>
              <w:rPr>
                <w:rFonts w:ascii="Times New Roman" w:hAnsi="Times New Roman" w:cs="Times New Roman"/>
                <w:bCs/>
                <w:sz w:val="24"/>
                <w:szCs w:val="24"/>
              </w:rPr>
            </w:pPr>
            <w:r w:rsidRPr="00DF2F57">
              <w:rPr>
                <w:rFonts w:ascii="Times New Roman" w:hAnsi="Times New Roman" w:cs="Times New Roman"/>
                <w:bCs/>
                <w:sz w:val="24"/>
                <w:szCs w:val="24"/>
              </w:rPr>
              <w:t>$6,475</w:t>
            </w:r>
          </w:p>
        </w:tc>
      </w:tr>
      <w:tr w:rsidRPr="00B51BB8" w:rsidR="009922B2" w:rsidTr="00C55457" w14:paraId="7DB1F3A0"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9922B2" w:rsidP="00C55457" w:rsidRDefault="009922B2" w14:paraId="3E5FE83E"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9922B2" w:rsidP="00C55457" w:rsidRDefault="009922B2" w14:paraId="005D6A7E" w14:textId="77777777">
            <w:pPr>
              <w:spacing w:after="0"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DF2F57" w:rsidR="009922B2" w:rsidP="000E1B92" w:rsidRDefault="00DF2F57" w14:paraId="1ACB20B1" w14:textId="1616DAE2">
            <w:pPr>
              <w:spacing w:after="0" w:line="240" w:lineRule="auto"/>
              <w:jc w:val="right"/>
              <w:rPr>
                <w:rFonts w:ascii="Times New Roman" w:hAnsi="Times New Roman" w:cs="Times New Roman"/>
                <w:bCs/>
                <w:sz w:val="24"/>
                <w:szCs w:val="24"/>
              </w:rPr>
            </w:pPr>
            <w:r w:rsidRPr="00DF2F57">
              <w:rPr>
                <w:rFonts w:ascii="Times New Roman" w:hAnsi="Times New Roman" w:cs="Times New Roman"/>
                <w:bCs/>
                <w:sz w:val="24"/>
                <w:szCs w:val="24"/>
              </w:rPr>
              <w:t>$6,475</w:t>
            </w:r>
          </w:p>
        </w:tc>
      </w:tr>
    </w:tbl>
    <w:p w:rsidRPr="00B51BB8" w:rsidR="009922B2" w:rsidP="00BA2E0E" w:rsidRDefault="009922B2" w14:paraId="2EDC3ABC" w14:textId="77777777">
      <w:pPr>
        <w:spacing w:after="0" w:line="240" w:lineRule="auto"/>
        <w:rPr>
          <w:rFonts w:ascii="Times New Roman" w:hAnsi="Times New Roman" w:cs="Times New Roman"/>
          <w:sz w:val="24"/>
          <w:szCs w:val="24"/>
        </w:rPr>
      </w:pPr>
    </w:p>
    <w:p w:rsidRPr="008E0E55" w:rsidR="00C4205B" w:rsidP="007C39D3" w:rsidRDefault="00C4205B" w14:paraId="51C610A4" w14:textId="7752C51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lastRenderedPageBreak/>
        <w:t>REASONS FOR CHANGES IN BURDEN INCLUDING THE NEED FOR ANY INCREASE</w:t>
      </w:r>
    </w:p>
    <w:p w:rsidR="008E0E55" w:rsidP="008E0E55" w:rsidRDefault="008E0E55" w14:paraId="3D601DC8" w14:textId="2B63696F">
      <w:pPr>
        <w:widowControl w:val="0"/>
        <w:autoSpaceDE w:val="0"/>
        <w:autoSpaceDN w:val="0"/>
        <w:adjustRightInd w:val="0"/>
        <w:spacing w:after="0" w:line="240" w:lineRule="auto"/>
        <w:rPr>
          <w:rFonts w:ascii="Times New Roman" w:hAnsi="Times New Roman" w:cs="Times New Roman"/>
          <w:b/>
          <w:bCs/>
          <w:sz w:val="24"/>
          <w:szCs w:val="24"/>
        </w:rPr>
      </w:pPr>
    </w:p>
    <w:p w:rsidR="008E0E55" w:rsidP="008E0E55" w:rsidRDefault="00F012DD" w14:paraId="1FD090C2" w14:textId="67440F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have re-organized the information collection activities in order to improve the precision of the burden estimates.  The resulting program changes separate reporting requirements from recordkeeping requirements.</w:t>
      </w:r>
      <w:r w:rsidR="00165955">
        <w:rPr>
          <w:rFonts w:ascii="Times New Roman" w:hAnsi="Times New Roman" w:cs="Times New Roman"/>
          <w:sz w:val="24"/>
          <w:szCs w:val="24"/>
        </w:rPr>
        <w:t xml:space="preserve">  Previously, reporting and recordkeeping requirements were combined for each Reliability Standard.</w:t>
      </w:r>
      <w:r w:rsidR="00496E7A">
        <w:rPr>
          <w:rFonts w:ascii="Times New Roman" w:hAnsi="Times New Roman" w:cs="Times New Roman"/>
          <w:sz w:val="24"/>
          <w:szCs w:val="24"/>
        </w:rPr>
        <w:t xml:space="preserve">  </w:t>
      </w:r>
      <w:r w:rsidR="00233F88">
        <w:rPr>
          <w:rFonts w:ascii="Times New Roman" w:hAnsi="Times New Roman" w:cs="Times New Roman"/>
          <w:sz w:val="24"/>
          <w:szCs w:val="24"/>
        </w:rPr>
        <w:t>The previously approved burdens were 3,989 responses and 32,061 hours.  The requested burdens are 3,446 responses and 24,802 hours.  There are no non-hour costs.</w:t>
      </w:r>
    </w:p>
    <w:p w:rsidR="00233F88" w:rsidP="008E0E55" w:rsidRDefault="00233F88" w14:paraId="39053324" w14:textId="1787B0DD">
      <w:pPr>
        <w:widowControl w:val="0"/>
        <w:autoSpaceDE w:val="0"/>
        <w:autoSpaceDN w:val="0"/>
        <w:adjustRightInd w:val="0"/>
        <w:spacing w:after="0" w:line="240" w:lineRule="auto"/>
        <w:rPr>
          <w:rFonts w:ascii="Times New Roman" w:hAnsi="Times New Roman" w:cs="Times New Roman"/>
          <w:sz w:val="24"/>
          <w:szCs w:val="24"/>
        </w:rPr>
      </w:pPr>
    </w:p>
    <w:p w:rsidR="00233F88" w:rsidP="008E0E55" w:rsidRDefault="00233F88" w14:paraId="4B98DE62" w14:textId="285738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net effect of the program changes is 543 fewer responses and 7,259 fewer hours.</w:t>
      </w:r>
    </w:p>
    <w:p w:rsidR="00105338" w:rsidP="008E0E55" w:rsidRDefault="00105338" w14:paraId="558DF50F" w14:textId="41FF2C7F">
      <w:pPr>
        <w:widowControl w:val="0"/>
        <w:autoSpaceDE w:val="0"/>
        <w:autoSpaceDN w:val="0"/>
        <w:adjustRightInd w:val="0"/>
        <w:spacing w:after="0" w:line="240" w:lineRule="auto"/>
        <w:rPr>
          <w:rFonts w:ascii="Times New Roman" w:hAnsi="Times New Roman" w:cs="Times New Roman"/>
          <w:sz w:val="24"/>
          <w:szCs w:val="24"/>
        </w:rPr>
      </w:pPr>
    </w:p>
    <w:p w:rsidRPr="00B51BB8" w:rsidR="00C4205B" w:rsidP="007C39D3" w:rsidRDefault="00C4205B" w14:paraId="4BDAC648"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rsidRPr="00B51BB8" w:rsidR="00C4205B" w:rsidP="00485D08" w:rsidRDefault="00C4205B" w14:paraId="22F58808" w14:textId="77777777">
      <w:pPr>
        <w:spacing w:after="0" w:line="240" w:lineRule="auto"/>
        <w:rPr>
          <w:rFonts w:ascii="Times New Roman" w:hAnsi="Times New Roman" w:cs="Times New Roman"/>
          <w:b/>
          <w:bCs/>
          <w:sz w:val="24"/>
          <w:szCs w:val="24"/>
        </w:rPr>
      </w:pPr>
    </w:p>
    <w:p w:rsidRPr="00B51BB8" w:rsidR="00042D80" w:rsidP="005768DB" w:rsidRDefault="004F3F84" w14:paraId="40706682"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rsidRPr="00B51BB8" w:rsidR="00C4205B" w:rsidP="002A4142" w:rsidRDefault="00C4205B" w14:paraId="33196DA2" w14:textId="77777777">
      <w:pPr>
        <w:spacing w:after="0" w:line="240" w:lineRule="auto"/>
        <w:rPr>
          <w:rFonts w:ascii="Times New Roman" w:hAnsi="Times New Roman" w:cs="Times New Roman"/>
          <w:sz w:val="24"/>
          <w:szCs w:val="24"/>
        </w:rPr>
      </w:pPr>
    </w:p>
    <w:p w:rsidRPr="00B51BB8" w:rsidR="00C4205B" w:rsidP="007C39D3" w:rsidRDefault="00C4205B" w14:paraId="718FA29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rsidRPr="00B51BB8" w:rsidR="00C4205B" w:rsidP="00485D08" w:rsidRDefault="00C4205B" w14:paraId="2E5E34CE" w14:textId="77777777">
      <w:pPr>
        <w:spacing w:after="0" w:line="240" w:lineRule="auto"/>
        <w:rPr>
          <w:rFonts w:ascii="Times New Roman" w:hAnsi="Times New Roman" w:cs="Times New Roman"/>
          <w:b/>
          <w:bCs/>
          <w:sz w:val="24"/>
          <w:szCs w:val="24"/>
        </w:rPr>
      </w:pPr>
    </w:p>
    <w:p w:rsidR="00233F88" w:rsidP="00485D08" w:rsidRDefault="008D20D4" w14:paraId="58F20750" w14:textId="0DE33959">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 expiration date is displayed in a table posted at</w:t>
      </w:r>
      <w:r w:rsidR="00233F88">
        <w:rPr>
          <w:rFonts w:ascii="Times New Roman" w:hAnsi="Times New Roman" w:cs="Times New Roman"/>
          <w:sz w:val="24"/>
          <w:szCs w:val="24"/>
        </w:rPr>
        <w:t xml:space="preserve"> </w:t>
      </w:r>
      <w:r w:rsidRPr="00574282" w:rsidR="00574282">
        <w:rPr>
          <w:rFonts w:ascii="Times New Roman" w:hAnsi="Times New Roman" w:cs="Times New Roman"/>
          <w:sz w:val="24"/>
          <w:szCs w:val="24"/>
        </w:rPr>
        <w:t>https://www.ferc.gov/enforcement-legal/legal/information-collections</w:t>
      </w:r>
      <w:r w:rsidR="00574282">
        <w:rPr>
          <w:rFonts w:ascii="Times New Roman" w:hAnsi="Times New Roman" w:cs="Times New Roman"/>
          <w:sz w:val="24"/>
          <w:szCs w:val="24"/>
        </w:rPr>
        <w:t>.</w:t>
      </w:r>
      <w:r w:rsidDel="00574282" w:rsidR="00574282">
        <w:t xml:space="preserve"> </w:t>
      </w:r>
    </w:p>
    <w:p w:rsidRPr="00B51BB8" w:rsidR="000E1B92" w:rsidP="00485D08" w:rsidRDefault="000E1B92" w14:paraId="79AA615E" w14:textId="77777777">
      <w:pPr>
        <w:spacing w:after="0" w:line="240" w:lineRule="auto"/>
        <w:rPr>
          <w:rFonts w:ascii="Times New Roman" w:hAnsi="Times New Roman" w:cs="Times New Roman"/>
          <w:sz w:val="24"/>
          <w:szCs w:val="24"/>
        </w:rPr>
      </w:pPr>
    </w:p>
    <w:p w:rsidRPr="00B51BB8" w:rsidR="00C4205B" w:rsidP="007C39D3" w:rsidRDefault="00C4205B" w14:paraId="340AD57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rsidRPr="00B51BB8" w:rsidR="00C4205B" w:rsidP="00485D08" w:rsidRDefault="00C4205B" w14:paraId="1EACBAD5" w14:textId="77777777">
      <w:pPr>
        <w:spacing w:after="0" w:line="240" w:lineRule="auto"/>
        <w:rPr>
          <w:rFonts w:ascii="Times New Roman" w:hAnsi="Times New Roman" w:cs="Times New Roman"/>
          <w:sz w:val="24"/>
          <w:szCs w:val="24"/>
        </w:rPr>
      </w:pPr>
    </w:p>
    <w:p w:rsidRPr="007A560D" w:rsidR="00D350A8" w:rsidP="007A560D" w:rsidRDefault="004F3F84" w14:paraId="63884D7A" w14:textId="1A28F6DF">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Pr="00B51BB8" w:rsidR="009766A2">
        <w:rPr>
          <w:rFonts w:ascii="Times New Roman" w:hAnsi="Times New Roman" w:cs="Times New Roman"/>
          <w:sz w:val="24"/>
          <w:szCs w:val="24"/>
        </w:rPr>
        <w:t>re are no exceptions.</w:t>
      </w:r>
      <w:r w:rsidR="00105A51">
        <w:rPr>
          <w:rFonts w:ascii="Times New Roman" w:hAnsi="Times New Roman" w:cs="Times New Roman"/>
          <w:sz w:val="24"/>
          <w:szCs w:val="24"/>
        </w:rPr>
        <w:t xml:space="preserve"> </w:t>
      </w:r>
      <w:bookmarkStart w:name="_GoBack" w:id="2"/>
      <w:bookmarkEnd w:id="2"/>
    </w:p>
    <w:sectPr w:rsidRPr="007A560D" w:rsidR="00D350A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3ACC2" w14:textId="77777777" w:rsidR="009A5F65" w:rsidRDefault="009A5F65" w:rsidP="00D350A8">
      <w:pPr>
        <w:spacing w:after="0" w:line="240" w:lineRule="auto"/>
      </w:pPr>
      <w:r>
        <w:separator/>
      </w:r>
    </w:p>
  </w:endnote>
  <w:endnote w:type="continuationSeparator" w:id="0">
    <w:p w14:paraId="100B1D6F" w14:textId="77777777" w:rsidR="009A5F65" w:rsidRDefault="009A5F65" w:rsidP="00D350A8">
      <w:pPr>
        <w:spacing w:after="0" w:line="240" w:lineRule="auto"/>
      </w:pPr>
      <w:r>
        <w:continuationSeparator/>
      </w:r>
    </w:p>
  </w:endnote>
  <w:endnote w:type="continuationNotice" w:id="1">
    <w:p w14:paraId="3EAE3A7E" w14:textId="77777777" w:rsidR="009A5F65" w:rsidRDefault="009A5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B6B3" w14:textId="77777777" w:rsidR="00956612" w:rsidRDefault="00956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793893"/>
      <w:docPartObj>
        <w:docPartGallery w:val="Page Numbers (Bottom of Page)"/>
        <w:docPartUnique/>
      </w:docPartObj>
    </w:sdtPr>
    <w:sdtEndPr>
      <w:rPr>
        <w:noProof/>
      </w:rPr>
    </w:sdtEndPr>
    <w:sdtContent>
      <w:p w14:paraId="4A302353" w14:textId="77777777" w:rsidR="00C55457" w:rsidRDefault="00C55457">
        <w:pPr>
          <w:pStyle w:val="Footer"/>
          <w:jc w:val="right"/>
        </w:pPr>
        <w:r>
          <w:fldChar w:fldCharType="begin"/>
        </w:r>
        <w:r>
          <w:instrText xml:space="preserve"> PAGE   \* MERGEFORMAT </w:instrText>
        </w:r>
        <w:r>
          <w:fldChar w:fldCharType="separate"/>
        </w:r>
        <w:r w:rsidR="009B0F4D">
          <w:rPr>
            <w:noProof/>
          </w:rPr>
          <w:t>1</w:t>
        </w:r>
        <w:r>
          <w:rPr>
            <w:noProof/>
          </w:rPr>
          <w:fldChar w:fldCharType="end"/>
        </w:r>
      </w:p>
    </w:sdtContent>
  </w:sdt>
  <w:p w14:paraId="33C80DF4" w14:textId="77777777" w:rsidR="00C55457" w:rsidRDefault="00C55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FEED" w14:textId="77777777" w:rsidR="00956612" w:rsidRDefault="0095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A19D" w14:textId="77777777" w:rsidR="009A5F65" w:rsidRDefault="009A5F65" w:rsidP="00D350A8">
      <w:pPr>
        <w:spacing w:after="0" w:line="240" w:lineRule="auto"/>
      </w:pPr>
      <w:r>
        <w:separator/>
      </w:r>
    </w:p>
  </w:footnote>
  <w:footnote w:type="continuationSeparator" w:id="0">
    <w:p w14:paraId="6FC864BB" w14:textId="77777777" w:rsidR="009A5F65" w:rsidRDefault="009A5F65" w:rsidP="00D350A8">
      <w:pPr>
        <w:spacing w:after="0" w:line="240" w:lineRule="auto"/>
      </w:pPr>
      <w:r>
        <w:continuationSeparator/>
      </w:r>
    </w:p>
  </w:footnote>
  <w:footnote w:type="continuationNotice" w:id="1">
    <w:p w14:paraId="614CEAF1" w14:textId="77777777" w:rsidR="009A5F65" w:rsidRDefault="009A5F65">
      <w:pPr>
        <w:spacing w:after="0" w:line="240" w:lineRule="auto"/>
      </w:pPr>
    </w:p>
  </w:footnote>
  <w:footnote w:id="2">
    <w:p w14:paraId="0E86ECE6" w14:textId="6577DDAA" w:rsidR="00A41C82" w:rsidRDefault="00A41C82" w:rsidP="00A41C82">
      <w:pPr>
        <w:pStyle w:val="FootnoteText"/>
        <w:rPr>
          <w:sz w:val="26"/>
          <w:szCs w:val="26"/>
        </w:rPr>
      </w:pPr>
      <w:r w:rsidRPr="004F6484">
        <w:rPr>
          <w:rStyle w:val="FootnoteReference"/>
          <w:sz w:val="24"/>
          <w:vertAlign w:val="superscript"/>
        </w:rPr>
        <w:footnoteRef/>
      </w:r>
      <w:r w:rsidRPr="000548D3">
        <w:rPr>
          <w:sz w:val="26"/>
          <w:szCs w:val="26"/>
        </w:rPr>
        <w:t xml:space="preserve"> The D</w:t>
      </w:r>
      <w:r w:rsidR="00FF600B">
        <w:rPr>
          <w:sz w:val="26"/>
          <w:szCs w:val="26"/>
        </w:rPr>
        <w:t xml:space="preserve">elegated </w:t>
      </w:r>
      <w:r w:rsidRPr="000548D3">
        <w:rPr>
          <w:sz w:val="26"/>
          <w:szCs w:val="26"/>
        </w:rPr>
        <w:t>L</w:t>
      </w:r>
      <w:r w:rsidR="00FF600B">
        <w:rPr>
          <w:sz w:val="26"/>
          <w:szCs w:val="26"/>
        </w:rPr>
        <w:t xml:space="preserve">etter </w:t>
      </w:r>
      <w:r w:rsidRPr="000548D3">
        <w:rPr>
          <w:sz w:val="26"/>
          <w:szCs w:val="26"/>
        </w:rPr>
        <w:t>O</w:t>
      </w:r>
      <w:r w:rsidR="00FF600B">
        <w:rPr>
          <w:sz w:val="26"/>
          <w:szCs w:val="26"/>
        </w:rPr>
        <w:t>rder</w:t>
      </w:r>
      <w:r w:rsidRPr="000548D3">
        <w:rPr>
          <w:sz w:val="26"/>
          <w:szCs w:val="26"/>
        </w:rPr>
        <w:t xml:space="preserve"> is posted in eLibrary at </w:t>
      </w:r>
    </w:p>
    <w:p w14:paraId="693AF15E" w14:textId="77777777" w:rsidR="00A41C82" w:rsidRDefault="009A5F65" w:rsidP="00A41C82">
      <w:pPr>
        <w:pStyle w:val="FootnoteText"/>
        <w:rPr>
          <w:sz w:val="26"/>
          <w:szCs w:val="26"/>
        </w:rPr>
      </w:pPr>
      <w:hyperlink r:id="rId1" w:history="1">
        <w:r w:rsidR="00A41C82" w:rsidRPr="008C337F">
          <w:rPr>
            <w:rStyle w:val="Hyperlink"/>
            <w:sz w:val="26"/>
            <w:szCs w:val="26"/>
          </w:rPr>
          <w:t>https://elibrary.ferc.gov/idmws/common/OpenNat.asp?fileID=15585069</w:t>
        </w:r>
      </w:hyperlink>
    </w:p>
    <w:p w14:paraId="154A9DBC" w14:textId="77777777" w:rsidR="00A41C82" w:rsidRPr="000548D3" w:rsidRDefault="00A41C82" w:rsidP="00A41C82">
      <w:pPr>
        <w:pStyle w:val="FootnoteText"/>
        <w:rPr>
          <w:sz w:val="26"/>
          <w:szCs w:val="26"/>
        </w:rPr>
      </w:pPr>
    </w:p>
  </w:footnote>
  <w:footnote w:id="3">
    <w:p w14:paraId="51C8E513" w14:textId="77777777" w:rsidR="00514C31" w:rsidRDefault="00514C31" w:rsidP="00514C31">
      <w:pPr>
        <w:pStyle w:val="FootnoteText"/>
        <w:rPr>
          <w:sz w:val="26"/>
          <w:szCs w:val="26"/>
        </w:rPr>
      </w:pPr>
      <w:r w:rsidRPr="004F6484">
        <w:rPr>
          <w:rStyle w:val="FootnoteReference"/>
          <w:sz w:val="24"/>
          <w:vertAlign w:val="superscript"/>
        </w:rPr>
        <w:footnoteRef/>
      </w:r>
      <w:r>
        <w:rPr>
          <w:sz w:val="26"/>
          <w:szCs w:val="26"/>
        </w:rPr>
        <w:t xml:space="preserve"> There are also regional BAL Reliability Standards.  They are not included in FERC-725R and are not discussed here.  The regional BAL Reliability Standards are covered under other OMB Control Nos.</w:t>
      </w:r>
    </w:p>
    <w:p w14:paraId="2308DAD4" w14:textId="77777777" w:rsidR="00514C31" w:rsidRDefault="00514C31" w:rsidP="00514C31">
      <w:pPr>
        <w:pStyle w:val="FootnoteText"/>
        <w:rPr>
          <w:sz w:val="26"/>
          <w:szCs w:val="26"/>
        </w:rPr>
      </w:pPr>
    </w:p>
  </w:footnote>
  <w:footnote w:id="4">
    <w:p w14:paraId="25BFB116" w14:textId="77777777" w:rsidR="00514C31" w:rsidRDefault="00514C31" w:rsidP="00514C31">
      <w:pPr>
        <w:pStyle w:val="FootnoteText"/>
        <w:rPr>
          <w:rFonts w:eastAsia="Calibri"/>
          <w:color w:val="000000"/>
          <w:sz w:val="26"/>
          <w:szCs w:val="26"/>
        </w:rPr>
      </w:pPr>
      <w:r w:rsidRPr="004F6484">
        <w:rPr>
          <w:rStyle w:val="FootnoteReference"/>
          <w:sz w:val="24"/>
          <w:vertAlign w:val="superscript"/>
        </w:rPr>
        <w:footnoteRef/>
      </w:r>
      <w:r>
        <w:t xml:space="preserve"> </w:t>
      </w:r>
      <w:r>
        <w:rPr>
          <w:rFonts w:eastAsia="Calibri"/>
          <w:color w:val="000000"/>
          <w:sz w:val="26"/>
          <w:szCs w:val="26"/>
        </w:rPr>
        <w:t>It was approved in Docket No. RM14-10.</w:t>
      </w:r>
    </w:p>
    <w:p w14:paraId="45F96A11" w14:textId="77777777" w:rsidR="00514C31" w:rsidRDefault="00514C31" w:rsidP="00514C31">
      <w:pPr>
        <w:pStyle w:val="FootnoteText"/>
      </w:pPr>
    </w:p>
  </w:footnote>
  <w:footnote w:id="5">
    <w:p w14:paraId="0C66D62F" w14:textId="77777777" w:rsidR="00514C31" w:rsidRDefault="00514C31" w:rsidP="00514C31">
      <w:pPr>
        <w:pStyle w:val="FootnoteText"/>
        <w:rPr>
          <w:sz w:val="26"/>
          <w:szCs w:val="26"/>
        </w:rPr>
      </w:pPr>
      <w:r w:rsidRPr="004F6484">
        <w:rPr>
          <w:rStyle w:val="FootnoteReference"/>
          <w:sz w:val="24"/>
          <w:vertAlign w:val="superscript"/>
        </w:rPr>
        <w:footnoteRef/>
      </w:r>
      <w:r>
        <w:rPr>
          <w:sz w:val="26"/>
          <w:szCs w:val="26"/>
        </w:rPr>
        <w:t xml:space="preserve"> Area Control Error is the “instantaneous difference between a Balancing Authority’s net actual and scheduled interchange, taking into accounts the effects of Frequency Bias, correction for meter error, and Automatic Time Error Correction (ATEC), if operating in the ATEC mode.  ATEC is only applicable to Balancing Authorities in the Western Interconnection.”  NERC Glossary.</w:t>
      </w:r>
    </w:p>
    <w:p w14:paraId="603391E7" w14:textId="77777777" w:rsidR="00514C31" w:rsidRDefault="00514C31" w:rsidP="00514C31">
      <w:pPr>
        <w:pStyle w:val="FootnoteText"/>
        <w:rPr>
          <w:sz w:val="26"/>
          <w:szCs w:val="26"/>
        </w:rPr>
      </w:pPr>
    </w:p>
  </w:footnote>
  <w:footnote w:id="6">
    <w:p w14:paraId="35713A0A" w14:textId="77777777" w:rsidR="00514C31" w:rsidRDefault="00514C31" w:rsidP="00514C31">
      <w:pPr>
        <w:pStyle w:val="FootnoteText"/>
        <w:rPr>
          <w:rFonts w:eastAsia="Calibri"/>
          <w:color w:val="000000"/>
          <w:sz w:val="26"/>
          <w:szCs w:val="26"/>
        </w:rPr>
      </w:pPr>
      <w:r w:rsidRPr="00F012DD">
        <w:rPr>
          <w:rStyle w:val="FootnoteReference"/>
          <w:sz w:val="24"/>
          <w:vertAlign w:val="superscript"/>
        </w:rPr>
        <w:footnoteRef/>
      </w:r>
      <w:r>
        <w:t xml:space="preserve"> </w:t>
      </w:r>
      <w:r>
        <w:rPr>
          <w:rFonts w:eastAsia="Calibri"/>
          <w:color w:val="000000"/>
          <w:sz w:val="26"/>
          <w:szCs w:val="26"/>
        </w:rPr>
        <w:t xml:space="preserve"> It was approved in  Docket No. RD18-7.</w:t>
      </w:r>
    </w:p>
    <w:p w14:paraId="53CC536B" w14:textId="77777777" w:rsidR="00514C31" w:rsidRDefault="00514C31" w:rsidP="00514C31">
      <w:pPr>
        <w:pStyle w:val="FootnoteText"/>
      </w:pPr>
    </w:p>
  </w:footnote>
  <w:footnote w:id="7">
    <w:p w14:paraId="60A91C24" w14:textId="77777777" w:rsidR="00514C31" w:rsidRDefault="00514C31" w:rsidP="00514C31">
      <w:pPr>
        <w:pStyle w:val="FootnoteText"/>
        <w:rPr>
          <w:sz w:val="26"/>
          <w:szCs w:val="26"/>
        </w:rPr>
      </w:pPr>
      <w:r w:rsidRPr="00F012DD">
        <w:rPr>
          <w:rStyle w:val="FootnoteReference"/>
          <w:sz w:val="24"/>
          <w:vertAlign w:val="superscript"/>
        </w:rPr>
        <w:footnoteRef/>
      </w:r>
      <w:r>
        <w:rPr>
          <w:sz w:val="26"/>
          <w:szCs w:val="26"/>
        </w:rPr>
        <w:t xml:space="preserve"> It was approved in </w:t>
      </w:r>
      <w:r>
        <w:rPr>
          <w:rFonts w:eastAsia="Calibri"/>
          <w:color w:val="000000"/>
          <w:sz w:val="26"/>
          <w:szCs w:val="26"/>
        </w:rPr>
        <w:t>Docket No. RM16-13.</w:t>
      </w:r>
    </w:p>
  </w:footnote>
  <w:footnote w:id="8">
    <w:p w14:paraId="50BEFF31" w14:textId="6F39064B" w:rsidR="00C55457" w:rsidRPr="00C9693F" w:rsidRDefault="00C55457" w:rsidP="00F14924">
      <w:pPr>
        <w:pStyle w:val="FootnoteText"/>
        <w:rPr>
          <w:sz w:val="24"/>
          <w:szCs w:val="24"/>
        </w:rPr>
      </w:pPr>
      <w:r w:rsidRPr="000F5479">
        <w:rPr>
          <w:rStyle w:val="FootnoteReference"/>
          <w:sz w:val="24"/>
          <w:szCs w:val="24"/>
          <w:vertAlign w:val="superscript"/>
        </w:rPr>
        <w:footnoteRef/>
      </w:r>
      <w:r w:rsidRPr="00C9693F">
        <w:rPr>
          <w:sz w:val="24"/>
          <w:szCs w:val="24"/>
        </w:rPr>
        <w:t xml:space="preserve"> Section 1502, Paragraph 2, available at NERCs website</w:t>
      </w:r>
      <w:r w:rsidR="000F5479">
        <w:rPr>
          <w:sz w:val="24"/>
          <w:szCs w:val="24"/>
        </w:rPr>
        <w:t>.</w:t>
      </w:r>
    </w:p>
  </w:footnote>
  <w:footnote w:id="9">
    <w:p w14:paraId="0BB91244" w14:textId="3029DA6A" w:rsidR="00B574DE" w:rsidRPr="008A38F3" w:rsidRDefault="00B574DE" w:rsidP="00B574DE">
      <w:pPr>
        <w:pStyle w:val="FootnoteText"/>
        <w:spacing w:after="240"/>
        <w:rPr>
          <w:sz w:val="26"/>
          <w:szCs w:val="26"/>
        </w:rPr>
      </w:pPr>
      <w:r w:rsidRPr="000F5479">
        <w:rPr>
          <w:rStyle w:val="FootnoteReference"/>
          <w:sz w:val="24"/>
          <w:vertAlign w:val="superscript"/>
        </w:rPr>
        <w:footnoteRef/>
      </w:r>
      <w:r>
        <w:t xml:space="preserve"> </w:t>
      </w:r>
      <w:bookmarkStart w:id="0" w:name="_Hlk47956318"/>
      <w:r w:rsidRPr="002A0B39">
        <w:rPr>
          <w:sz w:val="24"/>
          <w:szCs w:val="26"/>
        </w:rPr>
        <w:t xml:space="preserve">NERC Compliance Registry (July 17, 2020), </w:t>
      </w:r>
      <w:r w:rsidRPr="002A0B39">
        <w:rPr>
          <w:i/>
          <w:sz w:val="24"/>
          <w:szCs w:val="26"/>
        </w:rPr>
        <w:t xml:space="preserve">available at </w:t>
      </w:r>
      <w:hyperlink r:id="rId2" w:history="1">
        <w:r w:rsidR="00C3568C" w:rsidRPr="00DF5368">
          <w:rPr>
            <w:rStyle w:val="Hyperlink"/>
            <w:sz w:val="24"/>
            <w:szCs w:val="26"/>
          </w:rPr>
          <w:t>https://www.nerc.com/pa/comp/Registration%20and%20Certification%20DL/NERC_Compliance_Registry_Matrix_Excel.xlsx</w:t>
        </w:r>
      </w:hyperlink>
      <w:bookmarkEnd w:id="0"/>
      <w:r w:rsidR="00B66443">
        <w:rPr>
          <w:sz w:val="26"/>
          <w:szCs w:val="26"/>
        </w:rPr>
        <w:t>.</w:t>
      </w:r>
    </w:p>
  </w:footnote>
  <w:footnote w:id="10">
    <w:p w14:paraId="55FE608A" w14:textId="0175A9C2" w:rsidR="00B574DE" w:rsidRPr="002A0B39" w:rsidRDefault="00B574DE" w:rsidP="00B574DE">
      <w:pPr>
        <w:pStyle w:val="FootnoteText"/>
        <w:rPr>
          <w:sz w:val="24"/>
          <w:szCs w:val="26"/>
        </w:rPr>
      </w:pPr>
      <w:r w:rsidRPr="002A0B39">
        <w:rPr>
          <w:rStyle w:val="FootnoteReference"/>
          <w:sz w:val="24"/>
          <w:vertAlign w:val="superscript"/>
        </w:rPr>
        <w:footnoteRef/>
      </w:r>
      <w:r w:rsidRPr="002A0B39">
        <w:rPr>
          <w:sz w:val="24"/>
          <w:szCs w:val="26"/>
        </w:rPr>
        <w:t xml:space="preserve">The hourly cost estimates are based on wage data from the Bureau of Labor Statistics for May 2019 (at </w:t>
      </w:r>
      <w:hyperlink r:id="rId3" w:history="1">
        <w:r w:rsidRPr="002A0B39">
          <w:rPr>
            <w:rStyle w:val="Hyperlink"/>
            <w:sz w:val="24"/>
            <w:szCs w:val="26"/>
          </w:rPr>
          <w:t>https://www.bls.gov/oes/current/naics2_22.htm</w:t>
        </w:r>
      </w:hyperlink>
      <w:r w:rsidRPr="002A0B39">
        <w:rPr>
          <w:sz w:val="24"/>
          <w:szCs w:val="26"/>
        </w:rPr>
        <w:t xml:space="preserve">) and benefits data for Dec. 2019 (issued March 2020, at </w:t>
      </w:r>
      <w:hyperlink r:id="rId4" w:history="1">
        <w:r w:rsidRPr="002A0B39">
          <w:rPr>
            <w:rStyle w:val="Hyperlink"/>
            <w:sz w:val="24"/>
            <w:szCs w:val="26"/>
          </w:rPr>
          <w:t>https://www.bls.gov/news.release/ecec.nr0.htm</w:t>
        </w:r>
      </w:hyperlink>
      <w:r w:rsidRPr="002A0B39">
        <w:rPr>
          <w:sz w:val="24"/>
          <w:szCs w:val="26"/>
        </w:rPr>
        <w:t xml:space="preserve">).  </w:t>
      </w:r>
      <w:r w:rsidR="002A0B39">
        <w:rPr>
          <w:sz w:val="24"/>
          <w:szCs w:val="26"/>
        </w:rPr>
        <w:t>For reporting requirements, t</w:t>
      </w:r>
      <w:r w:rsidRPr="002A0B39">
        <w:rPr>
          <w:sz w:val="24"/>
          <w:szCs w:val="26"/>
        </w:rPr>
        <w:t>he hourly costs (for wages and benefits) are for:  Electrical Engineer (Occupation code 17-2071), $70.19</w:t>
      </w:r>
      <w:r w:rsidR="002A0B39">
        <w:rPr>
          <w:sz w:val="24"/>
          <w:szCs w:val="26"/>
        </w:rPr>
        <w:t xml:space="preserve">.  For recordkeeping requirements, the hourly costs (for wages and benefits) are for:  </w:t>
      </w:r>
      <w:r w:rsidRPr="002A0B39">
        <w:rPr>
          <w:sz w:val="24"/>
          <w:szCs w:val="26"/>
        </w:rPr>
        <w:t>Information and Record Clerk (Occupation code 43-4199), $41.03.</w:t>
      </w:r>
    </w:p>
    <w:p w14:paraId="1ACA83EC" w14:textId="77777777" w:rsidR="00B574DE" w:rsidRPr="0013511B" w:rsidRDefault="00B574DE" w:rsidP="00B574DE">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2FB5" w14:textId="77777777" w:rsidR="00956612" w:rsidRDefault="00956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A464" w14:textId="170EAA96" w:rsidR="00C55457" w:rsidRPr="00B51BB8" w:rsidRDefault="00C5545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FERC-725R</w:t>
    </w:r>
    <w:r w:rsidRPr="00B51BB8">
      <w:rPr>
        <w:rFonts w:ascii="Times New Roman" w:hAnsi="Times New Roman" w:cs="Times New Roman"/>
        <w:sz w:val="24"/>
        <w:szCs w:val="24"/>
      </w:rPr>
      <w:t xml:space="preserve"> (OMB Control No. </w:t>
    </w:r>
    <w:r>
      <w:rPr>
        <w:rFonts w:ascii="Times New Roman" w:hAnsi="Times New Roman" w:cs="Times New Roman"/>
        <w:sz w:val="24"/>
        <w:szCs w:val="24"/>
      </w:rPr>
      <w:t>1902-0268</w:t>
    </w:r>
    <w:r w:rsidRPr="00B51BB8">
      <w:rPr>
        <w:rFonts w:ascii="Times New Roman" w:hAnsi="Times New Roman" w:cs="Times New Roman"/>
        <w:sz w:val="24"/>
        <w:szCs w:val="24"/>
      </w:rPr>
      <w:t xml:space="preserve">) </w:t>
    </w:r>
  </w:p>
  <w:p w14:paraId="06829268" w14:textId="5DBA3B46" w:rsidR="00C55457" w:rsidRDefault="003A1E5A" w:rsidP="002A4142">
    <w:pPr>
      <w:pStyle w:val="Header"/>
      <w:rPr>
        <w:rFonts w:ascii="Times New Roman" w:hAnsi="Times New Roman" w:cs="Times New Roman"/>
        <w:bCs/>
        <w:sz w:val="24"/>
        <w:szCs w:val="24"/>
      </w:rPr>
    </w:pPr>
    <w:r>
      <w:rPr>
        <w:rFonts w:ascii="Times New Roman" w:hAnsi="Times New Roman" w:cs="Times New Roman"/>
        <w:bCs/>
        <w:sz w:val="24"/>
        <w:szCs w:val="24"/>
      </w:rPr>
      <w:t xml:space="preserve">(as </w:t>
    </w:r>
    <w:r w:rsidR="00F76CEE">
      <w:rPr>
        <w:rFonts w:ascii="Times New Roman" w:hAnsi="Times New Roman" w:cs="Times New Roman"/>
        <w:bCs/>
        <w:sz w:val="24"/>
        <w:szCs w:val="24"/>
      </w:rPr>
      <w:t>modified</w:t>
    </w:r>
    <w:r>
      <w:rPr>
        <w:rFonts w:ascii="Times New Roman" w:hAnsi="Times New Roman" w:cs="Times New Roman"/>
        <w:bCs/>
        <w:sz w:val="24"/>
        <w:szCs w:val="24"/>
      </w:rPr>
      <w:t xml:space="preserve"> in Docket No. RD20-9-000)</w:t>
    </w:r>
    <w:r>
      <w:rPr>
        <w:rFonts w:ascii="Times New Roman" w:hAnsi="Times New Roman" w:cs="Times New Roman"/>
        <w:bCs/>
        <w:sz w:val="24"/>
        <w:szCs w:val="24"/>
      </w:rPr>
      <w:tab/>
    </w:r>
    <w:r>
      <w:rPr>
        <w:rFonts w:ascii="Times New Roman" w:hAnsi="Times New Roman" w:cs="Times New Roman"/>
        <w:bCs/>
        <w:sz w:val="24"/>
        <w:szCs w:val="24"/>
      </w:rPr>
      <w:tab/>
    </w:r>
  </w:p>
  <w:p w14:paraId="1CE0015B" w14:textId="0DE8A829" w:rsidR="00C55457" w:rsidRPr="00B51BB8" w:rsidRDefault="00C55457" w:rsidP="002A4142">
    <w:pPr>
      <w:pStyle w:val="Header"/>
      <w:rPr>
        <w:rFonts w:ascii="Times New Roman" w:hAnsi="Times New Roman" w:cs="Times New Roman"/>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D7CF" w14:textId="77777777" w:rsidR="00956612" w:rsidRDefault="00956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CF7"/>
    <w:multiLevelType w:val="hybridMultilevel"/>
    <w:tmpl w:val="D41C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15:restartNumberingAfterBreak="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2866F36"/>
    <w:multiLevelType w:val="hybridMultilevel"/>
    <w:tmpl w:val="663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2"/>
  </w:num>
  <w:num w:numId="7">
    <w:abstractNumId w:val="7"/>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A8"/>
    <w:rsid w:val="000027B8"/>
    <w:rsid w:val="00005289"/>
    <w:rsid w:val="000151A0"/>
    <w:rsid w:val="00017D46"/>
    <w:rsid w:val="000302F1"/>
    <w:rsid w:val="0004133D"/>
    <w:rsid w:val="000428A5"/>
    <w:rsid w:val="00042D80"/>
    <w:rsid w:val="00050740"/>
    <w:rsid w:val="00053805"/>
    <w:rsid w:val="00055683"/>
    <w:rsid w:val="000723A8"/>
    <w:rsid w:val="000728C5"/>
    <w:rsid w:val="0007589B"/>
    <w:rsid w:val="0007783F"/>
    <w:rsid w:val="00087336"/>
    <w:rsid w:val="00094D36"/>
    <w:rsid w:val="00096C1B"/>
    <w:rsid w:val="000E1B92"/>
    <w:rsid w:val="000E2BD1"/>
    <w:rsid w:val="000E3075"/>
    <w:rsid w:val="000E5E73"/>
    <w:rsid w:val="000F0C7B"/>
    <w:rsid w:val="000F233D"/>
    <w:rsid w:val="000F341C"/>
    <w:rsid w:val="000F5088"/>
    <w:rsid w:val="000F5479"/>
    <w:rsid w:val="00100229"/>
    <w:rsid w:val="00100D18"/>
    <w:rsid w:val="00102F1A"/>
    <w:rsid w:val="00105338"/>
    <w:rsid w:val="00105A51"/>
    <w:rsid w:val="001062F8"/>
    <w:rsid w:val="00115F24"/>
    <w:rsid w:val="0012731F"/>
    <w:rsid w:val="001301E0"/>
    <w:rsid w:val="00131470"/>
    <w:rsid w:val="0014705F"/>
    <w:rsid w:val="001507EE"/>
    <w:rsid w:val="00150D8D"/>
    <w:rsid w:val="00155323"/>
    <w:rsid w:val="0015640F"/>
    <w:rsid w:val="00164B1B"/>
    <w:rsid w:val="00165955"/>
    <w:rsid w:val="001755B4"/>
    <w:rsid w:val="00176C62"/>
    <w:rsid w:val="00183B70"/>
    <w:rsid w:val="00191849"/>
    <w:rsid w:val="001967A9"/>
    <w:rsid w:val="001976E0"/>
    <w:rsid w:val="001A03C2"/>
    <w:rsid w:val="001A2058"/>
    <w:rsid w:val="001C5A9B"/>
    <w:rsid w:val="001C7456"/>
    <w:rsid w:val="001D339C"/>
    <w:rsid w:val="001D7EB6"/>
    <w:rsid w:val="001F1D83"/>
    <w:rsid w:val="001F257C"/>
    <w:rsid w:val="002025A8"/>
    <w:rsid w:val="0020374D"/>
    <w:rsid w:val="00205EE8"/>
    <w:rsid w:val="00213195"/>
    <w:rsid w:val="002143E7"/>
    <w:rsid w:val="002329FB"/>
    <w:rsid w:val="00233F88"/>
    <w:rsid w:val="002359F6"/>
    <w:rsid w:val="002370E2"/>
    <w:rsid w:val="00240C3A"/>
    <w:rsid w:val="0024309E"/>
    <w:rsid w:val="0024485B"/>
    <w:rsid w:val="00255862"/>
    <w:rsid w:val="00257FBE"/>
    <w:rsid w:val="00263D1F"/>
    <w:rsid w:val="00270184"/>
    <w:rsid w:val="00271EC6"/>
    <w:rsid w:val="00275760"/>
    <w:rsid w:val="0029048F"/>
    <w:rsid w:val="00290ACC"/>
    <w:rsid w:val="00291A94"/>
    <w:rsid w:val="002A0B39"/>
    <w:rsid w:val="002A4142"/>
    <w:rsid w:val="002A45D0"/>
    <w:rsid w:val="002A5BA5"/>
    <w:rsid w:val="002A7EF0"/>
    <w:rsid w:val="002B3B00"/>
    <w:rsid w:val="002C4849"/>
    <w:rsid w:val="002C70B7"/>
    <w:rsid w:val="002D4CD4"/>
    <w:rsid w:val="002E0A22"/>
    <w:rsid w:val="002F3DB9"/>
    <w:rsid w:val="003013FE"/>
    <w:rsid w:val="00314EBE"/>
    <w:rsid w:val="00315F04"/>
    <w:rsid w:val="00326FE5"/>
    <w:rsid w:val="003311BA"/>
    <w:rsid w:val="00332A43"/>
    <w:rsid w:val="003542FD"/>
    <w:rsid w:val="0035608B"/>
    <w:rsid w:val="00360F81"/>
    <w:rsid w:val="00361094"/>
    <w:rsid w:val="003745F7"/>
    <w:rsid w:val="00375D67"/>
    <w:rsid w:val="003771D0"/>
    <w:rsid w:val="003811CE"/>
    <w:rsid w:val="003831D3"/>
    <w:rsid w:val="00391060"/>
    <w:rsid w:val="003938C1"/>
    <w:rsid w:val="003976CA"/>
    <w:rsid w:val="003A1E5A"/>
    <w:rsid w:val="003A536E"/>
    <w:rsid w:val="003B6534"/>
    <w:rsid w:val="003C19D0"/>
    <w:rsid w:val="003C4B09"/>
    <w:rsid w:val="003D09FB"/>
    <w:rsid w:val="003D162A"/>
    <w:rsid w:val="003E3866"/>
    <w:rsid w:val="003E599C"/>
    <w:rsid w:val="003F77BD"/>
    <w:rsid w:val="00401B62"/>
    <w:rsid w:val="0040637D"/>
    <w:rsid w:val="00407EA2"/>
    <w:rsid w:val="004137F1"/>
    <w:rsid w:val="00416DFC"/>
    <w:rsid w:val="00420176"/>
    <w:rsid w:val="00432EF2"/>
    <w:rsid w:val="00437EEE"/>
    <w:rsid w:val="00452265"/>
    <w:rsid w:val="004678E6"/>
    <w:rsid w:val="004723F3"/>
    <w:rsid w:val="00485D08"/>
    <w:rsid w:val="00491CF6"/>
    <w:rsid w:val="00496E7A"/>
    <w:rsid w:val="004A1428"/>
    <w:rsid w:val="004A4892"/>
    <w:rsid w:val="004B18AB"/>
    <w:rsid w:val="004B624E"/>
    <w:rsid w:val="004C0226"/>
    <w:rsid w:val="004C0981"/>
    <w:rsid w:val="004C334C"/>
    <w:rsid w:val="004C510E"/>
    <w:rsid w:val="004E6159"/>
    <w:rsid w:val="004F3F84"/>
    <w:rsid w:val="004F6484"/>
    <w:rsid w:val="00501F21"/>
    <w:rsid w:val="00503BD5"/>
    <w:rsid w:val="00506164"/>
    <w:rsid w:val="00511A94"/>
    <w:rsid w:val="00514C31"/>
    <w:rsid w:val="00516258"/>
    <w:rsid w:val="00520A3F"/>
    <w:rsid w:val="00522521"/>
    <w:rsid w:val="00523280"/>
    <w:rsid w:val="00526F2F"/>
    <w:rsid w:val="00527AE1"/>
    <w:rsid w:val="00531E9C"/>
    <w:rsid w:val="005368DE"/>
    <w:rsid w:val="00543FCE"/>
    <w:rsid w:val="005515AF"/>
    <w:rsid w:val="00555094"/>
    <w:rsid w:val="005558F8"/>
    <w:rsid w:val="005575ED"/>
    <w:rsid w:val="00561C8E"/>
    <w:rsid w:val="00565F74"/>
    <w:rsid w:val="00574282"/>
    <w:rsid w:val="005768DB"/>
    <w:rsid w:val="005774B1"/>
    <w:rsid w:val="00581276"/>
    <w:rsid w:val="0058191C"/>
    <w:rsid w:val="00581E3E"/>
    <w:rsid w:val="00582804"/>
    <w:rsid w:val="005853F1"/>
    <w:rsid w:val="005908AC"/>
    <w:rsid w:val="00597658"/>
    <w:rsid w:val="005A779D"/>
    <w:rsid w:val="005B253C"/>
    <w:rsid w:val="005B2D2D"/>
    <w:rsid w:val="005B3351"/>
    <w:rsid w:val="005C0FD7"/>
    <w:rsid w:val="005C28A8"/>
    <w:rsid w:val="005C297F"/>
    <w:rsid w:val="005C2C89"/>
    <w:rsid w:val="005C429E"/>
    <w:rsid w:val="005D017F"/>
    <w:rsid w:val="005D054F"/>
    <w:rsid w:val="005D4423"/>
    <w:rsid w:val="005D4947"/>
    <w:rsid w:val="005D6E4D"/>
    <w:rsid w:val="005E0A59"/>
    <w:rsid w:val="005E2448"/>
    <w:rsid w:val="005F447E"/>
    <w:rsid w:val="00602096"/>
    <w:rsid w:val="00606999"/>
    <w:rsid w:val="00612E67"/>
    <w:rsid w:val="0061754A"/>
    <w:rsid w:val="00637613"/>
    <w:rsid w:val="00642D33"/>
    <w:rsid w:val="006524CA"/>
    <w:rsid w:val="006564E7"/>
    <w:rsid w:val="0065657B"/>
    <w:rsid w:val="0067059B"/>
    <w:rsid w:val="00675E52"/>
    <w:rsid w:val="00684F3E"/>
    <w:rsid w:val="00684FC0"/>
    <w:rsid w:val="006870C9"/>
    <w:rsid w:val="0069654D"/>
    <w:rsid w:val="006A2D09"/>
    <w:rsid w:val="006A32B8"/>
    <w:rsid w:val="006A7418"/>
    <w:rsid w:val="006A76FD"/>
    <w:rsid w:val="006B0E50"/>
    <w:rsid w:val="006B5EEB"/>
    <w:rsid w:val="006C0F0B"/>
    <w:rsid w:val="006D6849"/>
    <w:rsid w:val="006F04F8"/>
    <w:rsid w:val="006F1615"/>
    <w:rsid w:val="006F199F"/>
    <w:rsid w:val="00703213"/>
    <w:rsid w:val="0070345D"/>
    <w:rsid w:val="00707A85"/>
    <w:rsid w:val="00717A1C"/>
    <w:rsid w:val="00732818"/>
    <w:rsid w:val="00734A9C"/>
    <w:rsid w:val="00737581"/>
    <w:rsid w:val="0074093F"/>
    <w:rsid w:val="00757224"/>
    <w:rsid w:val="00757251"/>
    <w:rsid w:val="0076316B"/>
    <w:rsid w:val="00765358"/>
    <w:rsid w:val="0077604E"/>
    <w:rsid w:val="0078329B"/>
    <w:rsid w:val="00793598"/>
    <w:rsid w:val="0079402D"/>
    <w:rsid w:val="00794A5A"/>
    <w:rsid w:val="00797852"/>
    <w:rsid w:val="00797AAC"/>
    <w:rsid w:val="007A2FB5"/>
    <w:rsid w:val="007A560D"/>
    <w:rsid w:val="007A6365"/>
    <w:rsid w:val="007B2F86"/>
    <w:rsid w:val="007B7CCA"/>
    <w:rsid w:val="007C39D3"/>
    <w:rsid w:val="007D29A0"/>
    <w:rsid w:val="007E67E9"/>
    <w:rsid w:val="007E757F"/>
    <w:rsid w:val="007F1EC9"/>
    <w:rsid w:val="0080068D"/>
    <w:rsid w:val="00800E3F"/>
    <w:rsid w:val="00803E7C"/>
    <w:rsid w:val="008042BF"/>
    <w:rsid w:val="00810BF9"/>
    <w:rsid w:val="00812AE2"/>
    <w:rsid w:val="00812D76"/>
    <w:rsid w:val="00814779"/>
    <w:rsid w:val="00820929"/>
    <w:rsid w:val="0082151E"/>
    <w:rsid w:val="00826CB4"/>
    <w:rsid w:val="00835E0A"/>
    <w:rsid w:val="0084600F"/>
    <w:rsid w:val="00847F18"/>
    <w:rsid w:val="008619AB"/>
    <w:rsid w:val="00866048"/>
    <w:rsid w:val="00870506"/>
    <w:rsid w:val="008738D6"/>
    <w:rsid w:val="008772F2"/>
    <w:rsid w:val="008815BC"/>
    <w:rsid w:val="00886690"/>
    <w:rsid w:val="008A1478"/>
    <w:rsid w:val="008A5C5C"/>
    <w:rsid w:val="008B1F7E"/>
    <w:rsid w:val="008B5C52"/>
    <w:rsid w:val="008C255C"/>
    <w:rsid w:val="008C747F"/>
    <w:rsid w:val="008D07CF"/>
    <w:rsid w:val="008D20D4"/>
    <w:rsid w:val="008D4025"/>
    <w:rsid w:val="008D6AED"/>
    <w:rsid w:val="008E0E55"/>
    <w:rsid w:val="008E3B4A"/>
    <w:rsid w:val="008F6579"/>
    <w:rsid w:val="008F76CB"/>
    <w:rsid w:val="00900C36"/>
    <w:rsid w:val="00905C29"/>
    <w:rsid w:val="00907AB7"/>
    <w:rsid w:val="00912E58"/>
    <w:rsid w:val="009257C8"/>
    <w:rsid w:val="0093400C"/>
    <w:rsid w:val="00950542"/>
    <w:rsid w:val="009508FC"/>
    <w:rsid w:val="00954899"/>
    <w:rsid w:val="00954D7E"/>
    <w:rsid w:val="00956612"/>
    <w:rsid w:val="00960411"/>
    <w:rsid w:val="00960643"/>
    <w:rsid w:val="00960BCF"/>
    <w:rsid w:val="00965E2F"/>
    <w:rsid w:val="00970428"/>
    <w:rsid w:val="009708EE"/>
    <w:rsid w:val="009766A2"/>
    <w:rsid w:val="00976B33"/>
    <w:rsid w:val="009922B2"/>
    <w:rsid w:val="00995B75"/>
    <w:rsid w:val="009A5F65"/>
    <w:rsid w:val="009B04FD"/>
    <w:rsid w:val="009B0F4D"/>
    <w:rsid w:val="009B6A77"/>
    <w:rsid w:val="009C0D97"/>
    <w:rsid w:val="009C1020"/>
    <w:rsid w:val="009C2A3E"/>
    <w:rsid w:val="009D3108"/>
    <w:rsid w:val="009E1F0B"/>
    <w:rsid w:val="009E4A19"/>
    <w:rsid w:val="009F0B95"/>
    <w:rsid w:val="009F219E"/>
    <w:rsid w:val="00A03749"/>
    <w:rsid w:val="00A05452"/>
    <w:rsid w:val="00A13DFB"/>
    <w:rsid w:val="00A21CB4"/>
    <w:rsid w:val="00A2591A"/>
    <w:rsid w:val="00A25A61"/>
    <w:rsid w:val="00A301A2"/>
    <w:rsid w:val="00A3624F"/>
    <w:rsid w:val="00A4008C"/>
    <w:rsid w:val="00A41C82"/>
    <w:rsid w:val="00A50A21"/>
    <w:rsid w:val="00A55400"/>
    <w:rsid w:val="00A56ED0"/>
    <w:rsid w:val="00A64C19"/>
    <w:rsid w:val="00A7099E"/>
    <w:rsid w:val="00A70D34"/>
    <w:rsid w:val="00A7121F"/>
    <w:rsid w:val="00A7469A"/>
    <w:rsid w:val="00A74A0E"/>
    <w:rsid w:val="00A83705"/>
    <w:rsid w:val="00A858C8"/>
    <w:rsid w:val="00A86E73"/>
    <w:rsid w:val="00A971CF"/>
    <w:rsid w:val="00AC0CC2"/>
    <w:rsid w:val="00AD21A4"/>
    <w:rsid w:val="00AE43E1"/>
    <w:rsid w:val="00AF29FC"/>
    <w:rsid w:val="00AF2A9C"/>
    <w:rsid w:val="00B00671"/>
    <w:rsid w:val="00B065DF"/>
    <w:rsid w:val="00B139FB"/>
    <w:rsid w:val="00B231D4"/>
    <w:rsid w:val="00B26E4A"/>
    <w:rsid w:val="00B2778A"/>
    <w:rsid w:val="00B34A73"/>
    <w:rsid w:val="00B35625"/>
    <w:rsid w:val="00B46310"/>
    <w:rsid w:val="00B51BB8"/>
    <w:rsid w:val="00B52592"/>
    <w:rsid w:val="00B53FEB"/>
    <w:rsid w:val="00B574DE"/>
    <w:rsid w:val="00B61FB5"/>
    <w:rsid w:val="00B6240F"/>
    <w:rsid w:val="00B63850"/>
    <w:rsid w:val="00B63F5D"/>
    <w:rsid w:val="00B66443"/>
    <w:rsid w:val="00B7228F"/>
    <w:rsid w:val="00B75373"/>
    <w:rsid w:val="00B820C3"/>
    <w:rsid w:val="00B85D31"/>
    <w:rsid w:val="00B94978"/>
    <w:rsid w:val="00B96B00"/>
    <w:rsid w:val="00BA2E0E"/>
    <w:rsid w:val="00BB5287"/>
    <w:rsid w:val="00BC132D"/>
    <w:rsid w:val="00BC2623"/>
    <w:rsid w:val="00BC26CE"/>
    <w:rsid w:val="00BC294C"/>
    <w:rsid w:val="00BC4817"/>
    <w:rsid w:val="00BD1C65"/>
    <w:rsid w:val="00BD4E24"/>
    <w:rsid w:val="00BE0F87"/>
    <w:rsid w:val="00C00BD5"/>
    <w:rsid w:val="00C02C35"/>
    <w:rsid w:val="00C04E75"/>
    <w:rsid w:val="00C07C9B"/>
    <w:rsid w:val="00C10A4D"/>
    <w:rsid w:val="00C114F4"/>
    <w:rsid w:val="00C17928"/>
    <w:rsid w:val="00C21655"/>
    <w:rsid w:val="00C21B06"/>
    <w:rsid w:val="00C315D8"/>
    <w:rsid w:val="00C33170"/>
    <w:rsid w:val="00C3568C"/>
    <w:rsid w:val="00C360B7"/>
    <w:rsid w:val="00C4205B"/>
    <w:rsid w:val="00C430BB"/>
    <w:rsid w:val="00C453FF"/>
    <w:rsid w:val="00C55457"/>
    <w:rsid w:val="00C73F9E"/>
    <w:rsid w:val="00C80058"/>
    <w:rsid w:val="00C869E3"/>
    <w:rsid w:val="00C87CAF"/>
    <w:rsid w:val="00C9693F"/>
    <w:rsid w:val="00CB0831"/>
    <w:rsid w:val="00CB52C6"/>
    <w:rsid w:val="00CC2775"/>
    <w:rsid w:val="00CC559F"/>
    <w:rsid w:val="00CC6182"/>
    <w:rsid w:val="00CD5886"/>
    <w:rsid w:val="00CD609C"/>
    <w:rsid w:val="00CF172C"/>
    <w:rsid w:val="00CF644D"/>
    <w:rsid w:val="00D1124F"/>
    <w:rsid w:val="00D12E12"/>
    <w:rsid w:val="00D13727"/>
    <w:rsid w:val="00D17060"/>
    <w:rsid w:val="00D17BB7"/>
    <w:rsid w:val="00D215A2"/>
    <w:rsid w:val="00D24D9C"/>
    <w:rsid w:val="00D26084"/>
    <w:rsid w:val="00D273EF"/>
    <w:rsid w:val="00D27D95"/>
    <w:rsid w:val="00D30BDF"/>
    <w:rsid w:val="00D31EFC"/>
    <w:rsid w:val="00D350A8"/>
    <w:rsid w:val="00D400ED"/>
    <w:rsid w:val="00D408BF"/>
    <w:rsid w:val="00D51DDF"/>
    <w:rsid w:val="00D55136"/>
    <w:rsid w:val="00D6422E"/>
    <w:rsid w:val="00D751AA"/>
    <w:rsid w:val="00DA12D2"/>
    <w:rsid w:val="00DA4D6E"/>
    <w:rsid w:val="00DA70EE"/>
    <w:rsid w:val="00DD4144"/>
    <w:rsid w:val="00DD705E"/>
    <w:rsid w:val="00DD749B"/>
    <w:rsid w:val="00DE1C2A"/>
    <w:rsid w:val="00DE7360"/>
    <w:rsid w:val="00DE7F4E"/>
    <w:rsid w:val="00DF1C8D"/>
    <w:rsid w:val="00DF2F57"/>
    <w:rsid w:val="00E0001D"/>
    <w:rsid w:val="00E11A60"/>
    <w:rsid w:val="00E14C63"/>
    <w:rsid w:val="00E20D10"/>
    <w:rsid w:val="00E25814"/>
    <w:rsid w:val="00E33E65"/>
    <w:rsid w:val="00E454EA"/>
    <w:rsid w:val="00E616F0"/>
    <w:rsid w:val="00E75CFB"/>
    <w:rsid w:val="00E778BE"/>
    <w:rsid w:val="00E854FA"/>
    <w:rsid w:val="00E96D9F"/>
    <w:rsid w:val="00E9729B"/>
    <w:rsid w:val="00EA3968"/>
    <w:rsid w:val="00EB206D"/>
    <w:rsid w:val="00EC314F"/>
    <w:rsid w:val="00EC3236"/>
    <w:rsid w:val="00EC7882"/>
    <w:rsid w:val="00EE1D2C"/>
    <w:rsid w:val="00EE22CC"/>
    <w:rsid w:val="00EE4195"/>
    <w:rsid w:val="00EF302A"/>
    <w:rsid w:val="00EF4AD6"/>
    <w:rsid w:val="00EF4E3E"/>
    <w:rsid w:val="00EF650C"/>
    <w:rsid w:val="00F012DD"/>
    <w:rsid w:val="00F11DCD"/>
    <w:rsid w:val="00F14924"/>
    <w:rsid w:val="00F23E3F"/>
    <w:rsid w:val="00F26A37"/>
    <w:rsid w:val="00F473FF"/>
    <w:rsid w:val="00F618F2"/>
    <w:rsid w:val="00F61F08"/>
    <w:rsid w:val="00F61FC9"/>
    <w:rsid w:val="00F63E0D"/>
    <w:rsid w:val="00F640A9"/>
    <w:rsid w:val="00F64A6F"/>
    <w:rsid w:val="00F67F37"/>
    <w:rsid w:val="00F72A8A"/>
    <w:rsid w:val="00F76CEE"/>
    <w:rsid w:val="00F80FC4"/>
    <w:rsid w:val="00F839F8"/>
    <w:rsid w:val="00F95027"/>
    <w:rsid w:val="00F97133"/>
    <w:rsid w:val="00F97E14"/>
    <w:rsid w:val="00FA05A9"/>
    <w:rsid w:val="00FA0F7B"/>
    <w:rsid w:val="00FB4A38"/>
    <w:rsid w:val="00FB4B9A"/>
    <w:rsid w:val="00FB7786"/>
    <w:rsid w:val="00FC11BA"/>
    <w:rsid w:val="00FC30A2"/>
    <w:rsid w:val="00FC6722"/>
    <w:rsid w:val="00FF36D8"/>
    <w:rsid w:val="00FF600B"/>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5B55F"/>
  <w15:docId w15:val="{B377D444-A117-4FA4-8EC9-56F46A1D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styleId="FollowedHyperlink">
    <w:name w:val="FollowedHyperlink"/>
    <w:basedOn w:val="DefaultParagraphFont"/>
    <w:uiPriority w:val="99"/>
    <w:semiHidden/>
    <w:unhideWhenUsed/>
    <w:rsid w:val="0077604E"/>
    <w:rPr>
      <w:color w:val="800080" w:themeColor="followedHyperlink"/>
      <w:u w:val="single"/>
    </w:rPr>
  </w:style>
  <w:style w:type="table" w:styleId="TableGrid">
    <w:name w:val="Table Grid"/>
    <w:basedOn w:val="TableNormal"/>
    <w:uiPriority w:val="59"/>
    <w:rsid w:val="0049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3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01103092">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s://www.nerc.com/pa/comp/Registration%20and%20Certification%20DL/NERC_Compliance_Registry_Matrix_Excel.xlsx" TargetMode="External"/><Relationship Id="rId1" Type="http://schemas.openxmlformats.org/officeDocument/2006/relationships/hyperlink" Target="https://elibrary.ferc.gov/idmws/common/OpenNat.asp?fileID=15585069"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725R</_x0031__x002e__x0020_Collection_x0020_Number>
    <Date xmlns="d6eefc7d-9817-4fa6-84d5-3bc009be21b8">2020-12-29T05:00:00+00:00</Date>
    <Status xmlns="d6eefc7d-9817-4fa6-84d5-3bc009be21b8">Draft</Status>
    <_x0032__x002e__x0020_Docket_x0020_Number xmlns="d6eefc7d-9817-4fa6-84d5-3bc009be21b8">RD20-9</_x0032__x002e__x0020_Docket_x0020_Number>
    <_x0032__x002e__x0020_Collection_x0020_Number xmlns="d6eefc7d-9817-4fa6-84d5-3bc009be21b8" xsi:nil="true"/>
    <_x0031__x002e__x0020_Docket_x0020_Number xmlns="d6eefc7d-9817-4fa6-84d5-3bc009be21b8">IC20-23</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5.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8DD38222-B980-4606-ABAE-649091C1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accept changes--clean version</vt:lpstr>
    </vt:vector>
  </TitlesOfParts>
  <Company>Federal Energy Regulatory Commission</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changes--clean version</dc:title>
  <dc:creator>Camilla Nader</dc:creator>
  <cp:lastModifiedBy>Jean Sonneman</cp:lastModifiedBy>
  <cp:revision>6</cp:revision>
  <cp:lastPrinted>2019-02-19T20:31:00Z</cp:lastPrinted>
  <dcterms:created xsi:type="dcterms:W3CDTF">2020-12-29T20:06:00Z</dcterms:created>
  <dcterms:modified xsi:type="dcterms:W3CDTF">2020-12-29T20:11:00Z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Jean.Sonneman@ferc.gov</vt:lpwstr>
  </property>
  <property fmtid="{D5CDD505-2E9C-101B-9397-08002B2CF9AE}" pid="6" name="MSIP_Label_6155a89b-0f08-4a93-8ea2-8a916d6643b5_SetDate">
    <vt:lpwstr>2020-12-22T19:42:26.2318743Z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0a43525b-1e48-4829-a93f-58e108c6b58f</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