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548B" w:rsidR="003B548B" w:rsidP="003B548B" w:rsidRDefault="003B548B" w14:paraId="421D988D" w14:textId="77777777">
      <w:pPr>
        <w:jc w:val="center"/>
      </w:pPr>
      <w:smartTag w:uri="urn:schemas-microsoft-com:office:smarttags" w:element="place">
        <w:smartTag w:uri="urn:schemas-microsoft-com:office:smarttags" w:element="country-region">
          <w:r w:rsidRPr="003B548B">
            <w:t>UNITED STATES OF AMERICA</w:t>
          </w:r>
        </w:smartTag>
      </w:smartTag>
    </w:p>
    <w:p w:rsidRPr="003B548B" w:rsidR="003B548B" w:rsidP="003B548B" w:rsidRDefault="003B548B" w14:paraId="04723E9B" w14:textId="77777777">
      <w:pPr>
        <w:jc w:val="center"/>
      </w:pPr>
      <w:r w:rsidRPr="003B548B">
        <w:t>FEDERAL ENERGY REGULATORY COMMISSION</w:t>
      </w:r>
    </w:p>
    <w:p w:rsidRPr="003B548B" w:rsidR="003B548B" w:rsidP="003B548B" w:rsidRDefault="003B548B" w14:paraId="2DD86A92" w14:textId="77777777">
      <w:pPr>
        <w:jc w:val="center"/>
      </w:pPr>
    </w:p>
    <w:p w:rsidRPr="003B548B" w:rsidR="003B548B" w:rsidP="003B548B" w:rsidRDefault="003B548B" w14:paraId="627D2799" w14:textId="77777777">
      <w:pPr>
        <w:jc w:val="center"/>
      </w:pPr>
      <w:r w:rsidRPr="003B548B">
        <w:t>[Docket Nos. IC20-23-000 and RD20-9-000]</w:t>
      </w:r>
    </w:p>
    <w:p w:rsidRPr="003B548B" w:rsidR="003B548B" w:rsidP="003B548B" w:rsidRDefault="003B548B" w14:paraId="7664FA23" w14:textId="77777777">
      <w:pPr>
        <w:jc w:val="center"/>
      </w:pPr>
    </w:p>
    <w:p w:rsidRPr="003B548B" w:rsidR="003B548B" w:rsidP="003B548B" w:rsidRDefault="003B548B" w14:paraId="1ADCFD97" w14:textId="77777777">
      <w:pPr>
        <w:jc w:val="center"/>
      </w:pPr>
      <w:r w:rsidRPr="003B548B">
        <w:t>COMMISSION INFORMATION COLLECTION ACTIVITIES (FERC-725R);</w:t>
      </w:r>
    </w:p>
    <w:p w:rsidRPr="003B548B" w:rsidR="003B548B" w:rsidP="003B548B" w:rsidRDefault="003B548B" w14:paraId="2AF93A7C" w14:textId="77777777">
      <w:pPr>
        <w:jc w:val="center"/>
      </w:pPr>
      <w:r w:rsidRPr="003B548B">
        <w:t>COMMENT REQUEST; REVISION</w:t>
      </w:r>
      <w:bookmarkStart w:name="_GoBack" w:id="0"/>
      <w:bookmarkEnd w:id="0"/>
    </w:p>
    <w:p w:rsidRPr="003B548B" w:rsidR="003B548B" w:rsidP="003B548B" w:rsidRDefault="003B548B" w14:paraId="36457C77" w14:textId="77777777">
      <w:pPr>
        <w:jc w:val="center"/>
      </w:pPr>
    </w:p>
    <w:p w:rsidRPr="003B548B" w:rsidR="003B548B" w:rsidP="003B548B" w:rsidRDefault="00CA542E" w14:paraId="22C4BDC5" w14:textId="60A6197C">
      <w:pPr>
        <w:jc w:val="center"/>
      </w:pPr>
      <w:r>
        <w:t>December 21, 2020</w:t>
      </w:r>
    </w:p>
    <w:p w:rsidRPr="003B548B" w:rsidR="003B548B" w:rsidP="003B548B" w:rsidRDefault="003B548B" w14:paraId="70B0EE8D" w14:textId="77777777">
      <w:pPr>
        <w:jc w:val="center"/>
      </w:pPr>
    </w:p>
    <w:p w:rsidRPr="003B548B" w:rsidR="003B548B" w:rsidP="003B548B" w:rsidRDefault="003B548B" w14:paraId="34BC3A54" w14:textId="0196356D">
      <w:pPr>
        <w:spacing w:line="480" w:lineRule="auto"/>
      </w:pPr>
      <w:r w:rsidRPr="003B548B">
        <w:rPr>
          <w:b/>
        </w:rPr>
        <w:t>AGENCY:</w:t>
      </w:r>
      <w:r w:rsidRPr="003B548B">
        <w:t xml:space="preserve">  Federal Energy Regulatory Commission.</w:t>
      </w:r>
    </w:p>
    <w:p w:rsidR="003B548B" w:rsidP="003B548B" w:rsidRDefault="003B548B" w14:paraId="4A68E64F" w14:textId="1E501E85">
      <w:pPr>
        <w:spacing w:line="480" w:lineRule="auto"/>
      </w:pPr>
      <w:r w:rsidRPr="003B548B">
        <w:rPr>
          <w:b/>
        </w:rPr>
        <w:t>ACTION:</w:t>
      </w:r>
      <w:r w:rsidRPr="003B548B">
        <w:t xml:space="preserve">  Notice of revised information collection and request for comments.</w:t>
      </w:r>
    </w:p>
    <w:p w:rsidRPr="003B548B" w:rsidR="003B548B" w:rsidP="003B548B" w:rsidRDefault="003B548B" w14:paraId="5BC22F31" w14:textId="7781D22C">
      <w:pPr>
        <w:spacing w:line="480" w:lineRule="auto"/>
      </w:pPr>
      <w:r w:rsidRPr="003B548B">
        <w:rPr>
          <w:b/>
        </w:rPr>
        <w:t>SUMMARY:</w:t>
      </w:r>
      <w:r w:rsidRPr="003B548B">
        <w:t xml:space="preserve">  In compliance with the requirements of the Paperwork Reduction Act of 1995, the Federal Energy Regulatory Commission (Commission or FERC) is soliciting public comment on the renewal with revisions of currently approved FERC-725R (Mandatory Reliability Standards:  BAL Reliability Standards).  The Commission is submitting FERC-725R with revisions to the Office of Management and Budget (OMB) for review.  Any interested person may file comments directly with OMB and should address a copy of those comments to the Commission as explained below. </w:t>
      </w:r>
    </w:p>
    <w:p w:rsidRPr="003B548B" w:rsidR="003B548B" w:rsidP="003B548B" w:rsidRDefault="003B548B" w14:paraId="439942C4" w14:textId="696243C0">
      <w:pPr>
        <w:spacing w:line="480" w:lineRule="auto"/>
      </w:pPr>
      <w:r w:rsidRPr="003B548B">
        <w:rPr>
          <w:b/>
        </w:rPr>
        <w:t>DATES:</w:t>
      </w:r>
      <w:r w:rsidRPr="003B548B">
        <w:t xml:space="preserve">  Comments on the collection of information are due </w:t>
      </w:r>
      <w:r w:rsidRPr="003B548B">
        <w:rPr>
          <w:b/>
        </w:rPr>
        <w:t>[Insert Date 30 days after</w:t>
      </w:r>
      <w:r>
        <w:rPr>
          <w:b/>
        </w:rPr>
        <w:t xml:space="preserve"> </w:t>
      </w:r>
      <w:r w:rsidRPr="003B548B">
        <w:rPr>
          <w:b/>
        </w:rPr>
        <w:t>date of publication in the Federal Register].</w:t>
      </w:r>
    </w:p>
    <w:p w:rsidRPr="003B548B" w:rsidR="003B548B" w:rsidP="003B548B" w:rsidRDefault="003B548B" w14:paraId="69A33C7B" w14:textId="77777777">
      <w:pPr>
        <w:spacing w:line="480" w:lineRule="auto"/>
      </w:pPr>
      <w:r w:rsidRPr="003B548B">
        <w:rPr>
          <w:b/>
        </w:rPr>
        <w:t>ADDRESSES:</w:t>
      </w:r>
      <w:r w:rsidRPr="003B548B">
        <w:t xml:space="preserve">  </w:t>
      </w:r>
      <w:r w:rsidRPr="003B548B">
        <w:rPr>
          <w:iCs/>
        </w:rPr>
        <w:t xml:space="preserve">Send written comments on FERC-725R, as revised, to OMB through </w:t>
      </w:r>
      <w:hyperlink w:history="1" r:id="rId12">
        <w:r w:rsidRPr="003B548B">
          <w:rPr>
            <w:rStyle w:val="Hyperlink"/>
          </w:rPr>
          <w:t>www.reginfo.gov/public/do/PRAMain</w:t>
        </w:r>
      </w:hyperlink>
      <w:r w:rsidRPr="003B548B">
        <w:t>,</w:t>
      </w:r>
      <w:r w:rsidRPr="003B548B">
        <w:rPr>
          <w:iCs/>
        </w:rPr>
        <w:t xml:space="preserve"> Attention:  Federal Energy Regulatory Commission Desk Officer.  Please identify the OMB control number (1902-0268) in the subject line.  Your comments </w:t>
      </w:r>
      <w:r w:rsidRPr="003B548B">
        <w:t>should be sent within 30 days of publication of this notice in the Federal Register.</w:t>
      </w:r>
    </w:p>
    <w:p w:rsidRPr="003B548B" w:rsidR="003B548B" w:rsidP="003B548B" w:rsidRDefault="003B548B" w14:paraId="36542E60" w14:textId="77777777">
      <w:pPr>
        <w:spacing w:line="480" w:lineRule="auto"/>
      </w:pPr>
      <w:r w:rsidRPr="003B548B">
        <w:lastRenderedPageBreak/>
        <w:t>Please submit copies of your comments to the Commission (identified by Docket Nos. IC20-23-000 and RD20-9-000) by one of the following methods:</w:t>
      </w:r>
    </w:p>
    <w:p w:rsidRPr="003B548B" w:rsidR="003B548B" w:rsidP="003B548B" w:rsidRDefault="003B548B" w14:paraId="5683DDBC" w14:textId="77777777">
      <w:pPr>
        <w:spacing w:line="480" w:lineRule="auto"/>
      </w:pPr>
      <w:r w:rsidRPr="003B548B">
        <w:t>•</w:t>
      </w:r>
      <w:r w:rsidRPr="003B548B">
        <w:tab/>
        <w:t>eFiling at Commission’s Web Site: http://www.ferc.gov/docs-filing/efiling.asp.</w:t>
      </w:r>
    </w:p>
    <w:p w:rsidRPr="003B548B" w:rsidR="003B548B" w:rsidP="003B548B" w:rsidRDefault="003B548B" w14:paraId="1BDE4C5E" w14:textId="77777777">
      <w:pPr>
        <w:spacing w:line="480" w:lineRule="auto"/>
      </w:pPr>
      <w:r w:rsidRPr="003B548B">
        <w:t>•</w:t>
      </w:r>
      <w:r w:rsidRPr="003B548B">
        <w:tab/>
        <w:t>U.S. Postal Service Mail: Persons unable to file electronically may mail similar pleadings to the Federal Energy Regulatory Commission, 888 First Street, NE, Washington, DC 20426.</w:t>
      </w:r>
    </w:p>
    <w:p w:rsidRPr="003B548B" w:rsidR="003B548B" w:rsidP="003B548B" w:rsidRDefault="003B548B" w14:paraId="3A24682C" w14:textId="77777777">
      <w:pPr>
        <w:spacing w:line="480" w:lineRule="auto"/>
      </w:pPr>
      <w:r w:rsidRPr="003B548B">
        <w:t>•</w:t>
      </w:r>
      <w:r w:rsidRPr="003B548B">
        <w:tab/>
        <w:t>Effective July 1, 2020, delivery of filings other than by eFiling or the U.S. Postal Service should be delivered to Health and Human Services, 12225 Wilkins Avenue, Rockville, Maryland 20852.</w:t>
      </w:r>
    </w:p>
    <w:p w:rsidRPr="003B548B" w:rsidR="003B548B" w:rsidP="003B548B" w:rsidRDefault="003B548B" w14:paraId="21BD3867" w14:textId="77777777">
      <w:pPr>
        <w:spacing w:line="480" w:lineRule="auto"/>
        <w:rPr>
          <w:i/>
        </w:rPr>
      </w:pPr>
      <w:r w:rsidRPr="003B548B">
        <w:rPr>
          <w:i/>
        </w:rPr>
        <w:t xml:space="preserve">Instructions: </w:t>
      </w:r>
    </w:p>
    <w:p w:rsidRPr="003B548B" w:rsidR="003B548B" w:rsidP="003B548B" w:rsidRDefault="003B548B" w14:paraId="732987C7" w14:textId="77777777">
      <w:pPr>
        <w:spacing w:line="480" w:lineRule="auto"/>
      </w:pPr>
      <w:r w:rsidRPr="003B548B">
        <w:rPr>
          <w:i/>
        </w:rPr>
        <w:t>OMB submissions</w:t>
      </w:r>
      <w:r w:rsidRPr="003B548B">
        <w:rPr>
          <w:iCs/>
        </w:rPr>
        <w:t xml:space="preserve"> </w:t>
      </w:r>
      <w:r w:rsidRPr="003B548B">
        <w:t>must be formatted and filed in accordance with submission guidelines at</w:t>
      </w:r>
      <w:r w:rsidRPr="003B548B">
        <w:rPr>
          <w:i/>
        </w:rPr>
        <w:t xml:space="preserve"> </w:t>
      </w:r>
      <w:hyperlink w:history="1" r:id="rId13">
        <w:r w:rsidRPr="003B548B">
          <w:rPr>
            <w:rStyle w:val="Hyperlink"/>
          </w:rPr>
          <w:t>www.reginfo.gov/public/do/PRAMain</w:t>
        </w:r>
      </w:hyperlink>
      <w:r w:rsidRPr="003B548B">
        <w:t xml:space="preserve">;  Using the search function under the “Currently Under Review field,” select Federal Energy Regulatory Commission; click “submit” and select “comment” to the right of the subject collection. </w:t>
      </w:r>
    </w:p>
    <w:p w:rsidRPr="003B548B" w:rsidR="003B548B" w:rsidP="003B548B" w:rsidRDefault="003B548B" w14:paraId="1B4ADE9F" w14:textId="77777777">
      <w:pPr>
        <w:spacing w:line="480" w:lineRule="auto"/>
      </w:pPr>
      <w:r w:rsidRPr="003B548B">
        <w:rPr>
          <w:i/>
          <w:iCs/>
        </w:rPr>
        <w:t>FERC submissions</w:t>
      </w:r>
      <w:r w:rsidRPr="003B548B">
        <w:t xml:space="preserve"> must be formatted and filed in accordance with submission guidelines at: </w:t>
      </w:r>
      <w:hyperlink w:history="1" r:id="rId14">
        <w:r w:rsidRPr="003B548B">
          <w:rPr>
            <w:rStyle w:val="Hyperlink"/>
          </w:rPr>
          <w:t>http://www.ferc.gov</w:t>
        </w:r>
      </w:hyperlink>
      <w:r w:rsidRPr="003B548B">
        <w:t>.  For user assistance, contact FERC Online Support by e-mail at ferconlinesupport@ferc.gov, or by phone at:  (866) 208-3676 (toll-free).</w:t>
      </w:r>
    </w:p>
    <w:p w:rsidRPr="003B548B" w:rsidR="003B548B" w:rsidP="003B548B" w:rsidRDefault="003B548B" w14:paraId="224B4105" w14:textId="77777777">
      <w:pPr>
        <w:spacing w:line="480" w:lineRule="auto"/>
      </w:pPr>
      <w:r w:rsidRPr="003B548B">
        <w:rPr>
          <w:i/>
        </w:rPr>
        <w:t>Docket:</w:t>
      </w:r>
      <w:r w:rsidRPr="003B548B">
        <w:t xml:space="preserve"> Users interested in receiving automatic notification of activity in this docket or in viewing/downloading comments and issuances in this docket may do so at </w:t>
      </w:r>
      <w:hyperlink w:history="1" r:id="rId15">
        <w:r w:rsidRPr="003B548B">
          <w:rPr>
            <w:rStyle w:val="Hyperlink"/>
          </w:rPr>
          <w:t>http://www.ferc.gov</w:t>
        </w:r>
      </w:hyperlink>
      <w:r w:rsidRPr="003B548B">
        <w:t>.</w:t>
      </w:r>
    </w:p>
    <w:p w:rsidRPr="003B548B" w:rsidR="003B548B" w:rsidP="003B548B" w:rsidRDefault="003B548B" w14:paraId="3C0A2CB1" w14:textId="77777777">
      <w:pPr>
        <w:spacing w:line="480" w:lineRule="auto"/>
      </w:pPr>
      <w:r w:rsidRPr="003B548B">
        <w:rPr>
          <w:b/>
        </w:rPr>
        <w:t>FOR FURTHER INFORMATION:</w:t>
      </w:r>
      <w:r w:rsidRPr="003B548B">
        <w:t xml:space="preserve">  Ellen Brown may be reached by e-mail at </w:t>
      </w:r>
      <w:hyperlink w:history="1" r:id="rId16">
        <w:r w:rsidRPr="003B548B">
          <w:rPr>
            <w:rStyle w:val="Hyperlink"/>
          </w:rPr>
          <w:t>DataClearance@FERC.gov</w:t>
        </w:r>
      </w:hyperlink>
      <w:r w:rsidRPr="003B548B">
        <w:t xml:space="preserve"> and telephone at (202) 502-8663.</w:t>
      </w:r>
    </w:p>
    <w:p w:rsidRPr="003B548B" w:rsidR="003B548B" w:rsidP="003B548B" w:rsidRDefault="003B548B" w14:paraId="6D614DE7" w14:textId="77777777">
      <w:pPr>
        <w:spacing w:line="480" w:lineRule="auto"/>
      </w:pPr>
      <w:r w:rsidRPr="003B548B">
        <w:rPr>
          <w:b/>
        </w:rPr>
        <w:lastRenderedPageBreak/>
        <w:t>SUPPLEMENTARY INFORMATION:</w:t>
      </w:r>
      <w:r w:rsidRPr="003B548B">
        <w:t xml:space="preserve">  </w:t>
      </w:r>
    </w:p>
    <w:p w:rsidRPr="003B548B" w:rsidR="003B548B" w:rsidP="003B548B" w:rsidRDefault="003B548B" w14:paraId="48F67B52" w14:textId="77777777">
      <w:pPr>
        <w:spacing w:line="480" w:lineRule="auto"/>
        <w:rPr>
          <w:i/>
        </w:rPr>
      </w:pPr>
      <w:r w:rsidRPr="003B548B">
        <w:rPr>
          <w:i/>
        </w:rPr>
        <w:t xml:space="preserve">Title:  </w:t>
      </w:r>
      <w:r w:rsidRPr="003B548B">
        <w:t>FERC-725R, Mandatory Reliability Standards: BAL Reliability Standards.</w:t>
      </w:r>
    </w:p>
    <w:p w:rsidRPr="003B548B" w:rsidR="003B548B" w:rsidP="003B548B" w:rsidRDefault="003B548B" w14:paraId="32E5E1EA" w14:textId="77777777">
      <w:pPr>
        <w:spacing w:line="480" w:lineRule="auto"/>
      </w:pPr>
      <w:r w:rsidRPr="003B548B">
        <w:rPr>
          <w:i/>
        </w:rPr>
        <w:t>OMB Control No.:</w:t>
      </w:r>
      <w:r w:rsidRPr="003B548B">
        <w:t xml:space="preserve"> 1902-0268.</w:t>
      </w:r>
    </w:p>
    <w:p w:rsidRPr="003B548B" w:rsidR="003B548B" w:rsidP="003B548B" w:rsidRDefault="003B548B" w14:paraId="3818A1C7" w14:textId="77777777">
      <w:pPr>
        <w:spacing w:line="480" w:lineRule="auto"/>
      </w:pPr>
      <w:r w:rsidRPr="003B548B">
        <w:rPr>
          <w:i/>
        </w:rPr>
        <w:t>Type of Request:</w:t>
      </w:r>
      <w:r w:rsidRPr="003B548B">
        <w:t xml:space="preserve"> Three-year request for renewal with revisions of the FERC-725R information collection (IC) requirements.</w:t>
      </w:r>
    </w:p>
    <w:p w:rsidRPr="003B548B" w:rsidR="003B548B" w:rsidP="003B548B" w:rsidRDefault="003B548B" w14:paraId="24032BFB" w14:textId="77777777">
      <w:pPr>
        <w:spacing w:line="480" w:lineRule="auto"/>
      </w:pPr>
      <w:r w:rsidRPr="003B548B">
        <w:rPr>
          <w:i/>
        </w:rPr>
        <w:t>Abstract:</w:t>
      </w:r>
      <w:bookmarkStart w:name="_Hlk43114152" w:id="1"/>
      <w:r w:rsidRPr="003B548B">
        <w:t xml:space="preserve">  On August 8, 2005, Congress enacted into law the Electricity Modernization Act of 2005, which is Title XII, Subtitle A, of the Energy Policy Act of 2005 (</w:t>
      </w:r>
      <w:proofErr w:type="spellStart"/>
      <w:r w:rsidRPr="003B548B">
        <w:t>EPAct</w:t>
      </w:r>
      <w:proofErr w:type="spellEnd"/>
      <w:r w:rsidRPr="003B548B">
        <w:t xml:space="preserve"> 2005).</w:t>
      </w:r>
      <w:r w:rsidRPr="003B548B">
        <w:rPr>
          <w:b/>
          <w:vertAlign w:val="superscript"/>
        </w:rPr>
        <w:footnoteReference w:id="1"/>
      </w:r>
      <w:r w:rsidRPr="003B548B">
        <w:t xml:space="preserve">  </w:t>
      </w:r>
      <w:proofErr w:type="spellStart"/>
      <w:r w:rsidRPr="003B548B">
        <w:t>EPAct</w:t>
      </w:r>
      <w:proofErr w:type="spellEnd"/>
      <w:r w:rsidRPr="003B548B">
        <w:t xml:space="preserve">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 may be enforced by the ERO subject to Commission oversight, or the Commission may independently enforce Reliability Standards.</w:t>
      </w:r>
      <w:r w:rsidRPr="003B548B">
        <w:rPr>
          <w:b/>
          <w:vertAlign w:val="superscript"/>
        </w:rPr>
        <w:footnoteReference w:id="2"/>
      </w:r>
    </w:p>
    <w:p w:rsidRPr="003B548B" w:rsidR="003B548B" w:rsidP="003B548B" w:rsidRDefault="003B548B" w14:paraId="28BB0A1C" w14:textId="77777777">
      <w:pPr>
        <w:spacing w:line="480" w:lineRule="auto"/>
      </w:pPr>
      <w:r w:rsidRPr="003B548B">
        <w:tab/>
        <w:t>On February 3, 2006, the Commission issued Order No. 672, implementing section 215 of the FPA.</w:t>
      </w:r>
      <w:r w:rsidRPr="003B548B">
        <w:rPr>
          <w:b/>
          <w:vertAlign w:val="superscript"/>
        </w:rPr>
        <w:footnoteReference w:id="3"/>
      </w:r>
      <w:r w:rsidRPr="003B548B">
        <w:t xml:space="preserve">  Pursuant to Order No. 672, the Commission certified one </w:t>
      </w:r>
      <w:r w:rsidRPr="003B548B">
        <w:lastRenderedPageBreak/>
        <w:t>organization, the North American Electric Reliability Corporation (NERC), as the ERO.</w:t>
      </w:r>
      <w:r w:rsidRPr="003B548B">
        <w:rPr>
          <w:b/>
          <w:vertAlign w:val="superscript"/>
        </w:rPr>
        <w:footnoteReference w:id="4"/>
      </w:r>
      <w:r w:rsidRPr="003B548B">
        <w:t xml:space="preserve">  The Reliability Standards developed by the ERO and approved by the Commission apply to users, owners and operators of the Bulk-Power System as set forth in each Reliability Standard.</w:t>
      </w:r>
    </w:p>
    <w:p w:rsidRPr="003B548B" w:rsidR="003B548B" w:rsidP="003B548B" w:rsidRDefault="003B548B" w14:paraId="2A7FAA6A" w14:textId="77777777">
      <w:pPr>
        <w:spacing w:line="480" w:lineRule="auto"/>
        <w:rPr>
          <w:u w:val="single"/>
        </w:rPr>
      </w:pPr>
      <w:r w:rsidRPr="003B548B">
        <w:rPr>
          <w:u w:val="single"/>
        </w:rPr>
        <w:t>Information Collection Components Not Affected by Docket No. RD20-9-000</w:t>
      </w:r>
    </w:p>
    <w:p w:rsidRPr="003B548B" w:rsidR="003B548B" w:rsidP="003B548B" w:rsidRDefault="003B548B" w14:paraId="7EB980F7" w14:textId="77777777">
      <w:pPr>
        <w:spacing w:line="480" w:lineRule="auto"/>
      </w:pPr>
      <w:r w:rsidRPr="003B548B">
        <w:t>On August 28, the Commission published a notice that it is seeking renewal of FERC-725R (85 FR 53358).  The Commission invited public comments, but received none.</w:t>
      </w:r>
    </w:p>
    <w:p w:rsidRPr="003B548B" w:rsidR="003B548B" w:rsidP="003B548B" w:rsidRDefault="003B548B" w14:paraId="2D95897B" w14:textId="77777777">
      <w:pPr>
        <w:spacing w:line="480" w:lineRule="auto"/>
      </w:pPr>
      <w:r w:rsidRPr="003B548B">
        <w:t>At present, FERC-725R includes the following nation-wide Reliability Standards that would not be affected by Docket No. RD20-9-000:</w:t>
      </w:r>
      <w:r w:rsidRPr="003B548B">
        <w:rPr>
          <w:b/>
          <w:vertAlign w:val="superscript"/>
        </w:rPr>
        <w:footnoteReference w:id="5"/>
      </w:r>
    </w:p>
    <w:p w:rsidRPr="003B548B" w:rsidR="003B548B" w:rsidP="003B548B" w:rsidRDefault="003B548B" w14:paraId="5CC7F000" w14:textId="77777777">
      <w:pPr>
        <w:spacing w:line="480" w:lineRule="auto"/>
      </w:pPr>
      <w:r w:rsidRPr="003B548B">
        <w:t>•</w:t>
      </w:r>
      <w:r w:rsidRPr="003B548B">
        <w:tab/>
        <w:t>BAL-001-2,</w:t>
      </w:r>
      <w:r w:rsidRPr="003B548B">
        <w:rPr>
          <w:b/>
          <w:vertAlign w:val="superscript"/>
        </w:rPr>
        <w:footnoteReference w:id="6"/>
      </w:r>
      <w:r w:rsidRPr="003B548B">
        <w:t xml:space="preserve"> Real Power Balancing Control Performance.  Reliability Standard BAL-001-2 is designed to ensure that applicable entities balance generation and load by maintaining system frequency within narrow bounds around a scheduled value, and it improves reliability by adding a frequency component to the measurement of a Balancing Authority’s Area Control Error (ACE).</w:t>
      </w:r>
      <w:r w:rsidRPr="003B548B">
        <w:rPr>
          <w:b/>
          <w:vertAlign w:val="superscript"/>
        </w:rPr>
        <w:footnoteReference w:id="7"/>
      </w:r>
    </w:p>
    <w:p w:rsidRPr="003B548B" w:rsidR="003B548B" w:rsidP="003B548B" w:rsidRDefault="003B548B" w14:paraId="7D4F124D" w14:textId="77777777">
      <w:pPr>
        <w:spacing w:line="480" w:lineRule="auto"/>
      </w:pPr>
      <w:r w:rsidRPr="003B548B">
        <w:lastRenderedPageBreak/>
        <w:t>•</w:t>
      </w:r>
      <w:r w:rsidRPr="003B548B">
        <w:tab/>
        <w:t>BAL-002-3,</w:t>
      </w:r>
      <w:r w:rsidRPr="003B548B">
        <w:rPr>
          <w:b/>
          <w:vertAlign w:val="superscript"/>
        </w:rPr>
        <w:footnoteReference w:id="8"/>
      </w:r>
      <w:r w:rsidRPr="003B548B">
        <w:t xml:space="preserve"> Disturbance Control Standard – Contingency Reserve for Recovery from a Balancing Contingency Event.  This standard ensures that a responsible entity, either a balancing authority or reserve sharing group, is able to recover from system contingencies by deploying adequate reserves to return their Area Control Error to defined values and replacing the capacity and energy lost due to generation or transmission equipment outages.</w:t>
      </w:r>
    </w:p>
    <w:p w:rsidRPr="003B548B" w:rsidR="003B548B" w:rsidP="003B548B" w:rsidRDefault="003B548B" w14:paraId="4AA4BF67" w14:textId="3890373E">
      <w:pPr>
        <w:spacing w:line="480" w:lineRule="auto"/>
      </w:pPr>
      <w:r w:rsidRPr="003B548B">
        <w:t>•</w:t>
      </w:r>
      <w:r w:rsidRPr="003B548B">
        <w:tab/>
        <w:t>BAL-005-1,</w:t>
      </w:r>
      <w:r w:rsidRPr="003B548B">
        <w:rPr>
          <w:b/>
          <w:vertAlign w:val="superscript"/>
        </w:rPr>
        <w:footnoteReference w:id="9"/>
      </w:r>
      <w:r w:rsidRPr="003B548B">
        <w:t xml:space="preserve"> Balancing Authority Control.  This standard establishes requirements for acquiring data necessary to calculate Reporting Area Control Error (Reporting ACE).  The standard also specifies a minimum periodicity, accuracy, and availability requirement for acquisition of the data and for providing the information to the System Operator.  It requires balancing authorities to maintain minimum levels of annual availability of 99.5% for each balancing authority system for calculating Reporting ACE.</w:t>
      </w:r>
    </w:p>
    <w:p w:rsidRPr="003B548B" w:rsidR="003B548B" w:rsidP="003B548B" w:rsidRDefault="003B548B" w14:paraId="2D4FAB96" w14:textId="77777777">
      <w:pPr>
        <w:spacing w:line="480" w:lineRule="auto"/>
        <w:rPr>
          <w:u w:val="single"/>
        </w:rPr>
      </w:pPr>
      <w:r w:rsidRPr="003B548B">
        <w:rPr>
          <w:u w:val="single"/>
        </w:rPr>
        <w:t>Information Collection Components Affected by Docket No. RD20-9-000</w:t>
      </w:r>
    </w:p>
    <w:p w:rsidRPr="003B548B" w:rsidR="003B548B" w:rsidP="003B548B" w:rsidRDefault="003B548B" w14:paraId="647652CF" w14:textId="77777777">
      <w:pPr>
        <w:spacing w:line="480" w:lineRule="auto"/>
      </w:pPr>
      <w:r w:rsidRPr="003B548B">
        <w:t xml:space="preserve">On December 19, 2019, NERC submitted a petition seeking Commission approval for proposed Reliability Standard BAL-003-2.  On May 20, 2020, the Commission noticed the petition in Docket No. RD20-9-000.  Interventions, comments, and protests were due </w:t>
      </w:r>
      <w:r w:rsidRPr="003B548B">
        <w:lastRenderedPageBreak/>
        <w:t>on or before June 29, 2020.  None were received.  The Commission approved Reliability Standard BAL-003-2 on July 15, 2020 in a Delegated Letter Order (DLO).</w:t>
      </w:r>
      <w:r w:rsidRPr="003B548B">
        <w:rPr>
          <w:b/>
          <w:vertAlign w:val="superscript"/>
        </w:rPr>
        <w:footnoteReference w:id="10"/>
      </w:r>
    </w:p>
    <w:p w:rsidRPr="003B548B" w:rsidR="003B548B" w:rsidP="003B548B" w:rsidRDefault="003B548B" w14:paraId="2A53CDAE" w14:textId="77777777">
      <w:pPr>
        <w:spacing w:line="480" w:lineRule="auto"/>
      </w:pPr>
      <w:r w:rsidRPr="003B548B">
        <w:t>On August 26, 2020, the Commission published a notice of revision of FERC-725R in Docket No. RD20-9-000 (85 FR 52584).  The Commission received no comments in response to the notice of revision.  The Commission now seeks renewal of FERC-725R with the revisions that the Commission has approved in Docket No. RD20-9-000</w:t>
      </w:r>
      <w:bookmarkEnd w:id="1"/>
      <w:r w:rsidRPr="003B548B">
        <w:t>.</w:t>
      </w:r>
    </w:p>
    <w:p w:rsidRPr="003B548B" w:rsidR="003B548B" w:rsidP="003B548B" w:rsidRDefault="003B548B" w14:paraId="6C065710" w14:textId="77777777">
      <w:pPr>
        <w:spacing w:line="480" w:lineRule="auto"/>
        <w:rPr>
          <w:iCs/>
        </w:rPr>
      </w:pPr>
      <w:r w:rsidRPr="003B548B">
        <w:rPr>
          <w:i/>
        </w:rPr>
        <w:t>Type of Respondent:</w:t>
      </w:r>
      <w:r w:rsidRPr="003B548B">
        <w:rPr>
          <w:iCs/>
        </w:rPr>
        <w:t xml:space="preserve"> Balancing Authorities, .Response Sharing Group, and Frequency Response Sharing Group.</w:t>
      </w:r>
    </w:p>
    <w:p w:rsidRPr="003B548B" w:rsidR="003B548B" w:rsidP="003B548B" w:rsidRDefault="003B548B" w14:paraId="4A46EC42" w14:textId="77777777">
      <w:pPr>
        <w:spacing w:line="480" w:lineRule="auto"/>
      </w:pPr>
      <w:r w:rsidRPr="003B548B">
        <w:rPr>
          <w:i/>
        </w:rPr>
        <w:t>Estimate of Annual Burden</w:t>
      </w:r>
      <w:r w:rsidRPr="003B548B">
        <w:rPr>
          <w:b/>
          <w:i/>
          <w:vertAlign w:val="superscript"/>
        </w:rPr>
        <w:footnoteReference w:id="11"/>
      </w:r>
      <w:r w:rsidRPr="003B548B">
        <w:t>:</w:t>
      </w:r>
    </w:p>
    <w:p w:rsidRPr="003B548B" w:rsidR="003B548B" w:rsidP="003B548B" w:rsidRDefault="003B548B" w14:paraId="1DE28C1A" w14:textId="77777777">
      <w:pPr>
        <w:spacing w:line="480" w:lineRule="auto"/>
      </w:pPr>
      <w:r w:rsidRPr="003B548B">
        <w:t>Our estimate of the number of respondents affected is based on the NERC Compliance Registry as of July 17, 2020.</w:t>
      </w:r>
      <w:r w:rsidRPr="003B548B">
        <w:rPr>
          <w:b/>
          <w:vertAlign w:val="superscript"/>
        </w:rPr>
        <w:footnoteReference w:id="12"/>
      </w:r>
      <w:r w:rsidRPr="003B548B">
        <w:t xml:space="preserve">  According to the Compliance Registry, NERC has registered 97 Balancing Authorities (BA),  11 Response Sharing Groups (RSG), and 1 Frequency Response Sharing Group (FRSG) within the United States, as noted. The </w:t>
      </w:r>
      <w:r w:rsidRPr="003B548B">
        <w:lastRenderedPageBreak/>
        <w:t>burden estimates reflect the number of affected entities for each standard.  Estimates for the average annual burden and cost</w:t>
      </w:r>
      <w:r w:rsidRPr="003B548B">
        <w:rPr>
          <w:b/>
          <w:vertAlign w:val="superscript"/>
        </w:rPr>
        <w:footnoteReference w:id="13"/>
      </w:r>
      <w:r w:rsidRPr="003B548B">
        <w:t xml:space="preserve"> follow.</w:t>
      </w:r>
    </w:p>
    <w:tbl>
      <w:tblPr>
        <w:tblW w:w="550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42"/>
        <w:gridCol w:w="1632"/>
        <w:gridCol w:w="1531"/>
        <w:gridCol w:w="1404"/>
        <w:gridCol w:w="1257"/>
        <w:gridCol w:w="1919"/>
      </w:tblGrid>
      <w:tr w:rsidRPr="003B548B" w:rsidR="003B548B" w:rsidTr="003B548B" w14:paraId="13A16C4C" w14:textId="77777777">
        <w:trPr>
          <w:cantSplit/>
          <w:trHeight w:val="431"/>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3B548B" w:rsidR="003B548B" w:rsidP="003B548B" w:rsidRDefault="003B548B" w14:paraId="1725790C" w14:textId="588239A6">
            <w:pPr>
              <w:jc w:val="center"/>
              <w:rPr>
                <w:b/>
              </w:rPr>
            </w:pPr>
            <w:r w:rsidRPr="003B548B">
              <w:rPr>
                <w:b/>
              </w:rPr>
              <w:t>FERC-725R</w:t>
            </w:r>
            <w:r>
              <w:rPr>
                <w:b/>
              </w:rPr>
              <w:t>, as Revised by RD20-9</w:t>
            </w:r>
          </w:p>
        </w:tc>
      </w:tr>
      <w:tr w:rsidRPr="003B548B" w:rsidR="003B548B" w:rsidTr="00E950DF" w14:paraId="0B9F3D6A" w14:textId="77777777">
        <w:trPr>
          <w:cantSplit/>
          <w:trHeight w:val="710"/>
        </w:trPr>
        <w:tc>
          <w:tcPr>
            <w:tcW w:w="123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B548B" w:rsidR="003B548B" w:rsidP="003B548B" w:rsidRDefault="003B548B" w14:paraId="32C45629" w14:textId="77777777">
            <w:pPr>
              <w:jc w:val="center"/>
              <w:rPr>
                <w:b/>
              </w:rPr>
            </w:pPr>
            <w:r w:rsidRPr="003B548B">
              <w:rPr>
                <w:b/>
              </w:rPr>
              <w:t>Function</w:t>
            </w:r>
          </w:p>
        </w:tc>
        <w:tc>
          <w:tcPr>
            <w:tcW w:w="79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B548B" w:rsidR="003B548B" w:rsidP="003B548B" w:rsidRDefault="003B548B" w14:paraId="312A1F5D" w14:textId="77777777">
            <w:pPr>
              <w:jc w:val="center"/>
              <w:rPr>
                <w:b/>
              </w:rPr>
            </w:pPr>
            <w:r w:rsidRPr="003B548B">
              <w:rPr>
                <w:b/>
              </w:rPr>
              <w:t>Number &amp; Type of Respondents</w:t>
            </w:r>
            <w:r w:rsidRPr="003B548B">
              <w:rPr>
                <w:b/>
                <w:vertAlign w:val="superscript"/>
              </w:rPr>
              <w:t xml:space="preserve"> </w:t>
            </w:r>
            <w:r w:rsidRPr="003B548B">
              <w:rPr>
                <w:b/>
              </w:rPr>
              <w:t>(1)</w:t>
            </w:r>
          </w:p>
        </w:tc>
        <w:tc>
          <w:tcPr>
            <w:tcW w:w="74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B548B" w:rsidR="003B548B" w:rsidP="003B548B" w:rsidRDefault="003B548B" w14:paraId="3801FCAA" w14:textId="77777777">
            <w:pPr>
              <w:jc w:val="center"/>
              <w:rPr>
                <w:b/>
              </w:rPr>
            </w:pPr>
            <w:r w:rsidRPr="003B548B">
              <w:rPr>
                <w:b/>
              </w:rPr>
              <w:t>Number of Annual Responses per Respondent</w:t>
            </w:r>
          </w:p>
          <w:p w:rsidRPr="003B548B" w:rsidR="003B548B" w:rsidP="003B548B" w:rsidRDefault="003B548B" w14:paraId="3F46E358" w14:textId="77777777">
            <w:pPr>
              <w:jc w:val="center"/>
              <w:rPr>
                <w:b/>
              </w:rPr>
            </w:pPr>
            <w:r w:rsidRPr="003B548B">
              <w:rPr>
                <w:b/>
              </w:rPr>
              <w:t>(2)</w:t>
            </w:r>
          </w:p>
        </w:tc>
        <w:tc>
          <w:tcPr>
            <w:tcW w:w="68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B548B" w:rsidR="003B548B" w:rsidP="003B548B" w:rsidRDefault="003B548B" w14:paraId="1D8C7BCA" w14:textId="77777777">
            <w:pPr>
              <w:jc w:val="center"/>
              <w:rPr>
                <w:b/>
              </w:rPr>
            </w:pPr>
            <w:r w:rsidRPr="003B548B">
              <w:rPr>
                <w:b/>
              </w:rPr>
              <w:t>Total No. of Annual Responses</w:t>
            </w:r>
          </w:p>
          <w:p w:rsidRPr="003B548B" w:rsidR="003B548B" w:rsidP="003B548B" w:rsidRDefault="003B548B" w14:paraId="3175BF89" w14:textId="77777777">
            <w:pPr>
              <w:jc w:val="center"/>
              <w:rPr>
                <w:b/>
              </w:rPr>
            </w:pPr>
            <w:r w:rsidRPr="003B548B">
              <w:rPr>
                <w:b/>
              </w:rPr>
              <w:t>(1)x(2)=(3)</w:t>
            </w:r>
          </w:p>
        </w:tc>
        <w:tc>
          <w:tcPr>
            <w:tcW w:w="61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B548B" w:rsidR="003B548B" w:rsidP="003B548B" w:rsidRDefault="003B548B" w14:paraId="0D41CBBB" w14:textId="77777777">
            <w:pPr>
              <w:jc w:val="center"/>
              <w:rPr>
                <w:b/>
              </w:rPr>
            </w:pPr>
            <w:r w:rsidRPr="003B548B">
              <w:rPr>
                <w:b/>
              </w:rPr>
              <w:t>Average Burden Hours &amp; Cost ($) Per Response</w:t>
            </w:r>
          </w:p>
          <w:p w:rsidRPr="003B548B" w:rsidR="003B548B" w:rsidP="003B548B" w:rsidRDefault="003B548B" w14:paraId="30317A0F" w14:textId="77777777">
            <w:pPr>
              <w:jc w:val="center"/>
              <w:rPr>
                <w:b/>
              </w:rPr>
            </w:pPr>
            <w:r w:rsidRPr="003B548B">
              <w:rPr>
                <w:b/>
              </w:rPr>
              <w:t>(4)</w:t>
            </w:r>
          </w:p>
        </w:tc>
        <w:tc>
          <w:tcPr>
            <w:tcW w:w="93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3B548B" w:rsidR="003B548B" w:rsidP="003B548B" w:rsidRDefault="003B548B" w14:paraId="752462F8" w14:textId="77777777">
            <w:pPr>
              <w:jc w:val="center"/>
              <w:rPr>
                <w:b/>
              </w:rPr>
            </w:pPr>
            <w:r w:rsidRPr="003B548B">
              <w:rPr>
                <w:b/>
              </w:rPr>
              <w:t>Total Annual Burden Hours &amp; Total Annual Cost ($)</w:t>
            </w:r>
          </w:p>
          <w:p w:rsidRPr="003B548B" w:rsidR="003B548B" w:rsidP="003B548B" w:rsidRDefault="003B548B" w14:paraId="0FF5B5EA" w14:textId="77777777">
            <w:pPr>
              <w:jc w:val="center"/>
              <w:rPr>
                <w:b/>
              </w:rPr>
            </w:pPr>
            <w:r w:rsidRPr="003B548B">
              <w:rPr>
                <w:b/>
              </w:rPr>
              <w:t>(3)x(4) =(5)</w:t>
            </w:r>
          </w:p>
          <w:p w:rsidRPr="003B548B" w:rsidR="003B548B" w:rsidP="003B548B" w:rsidRDefault="003B548B" w14:paraId="6050822F" w14:textId="77777777">
            <w:pPr>
              <w:jc w:val="center"/>
              <w:rPr>
                <w:b/>
              </w:rPr>
            </w:pPr>
          </w:p>
        </w:tc>
      </w:tr>
      <w:tr w:rsidRPr="003B548B" w:rsidR="003B548B" w:rsidTr="003B548B" w14:paraId="641EEE19" w14:textId="77777777">
        <w:trPr>
          <w:cantSplit/>
          <w:trHeight w:val="440"/>
        </w:trPr>
        <w:tc>
          <w:tcPr>
            <w:tcW w:w="5000" w:type="pct"/>
            <w:gridSpan w:val="6"/>
            <w:tcBorders>
              <w:top w:val="single" w:color="auto" w:sz="4" w:space="0"/>
              <w:left w:val="single" w:color="auto" w:sz="4" w:space="0"/>
              <w:bottom w:val="single" w:color="auto" w:sz="4" w:space="0"/>
              <w:right w:val="single" w:color="auto" w:sz="4" w:space="0"/>
            </w:tcBorders>
            <w:hideMark/>
          </w:tcPr>
          <w:p w:rsidRPr="003B548B" w:rsidR="003B548B" w:rsidP="003B548B" w:rsidRDefault="003B548B" w14:paraId="7703B40A" w14:textId="77777777">
            <w:pPr>
              <w:jc w:val="center"/>
              <w:rPr>
                <w:b/>
                <w:bCs/>
              </w:rPr>
            </w:pPr>
            <w:r w:rsidRPr="003B548B">
              <w:rPr>
                <w:b/>
                <w:bCs/>
              </w:rPr>
              <w:t>BAL-001-2</w:t>
            </w:r>
          </w:p>
        </w:tc>
      </w:tr>
      <w:tr w:rsidRPr="003B548B" w:rsidR="00E950DF" w:rsidTr="002233A2" w14:paraId="7BEA3AEC"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3B548B" w:rsidR="00E950DF" w:rsidP="00E950DF" w:rsidRDefault="00E950DF" w14:paraId="11A128B3" w14:textId="77777777">
            <w:pPr>
              <w:jc w:val="center"/>
            </w:pPr>
            <w:r w:rsidRPr="003B548B">
              <w:t>BA</w:t>
            </w:r>
            <w:r w:rsidRPr="003B548B">
              <w:rPr>
                <w:b/>
              </w:rPr>
              <w:br/>
            </w:r>
            <w:r w:rsidRPr="003B548B">
              <w:t>Reporting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3B548B" w:rsidR="00E950DF" w:rsidP="002233A2" w:rsidRDefault="00E950DF" w14:paraId="6EA318EA" w14:textId="77777777">
            <w:pPr>
              <w:jc w:val="right"/>
            </w:pPr>
            <w:r w:rsidRPr="003B548B">
              <w:t>97</w:t>
            </w:r>
          </w:p>
        </w:tc>
        <w:tc>
          <w:tcPr>
            <w:tcW w:w="744" w:type="pct"/>
            <w:tcBorders>
              <w:top w:val="single" w:color="auto" w:sz="4" w:space="0"/>
              <w:left w:val="single" w:color="auto" w:sz="4" w:space="0"/>
              <w:bottom w:val="single" w:color="auto" w:sz="4" w:space="0"/>
              <w:right w:val="single" w:color="auto" w:sz="4" w:space="0"/>
            </w:tcBorders>
            <w:vAlign w:val="bottom"/>
            <w:hideMark/>
          </w:tcPr>
          <w:p w:rsidRPr="003B548B" w:rsidR="00E950DF" w:rsidP="002233A2" w:rsidRDefault="00E950DF" w14:paraId="01FFCA90" w14:textId="77777777">
            <w:pPr>
              <w:jc w:val="right"/>
            </w:pPr>
            <w:r w:rsidRPr="003B548B">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3B548B" w:rsidR="00E950DF" w:rsidP="002233A2" w:rsidRDefault="00E950DF" w14:paraId="4D0AAC09" w14:textId="77777777">
            <w:pPr>
              <w:jc w:val="right"/>
            </w:pPr>
            <w:r w:rsidRPr="003B548B">
              <w:t>97</w:t>
            </w:r>
          </w:p>
        </w:tc>
        <w:tc>
          <w:tcPr>
            <w:tcW w:w="611" w:type="pct"/>
            <w:tcBorders>
              <w:top w:val="single" w:color="auto" w:sz="4" w:space="0"/>
              <w:left w:val="single" w:color="auto" w:sz="4" w:space="0"/>
              <w:bottom w:val="single" w:color="auto" w:sz="4" w:space="0"/>
              <w:right w:val="single" w:color="auto" w:sz="4" w:space="0"/>
            </w:tcBorders>
            <w:vAlign w:val="bottom"/>
            <w:hideMark/>
          </w:tcPr>
          <w:p w:rsidRPr="003B548B" w:rsidR="00E950DF" w:rsidP="002233A2" w:rsidRDefault="00E950DF" w14:paraId="2D76B82E" w14:textId="19692D01">
            <w:pPr>
              <w:jc w:val="right"/>
            </w:pPr>
            <w:r w:rsidRPr="00FE020A">
              <w:rPr>
                <w:sz w:val="24"/>
                <w:szCs w:val="26"/>
              </w:rPr>
              <w:t>8 hrs.; $561.52</w:t>
            </w:r>
          </w:p>
        </w:tc>
        <w:tc>
          <w:tcPr>
            <w:tcW w:w="933" w:type="pct"/>
            <w:tcBorders>
              <w:top w:val="single" w:color="auto" w:sz="4" w:space="0"/>
              <w:left w:val="single" w:color="auto" w:sz="4" w:space="0"/>
              <w:bottom w:val="single" w:color="auto" w:sz="4" w:space="0"/>
              <w:right w:val="single" w:color="auto" w:sz="4" w:space="0"/>
            </w:tcBorders>
            <w:vAlign w:val="bottom"/>
            <w:hideMark/>
          </w:tcPr>
          <w:p w:rsidRPr="003B548B" w:rsidR="00E950DF" w:rsidP="002233A2" w:rsidRDefault="00E950DF" w14:paraId="3E847E33" w14:textId="292EA678">
            <w:pPr>
              <w:jc w:val="right"/>
            </w:pPr>
            <w:r w:rsidRPr="00FE020A">
              <w:rPr>
                <w:sz w:val="24"/>
                <w:szCs w:val="26"/>
              </w:rPr>
              <w:t>776 hrs.; $54,467.44</w:t>
            </w:r>
          </w:p>
        </w:tc>
      </w:tr>
      <w:tr w:rsidRPr="003B548B" w:rsidR="00E950DF" w:rsidTr="002233A2" w14:paraId="1A89AECF"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3B548B" w:rsidR="00E950DF" w:rsidP="00E950DF" w:rsidRDefault="00E950DF" w14:paraId="63E36C1D" w14:textId="77777777">
            <w:pPr>
              <w:jc w:val="center"/>
            </w:pPr>
            <w:r w:rsidRPr="003B548B">
              <w:t>BA Recordkeeping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3B548B" w:rsidR="00E950DF" w:rsidP="002233A2" w:rsidRDefault="00E950DF" w14:paraId="26B78275" w14:textId="77777777">
            <w:pPr>
              <w:jc w:val="right"/>
            </w:pPr>
            <w:r w:rsidRPr="003B548B">
              <w:t>97</w:t>
            </w:r>
          </w:p>
        </w:tc>
        <w:tc>
          <w:tcPr>
            <w:tcW w:w="744" w:type="pct"/>
            <w:tcBorders>
              <w:top w:val="single" w:color="auto" w:sz="4" w:space="0"/>
              <w:left w:val="single" w:color="auto" w:sz="4" w:space="0"/>
              <w:bottom w:val="single" w:color="auto" w:sz="4" w:space="0"/>
              <w:right w:val="single" w:color="auto" w:sz="4" w:space="0"/>
            </w:tcBorders>
            <w:vAlign w:val="bottom"/>
            <w:hideMark/>
          </w:tcPr>
          <w:p w:rsidRPr="003B548B" w:rsidR="00E950DF" w:rsidP="002233A2" w:rsidRDefault="00E950DF" w14:paraId="691487E3" w14:textId="77777777">
            <w:pPr>
              <w:jc w:val="right"/>
            </w:pPr>
            <w:r w:rsidRPr="003B548B">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3B548B" w:rsidR="00E950DF" w:rsidP="002233A2" w:rsidRDefault="00E950DF" w14:paraId="53ADF0F2" w14:textId="77777777">
            <w:pPr>
              <w:jc w:val="right"/>
            </w:pPr>
            <w:r w:rsidRPr="003B548B">
              <w:t>97</w:t>
            </w:r>
          </w:p>
        </w:tc>
        <w:tc>
          <w:tcPr>
            <w:tcW w:w="611" w:type="pct"/>
            <w:tcBorders>
              <w:top w:val="single" w:color="auto" w:sz="4" w:space="0"/>
              <w:left w:val="single" w:color="auto" w:sz="4" w:space="0"/>
              <w:bottom w:val="single" w:color="auto" w:sz="4" w:space="0"/>
              <w:right w:val="single" w:color="auto" w:sz="4" w:space="0"/>
            </w:tcBorders>
            <w:vAlign w:val="bottom"/>
            <w:hideMark/>
          </w:tcPr>
          <w:p w:rsidRPr="003B548B" w:rsidR="00E950DF" w:rsidP="002233A2" w:rsidRDefault="00E950DF" w14:paraId="530159D1" w14:textId="068A34DF">
            <w:pPr>
              <w:jc w:val="right"/>
            </w:pPr>
            <w:r w:rsidRPr="00FE020A">
              <w:rPr>
                <w:sz w:val="24"/>
                <w:szCs w:val="26"/>
              </w:rPr>
              <w:t>4 hrs.; $164.12</w:t>
            </w:r>
          </w:p>
        </w:tc>
        <w:tc>
          <w:tcPr>
            <w:tcW w:w="933" w:type="pct"/>
            <w:tcBorders>
              <w:top w:val="single" w:color="auto" w:sz="4" w:space="0"/>
              <w:left w:val="single" w:color="auto" w:sz="4" w:space="0"/>
              <w:bottom w:val="single" w:color="auto" w:sz="4" w:space="0"/>
              <w:right w:val="single" w:color="auto" w:sz="4" w:space="0"/>
            </w:tcBorders>
            <w:vAlign w:val="bottom"/>
            <w:hideMark/>
          </w:tcPr>
          <w:p w:rsidRPr="003B548B" w:rsidR="00E950DF" w:rsidP="002233A2" w:rsidRDefault="00E950DF" w14:paraId="75DF81F6" w14:textId="7F1B0E9F">
            <w:pPr>
              <w:jc w:val="right"/>
            </w:pPr>
            <w:r w:rsidRPr="00FE020A">
              <w:rPr>
                <w:sz w:val="24"/>
                <w:szCs w:val="26"/>
              </w:rPr>
              <w:t>388 hrs.; $15,919.64</w:t>
            </w:r>
          </w:p>
        </w:tc>
      </w:tr>
      <w:tr w:rsidRPr="003B548B" w:rsidR="00E950DF" w:rsidTr="003B548B" w14:paraId="467AA26A" w14:textId="77777777">
        <w:trPr>
          <w:cantSplit/>
          <w:trHeight w:val="440"/>
        </w:trPr>
        <w:tc>
          <w:tcPr>
            <w:tcW w:w="5000" w:type="pct"/>
            <w:gridSpan w:val="6"/>
            <w:tcBorders>
              <w:top w:val="single" w:color="auto" w:sz="4" w:space="0"/>
              <w:left w:val="single" w:color="auto" w:sz="4" w:space="0"/>
              <w:bottom w:val="single" w:color="auto" w:sz="4" w:space="0"/>
              <w:right w:val="single" w:color="auto" w:sz="4" w:space="0"/>
            </w:tcBorders>
            <w:vAlign w:val="bottom"/>
            <w:hideMark/>
          </w:tcPr>
          <w:p w:rsidRPr="003B548B" w:rsidR="00E950DF" w:rsidP="00E950DF" w:rsidRDefault="00E950DF" w14:paraId="2F03F92B" w14:textId="77777777">
            <w:pPr>
              <w:jc w:val="center"/>
              <w:rPr>
                <w:b/>
                <w:bCs/>
              </w:rPr>
            </w:pPr>
            <w:r w:rsidRPr="003B548B">
              <w:rPr>
                <w:b/>
                <w:bCs/>
              </w:rPr>
              <w:t>BAL-002-3</w:t>
            </w:r>
          </w:p>
        </w:tc>
      </w:tr>
      <w:tr w:rsidRPr="003B548B" w:rsidR="009447AE" w:rsidTr="00F904E7" w14:paraId="63C44113"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3B548B" w:rsidR="009447AE" w:rsidP="009447AE" w:rsidRDefault="009447AE" w14:paraId="69B59465" w14:textId="77777777">
            <w:pPr>
              <w:jc w:val="center"/>
            </w:pPr>
            <w:r w:rsidRPr="003B548B">
              <w:t>BA &amp; RSG</w:t>
            </w:r>
          </w:p>
          <w:p w:rsidRPr="003B548B" w:rsidR="009447AE" w:rsidP="009447AE" w:rsidRDefault="009447AE" w14:paraId="760AE95D" w14:textId="77777777">
            <w:pPr>
              <w:jc w:val="center"/>
            </w:pPr>
            <w:r w:rsidRPr="003B548B">
              <w:t>Reporting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3B548B" w:rsidR="009447AE" w:rsidP="00F904E7" w:rsidRDefault="009447AE" w14:paraId="1BA78C99" w14:textId="77777777">
            <w:pPr>
              <w:jc w:val="right"/>
            </w:pPr>
            <w:r w:rsidRPr="003B548B">
              <w:t>108</w:t>
            </w:r>
          </w:p>
        </w:tc>
        <w:tc>
          <w:tcPr>
            <w:tcW w:w="744" w:type="pct"/>
            <w:tcBorders>
              <w:top w:val="single" w:color="auto" w:sz="4" w:space="0"/>
              <w:left w:val="single" w:color="auto" w:sz="4" w:space="0"/>
              <w:bottom w:val="single" w:color="auto" w:sz="4" w:space="0"/>
              <w:right w:val="single" w:color="auto" w:sz="4" w:space="0"/>
            </w:tcBorders>
            <w:vAlign w:val="bottom"/>
            <w:hideMark/>
          </w:tcPr>
          <w:p w:rsidRPr="003B548B" w:rsidR="009447AE" w:rsidP="00F904E7" w:rsidRDefault="009447AE" w14:paraId="05C98E25" w14:textId="77777777">
            <w:pPr>
              <w:jc w:val="right"/>
            </w:pPr>
            <w:r w:rsidRPr="003B548B">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3B548B" w:rsidR="009447AE" w:rsidP="00F904E7" w:rsidRDefault="009447AE" w14:paraId="205EDCA3" w14:textId="77777777">
            <w:pPr>
              <w:jc w:val="right"/>
            </w:pPr>
            <w:r w:rsidRPr="003B548B">
              <w:t>108</w:t>
            </w:r>
          </w:p>
        </w:tc>
        <w:tc>
          <w:tcPr>
            <w:tcW w:w="611" w:type="pct"/>
            <w:tcBorders>
              <w:top w:val="single" w:color="auto" w:sz="4" w:space="0"/>
              <w:left w:val="single" w:color="auto" w:sz="4" w:space="0"/>
              <w:bottom w:val="single" w:color="auto" w:sz="4" w:space="0"/>
              <w:right w:val="single" w:color="auto" w:sz="4" w:space="0"/>
            </w:tcBorders>
            <w:vAlign w:val="bottom"/>
            <w:hideMark/>
          </w:tcPr>
          <w:p w:rsidRPr="003B548B" w:rsidR="009447AE" w:rsidP="00F904E7" w:rsidRDefault="009447AE" w14:paraId="72431FB8" w14:textId="422AE7D0">
            <w:pPr>
              <w:jc w:val="right"/>
            </w:pPr>
            <w:r w:rsidRPr="00FE020A">
              <w:rPr>
                <w:sz w:val="24"/>
                <w:szCs w:val="26"/>
              </w:rPr>
              <w:t>8 hrs.; $561.52</w:t>
            </w:r>
          </w:p>
        </w:tc>
        <w:tc>
          <w:tcPr>
            <w:tcW w:w="933" w:type="pct"/>
            <w:tcBorders>
              <w:top w:val="single" w:color="auto" w:sz="4" w:space="0"/>
              <w:left w:val="single" w:color="auto" w:sz="4" w:space="0"/>
              <w:bottom w:val="single" w:color="auto" w:sz="4" w:space="0"/>
              <w:right w:val="single" w:color="auto" w:sz="4" w:space="0"/>
            </w:tcBorders>
            <w:vAlign w:val="bottom"/>
            <w:hideMark/>
          </w:tcPr>
          <w:p w:rsidRPr="003B548B" w:rsidR="009447AE" w:rsidP="00F904E7" w:rsidRDefault="009447AE" w14:paraId="1424D320" w14:textId="43E68E92">
            <w:pPr>
              <w:jc w:val="right"/>
            </w:pPr>
            <w:r w:rsidRPr="00FE020A">
              <w:rPr>
                <w:sz w:val="24"/>
                <w:szCs w:val="26"/>
              </w:rPr>
              <w:t xml:space="preserve">864 hrs.; $60,644.16 </w:t>
            </w:r>
          </w:p>
        </w:tc>
      </w:tr>
      <w:tr w:rsidRPr="003B548B" w:rsidR="009447AE" w:rsidTr="00F904E7" w14:paraId="5FC1A76D"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3B548B" w:rsidR="009447AE" w:rsidP="009447AE" w:rsidRDefault="009447AE" w14:paraId="7B01568E" w14:textId="77777777">
            <w:pPr>
              <w:jc w:val="center"/>
            </w:pPr>
            <w:r w:rsidRPr="003B548B">
              <w:t>BA &amp; RSG Recordkeeping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3B548B" w:rsidR="009447AE" w:rsidP="00F904E7" w:rsidRDefault="009447AE" w14:paraId="7D6291EC" w14:textId="77777777">
            <w:pPr>
              <w:jc w:val="right"/>
            </w:pPr>
            <w:r w:rsidRPr="003B548B">
              <w:t>108</w:t>
            </w:r>
          </w:p>
        </w:tc>
        <w:tc>
          <w:tcPr>
            <w:tcW w:w="744" w:type="pct"/>
            <w:tcBorders>
              <w:top w:val="single" w:color="auto" w:sz="4" w:space="0"/>
              <w:left w:val="single" w:color="auto" w:sz="4" w:space="0"/>
              <w:bottom w:val="single" w:color="auto" w:sz="4" w:space="0"/>
              <w:right w:val="single" w:color="auto" w:sz="4" w:space="0"/>
            </w:tcBorders>
            <w:vAlign w:val="bottom"/>
            <w:hideMark/>
          </w:tcPr>
          <w:p w:rsidRPr="003B548B" w:rsidR="009447AE" w:rsidP="00F904E7" w:rsidRDefault="009447AE" w14:paraId="4985132E" w14:textId="77777777">
            <w:pPr>
              <w:jc w:val="right"/>
            </w:pPr>
            <w:r w:rsidRPr="003B548B">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3B548B" w:rsidR="009447AE" w:rsidP="00F904E7" w:rsidRDefault="009447AE" w14:paraId="113D9CB6" w14:textId="77777777">
            <w:pPr>
              <w:jc w:val="right"/>
            </w:pPr>
            <w:r w:rsidRPr="003B548B">
              <w:t>108</w:t>
            </w:r>
          </w:p>
        </w:tc>
        <w:tc>
          <w:tcPr>
            <w:tcW w:w="611" w:type="pct"/>
            <w:tcBorders>
              <w:top w:val="single" w:color="auto" w:sz="4" w:space="0"/>
              <w:left w:val="single" w:color="auto" w:sz="4" w:space="0"/>
              <w:bottom w:val="single" w:color="auto" w:sz="4" w:space="0"/>
              <w:right w:val="single" w:color="auto" w:sz="4" w:space="0"/>
            </w:tcBorders>
            <w:vAlign w:val="bottom"/>
            <w:hideMark/>
          </w:tcPr>
          <w:p w:rsidRPr="003B548B" w:rsidR="009447AE" w:rsidP="00F904E7" w:rsidRDefault="009447AE" w14:paraId="03B1B329" w14:textId="12088750">
            <w:pPr>
              <w:jc w:val="right"/>
            </w:pPr>
            <w:r w:rsidRPr="00FE020A">
              <w:rPr>
                <w:sz w:val="24"/>
                <w:szCs w:val="26"/>
              </w:rPr>
              <w:t>4 hrs.; $164.12</w:t>
            </w:r>
          </w:p>
        </w:tc>
        <w:tc>
          <w:tcPr>
            <w:tcW w:w="933" w:type="pct"/>
            <w:tcBorders>
              <w:top w:val="single" w:color="auto" w:sz="4" w:space="0"/>
              <w:left w:val="single" w:color="auto" w:sz="4" w:space="0"/>
              <w:bottom w:val="single" w:color="auto" w:sz="4" w:space="0"/>
              <w:right w:val="single" w:color="auto" w:sz="4" w:space="0"/>
            </w:tcBorders>
            <w:vAlign w:val="bottom"/>
            <w:hideMark/>
          </w:tcPr>
          <w:p w:rsidRPr="003B548B" w:rsidR="009447AE" w:rsidP="00F904E7" w:rsidRDefault="009447AE" w14:paraId="5332D27B" w14:textId="6C3BB072">
            <w:pPr>
              <w:jc w:val="right"/>
            </w:pPr>
            <w:r w:rsidRPr="00FE020A">
              <w:rPr>
                <w:sz w:val="24"/>
                <w:szCs w:val="26"/>
              </w:rPr>
              <w:t>432 hrs.; $17,724.96</w:t>
            </w:r>
          </w:p>
        </w:tc>
      </w:tr>
      <w:tr w:rsidRPr="003B548B" w:rsidR="009447AE" w:rsidTr="003B548B" w14:paraId="0CB4ED95" w14:textId="77777777">
        <w:trPr>
          <w:cantSplit/>
          <w:trHeight w:val="377"/>
        </w:trPr>
        <w:tc>
          <w:tcPr>
            <w:tcW w:w="5000" w:type="pct"/>
            <w:gridSpan w:val="6"/>
            <w:tcBorders>
              <w:top w:val="single" w:color="auto" w:sz="4" w:space="0"/>
              <w:left w:val="single" w:color="auto" w:sz="4" w:space="0"/>
              <w:bottom w:val="single" w:color="auto" w:sz="4" w:space="0"/>
              <w:right w:val="single" w:color="auto" w:sz="4" w:space="0"/>
            </w:tcBorders>
            <w:vAlign w:val="bottom"/>
            <w:hideMark/>
          </w:tcPr>
          <w:p w:rsidRPr="003B548B" w:rsidR="009447AE" w:rsidP="009447AE" w:rsidRDefault="009447AE" w14:paraId="2340EC46" w14:textId="7355C33C">
            <w:pPr>
              <w:jc w:val="center"/>
              <w:rPr>
                <w:b/>
                <w:bCs/>
              </w:rPr>
            </w:pPr>
            <w:r w:rsidRPr="003B548B">
              <w:rPr>
                <w:b/>
                <w:bCs/>
              </w:rPr>
              <w:t>BAL-003-2</w:t>
            </w:r>
            <w:r>
              <w:rPr>
                <w:b/>
                <w:bCs/>
              </w:rPr>
              <w:t xml:space="preserve"> (as approved in Docket No. RD20-9-000)</w:t>
            </w:r>
          </w:p>
        </w:tc>
      </w:tr>
      <w:tr w:rsidRPr="003B548B" w:rsidR="009447AE" w:rsidTr="00A014F7" w14:paraId="63A95640"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3B548B" w:rsidR="009447AE" w:rsidP="009447AE" w:rsidRDefault="009447AE" w14:paraId="140B30CB" w14:textId="77777777">
            <w:pPr>
              <w:jc w:val="center"/>
            </w:pPr>
            <w:r w:rsidRPr="003B548B">
              <w:t>BA &amp; FRSG</w:t>
            </w:r>
          </w:p>
          <w:p w:rsidRPr="003B548B" w:rsidR="009447AE" w:rsidP="009447AE" w:rsidRDefault="009447AE" w14:paraId="0C5B900D" w14:textId="77777777">
            <w:pPr>
              <w:jc w:val="center"/>
            </w:pPr>
            <w:r w:rsidRPr="003B548B">
              <w:t>Reporting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3B548B" w:rsidR="009447AE" w:rsidP="00A014F7" w:rsidRDefault="009447AE" w14:paraId="2FB1EDF5" w14:textId="77777777">
            <w:pPr>
              <w:jc w:val="right"/>
            </w:pPr>
            <w:r w:rsidRPr="003B548B">
              <w:t>98</w:t>
            </w:r>
          </w:p>
        </w:tc>
        <w:tc>
          <w:tcPr>
            <w:tcW w:w="744" w:type="pct"/>
            <w:tcBorders>
              <w:top w:val="single" w:color="auto" w:sz="4" w:space="0"/>
              <w:left w:val="single" w:color="auto" w:sz="4" w:space="0"/>
              <w:bottom w:val="single" w:color="auto" w:sz="4" w:space="0"/>
              <w:right w:val="single" w:color="auto" w:sz="4" w:space="0"/>
            </w:tcBorders>
            <w:vAlign w:val="bottom"/>
            <w:hideMark/>
          </w:tcPr>
          <w:p w:rsidRPr="003B548B" w:rsidR="009447AE" w:rsidP="00A014F7" w:rsidRDefault="009447AE" w14:paraId="5802A26D" w14:textId="77777777">
            <w:pPr>
              <w:jc w:val="right"/>
            </w:pPr>
            <w:r w:rsidRPr="003B548B">
              <w:t>28</w:t>
            </w:r>
          </w:p>
        </w:tc>
        <w:tc>
          <w:tcPr>
            <w:tcW w:w="683" w:type="pct"/>
            <w:tcBorders>
              <w:top w:val="single" w:color="auto" w:sz="4" w:space="0"/>
              <w:left w:val="single" w:color="auto" w:sz="4" w:space="0"/>
              <w:bottom w:val="single" w:color="auto" w:sz="4" w:space="0"/>
              <w:right w:val="single" w:color="auto" w:sz="4" w:space="0"/>
            </w:tcBorders>
            <w:vAlign w:val="bottom"/>
            <w:hideMark/>
          </w:tcPr>
          <w:p w:rsidRPr="003B548B" w:rsidR="009447AE" w:rsidP="00A014F7" w:rsidRDefault="009447AE" w14:paraId="781E01F1" w14:textId="77777777">
            <w:pPr>
              <w:jc w:val="right"/>
            </w:pPr>
            <w:r w:rsidRPr="003B548B">
              <w:t>2,744</w:t>
            </w:r>
          </w:p>
        </w:tc>
        <w:tc>
          <w:tcPr>
            <w:tcW w:w="611" w:type="pct"/>
            <w:tcBorders>
              <w:top w:val="single" w:color="auto" w:sz="4" w:space="0"/>
              <w:left w:val="single" w:color="auto" w:sz="4" w:space="0"/>
              <w:bottom w:val="single" w:color="auto" w:sz="4" w:space="0"/>
              <w:right w:val="single" w:color="auto" w:sz="4" w:space="0"/>
            </w:tcBorders>
            <w:vAlign w:val="bottom"/>
            <w:hideMark/>
          </w:tcPr>
          <w:p w:rsidRPr="003B548B" w:rsidR="009447AE" w:rsidP="00A014F7" w:rsidRDefault="009447AE" w14:paraId="323D6C4B" w14:textId="4E7BD4BE">
            <w:pPr>
              <w:jc w:val="right"/>
            </w:pPr>
            <w:r w:rsidRPr="003B548B">
              <w:t>8 hrs.; $</w:t>
            </w:r>
            <w:r w:rsidR="009F7695">
              <w:t>561.52</w:t>
            </w:r>
          </w:p>
        </w:tc>
        <w:tc>
          <w:tcPr>
            <w:tcW w:w="933" w:type="pct"/>
            <w:tcBorders>
              <w:top w:val="single" w:color="auto" w:sz="4" w:space="0"/>
              <w:left w:val="single" w:color="auto" w:sz="4" w:space="0"/>
              <w:bottom w:val="single" w:color="auto" w:sz="4" w:space="0"/>
              <w:right w:val="single" w:color="auto" w:sz="4" w:space="0"/>
            </w:tcBorders>
            <w:vAlign w:val="bottom"/>
            <w:hideMark/>
          </w:tcPr>
          <w:p w:rsidRPr="003B548B" w:rsidR="009447AE" w:rsidP="00A014F7" w:rsidRDefault="009447AE" w14:paraId="797048E4" w14:textId="30641E41">
            <w:pPr>
              <w:jc w:val="right"/>
            </w:pPr>
            <w:r w:rsidRPr="003B548B">
              <w:t>21,952 hrs.; $</w:t>
            </w:r>
            <w:r w:rsidR="00013EAE">
              <w:t>1,540,810.88</w:t>
            </w:r>
          </w:p>
        </w:tc>
      </w:tr>
      <w:tr w:rsidRPr="003B548B" w:rsidR="009447AE" w:rsidTr="00A014F7" w14:paraId="3280AFCE"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3B548B" w:rsidR="009447AE" w:rsidP="009447AE" w:rsidRDefault="009447AE" w14:paraId="725EC62A" w14:textId="77777777">
            <w:pPr>
              <w:jc w:val="center"/>
            </w:pPr>
            <w:r w:rsidRPr="003B548B">
              <w:t>BA &amp; FRSG Recordkeeping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3B548B" w:rsidR="009447AE" w:rsidP="00A014F7" w:rsidRDefault="009447AE" w14:paraId="38E52F32" w14:textId="77777777">
            <w:pPr>
              <w:jc w:val="right"/>
            </w:pPr>
            <w:r w:rsidRPr="003B548B">
              <w:t>98</w:t>
            </w:r>
          </w:p>
        </w:tc>
        <w:tc>
          <w:tcPr>
            <w:tcW w:w="744" w:type="pct"/>
            <w:tcBorders>
              <w:top w:val="single" w:color="auto" w:sz="4" w:space="0"/>
              <w:left w:val="single" w:color="auto" w:sz="4" w:space="0"/>
              <w:bottom w:val="single" w:color="auto" w:sz="4" w:space="0"/>
              <w:right w:val="single" w:color="auto" w:sz="4" w:space="0"/>
            </w:tcBorders>
            <w:vAlign w:val="bottom"/>
            <w:hideMark/>
          </w:tcPr>
          <w:p w:rsidRPr="003B548B" w:rsidR="009447AE" w:rsidP="00A014F7" w:rsidRDefault="009447AE" w14:paraId="4B506768" w14:textId="77777777">
            <w:pPr>
              <w:jc w:val="right"/>
            </w:pPr>
            <w:r w:rsidRPr="003B548B">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3B548B" w:rsidR="009447AE" w:rsidP="00A014F7" w:rsidRDefault="009447AE" w14:paraId="669BDD3E" w14:textId="77777777">
            <w:pPr>
              <w:jc w:val="right"/>
            </w:pPr>
            <w:r w:rsidRPr="003B548B">
              <w:t>98</w:t>
            </w:r>
          </w:p>
        </w:tc>
        <w:tc>
          <w:tcPr>
            <w:tcW w:w="611" w:type="pct"/>
            <w:tcBorders>
              <w:top w:val="single" w:color="auto" w:sz="4" w:space="0"/>
              <w:left w:val="single" w:color="auto" w:sz="4" w:space="0"/>
              <w:bottom w:val="single" w:color="auto" w:sz="4" w:space="0"/>
              <w:right w:val="single" w:color="auto" w:sz="4" w:space="0"/>
            </w:tcBorders>
            <w:vAlign w:val="bottom"/>
            <w:hideMark/>
          </w:tcPr>
          <w:p w:rsidR="009447AE" w:rsidP="00A014F7" w:rsidRDefault="009447AE" w14:paraId="01E44674" w14:textId="77777777">
            <w:pPr>
              <w:jc w:val="right"/>
            </w:pPr>
            <w:r w:rsidRPr="003B548B">
              <w:t>2 hrs.;</w:t>
            </w:r>
          </w:p>
          <w:p w:rsidRPr="003B548B" w:rsidR="000D08C4" w:rsidP="00A014F7" w:rsidRDefault="00101EAA" w14:paraId="048372E9" w14:textId="0C821EF8">
            <w:pPr>
              <w:jc w:val="right"/>
            </w:pPr>
            <w:r>
              <w:t>$82.06</w:t>
            </w:r>
          </w:p>
        </w:tc>
        <w:tc>
          <w:tcPr>
            <w:tcW w:w="933" w:type="pct"/>
            <w:tcBorders>
              <w:top w:val="single" w:color="auto" w:sz="4" w:space="0"/>
              <w:left w:val="single" w:color="auto" w:sz="4" w:space="0"/>
              <w:bottom w:val="single" w:color="auto" w:sz="4" w:space="0"/>
              <w:right w:val="single" w:color="auto" w:sz="4" w:space="0"/>
            </w:tcBorders>
            <w:vAlign w:val="bottom"/>
            <w:hideMark/>
          </w:tcPr>
          <w:p w:rsidRPr="003B548B" w:rsidR="009447AE" w:rsidP="00A014F7" w:rsidRDefault="009447AE" w14:paraId="41DC10E3" w14:textId="202EA845">
            <w:pPr>
              <w:jc w:val="right"/>
            </w:pPr>
            <w:r w:rsidRPr="003B548B">
              <w:t>196 hrs.; $</w:t>
            </w:r>
            <w:r w:rsidR="00616840">
              <w:t>8,041.88</w:t>
            </w:r>
          </w:p>
        </w:tc>
      </w:tr>
      <w:tr w:rsidRPr="003B548B" w:rsidR="009447AE" w:rsidTr="003B548B" w14:paraId="2D3F43EE" w14:textId="77777777">
        <w:trPr>
          <w:cantSplit/>
          <w:trHeight w:val="395"/>
        </w:trPr>
        <w:tc>
          <w:tcPr>
            <w:tcW w:w="5000" w:type="pct"/>
            <w:gridSpan w:val="6"/>
            <w:tcBorders>
              <w:top w:val="single" w:color="auto" w:sz="4" w:space="0"/>
              <w:left w:val="single" w:color="auto" w:sz="4" w:space="0"/>
              <w:bottom w:val="single" w:color="auto" w:sz="4" w:space="0"/>
              <w:right w:val="single" w:color="auto" w:sz="4" w:space="0"/>
            </w:tcBorders>
            <w:vAlign w:val="bottom"/>
            <w:hideMark/>
          </w:tcPr>
          <w:p w:rsidRPr="003B548B" w:rsidR="009447AE" w:rsidP="009447AE" w:rsidRDefault="009447AE" w14:paraId="0DE5356D" w14:textId="77777777">
            <w:pPr>
              <w:jc w:val="center"/>
              <w:rPr>
                <w:b/>
                <w:bCs/>
              </w:rPr>
            </w:pPr>
            <w:r w:rsidRPr="003B548B">
              <w:rPr>
                <w:b/>
                <w:bCs/>
              </w:rPr>
              <w:lastRenderedPageBreak/>
              <w:t>BAL-005-1</w:t>
            </w:r>
          </w:p>
        </w:tc>
      </w:tr>
      <w:tr w:rsidRPr="003B548B" w:rsidR="009447AE" w:rsidTr="004C7EB3" w14:paraId="3FDE73C0"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3B548B" w:rsidR="009447AE" w:rsidP="009447AE" w:rsidRDefault="009447AE" w14:paraId="6F1DD72D" w14:textId="77777777">
            <w:pPr>
              <w:jc w:val="center"/>
            </w:pPr>
            <w:r w:rsidRPr="003B548B">
              <w:t>BA</w:t>
            </w:r>
          </w:p>
          <w:p w:rsidRPr="003B548B" w:rsidR="009447AE" w:rsidP="009447AE" w:rsidRDefault="009447AE" w14:paraId="66D4D1C1" w14:textId="77777777">
            <w:pPr>
              <w:jc w:val="center"/>
            </w:pPr>
            <w:r w:rsidRPr="003B548B">
              <w:t>Reporting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3B548B" w:rsidR="009447AE" w:rsidP="004C7EB3" w:rsidRDefault="009447AE" w14:paraId="0D7FD56C" w14:textId="77777777">
            <w:pPr>
              <w:jc w:val="right"/>
            </w:pPr>
            <w:r w:rsidRPr="003B548B">
              <w:t>97</w:t>
            </w:r>
          </w:p>
        </w:tc>
        <w:tc>
          <w:tcPr>
            <w:tcW w:w="744" w:type="pct"/>
            <w:tcBorders>
              <w:top w:val="single" w:color="auto" w:sz="4" w:space="0"/>
              <w:left w:val="single" w:color="auto" w:sz="4" w:space="0"/>
              <w:bottom w:val="single" w:color="auto" w:sz="4" w:space="0"/>
              <w:right w:val="single" w:color="auto" w:sz="4" w:space="0"/>
            </w:tcBorders>
            <w:vAlign w:val="bottom"/>
            <w:hideMark/>
          </w:tcPr>
          <w:p w:rsidRPr="003B548B" w:rsidR="009447AE" w:rsidP="004C7EB3" w:rsidRDefault="009447AE" w14:paraId="7C2B50D2" w14:textId="77777777">
            <w:pPr>
              <w:jc w:val="right"/>
            </w:pPr>
            <w:r w:rsidRPr="003B548B">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3B548B" w:rsidR="009447AE" w:rsidP="004C7EB3" w:rsidRDefault="009447AE" w14:paraId="24C87829" w14:textId="77777777">
            <w:pPr>
              <w:jc w:val="right"/>
            </w:pPr>
            <w:r w:rsidRPr="003B548B">
              <w:t>97</w:t>
            </w:r>
          </w:p>
        </w:tc>
        <w:tc>
          <w:tcPr>
            <w:tcW w:w="611" w:type="pct"/>
            <w:tcBorders>
              <w:top w:val="single" w:color="auto" w:sz="4" w:space="0"/>
              <w:left w:val="single" w:color="auto" w:sz="4" w:space="0"/>
              <w:bottom w:val="single" w:color="auto" w:sz="4" w:space="0"/>
              <w:right w:val="single" w:color="auto" w:sz="4" w:space="0"/>
            </w:tcBorders>
            <w:vAlign w:val="bottom"/>
            <w:hideMark/>
          </w:tcPr>
          <w:p w:rsidRPr="003B548B" w:rsidR="009447AE" w:rsidP="004C7EB3" w:rsidRDefault="009447AE" w14:paraId="39B677B7" w14:textId="77777777">
            <w:pPr>
              <w:jc w:val="right"/>
            </w:pPr>
            <w:r w:rsidRPr="003B548B">
              <w:t xml:space="preserve">1 hr.; $70.19 </w:t>
            </w:r>
          </w:p>
        </w:tc>
        <w:tc>
          <w:tcPr>
            <w:tcW w:w="933" w:type="pct"/>
            <w:tcBorders>
              <w:top w:val="single" w:color="auto" w:sz="4" w:space="0"/>
              <w:left w:val="single" w:color="auto" w:sz="4" w:space="0"/>
              <w:bottom w:val="single" w:color="auto" w:sz="4" w:space="0"/>
              <w:right w:val="single" w:color="auto" w:sz="4" w:space="0"/>
            </w:tcBorders>
            <w:vAlign w:val="bottom"/>
            <w:hideMark/>
          </w:tcPr>
          <w:p w:rsidRPr="003B548B" w:rsidR="009447AE" w:rsidP="004C7EB3" w:rsidRDefault="009447AE" w14:paraId="281B7183" w14:textId="77777777">
            <w:pPr>
              <w:jc w:val="right"/>
            </w:pPr>
            <w:r w:rsidRPr="003B548B">
              <w:t>97 hrs.; $6,808.43</w:t>
            </w:r>
          </w:p>
        </w:tc>
      </w:tr>
      <w:tr w:rsidRPr="003B548B" w:rsidR="009447AE" w:rsidTr="004C7EB3" w14:paraId="19AB4B8C"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3B548B" w:rsidR="009447AE" w:rsidP="009447AE" w:rsidRDefault="009447AE" w14:paraId="540B5953" w14:textId="77777777">
            <w:pPr>
              <w:jc w:val="center"/>
            </w:pPr>
            <w:r w:rsidRPr="003B548B">
              <w:t>BA Recordkeeping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3B548B" w:rsidR="009447AE" w:rsidP="004C7EB3" w:rsidRDefault="009447AE" w14:paraId="526EB76B" w14:textId="77777777">
            <w:pPr>
              <w:jc w:val="right"/>
            </w:pPr>
            <w:r w:rsidRPr="003B548B">
              <w:t>97</w:t>
            </w:r>
          </w:p>
        </w:tc>
        <w:tc>
          <w:tcPr>
            <w:tcW w:w="744" w:type="pct"/>
            <w:tcBorders>
              <w:top w:val="single" w:color="auto" w:sz="4" w:space="0"/>
              <w:left w:val="single" w:color="auto" w:sz="4" w:space="0"/>
              <w:bottom w:val="single" w:color="auto" w:sz="4" w:space="0"/>
              <w:right w:val="single" w:color="auto" w:sz="4" w:space="0"/>
            </w:tcBorders>
            <w:vAlign w:val="bottom"/>
            <w:hideMark/>
          </w:tcPr>
          <w:p w:rsidRPr="003B548B" w:rsidR="009447AE" w:rsidP="004C7EB3" w:rsidRDefault="009447AE" w14:paraId="7C7F5DC8" w14:textId="77777777">
            <w:pPr>
              <w:jc w:val="right"/>
            </w:pPr>
            <w:r w:rsidRPr="003B548B">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3B548B" w:rsidR="009447AE" w:rsidP="004C7EB3" w:rsidRDefault="009447AE" w14:paraId="3D3DC0A9" w14:textId="77777777">
            <w:pPr>
              <w:jc w:val="right"/>
            </w:pPr>
            <w:r w:rsidRPr="003B548B">
              <w:t>97</w:t>
            </w:r>
          </w:p>
        </w:tc>
        <w:tc>
          <w:tcPr>
            <w:tcW w:w="611" w:type="pct"/>
            <w:tcBorders>
              <w:top w:val="single" w:color="auto" w:sz="4" w:space="0"/>
              <w:left w:val="single" w:color="auto" w:sz="4" w:space="0"/>
              <w:bottom w:val="single" w:color="auto" w:sz="4" w:space="0"/>
              <w:right w:val="single" w:color="auto" w:sz="4" w:space="0"/>
            </w:tcBorders>
            <w:vAlign w:val="bottom"/>
            <w:hideMark/>
          </w:tcPr>
          <w:p w:rsidRPr="003B548B" w:rsidR="009447AE" w:rsidP="004C7EB3" w:rsidRDefault="009447AE" w14:paraId="0514E8BE" w14:textId="16EBA8FD">
            <w:pPr>
              <w:jc w:val="right"/>
            </w:pPr>
            <w:r w:rsidRPr="003B548B">
              <w:t>1 hr.;</w:t>
            </w:r>
            <w:r>
              <w:t xml:space="preserve"> </w:t>
            </w:r>
            <w:r w:rsidRPr="003B548B">
              <w:t>$41.03</w:t>
            </w:r>
          </w:p>
        </w:tc>
        <w:tc>
          <w:tcPr>
            <w:tcW w:w="933" w:type="pct"/>
            <w:tcBorders>
              <w:top w:val="single" w:color="auto" w:sz="4" w:space="0"/>
              <w:left w:val="single" w:color="auto" w:sz="4" w:space="0"/>
              <w:bottom w:val="single" w:color="auto" w:sz="4" w:space="0"/>
              <w:right w:val="single" w:color="auto" w:sz="4" w:space="0"/>
            </w:tcBorders>
            <w:vAlign w:val="bottom"/>
            <w:hideMark/>
          </w:tcPr>
          <w:p w:rsidRPr="003B548B" w:rsidR="009447AE" w:rsidP="004C7EB3" w:rsidRDefault="009447AE" w14:paraId="0E31703B" w14:textId="77777777">
            <w:pPr>
              <w:jc w:val="right"/>
            </w:pPr>
            <w:r w:rsidRPr="003B548B">
              <w:t>97 hrs.; $3,979.91</w:t>
            </w:r>
          </w:p>
        </w:tc>
      </w:tr>
      <w:tr w:rsidRPr="003B548B" w:rsidR="009447AE" w:rsidTr="00EB4933" w14:paraId="62EDE9D6" w14:textId="77777777">
        <w:trPr>
          <w:cantSplit/>
          <w:trHeight w:val="368"/>
        </w:trPr>
        <w:tc>
          <w:tcPr>
            <w:tcW w:w="1236" w:type="pct"/>
            <w:tcBorders>
              <w:top w:val="single" w:color="auto" w:sz="4" w:space="0"/>
              <w:left w:val="single" w:color="auto" w:sz="4" w:space="0"/>
              <w:bottom w:val="single" w:color="auto" w:sz="4" w:space="0"/>
              <w:right w:val="single" w:color="auto" w:sz="4" w:space="0"/>
            </w:tcBorders>
            <w:vAlign w:val="bottom"/>
            <w:hideMark/>
          </w:tcPr>
          <w:p w:rsidRPr="003B548B" w:rsidR="009447AE" w:rsidP="009447AE" w:rsidRDefault="009447AE" w14:paraId="5B7DF19B" w14:textId="77777777">
            <w:pPr>
              <w:jc w:val="center"/>
              <w:rPr>
                <w:b/>
                <w:bCs/>
              </w:rPr>
            </w:pPr>
            <w:r w:rsidRPr="003B548B">
              <w:rPr>
                <w:b/>
                <w:bCs/>
              </w:rPr>
              <w:t>SUB-TOTAL FOR REPORTING REQUIREMENTS</w:t>
            </w:r>
          </w:p>
        </w:tc>
        <w:tc>
          <w:tcPr>
            <w:tcW w:w="2831" w:type="pct"/>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3B548B" w:rsidR="009447AE" w:rsidP="009447AE" w:rsidRDefault="009447AE" w14:paraId="09AAA68C" w14:textId="77777777">
            <w:pPr>
              <w:jc w:val="center"/>
            </w:pPr>
          </w:p>
        </w:tc>
        <w:tc>
          <w:tcPr>
            <w:tcW w:w="933" w:type="pct"/>
            <w:tcBorders>
              <w:top w:val="single" w:color="auto" w:sz="4" w:space="0"/>
              <w:left w:val="single" w:color="auto" w:sz="4" w:space="0"/>
              <w:bottom w:val="single" w:color="auto" w:sz="4" w:space="0"/>
              <w:right w:val="single" w:color="auto" w:sz="4" w:space="0"/>
            </w:tcBorders>
            <w:vAlign w:val="bottom"/>
            <w:hideMark/>
          </w:tcPr>
          <w:p w:rsidRPr="003B548B" w:rsidR="009447AE" w:rsidP="00EB4933" w:rsidRDefault="009447AE" w14:paraId="72C3F72A" w14:textId="77777777">
            <w:pPr>
              <w:jc w:val="right"/>
            </w:pPr>
            <w:r w:rsidRPr="003B548B">
              <w:t xml:space="preserve">23,689 hrs.; $1,662,730.91 </w:t>
            </w:r>
          </w:p>
        </w:tc>
      </w:tr>
      <w:tr w:rsidRPr="003B548B" w:rsidR="009447AE" w:rsidTr="00B05190" w14:paraId="624C0047" w14:textId="77777777">
        <w:trPr>
          <w:cantSplit/>
          <w:trHeight w:val="368"/>
        </w:trPr>
        <w:tc>
          <w:tcPr>
            <w:tcW w:w="1236" w:type="pct"/>
            <w:tcBorders>
              <w:top w:val="single" w:color="auto" w:sz="4" w:space="0"/>
              <w:left w:val="single" w:color="auto" w:sz="4" w:space="0"/>
              <w:bottom w:val="single" w:color="auto" w:sz="4" w:space="0"/>
              <w:right w:val="single" w:color="auto" w:sz="4" w:space="0"/>
            </w:tcBorders>
            <w:vAlign w:val="bottom"/>
            <w:hideMark/>
          </w:tcPr>
          <w:p w:rsidRPr="003B548B" w:rsidR="009447AE" w:rsidP="009447AE" w:rsidRDefault="009447AE" w14:paraId="5C30A004" w14:textId="77777777">
            <w:pPr>
              <w:jc w:val="center"/>
              <w:rPr>
                <w:b/>
                <w:bCs/>
              </w:rPr>
            </w:pPr>
            <w:r w:rsidRPr="003B548B">
              <w:rPr>
                <w:b/>
                <w:bCs/>
              </w:rPr>
              <w:t>SUB-TOTAL FOR RECORDKEEPING REQUIREMENTS</w:t>
            </w:r>
          </w:p>
        </w:tc>
        <w:tc>
          <w:tcPr>
            <w:tcW w:w="2831" w:type="pct"/>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3B548B" w:rsidR="009447AE" w:rsidP="009447AE" w:rsidRDefault="009447AE" w14:paraId="50779B29" w14:textId="77777777">
            <w:pPr>
              <w:jc w:val="center"/>
            </w:pPr>
          </w:p>
        </w:tc>
        <w:tc>
          <w:tcPr>
            <w:tcW w:w="933" w:type="pct"/>
            <w:tcBorders>
              <w:top w:val="single" w:color="auto" w:sz="4" w:space="0"/>
              <w:left w:val="single" w:color="auto" w:sz="4" w:space="0"/>
              <w:bottom w:val="single" w:color="auto" w:sz="4" w:space="0"/>
              <w:right w:val="single" w:color="auto" w:sz="4" w:space="0"/>
            </w:tcBorders>
            <w:vAlign w:val="bottom"/>
            <w:hideMark/>
          </w:tcPr>
          <w:p w:rsidRPr="003B548B" w:rsidR="009447AE" w:rsidP="00B05190" w:rsidRDefault="009447AE" w14:paraId="17884857" w14:textId="77777777">
            <w:pPr>
              <w:jc w:val="right"/>
            </w:pPr>
            <w:r w:rsidRPr="003B548B">
              <w:t>1,113 hrs.; $45,666.39</w:t>
            </w:r>
          </w:p>
        </w:tc>
      </w:tr>
      <w:tr w:rsidRPr="003B548B" w:rsidR="009447AE" w:rsidTr="00DF32D6" w14:paraId="74A72AC9" w14:textId="77777777">
        <w:trPr>
          <w:cantSplit/>
          <w:trHeight w:val="368"/>
        </w:trPr>
        <w:tc>
          <w:tcPr>
            <w:tcW w:w="1236" w:type="pct"/>
            <w:tcBorders>
              <w:top w:val="single" w:color="auto" w:sz="4" w:space="0"/>
              <w:left w:val="single" w:color="auto" w:sz="4" w:space="0"/>
              <w:bottom w:val="single" w:color="auto" w:sz="4" w:space="0"/>
              <w:right w:val="single" w:color="auto" w:sz="4" w:space="0"/>
            </w:tcBorders>
            <w:vAlign w:val="bottom"/>
            <w:hideMark/>
          </w:tcPr>
          <w:p w:rsidRPr="003B548B" w:rsidR="009447AE" w:rsidP="009447AE" w:rsidRDefault="009447AE" w14:paraId="18B3995C" w14:textId="77777777">
            <w:pPr>
              <w:jc w:val="center"/>
              <w:rPr>
                <w:b/>
                <w:bCs/>
              </w:rPr>
            </w:pPr>
            <w:r w:rsidRPr="003B548B">
              <w:rPr>
                <w:b/>
                <w:bCs/>
              </w:rPr>
              <w:t>TOTAL FOR FERC-725R (rounded)</w:t>
            </w:r>
          </w:p>
        </w:tc>
        <w:tc>
          <w:tcPr>
            <w:tcW w:w="2831" w:type="pct"/>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3B548B" w:rsidR="009447AE" w:rsidP="009447AE" w:rsidRDefault="009447AE" w14:paraId="3D0F11AC" w14:textId="77777777">
            <w:pPr>
              <w:jc w:val="center"/>
            </w:pPr>
          </w:p>
        </w:tc>
        <w:tc>
          <w:tcPr>
            <w:tcW w:w="933" w:type="pct"/>
            <w:tcBorders>
              <w:top w:val="single" w:color="auto" w:sz="4" w:space="0"/>
              <w:left w:val="single" w:color="auto" w:sz="4" w:space="0"/>
              <w:bottom w:val="single" w:color="auto" w:sz="4" w:space="0"/>
              <w:right w:val="single" w:color="auto" w:sz="4" w:space="0"/>
            </w:tcBorders>
            <w:vAlign w:val="bottom"/>
            <w:hideMark/>
          </w:tcPr>
          <w:p w:rsidRPr="003B548B" w:rsidR="009447AE" w:rsidP="00DF32D6" w:rsidRDefault="009447AE" w14:paraId="0625D69E" w14:textId="57C9E3BB">
            <w:pPr>
              <w:jc w:val="right"/>
            </w:pPr>
            <w:r w:rsidRPr="003B548B">
              <w:t>24,802 hrs.; $1,708,397</w:t>
            </w:r>
            <w:r w:rsidR="00DF32D6">
              <w:t>.30</w:t>
            </w:r>
          </w:p>
        </w:tc>
      </w:tr>
    </w:tbl>
    <w:p w:rsidRPr="003B548B" w:rsidR="003B548B" w:rsidP="003B548B" w:rsidRDefault="003B548B" w14:paraId="4C21547C" w14:textId="77777777">
      <w:pPr>
        <w:jc w:val="center"/>
      </w:pPr>
    </w:p>
    <w:p w:rsidRPr="003B548B" w:rsidR="003B548B" w:rsidP="00065B10" w:rsidRDefault="003B548B" w14:paraId="2C988616" w14:textId="3E8D60AF">
      <w:pPr>
        <w:spacing w:line="480" w:lineRule="auto"/>
      </w:pPr>
      <w:r w:rsidRPr="003B548B">
        <w:rPr>
          <w:i/>
        </w:rPr>
        <w:t xml:space="preserve">Comments:  </w:t>
      </w:r>
      <w:r w:rsidRPr="003B548B">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rsidRPr="003B548B" w:rsidR="003B548B" w:rsidP="003B548B" w:rsidRDefault="003B548B" w14:paraId="725CD122" w14:textId="77777777">
      <w:pPr>
        <w:spacing w:line="480" w:lineRule="auto"/>
        <w:jc w:val="center"/>
      </w:pPr>
    </w:p>
    <w:p w:rsidRPr="003B548B" w:rsidR="003B548B" w:rsidP="003B548B" w:rsidRDefault="003B548B" w14:paraId="6DCFE8B4" w14:textId="77777777">
      <w:pPr>
        <w:spacing w:line="480" w:lineRule="auto"/>
        <w:jc w:val="center"/>
      </w:pPr>
    </w:p>
    <w:p w:rsidRPr="003B548B" w:rsidR="003B548B" w:rsidP="003B548B" w:rsidRDefault="003B548B" w14:paraId="5C1F3C32" w14:textId="77777777">
      <w:pPr>
        <w:spacing w:line="480" w:lineRule="auto"/>
        <w:jc w:val="center"/>
      </w:pPr>
    </w:p>
    <w:p w:rsidRPr="003B548B" w:rsidR="003B548B" w:rsidP="003B548B" w:rsidRDefault="003B548B" w14:paraId="35553F47" w14:textId="77777777">
      <w:pPr>
        <w:jc w:val="center"/>
      </w:pPr>
      <w:r w:rsidRPr="003B548B">
        <w:t>Kimberly D. Bose,</w:t>
      </w:r>
    </w:p>
    <w:p w:rsidRPr="003B548B" w:rsidR="003B548B" w:rsidP="003B548B" w:rsidRDefault="003B548B" w14:paraId="22695CF6" w14:textId="77777777">
      <w:pPr>
        <w:jc w:val="center"/>
      </w:pPr>
      <w:r w:rsidRPr="003B548B">
        <w:t>Secretary.</w:t>
      </w:r>
    </w:p>
    <w:sectPr w:rsidRPr="003B548B" w:rsidR="003B548B" w:rsidSect="00D0665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A5BBA" w14:textId="77777777" w:rsidR="00390EAB" w:rsidRDefault="00390EAB" w:rsidP="00B01B16">
      <w:r>
        <w:separator/>
      </w:r>
    </w:p>
  </w:endnote>
  <w:endnote w:type="continuationSeparator" w:id="0">
    <w:p w14:paraId="65579E6C" w14:textId="77777777" w:rsidR="00390EAB" w:rsidRDefault="00390EAB"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FBD2F" w14:textId="77777777" w:rsidR="00C22279" w:rsidRDefault="00C22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FB58" w14:textId="7E7CFB0F" w:rsidR="00D06653" w:rsidRDefault="00D06653">
    <w:pPr>
      <w:pStyle w:val="Footer"/>
      <w:jc w:val="center"/>
    </w:pPr>
  </w:p>
  <w:p w14:paraId="0BE8E212" w14:textId="72EF95F6" w:rsidR="00D06653" w:rsidRDefault="00D06653" w:rsidP="00D06653">
    <w:pPr>
      <w:pStyle w:val="Footer"/>
      <w:tabs>
        <w:tab w:val="clear" w:pos="4680"/>
        <w:tab w:val="clear" w:pos="9360"/>
        <w:tab w:val="left" w:pos="36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40CB" w14:textId="2155C83D" w:rsidR="00D06653" w:rsidRDefault="00D06653">
    <w:pPr>
      <w:pStyle w:val="Footer"/>
      <w:jc w:val="center"/>
    </w:pPr>
  </w:p>
  <w:p w14:paraId="27EF3A72" w14:textId="77777777" w:rsidR="004F30CC" w:rsidRDefault="004F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B5F62" w14:textId="77777777" w:rsidR="00390EAB" w:rsidRDefault="00390EAB" w:rsidP="00B01B16">
      <w:r>
        <w:separator/>
      </w:r>
    </w:p>
  </w:footnote>
  <w:footnote w:type="continuationSeparator" w:id="0">
    <w:p w14:paraId="4B9EE09A" w14:textId="77777777" w:rsidR="00390EAB" w:rsidRDefault="00390EAB" w:rsidP="00B01B16">
      <w:r>
        <w:continuationSeparator/>
      </w:r>
    </w:p>
  </w:footnote>
  <w:footnote w:id="1">
    <w:p w14:paraId="3F201EDC" w14:textId="77777777" w:rsidR="003B548B" w:rsidRDefault="003B548B" w:rsidP="003B548B">
      <w:pPr>
        <w:pStyle w:val="FootnoteText"/>
        <w:spacing w:after="260"/>
        <w:rPr>
          <w:sz w:val="26"/>
          <w:szCs w:val="26"/>
        </w:rPr>
      </w:pPr>
      <w:r>
        <w:rPr>
          <w:rStyle w:val="FootnoteReference"/>
        </w:rPr>
        <w:footnoteRef/>
      </w:r>
      <w:r>
        <w:rPr>
          <w:sz w:val="26"/>
          <w:szCs w:val="26"/>
        </w:rPr>
        <w:t xml:space="preserve"> Energy Policy Act of 2005, Pub. L. No. 109-58, Title XII, Subtitle A, 119 Stat. 594, 941 (codified at 16 U.S.C. 824</w:t>
      </w:r>
      <w:r>
        <w:rPr>
          <w:i/>
          <w:sz w:val="26"/>
          <w:szCs w:val="26"/>
        </w:rPr>
        <w:t>o</w:t>
      </w:r>
      <w:r>
        <w:rPr>
          <w:sz w:val="26"/>
          <w:szCs w:val="26"/>
        </w:rPr>
        <w:t>).</w:t>
      </w:r>
    </w:p>
  </w:footnote>
  <w:footnote w:id="2">
    <w:p w14:paraId="4E4CC16D" w14:textId="77777777" w:rsidR="003B548B" w:rsidRDefault="003B548B" w:rsidP="003B548B">
      <w:pPr>
        <w:pStyle w:val="FootnoteText"/>
        <w:spacing w:after="260"/>
        <w:rPr>
          <w:sz w:val="26"/>
          <w:szCs w:val="26"/>
        </w:rPr>
      </w:pPr>
      <w:r>
        <w:rPr>
          <w:rStyle w:val="FootnoteReference"/>
        </w:rPr>
        <w:footnoteRef/>
      </w:r>
      <w:r>
        <w:rPr>
          <w:sz w:val="26"/>
          <w:szCs w:val="26"/>
        </w:rPr>
        <w:t xml:space="preserve"> 16 U.S.C. 824</w:t>
      </w:r>
      <w:r>
        <w:rPr>
          <w:i/>
          <w:sz w:val="26"/>
          <w:szCs w:val="26"/>
        </w:rPr>
        <w:t>o</w:t>
      </w:r>
      <w:r>
        <w:rPr>
          <w:sz w:val="26"/>
          <w:szCs w:val="26"/>
        </w:rPr>
        <w:t>(e)(3).</w:t>
      </w:r>
    </w:p>
  </w:footnote>
  <w:footnote w:id="3">
    <w:p w14:paraId="71A554D3" w14:textId="77777777" w:rsidR="003B548B" w:rsidRDefault="003B548B" w:rsidP="003B548B">
      <w:pPr>
        <w:pStyle w:val="FootnoteText"/>
        <w:keepLines/>
        <w:spacing w:after="260"/>
        <w:rPr>
          <w:sz w:val="26"/>
          <w:szCs w:val="26"/>
        </w:rPr>
      </w:pPr>
      <w:r>
        <w:rPr>
          <w:rStyle w:val="FootnoteReference"/>
        </w:rPr>
        <w:footnoteRef/>
      </w:r>
      <w:r>
        <w:rPr>
          <w:sz w:val="26"/>
          <w:szCs w:val="26"/>
        </w:rPr>
        <w:t xml:space="preserve">  </w:t>
      </w:r>
      <w:r>
        <w:rPr>
          <w:i/>
          <w:iCs/>
          <w:sz w:val="26"/>
          <w:szCs w:val="26"/>
        </w:rPr>
        <w:t>Rules Concerning Certification of the Electric Reliability Organization; and Procedures for the Establishment, Approval, and Enforcement of Electric Reliability Standards</w:t>
      </w:r>
      <w:r>
        <w:rPr>
          <w:sz w:val="26"/>
          <w:szCs w:val="26"/>
        </w:rPr>
        <w:t xml:space="preserve">, Order No. 672, FERC Stats. &amp; Regs. ¶ 31,204, </w:t>
      </w:r>
      <w:r>
        <w:rPr>
          <w:i/>
          <w:iCs/>
          <w:sz w:val="26"/>
          <w:szCs w:val="26"/>
        </w:rPr>
        <w:t>order on reh’g</w:t>
      </w:r>
      <w:r>
        <w:rPr>
          <w:sz w:val="26"/>
          <w:szCs w:val="26"/>
        </w:rPr>
        <w:t>, Order No. 672-A, FERC Stats. &amp; Regs. ¶ 31,212 (2006).</w:t>
      </w:r>
    </w:p>
  </w:footnote>
  <w:footnote w:id="4">
    <w:p w14:paraId="6EB427DF" w14:textId="77777777" w:rsidR="003B548B" w:rsidRDefault="003B548B" w:rsidP="003B548B">
      <w:pPr>
        <w:pStyle w:val="FootnoteText"/>
        <w:spacing w:after="260"/>
        <w:rPr>
          <w:sz w:val="26"/>
          <w:szCs w:val="26"/>
        </w:rPr>
      </w:pPr>
      <w:r>
        <w:rPr>
          <w:rStyle w:val="FootnoteReference"/>
        </w:rPr>
        <w:footnoteRef/>
      </w:r>
      <w:r>
        <w:rPr>
          <w:sz w:val="26"/>
          <w:szCs w:val="26"/>
        </w:rPr>
        <w:t xml:space="preserve">  </w:t>
      </w:r>
      <w:r>
        <w:rPr>
          <w:i/>
          <w:sz w:val="26"/>
          <w:szCs w:val="26"/>
        </w:rPr>
        <w:t>North American Electric Reliability Corp</w:t>
      </w:r>
      <w:r>
        <w:rPr>
          <w:sz w:val="26"/>
          <w:szCs w:val="26"/>
        </w:rPr>
        <w:t xml:space="preserve">., 116 FERC ¶ 61,062, </w:t>
      </w:r>
      <w:r>
        <w:rPr>
          <w:i/>
          <w:sz w:val="26"/>
          <w:szCs w:val="26"/>
        </w:rPr>
        <w:t>order on reh’g and compliance</w:t>
      </w:r>
      <w:r>
        <w:rPr>
          <w:sz w:val="26"/>
          <w:szCs w:val="26"/>
        </w:rPr>
        <w:t>, 117 FERC ¶ 61,126 (2006),</w:t>
      </w:r>
      <w:r>
        <w:rPr>
          <w:i/>
          <w:sz w:val="26"/>
          <w:szCs w:val="26"/>
        </w:rPr>
        <w:t xml:space="preserve"> order on compliance</w:t>
      </w:r>
      <w:r>
        <w:rPr>
          <w:sz w:val="26"/>
          <w:szCs w:val="26"/>
        </w:rPr>
        <w:t xml:space="preserve">, 118 FERC ¶ 61,190, </w:t>
      </w:r>
      <w:r>
        <w:rPr>
          <w:i/>
          <w:sz w:val="26"/>
          <w:szCs w:val="26"/>
        </w:rPr>
        <w:t>order on reh’g</w:t>
      </w:r>
      <w:r>
        <w:rPr>
          <w:sz w:val="26"/>
          <w:szCs w:val="26"/>
        </w:rPr>
        <w:t xml:space="preserve">, 119 FERC ¶ 61,046 (2007), </w:t>
      </w:r>
      <w:r>
        <w:rPr>
          <w:i/>
          <w:sz w:val="26"/>
          <w:szCs w:val="26"/>
        </w:rPr>
        <w:t>aff’d sub nom. Alcoa Inc. v. FERC</w:t>
      </w:r>
      <w:r>
        <w:rPr>
          <w:sz w:val="26"/>
          <w:szCs w:val="26"/>
        </w:rPr>
        <w:t>, 564 F.3d 1342 (D.C. Cir. 2009).</w:t>
      </w:r>
    </w:p>
  </w:footnote>
  <w:footnote w:id="5">
    <w:p w14:paraId="106A94B8" w14:textId="77777777" w:rsidR="003B548B" w:rsidRDefault="003B548B" w:rsidP="003B548B">
      <w:pPr>
        <w:pStyle w:val="FootnoteText"/>
        <w:rPr>
          <w:sz w:val="26"/>
          <w:szCs w:val="26"/>
        </w:rPr>
      </w:pPr>
      <w:r>
        <w:rPr>
          <w:rStyle w:val="FootnoteReference"/>
        </w:rPr>
        <w:footnoteRef/>
      </w:r>
      <w:r>
        <w:rPr>
          <w:sz w:val="26"/>
          <w:szCs w:val="26"/>
        </w:rPr>
        <w:t xml:space="preserve"> There are also regional BAL Reliability Standards.  They are not included in FERC-725R and are not discussed here.  The regional BAL Reliability Standards are covered under other OMB Control Nos.</w:t>
      </w:r>
    </w:p>
    <w:p w14:paraId="63D81050" w14:textId="77777777" w:rsidR="003B548B" w:rsidRDefault="003B548B" w:rsidP="003B548B">
      <w:pPr>
        <w:pStyle w:val="FootnoteText"/>
        <w:rPr>
          <w:sz w:val="26"/>
          <w:szCs w:val="26"/>
        </w:rPr>
      </w:pPr>
    </w:p>
  </w:footnote>
  <w:footnote w:id="6">
    <w:p w14:paraId="72F6B31D" w14:textId="77777777" w:rsidR="003B548B" w:rsidRDefault="003B548B" w:rsidP="003B548B">
      <w:pPr>
        <w:pStyle w:val="FootnoteText"/>
        <w:rPr>
          <w:rFonts w:eastAsia="Calibri"/>
          <w:color w:val="000000"/>
          <w:sz w:val="26"/>
          <w:szCs w:val="26"/>
        </w:rPr>
      </w:pPr>
      <w:r>
        <w:rPr>
          <w:rStyle w:val="FootnoteReference"/>
        </w:rPr>
        <w:footnoteRef/>
      </w:r>
      <w:r>
        <w:t xml:space="preserve"> </w:t>
      </w:r>
      <w:r>
        <w:rPr>
          <w:rFonts w:eastAsia="Calibri"/>
          <w:color w:val="000000"/>
          <w:sz w:val="26"/>
          <w:szCs w:val="26"/>
        </w:rPr>
        <w:t>It was approved in Docket No. RM14-10.</w:t>
      </w:r>
    </w:p>
    <w:p w14:paraId="7D424882" w14:textId="77777777" w:rsidR="003B548B" w:rsidRDefault="003B548B" w:rsidP="003B548B">
      <w:pPr>
        <w:pStyle w:val="FootnoteText"/>
      </w:pPr>
    </w:p>
  </w:footnote>
  <w:footnote w:id="7">
    <w:p w14:paraId="72E48F7F" w14:textId="77777777" w:rsidR="003B548B" w:rsidRDefault="003B548B" w:rsidP="003B548B">
      <w:pPr>
        <w:pStyle w:val="FootnoteText"/>
        <w:rPr>
          <w:sz w:val="26"/>
          <w:szCs w:val="26"/>
        </w:rPr>
      </w:pPr>
      <w:r>
        <w:rPr>
          <w:rStyle w:val="FootnoteReference"/>
        </w:rPr>
        <w:footnoteRef/>
      </w:r>
      <w:r>
        <w:rPr>
          <w:sz w:val="26"/>
          <w:szCs w:val="26"/>
        </w:rPr>
        <w:t xml:space="preserve"> Area Control Error is the “instantaneous difference between a Balancing Authority’s net actual and scheduled interchange, taking into accounts the effects of Frequency Bias, correction for meter error, and Automatic Time Error Correction (ATEC), if operating in the ATEC mode.  ATEC is only applicable to Balancing Authorities in the Western Interconnection.”  NERC Glossary.</w:t>
      </w:r>
    </w:p>
    <w:p w14:paraId="4561E71C" w14:textId="77777777" w:rsidR="003B548B" w:rsidRDefault="003B548B" w:rsidP="003B548B">
      <w:pPr>
        <w:pStyle w:val="FootnoteText"/>
        <w:rPr>
          <w:sz w:val="26"/>
          <w:szCs w:val="26"/>
        </w:rPr>
      </w:pPr>
    </w:p>
  </w:footnote>
  <w:footnote w:id="8">
    <w:p w14:paraId="57EBED45" w14:textId="77777777" w:rsidR="003B548B" w:rsidRDefault="003B548B" w:rsidP="003B548B">
      <w:pPr>
        <w:pStyle w:val="FootnoteText"/>
        <w:rPr>
          <w:rFonts w:eastAsia="Calibri"/>
          <w:color w:val="000000"/>
          <w:sz w:val="26"/>
          <w:szCs w:val="26"/>
        </w:rPr>
      </w:pPr>
      <w:r>
        <w:rPr>
          <w:rStyle w:val="FootnoteReference"/>
        </w:rPr>
        <w:footnoteRef/>
      </w:r>
      <w:r>
        <w:t xml:space="preserve"> </w:t>
      </w:r>
      <w:r>
        <w:rPr>
          <w:rFonts w:eastAsia="Calibri"/>
          <w:color w:val="000000"/>
          <w:sz w:val="26"/>
          <w:szCs w:val="26"/>
        </w:rPr>
        <w:t xml:space="preserve"> It was approved in  Docket No. RD18-7.</w:t>
      </w:r>
    </w:p>
    <w:p w14:paraId="10FA5094" w14:textId="77777777" w:rsidR="003B548B" w:rsidRDefault="003B548B" w:rsidP="003B548B">
      <w:pPr>
        <w:pStyle w:val="FootnoteText"/>
      </w:pPr>
    </w:p>
  </w:footnote>
  <w:footnote w:id="9">
    <w:p w14:paraId="6DF1EF71" w14:textId="77777777" w:rsidR="003B548B" w:rsidRDefault="003B548B" w:rsidP="003B548B">
      <w:pPr>
        <w:pStyle w:val="FootnoteText"/>
        <w:rPr>
          <w:sz w:val="26"/>
          <w:szCs w:val="26"/>
        </w:rPr>
      </w:pPr>
      <w:r>
        <w:rPr>
          <w:rStyle w:val="FootnoteReference"/>
        </w:rPr>
        <w:footnoteRef/>
      </w:r>
      <w:r>
        <w:rPr>
          <w:sz w:val="26"/>
          <w:szCs w:val="26"/>
        </w:rPr>
        <w:t xml:space="preserve"> It was approved in </w:t>
      </w:r>
      <w:r>
        <w:rPr>
          <w:rFonts w:eastAsia="Calibri"/>
          <w:color w:val="000000"/>
          <w:sz w:val="26"/>
          <w:szCs w:val="26"/>
        </w:rPr>
        <w:t>Docket No. RM16-13.</w:t>
      </w:r>
    </w:p>
  </w:footnote>
  <w:footnote w:id="10">
    <w:p w14:paraId="757BAC4C" w14:textId="77777777" w:rsidR="003B548B" w:rsidRDefault="003B548B" w:rsidP="003B548B">
      <w:pPr>
        <w:pStyle w:val="FootnoteText"/>
        <w:rPr>
          <w:sz w:val="26"/>
          <w:szCs w:val="26"/>
        </w:rPr>
      </w:pPr>
      <w:r>
        <w:rPr>
          <w:rStyle w:val="FootnoteReference"/>
        </w:rPr>
        <w:footnoteRef/>
      </w:r>
      <w:r>
        <w:rPr>
          <w:sz w:val="26"/>
          <w:szCs w:val="26"/>
        </w:rPr>
        <w:t xml:space="preserve"> The DLO is posted in eLibrary at </w:t>
      </w:r>
    </w:p>
    <w:p w14:paraId="248DCF54" w14:textId="77777777" w:rsidR="003B548B" w:rsidRDefault="00A34673" w:rsidP="003B548B">
      <w:pPr>
        <w:pStyle w:val="FootnoteText"/>
        <w:rPr>
          <w:sz w:val="26"/>
          <w:szCs w:val="26"/>
        </w:rPr>
      </w:pPr>
      <w:hyperlink r:id="rId1" w:history="1">
        <w:r w:rsidR="003B548B">
          <w:rPr>
            <w:rStyle w:val="Hyperlink"/>
          </w:rPr>
          <w:t>https://elibrary.ferc.gov/idmws/common/OpenNat.asp?fileID=15585069</w:t>
        </w:r>
      </w:hyperlink>
    </w:p>
    <w:p w14:paraId="6F579CC2" w14:textId="77777777" w:rsidR="003B548B" w:rsidRDefault="003B548B" w:rsidP="003B548B">
      <w:pPr>
        <w:pStyle w:val="FootnoteText"/>
        <w:rPr>
          <w:sz w:val="26"/>
          <w:szCs w:val="26"/>
        </w:rPr>
      </w:pPr>
    </w:p>
  </w:footnote>
  <w:footnote w:id="11">
    <w:p w14:paraId="0F25B71D" w14:textId="77A57718" w:rsidR="003B548B" w:rsidRDefault="003B548B" w:rsidP="003B548B">
      <w:pPr>
        <w:pStyle w:val="FootnoteText"/>
        <w:rPr>
          <w:sz w:val="26"/>
          <w:szCs w:val="26"/>
        </w:rPr>
      </w:pPr>
      <w:r>
        <w:rPr>
          <w:rStyle w:val="FootnoteReference"/>
        </w:rPr>
        <w:footnoteRef/>
      </w:r>
      <w:r>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1320.3.</w:t>
      </w:r>
    </w:p>
    <w:p w14:paraId="21D6C6A9" w14:textId="77777777" w:rsidR="00BC23AE" w:rsidRDefault="00BC23AE" w:rsidP="003B548B">
      <w:pPr>
        <w:pStyle w:val="FootnoteText"/>
        <w:rPr>
          <w:sz w:val="26"/>
          <w:szCs w:val="26"/>
        </w:rPr>
      </w:pPr>
    </w:p>
  </w:footnote>
  <w:footnote w:id="12">
    <w:p w14:paraId="34EE9818" w14:textId="77777777" w:rsidR="003B548B" w:rsidRDefault="003B548B" w:rsidP="003B548B">
      <w:pPr>
        <w:pStyle w:val="FootnoteText"/>
        <w:spacing w:after="240"/>
        <w:rPr>
          <w:sz w:val="26"/>
          <w:szCs w:val="26"/>
        </w:rPr>
      </w:pPr>
      <w:r>
        <w:rPr>
          <w:rStyle w:val="FootnoteReference"/>
        </w:rPr>
        <w:footnoteRef/>
      </w:r>
      <w:r>
        <w:t xml:space="preserve"> </w:t>
      </w:r>
      <w:bookmarkStart w:id="2" w:name="_Hlk47956318"/>
      <w:r>
        <w:rPr>
          <w:sz w:val="26"/>
          <w:szCs w:val="26"/>
        </w:rPr>
        <w:t xml:space="preserve">NERC Compliance Registry (July 17, 2020), </w:t>
      </w:r>
      <w:r>
        <w:rPr>
          <w:i/>
          <w:sz w:val="26"/>
          <w:szCs w:val="26"/>
        </w:rPr>
        <w:t xml:space="preserve">available at </w:t>
      </w:r>
      <w:r>
        <w:t xml:space="preserve"> </w:t>
      </w:r>
      <w:hyperlink r:id="rId2" w:history="1">
        <w:r>
          <w:rPr>
            <w:rStyle w:val="Hyperlink"/>
          </w:rPr>
          <w:t>https://www.nerc.com/pa/comp/Registration%20and%20Certification%20DL/NERC_Compliance_Registry_Matrix_Excel.xlsx</w:t>
        </w:r>
      </w:hyperlink>
      <w:bookmarkEnd w:id="2"/>
      <w:r>
        <w:rPr>
          <w:sz w:val="26"/>
          <w:szCs w:val="26"/>
        </w:rPr>
        <w:t xml:space="preserve"> </w:t>
      </w:r>
    </w:p>
  </w:footnote>
  <w:footnote w:id="13">
    <w:p w14:paraId="404DB247" w14:textId="3EA68A30" w:rsidR="003B548B" w:rsidRDefault="003B548B" w:rsidP="003B548B">
      <w:pPr>
        <w:pStyle w:val="FootnoteText"/>
        <w:rPr>
          <w:sz w:val="26"/>
          <w:szCs w:val="26"/>
        </w:rPr>
      </w:pPr>
      <w:r>
        <w:rPr>
          <w:rStyle w:val="FootnoteReference"/>
        </w:rPr>
        <w:footnoteRef/>
      </w:r>
      <w:r w:rsidRPr="001A09A7">
        <w:rPr>
          <w:sz w:val="26"/>
          <w:szCs w:val="26"/>
        </w:rPr>
        <w:t xml:space="preserve">The hourly cost estimates are based on wage data from the Bureau of Labor Statistics for May 2019 (at </w:t>
      </w:r>
      <w:hyperlink r:id="rId3" w:history="1">
        <w:r w:rsidRPr="001A09A7">
          <w:rPr>
            <w:rStyle w:val="Hyperlink"/>
            <w:sz w:val="26"/>
          </w:rPr>
          <w:t>https://www.bls.gov/oes/current/naics2_22.htm</w:t>
        </w:r>
      </w:hyperlink>
      <w:r w:rsidRPr="001A09A7">
        <w:rPr>
          <w:sz w:val="26"/>
          <w:szCs w:val="26"/>
        </w:rPr>
        <w:t xml:space="preserve">) and benefits data for Dec. 2019 (issued March 2020, at </w:t>
      </w:r>
      <w:hyperlink r:id="rId4" w:history="1">
        <w:r w:rsidRPr="001A09A7">
          <w:rPr>
            <w:rStyle w:val="Hyperlink"/>
            <w:sz w:val="26"/>
          </w:rPr>
          <w:t>https://www.bls.gov/news.release/ecec.nr0.htm</w:t>
        </w:r>
      </w:hyperlink>
      <w:r w:rsidRPr="001A09A7">
        <w:rPr>
          <w:sz w:val="26"/>
          <w:szCs w:val="26"/>
        </w:rPr>
        <w:t xml:space="preserve">).  </w:t>
      </w:r>
      <w:r w:rsidR="00F904E7">
        <w:rPr>
          <w:sz w:val="26"/>
          <w:szCs w:val="26"/>
        </w:rPr>
        <w:t>For reporting requirements, t</w:t>
      </w:r>
      <w:r w:rsidRPr="001A09A7">
        <w:rPr>
          <w:sz w:val="26"/>
          <w:szCs w:val="26"/>
        </w:rPr>
        <w:t xml:space="preserve">he </w:t>
      </w:r>
      <w:r w:rsidR="00F904E7">
        <w:rPr>
          <w:sz w:val="26"/>
          <w:szCs w:val="26"/>
        </w:rPr>
        <w:t xml:space="preserve">estimated </w:t>
      </w:r>
      <w:r w:rsidRPr="001A09A7">
        <w:rPr>
          <w:sz w:val="26"/>
          <w:szCs w:val="26"/>
        </w:rPr>
        <w:t>hourly cost</w:t>
      </w:r>
      <w:r w:rsidR="00F904E7">
        <w:rPr>
          <w:sz w:val="26"/>
          <w:szCs w:val="26"/>
        </w:rPr>
        <w:t xml:space="preserve"> is $70.19, based on the </w:t>
      </w:r>
      <w:r w:rsidRPr="001A09A7">
        <w:rPr>
          <w:sz w:val="26"/>
          <w:szCs w:val="26"/>
        </w:rPr>
        <w:t>wages and benefits</w:t>
      </w:r>
      <w:r w:rsidR="00F904E7">
        <w:rPr>
          <w:sz w:val="26"/>
          <w:szCs w:val="26"/>
        </w:rPr>
        <w:t xml:space="preserve"> f</w:t>
      </w:r>
      <w:r w:rsidRPr="001A09A7">
        <w:rPr>
          <w:sz w:val="26"/>
          <w:szCs w:val="26"/>
        </w:rPr>
        <w:t xml:space="preserve">or </w:t>
      </w:r>
      <w:r w:rsidR="003B7C6A">
        <w:rPr>
          <w:sz w:val="26"/>
          <w:szCs w:val="26"/>
        </w:rPr>
        <w:t>Occupation Code 17-2071 (</w:t>
      </w:r>
      <w:r w:rsidRPr="001A09A7">
        <w:rPr>
          <w:sz w:val="26"/>
          <w:szCs w:val="26"/>
        </w:rPr>
        <w:t>Electrical Engineer</w:t>
      </w:r>
      <w:r w:rsidR="003B7C6A">
        <w:rPr>
          <w:sz w:val="26"/>
          <w:szCs w:val="26"/>
        </w:rPr>
        <w:t>).</w:t>
      </w:r>
      <w:r w:rsidR="00F904E7">
        <w:rPr>
          <w:sz w:val="26"/>
          <w:szCs w:val="26"/>
        </w:rPr>
        <w:t xml:space="preserve">  For recordkeeping requirements, the estimated hourly cost </w:t>
      </w:r>
      <w:r w:rsidR="00712C2C">
        <w:rPr>
          <w:sz w:val="26"/>
          <w:szCs w:val="26"/>
        </w:rPr>
        <w:t>is</w:t>
      </w:r>
      <w:r w:rsidR="00F904E7">
        <w:rPr>
          <w:sz w:val="26"/>
          <w:szCs w:val="26"/>
        </w:rPr>
        <w:t xml:space="preserve"> $41.03, based on the wages and benefits fo</w:t>
      </w:r>
      <w:r w:rsidR="003B7C6A">
        <w:rPr>
          <w:sz w:val="26"/>
          <w:szCs w:val="26"/>
        </w:rPr>
        <w:t>r Occupation Code 43-4199 (I</w:t>
      </w:r>
      <w:r w:rsidRPr="001A09A7">
        <w:rPr>
          <w:sz w:val="26"/>
          <w:szCs w:val="26"/>
        </w:rPr>
        <w:t>nformation and Record Clerk</w:t>
      </w:r>
      <w:r w:rsidR="003B7C6A">
        <w:rPr>
          <w:sz w:val="26"/>
          <w:szCs w:val="26"/>
        </w:rPr>
        <w:t>).</w:t>
      </w:r>
      <w:r w:rsidR="00846396">
        <w:rPr>
          <w:sz w:val="26"/>
          <w:szCs w:val="26"/>
        </w:rPr>
        <w:t xml:space="preserve">  </w:t>
      </w:r>
    </w:p>
    <w:p w14:paraId="7FBD144C" w14:textId="77777777" w:rsidR="003B548B" w:rsidRDefault="003B548B" w:rsidP="003B548B">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911C" w14:textId="77777777" w:rsidR="00C22279" w:rsidRDefault="00C22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588207"/>
      <w:docPartObj>
        <w:docPartGallery w:val="Page Numbers (Top of Page)"/>
        <w:docPartUnique/>
      </w:docPartObj>
    </w:sdtPr>
    <w:sdtEndPr>
      <w:rPr>
        <w:noProof/>
      </w:rPr>
    </w:sdtEndPr>
    <w:sdtContent>
      <w:p w14:paraId="14BCC816" w14:textId="7C81B39E" w:rsidR="000A29E9" w:rsidRDefault="000A29E9">
        <w:pPr>
          <w:pStyle w:val="Header"/>
        </w:pPr>
        <w:r>
          <w:t>Docket No. IC2</w:t>
        </w:r>
        <w:r w:rsidR="00065B10">
          <w:t>0-23-000 and RD20-9-000</w:t>
        </w:r>
        <w:r>
          <w:tab/>
        </w:r>
        <w:r>
          <w:fldChar w:fldCharType="begin"/>
        </w:r>
        <w:r>
          <w:instrText xml:space="preserve"> PAGE   \* MERGEFORMAT </w:instrText>
        </w:r>
        <w:r>
          <w:fldChar w:fldCharType="separate"/>
        </w:r>
        <w:r>
          <w:rPr>
            <w:noProof/>
          </w:rPr>
          <w:t>2</w:t>
        </w:r>
        <w:r>
          <w:rPr>
            <w:noProof/>
          </w:rPr>
          <w:fldChar w:fldCharType="end"/>
        </w:r>
      </w:p>
    </w:sdtContent>
  </w:sdt>
  <w:p w14:paraId="10170C13" w14:textId="7BC37718" w:rsidR="00BF2D74" w:rsidRDefault="00BF2D74" w:rsidP="00C9709D">
    <w:pPr>
      <w:pStyle w:val="Header"/>
      <w:tabs>
        <w:tab w:val="left" w:pos="2837"/>
        <w:tab w:val="left" w:pos="3194"/>
        <w:tab w:val="left" w:pos="3422"/>
        <w:tab w:val="left" w:pos="3785"/>
        <w:tab w:val="left" w:pos="4149"/>
        <w:tab w:val="left" w:pos="4384"/>
        <w:tab w:val="left" w:pos="56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6CF" w14:textId="7534B6DD" w:rsidR="00291829" w:rsidRDefault="0061610C" w:rsidP="00C9709D">
    <w:pPr>
      <w:pStyle w:val="Header"/>
      <w:tabs>
        <w:tab w:val="left" w:pos="3386"/>
        <w:tab w:val="left" w:pos="3621"/>
        <w:tab w:val="left" w:pos="4484"/>
      </w:tabs>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66923E7A"/>
    <w:multiLevelType w:val="hybridMultilevel"/>
    <w:tmpl w:val="0A9E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1F34"/>
    <w:rsid w:val="000122E1"/>
    <w:rsid w:val="00013EAE"/>
    <w:rsid w:val="00023EA9"/>
    <w:rsid w:val="000241AE"/>
    <w:rsid w:val="00030448"/>
    <w:rsid w:val="00034C49"/>
    <w:rsid w:val="00035081"/>
    <w:rsid w:val="000351D2"/>
    <w:rsid w:val="000459B6"/>
    <w:rsid w:val="00056C5D"/>
    <w:rsid w:val="00062427"/>
    <w:rsid w:val="00065B10"/>
    <w:rsid w:val="00093A06"/>
    <w:rsid w:val="00096CAD"/>
    <w:rsid w:val="000A0250"/>
    <w:rsid w:val="000A29E9"/>
    <w:rsid w:val="000A3D28"/>
    <w:rsid w:val="000A7E68"/>
    <w:rsid w:val="000C542C"/>
    <w:rsid w:val="000D08C4"/>
    <w:rsid w:val="000E2568"/>
    <w:rsid w:val="000E27B5"/>
    <w:rsid w:val="000F0B0E"/>
    <w:rsid w:val="00101EAA"/>
    <w:rsid w:val="00115ED8"/>
    <w:rsid w:val="00120A78"/>
    <w:rsid w:val="00121B28"/>
    <w:rsid w:val="0015578A"/>
    <w:rsid w:val="00155DE9"/>
    <w:rsid w:val="001564B7"/>
    <w:rsid w:val="00156BBB"/>
    <w:rsid w:val="001600DF"/>
    <w:rsid w:val="00171725"/>
    <w:rsid w:val="00181BF7"/>
    <w:rsid w:val="001A0782"/>
    <w:rsid w:val="001A09A7"/>
    <w:rsid w:val="001A6AD6"/>
    <w:rsid w:val="001B78B8"/>
    <w:rsid w:val="001E6510"/>
    <w:rsid w:val="001F0DF4"/>
    <w:rsid w:val="00215F90"/>
    <w:rsid w:val="002233A2"/>
    <w:rsid w:val="002246D0"/>
    <w:rsid w:val="00224BF2"/>
    <w:rsid w:val="00232FBA"/>
    <w:rsid w:val="002353BE"/>
    <w:rsid w:val="00240834"/>
    <w:rsid w:val="00254C99"/>
    <w:rsid w:val="002602DB"/>
    <w:rsid w:val="0026386F"/>
    <w:rsid w:val="0027452E"/>
    <w:rsid w:val="00291829"/>
    <w:rsid w:val="00291A43"/>
    <w:rsid w:val="00293D56"/>
    <w:rsid w:val="002B7AA8"/>
    <w:rsid w:val="002D5237"/>
    <w:rsid w:val="002E0351"/>
    <w:rsid w:val="002F24E8"/>
    <w:rsid w:val="002F3E94"/>
    <w:rsid w:val="002F697A"/>
    <w:rsid w:val="003060F0"/>
    <w:rsid w:val="0030745F"/>
    <w:rsid w:val="00310EFC"/>
    <w:rsid w:val="00311D90"/>
    <w:rsid w:val="003149BC"/>
    <w:rsid w:val="003316C1"/>
    <w:rsid w:val="00332888"/>
    <w:rsid w:val="00335280"/>
    <w:rsid w:val="0034195C"/>
    <w:rsid w:val="00343A03"/>
    <w:rsid w:val="00347056"/>
    <w:rsid w:val="00361371"/>
    <w:rsid w:val="00363638"/>
    <w:rsid w:val="003673EC"/>
    <w:rsid w:val="00376525"/>
    <w:rsid w:val="00390EAB"/>
    <w:rsid w:val="003960E0"/>
    <w:rsid w:val="003A1A72"/>
    <w:rsid w:val="003A3189"/>
    <w:rsid w:val="003A36D4"/>
    <w:rsid w:val="003B4658"/>
    <w:rsid w:val="003B4D7C"/>
    <w:rsid w:val="003B548B"/>
    <w:rsid w:val="003B7C6A"/>
    <w:rsid w:val="003C3E7A"/>
    <w:rsid w:val="003C5CBE"/>
    <w:rsid w:val="003C7BC3"/>
    <w:rsid w:val="003E44AD"/>
    <w:rsid w:val="003E4B7C"/>
    <w:rsid w:val="003E61D5"/>
    <w:rsid w:val="003F2920"/>
    <w:rsid w:val="004023AF"/>
    <w:rsid w:val="0040718A"/>
    <w:rsid w:val="00425D7E"/>
    <w:rsid w:val="00427BB9"/>
    <w:rsid w:val="00443282"/>
    <w:rsid w:val="0045734B"/>
    <w:rsid w:val="00462A82"/>
    <w:rsid w:val="004759C4"/>
    <w:rsid w:val="00485A51"/>
    <w:rsid w:val="004879AA"/>
    <w:rsid w:val="0049480F"/>
    <w:rsid w:val="004B2740"/>
    <w:rsid w:val="004B7B57"/>
    <w:rsid w:val="004C63CF"/>
    <w:rsid w:val="004C70C8"/>
    <w:rsid w:val="004C77EF"/>
    <w:rsid w:val="004C7EB3"/>
    <w:rsid w:val="004D27A2"/>
    <w:rsid w:val="004F26DA"/>
    <w:rsid w:val="004F30CC"/>
    <w:rsid w:val="005126C9"/>
    <w:rsid w:val="00513DA8"/>
    <w:rsid w:val="00514B50"/>
    <w:rsid w:val="00516493"/>
    <w:rsid w:val="0054073B"/>
    <w:rsid w:val="0054746C"/>
    <w:rsid w:val="005538EF"/>
    <w:rsid w:val="00564BD9"/>
    <w:rsid w:val="00576BCA"/>
    <w:rsid w:val="00585F73"/>
    <w:rsid w:val="005A0148"/>
    <w:rsid w:val="005A2F24"/>
    <w:rsid w:val="005A3F56"/>
    <w:rsid w:val="005B4DA4"/>
    <w:rsid w:val="005B5FDC"/>
    <w:rsid w:val="005C6D4E"/>
    <w:rsid w:val="005D16A1"/>
    <w:rsid w:val="005E1C57"/>
    <w:rsid w:val="005E6D8A"/>
    <w:rsid w:val="005F3DAA"/>
    <w:rsid w:val="005F530C"/>
    <w:rsid w:val="005F726F"/>
    <w:rsid w:val="005F729D"/>
    <w:rsid w:val="006128A5"/>
    <w:rsid w:val="00613DC0"/>
    <w:rsid w:val="006144F3"/>
    <w:rsid w:val="0061610C"/>
    <w:rsid w:val="00616840"/>
    <w:rsid w:val="00634374"/>
    <w:rsid w:val="00637F43"/>
    <w:rsid w:val="00641D33"/>
    <w:rsid w:val="00642602"/>
    <w:rsid w:val="00642803"/>
    <w:rsid w:val="006436CD"/>
    <w:rsid w:val="00644A1B"/>
    <w:rsid w:val="00650FA1"/>
    <w:rsid w:val="006536D8"/>
    <w:rsid w:val="00654BA4"/>
    <w:rsid w:val="00680D78"/>
    <w:rsid w:val="0068456B"/>
    <w:rsid w:val="00695E65"/>
    <w:rsid w:val="006963BC"/>
    <w:rsid w:val="006A1AC2"/>
    <w:rsid w:val="006A34AE"/>
    <w:rsid w:val="006A423E"/>
    <w:rsid w:val="006B170D"/>
    <w:rsid w:val="006C6B0C"/>
    <w:rsid w:val="006D41D4"/>
    <w:rsid w:val="006E10F4"/>
    <w:rsid w:val="006E75AA"/>
    <w:rsid w:val="006E7CBB"/>
    <w:rsid w:val="007100F3"/>
    <w:rsid w:val="00712C2C"/>
    <w:rsid w:val="00714F57"/>
    <w:rsid w:val="00727C5E"/>
    <w:rsid w:val="00735B3B"/>
    <w:rsid w:val="00741C80"/>
    <w:rsid w:val="00747ABD"/>
    <w:rsid w:val="0075009F"/>
    <w:rsid w:val="00754526"/>
    <w:rsid w:val="00765EF8"/>
    <w:rsid w:val="00782ACA"/>
    <w:rsid w:val="00784FD5"/>
    <w:rsid w:val="007B1609"/>
    <w:rsid w:val="007B588C"/>
    <w:rsid w:val="007C1916"/>
    <w:rsid w:val="007C6AC2"/>
    <w:rsid w:val="007C729C"/>
    <w:rsid w:val="00803CA2"/>
    <w:rsid w:val="00807CAC"/>
    <w:rsid w:val="00810D18"/>
    <w:rsid w:val="008115BF"/>
    <w:rsid w:val="00812B30"/>
    <w:rsid w:val="0082052B"/>
    <w:rsid w:val="00824D81"/>
    <w:rsid w:val="00836DF9"/>
    <w:rsid w:val="00846396"/>
    <w:rsid w:val="00853ABC"/>
    <w:rsid w:val="0085777D"/>
    <w:rsid w:val="008677EE"/>
    <w:rsid w:val="00874045"/>
    <w:rsid w:val="00874804"/>
    <w:rsid w:val="00881405"/>
    <w:rsid w:val="008878A8"/>
    <w:rsid w:val="0089069F"/>
    <w:rsid w:val="00895DA2"/>
    <w:rsid w:val="00897359"/>
    <w:rsid w:val="00897D19"/>
    <w:rsid w:val="008A020E"/>
    <w:rsid w:val="008B6E06"/>
    <w:rsid w:val="008C572B"/>
    <w:rsid w:val="008D25B7"/>
    <w:rsid w:val="008D300A"/>
    <w:rsid w:val="008D5479"/>
    <w:rsid w:val="008E0DF5"/>
    <w:rsid w:val="008E3273"/>
    <w:rsid w:val="008E5123"/>
    <w:rsid w:val="008E7400"/>
    <w:rsid w:val="008F62B1"/>
    <w:rsid w:val="009179E9"/>
    <w:rsid w:val="00937284"/>
    <w:rsid w:val="00940C0F"/>
    <w:rsid w:val="009447AE"/>
    <w:rsid w:val="0095311D"/>
    <w:rsid w:val="00954CCB"/>
    <w:rsid w:val="00965E90"/>
    <w:rsid w:val="009744C8"/>
    <w:rsid w:val="00981886"/>
    <w:rsid w:val="009843D6"/>
    <w:rsid w:val="00990FEC"/>
    <w:rsid w:val="009A070E"/>
    <w:rsid w:val="009A1B08"/>
    <w:rsid w:val="009A6E91"/>
    <w:rsid w:val="009B28FB"/>
    <w:rsid w:val="009B4450"/>
    <w:rsid w:val="009C25C4"/>
    <w:rsid w:val="009C4590"/>
    <w:rsid w:val="009C4A13"/>
    <w:rsid w:val="009E5557"/>
    <w:rsid w:val="009E66F8"/>
    <w:rsid w:val="009F21C6"/>
    <w:rsid w:val="009F7695"/>
    <w:rsid w:val="009F7DE3"/>
    <w:rsid w:val="00A014F7"/>
    <w:rsid w:val="00A038F9"/>
    <w:rsid w:val="00A07592"/>
    <w:rsid w:val="00A1094B"/>
    <w:rsid w:val="00A1585A"/>
    <w:rsid w:val="00A2604E"/>
    <w:rsid w:val="00A34673"/>
    <w:rsid w:val="00A43A4A"/>
    <w:rsid w:val="00A507F0"/>
    <w:rsid w:val="00A664DF"/>
    <w:rsid w:val="00A713D0"/>
    <w:rsid w:val="00A72814"/>
    <w:rsid w:val="00A759B3"/>
    <w:rsid w:val="00A82A29"/>
    <w:rsid w:val="00A8690F"/>
    <w:rsid w:val="00A86D9E"/>
    <w:rsid w:val="00AA372F"/>
    <w:rsid w:val="00AA4050"/>
    <w:rsid w:val="00AA4342"/>
    <w:rsid w:val="00AA516A"/>
    <w:rsid w:val="00AA5B0E"/>
    <w:rsid w:val="00AC750B"/>
    <w:rsid w:val="00AC77B8"/>
    <w:rsid w:val="00AD4128"/>
    <w:rsid w:val="00AD4639"/>
    <w:rsid w:val="00AE1F12"/>
    <w:rsid w:val="00AE3A78"/>
    <w:rsid w:val="00AE4155"/>
    <w:rsid w:val="00AE4B7C"/>
    <w:rsid w:val="00AF15FA"/>
    <w:rsid w:val="00AF349B"/>
    <w:rsid w:val="00B01B16"/>
    <w:rsid w:val="00B05190"/>
    <w:rsid w:val="00B15E54"/>
    <w:rsid w:val="00B17479"/>
    <w:rsid w:val="00B22DCB"/>
    <w:rsid w:val="00B2382E"/>
    <w:rsid w:val="00B27FCA"/>
    <w:rsid w:val="00B447D7"/>
    <w:rsid w:val="00B46F03"/>
    <w:rsid w:val="00B5066A"/>
    <w:rsid w:val="00B542C6"/>
    <w:rsid w:val="00B56453"/>
    <w:rsid w:val="00B56882"/>
    <w:rsid w:val="00B60FE8"/>
    <w:rsid w:val="00B65A09"/>
    <w:rsid w:val="00B76A1F"/>
    <w:rsid w:val="00B82F8C"/>
    <w:rsid w:val="00BA0FBC"/>
    <w:rsid w:val="00BA5479"/>
    <w:rsid w:val="00BB7D82"/>
    <w:rsid w:val="00BC200B"/>
    <w:rsid w:val="00BC23AE"/>
    <w:rsid w:val="00BD1DD2"/>
    <w:rsid w:val="00BD74AE"/>
    <w:rsid w:val="00BE3FE7"/>
    <w:rsid w:val="00BE6186"/>
    <w:rsid w:val="00BF29D8"/>
    <w:rsid w:val="00BF2D74"/>
    <w:rsid w:val="00BF38BC"/>
    <w:rsid w:val="00BF40E6"/>
    <w:rsid w:val="00BF4CC8"/>
    <w:rsid w:val="00C1124F"/>
    <w:rsid w:val="00C15253"/>
    <w:rsid w:val="00C22279"/>
    <w:rsid w:val="00C37BFF"/>
    <w:rsid w:val="00C44A1C"/>
    <w:rsid w:val="00C51458"/>
    <w:rsid w:val="00C53580"/>
    <w:rsid w:val="00C55838"/>
    <w:rsid w:val="00C57C9D"/>
    <w:rsid w:val="00C626B4"/>
    <w:rsid w:val="00C728C5"/>
    <w:rsid w:val="00C77EF7"/>
    <w:rsid w:val="00C81A97"/>
    <w:rsid w:val="00C820F1"/>
    <w:rsid w:val="00C848C6"/>
    <w:rsid w:val="00C91512"/>
    <w:rsid w:val="00C9709D"/>
    <w:rsid w:val="00CA542E"/>
    <w:rsid w:val="00CA6636"/>
    <w:rsid w:val="00CA6D76"/>
    <w:rsid w:val="00CB7448"/>
    <w:rsid w:val="00CD37C7"/>
    <w:rsid w:val="00CD57EB"/>
    <w:rsid w:val="00CD5C97"/>
    <w:rsid w:val="00CD786C"/>
    <w:rsid w:val="00CE3598"/>
    <w:rsid w:val="00CF4753"/>
    <w:rsid w:val="00CF71E0"/>
    <w:rsid w:val="00D0083B"/>
    <w:rsid w:val="00D06653"/>
    <w:rsid w:val="00D31BA5"/>
    <w:rsid w:val="00D42209"/>
    <w:rsid w:val="00D44183"/>
    <w:rsid w:val="00D50830"/>
    <w:rsid w:val="00D6431C"/>
    <w:rsid w:val="00D9761F"/>
    <w:rsid w:val="00DA529F"/>
    <w:rsid w:val="00DB6487"/>
    <w:rsid w:val="00DC5017"/>
    <w:rsid w:val="00DD18FF"/>
    <w:rsid w:val="00DD2ED3"/>
    <w:rsid w:val="00DD796D"/>
    <w:rsid w:val="00DD7F1B"/>
    <w:rsid w:val="00DF32D6"/>
    <w:rsid w:val="00E00865"/>
    <w:rsid w:val="00E024B6"/>
    <w:rsid w:val="00E13A02"/>
    <w:rsid w:val="00E2304E"/>
    <w:rsid w:val="00E3207C"/>
    <w:rsid w:val="00E34382"/>
    <w:rsid w:val="00E41DB9"/>
    <w:rsid w:val="00E63318"/>
    <w:rsid w:val="00E762BB"/>
    <w:rsid w:val="00E77B33"/>
    <w:rsid w:val="00E8455A"/>
    <w:rsid w:val="00E8661B"/>
    <w:rsid w:val="00E91FD5"/>
    <w:rsid w:val="00E950DF"/>
    <w:rsid w:val="00EA6337"/>
    <w:rsid w:val="00EA689F"/>
    <w:rsid w:val="00EB4933"/>
    <w:rsid w:val="00EB749E"/>
    <w:rsid w:val="00EE0981"/>
    <w:rsid w:val="00EF1D00"/>
    <w:rsid w:val="00EF2866"/>
    <w:rsid w:val="00EF33BE"/>
    <w:rsid w:val="00F0383C"/>
    <w:rsid w:val="00F11631"/>
    <w:rsid w:val="00F24AB0"/>
    <w:rsid w:val="00F309CB"/>
    <w:rsid w:val="00F44A0E"/>
    <w:rsid w:val="00F453EE"/>
    <w:rsid w:val="00F62A51"/>
    <w:rsid w:val="00F8646E"/>
    <w:rsid w:val="00F904E7"/>
    <w:rsid w:val="00F9675E"/>
    <w:rsid w:val="00FC3F00"/>
    <w:rsid w:val="00FC4AE0"/>
    <w:rsid w:val="00FE4B8E"/>
    <w:rsid w:val="00FF1D71"/>
    <w:rsid w:val="00FF4B42"/>
    <w:rsid w:val="00FF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nhideWhenUsed/>
    <w:rsid w:val="00B01B16"/>
    <w:rPr>
      <w:sz w:val="16"/>
      <w:szCs w:val="16"/>
    </w:rPr>
  </w:style>
  <w:style w:type="paragraph" w:styleId="CommentText">
    <w:name w:val="annotation text"/>
    <w:basedOn w:val="Normal"/>
    <w:link w:val="CommentTextChar"/>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378167915">
      <w:bodyDiv w:val="1"/>
      <w:marLeft w:val="0"/>
      <w:marRight w:val="0"/>
      <w:marTop w:val="0"/>
      <w:marBottom w:val="0"/>
      <w:divBdr>
        <w:top w:val="none" w:sz="0" w:space="0" w:color="auto"/>
        <w:left w:val="none" w:sz="0" w:space="0" w:color="auto"/>
        <w:bottom w:val="none" w:sz="0" w:space="0" w:color="auto"/>
        <w:right w:val="none" w:sz="0" w:space="0" w:color="auto"/>
      </w:divBdr>
    </w:div>
    <w:div w:id="1596094632">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2_22.htm" TargetMode="External"/><Relationship Id="rId2" Type="http://schemas.openxmlformats.org/officeDocument/2006/relationships/hyperlink" Target="https://www.nerc.com/pa/comp/Registration%20and%20Certification%20DL/NERC_Compliance_Registry_Matrix_Excel.xlsx" TargetMode="External"/><Relationship Id="rId1" Type="http://schemas.openxmlformats.org/officeDocument/2006/relationships/hyperlink" Target="https://elibrary.ferc.gov/idmws/common/OpenNat.asp?fileID=15585069"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62E1DFB6D69D4983BED8CA804A90D7" ma:contentTypeVersion="0" ma:contentTypeDescription="Create a new document." ma:contentTypeScope="" ma:versionID="b2b59ea85ed96a0f988dec2a13ba52b7">
  <xsd:schema xmlns:xsd="http://www.w3.org/2001/XMLSchema" xmlns:xs="http://www.w3.org/2001/XMLSchema" xmlns:p="http://schemas.microsoft.com/office/2006/metadata/properties" targetNamespace="http://schemas.microsoft.com/office/2006/metadata/properties" ma:root="true" ma:fieldsID="2341298396067f5d70212a1b4ccb31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9509BFC7-9F41-4CA8-B54E-1E0B93ADA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722D68EA-3E93-4256-92C2-44E85565F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Jean Sonneman</cp:lastModifiedBy>
  <cp:revision>2</cp:revision>
  <cp:lastPrinted>2016-12-20T13:40:00Z</cp:lastPrinted>
  <dcterms:created xsi:type="dcterms:W3CDTF">2020-12-30T21:28:00Z</dcterms:created>
  <dcterms:modified xsi:type="dcterms:W3CDTF">2020-12-30T21:28:00Z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0x0101006C62E1DFB6D69D4983BED8CA804A90D7</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Jean.Sonneman@ferc.gov</vt:lpwstr>
  </property>
  <property fmtid="{D5CDD505-2E9C-101B-9397-08002B2CF9AE}" pid="6" name="MSIP_Label_6155a89b-0f08-4a93-8ea2-8a916d6643b5_SetDate">
    <vt:lpwstr>2020-10-15T16:34:49.9431297Z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41a649f1-ae48-404d-a28b-44a4d58dbd31</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