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E81577" w14:paraId="4B40E490" w14:textId="43D82C8D">
      <w:r>
        <w:t>Initial Response, Test Rules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E81577" w:rsidP="00E81577" w:rsidRDefault="00DE3D18" w14:paraId="69AB727F" w14:textId="77777777"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 </w:t>
      </w:r>
      <w:r w:rsidR="00E81577">
        <w:t xml:space="preserve">The letter of intent is an initial response made by respondents after EPA promulgates a test rule </w:t>
      </w:r>
      <w:bookmarkStart w:name="_Hlk23491949" w:id="0"/>
      <w:r w:rsidR="00E81577">
        <w:t>and it formally acknowledges that the respondent intends to sponsor required testing under the rule</w:t>
      </w:r>
      <w:bookmarkEnd w:id="0"/>
      <w:r w:rsidR="00E81577">
        <w:t>. A</w:t>
      </w:r>
      <w:r w:rsidRPr="004E49E2" w:rsidR="00E81577">
        <w:t>n entity subject to a test rule</w:t>
      </w:r>
      <w:r w:rsidR="00E81577">
        <w:t xml:space="preserve"> </w:t>
      </w:r>
      <w:r w:rsidRPr="004E49E2" w:rsidR="00E81577">
        <w:t xml:space="preserve">may apply for an exemption from </w:t>
      </w:r>
      <w:r w:rsidR="00E81577">
        <w:t xml:space="preserve">one or all of </w:t>
      </w:r>
      <w:r w:rsidRPr="004E49E2" w:rsidR="00E81577">
        <w:t>the testing requirement</w:t>
      </w:r>
      <w:r w:rsidR="00E81577">
        <w:t>s</w:t>
      </w:r>
      <w:r w:rsidRPr="004E49E2" w:rsidR="00E81577">
        <w:t xml:space="preserve"> </w:t>
      </w:r>
      <w:r w:rsidR="00E81577">
        <w:t xml:space="preserve">imposed in a test rule </w:t>
      </w:r>
      <w:r w:rsidRPr="004E49E2" w:rsidR="00E81577">
        <w:t>if that testing will be</w:t>
      </w:r>
      <w:r w:rsidR="00E81577">
        <w:t>,</w:t>
      </w:r>
      <w:r w:rsidRPr="004E49E2" w:rsidR="00E81577">
        <w:t xml:space="preserve"> or has been</w:t>
      </w:r>
      <w:r w:rsidR="00E81577">
        <w:t>,</w:t>
      </w:r>
      <w:r w:rsidRPr="004E49E2" w:rsidR="00E81577">
        <w:t xml:space="preserve"> performed by another </w:t>
      </w:r>
      <w:r w:rsidR="00E81577">
        <w:t xml:space="preserve">entity subject to the rule. </w:t>
      </w:r>
    </w:p>
    <w:p w:rsidR="004D6E14" w:rsidP="00E81577" w:rsidRDefault="00E81577" w14:paraId="2482DC5A" w14:textId="034B8A56">
      <w:pPr>
        <w:pStyle w:val="Header"/>
        <w:tabs>
          <w:tab w:val="clear" w:pos="4320"/>
          <w:tab w:val="clear" w:pos="8640"/>
        </w:tabs>
      </w:pPr>
      <w:r>
        <w:t>It is difficult to predict how many exemption applications might be submitted to EPA in any one year. EPA changes this assumption to a per-chemical basis at three per chemical undergoing testing, or one annually.</w:t>
      </w:r>
      <w:r>
        <w:rPr>
          <w:rStyle w:val="FootnoteReference"/>
        </w:rPr>
        <w:footnoteReference w:id="1"/>
      </w:r>
      <w:r>
        <w:t xml:space="preserve"> The new assumption is incorporated for ease of future maintenance as the number of exemptions is expected to vary according to the number of chemicals tested in actions.</w:t>
      </w:r>
      <w:r w:rsidRPr="004C67A9">
        <w:t xml:space="preserve"> </w:t>
      </w:r>
      <w:r>
        <w:t>EPA also assumes that each application would request exemption from all tests</w:t>
      </w:r>
      <w:r>
        <w:t>.</w:t>
      </w:r>
    </w:p>
    <w:p w:rsidR="00E81577" w:rsidP="00E81577" w:rsidRDefault="00E81577" w14:paraId="4026CEF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81577" w:rsidP="00E81577" w:rsidRDefault="00DE3D18" w14:paraId="635A5C3D" w14:textId="77777777">
      <w:pPr>
        <w:rPr>
          <w:b/>
        </w:rPr>
      </w:pPr>
      <w:r>
        <w:rPr>
          <w:b/>
        </w:rPr>
        <w:t xml:space="preserve">TOTAL ANNUAL </w:t>
      </w:r>
      <w:r w:rsidR="005E714A">
        <w:rPr>
          <w:b/>
        </w:rPr>
        <w:t>BURDEN</w:t>
      </w:r>
      <w:r w:rsidR="00E005DC">
        <w:rPr>
          <w:b/>
        </w:rPr>
        <w:t>:</w:t>
      </w:r>
    </w:p>
    <w:p w:rsidR="00E81577" w:rsidP="00E81577" w:rsidRDefault="00E81577" w14:paraId="1C918CC5" w14:textId="77777777">
      <w:pPr>
        <w:pStyle w:val="Caption"/>
        <w:keepNext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892"/>
        <w:gridCol w:w="1151"/>
        <w:gridCol w:w="1004"/>
        <w:gridCol w:w="914"/>
        <w:gridCol w:w="846"/>
        <w:gridCol w:w="873"/>
        <w:gridCol w:w="1049"/>
        <w:gridCol w:w="1338"/>
      </w:tblGrid>
      <w:tr w:rsidRPr="00F2049B" w:rsidR="00E81577" w:rsidTr="008A7135" w14:paraId="18F717B0" w14:textId="77777777">
        <w:trPr>
          <w:trHeight w:val="288"/>
          <w:tblHeader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16D217AB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5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14E2B425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5825ABAF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Number of Respondents (Sponsors) 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383833EA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5F2C5B9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43C2A9EA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1DFD4BBA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194EF09F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7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E81577" w:rsidP="008A7135" w:rsidRDefault="00E81577" w14:paraId="0471B345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F2049B" w:rsidR="00E81577" w:rsidTr="008A7135" w14:paraId="6BC470A9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A548890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Letter of Intent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807DD0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0B7DBF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87D8A9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33A74C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049E0F4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EBC86E9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1905F00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7A99725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2 </w:t>
            </w:r>
          </w:p>
        </w:tc>
      </w:tr>
      <w:tr w:rsidRPr="00F2049B" w:rsidR="00E81577" w:rsidTr="008A7135" w14:paraId="5C3EA2A9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A22E360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>Subtotal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 Letter of Intent Total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779CDF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6DE57E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ADE884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61F5D3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0C47FB1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263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0799C9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4784B6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65F0A6D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$24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2 </w:t>
            </w:r>
          </w:p>
        </w:tc>
      </w:tr>
      <w:tr w:rsidRPr="00F2049B" w:rsidR="00E81577" w:rsidTr="008A7135" w14:paraId="6D87C03F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9F30B94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OR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C1012F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FB484A3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B516B8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D97263D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AA29FDD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BDBD9D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C411759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829900A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</w:tr>
      <w:tr w:rsidRPr="00F2049B" w:rsidR="00E81577" w:rsidTr="008A7135" w14:paraId="77300C9A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BE73164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Prepare Exemption Application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F5E9096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9DD9A5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577D3C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103512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074D2E4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6F5C704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$1,4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95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DE0C125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025E500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$1,4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95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1FC1F579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96072C7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Corporate Review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41FE60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6C87B0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42579C4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CBD181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1D51F390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BF9A08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$4,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290EE6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6D16D3A3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$4,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709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233B3A74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EF2F41A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>Subtotal, Exemption Application Reporting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98B7EC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78BA9E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400F3E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398E22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4B2966E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E5CCF3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986F03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68B92E8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242DB9AE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23E3135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>Subtotal, Recordkeeping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6F2998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73F83FE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5B98BA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A2EE7E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44841E4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B8B5A7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C19A58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0EEFE4E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79A44F91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939056E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Subtotal, Exemption Application</w:t>
            </w:r>
          </w:p>
        </w:tc>
        <w:tc>
          <w:tcPr>
            <w:tcW w:w="517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E81577" w:rsidP="008A7135" w:rsidRDefault="00E81577" w14:paraId="6B920FC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37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E81577" w:rsidP="008A7135" w:rsidRDefault="00E81577" w14:paraId="5D74DFD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E81577" w:rsidP="008A7135" w:rsidRDefault="00E81577" w14:paraId="67BC607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0CDD73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000000" w:fill="E8E8E8"/>
            <w:noWrap/>
            <w:vAlign w:val="center"/>
            <w:hideMark/>
          </w:tcPr>
          <w:p w:rsidRPr="00F2049B" w:rsidR="00E81577" w:rsidP="008A7135" w:rsidRDefault="00E81577" w14:paraId="33C69AA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.3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E81577" w:rsidP="008A7135" w:rsidRDefault="00E81577" w14:paraId="652880B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374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2049B" w:rsidR="00E81577" w:rsidP="008A7135" w:rsidRDefault="00E81577" w14:paraId="5DDECA3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E8E8E8"/>
            <w:noWrap/>
            <w:vAlign w:val="center"/>
            <w:hideMark/>
          </w:tcPr>
          <w:p w:rsidRPr="00F2049B" w:rsidR="00E81577" w:rsidP="008A7135" w:rsidRDefault="00E81577" w14:paraId="470082B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374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4EFC7175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F8D75BF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Overall Total, Initial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Response</w:t>
            </w: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lastRenderedPageBreak/>
              <w:t>including Exemption Applications Reporting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0EAF4D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lastRenderedPageBreak/>
              <w:t>4.16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0BF5E0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8880E4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5698E02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41DB5B7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81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663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1751637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8608CC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1B05F7B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0EAF1C1D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59970C4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>Overall Recordkeeping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A87F22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C62CCE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55B1C2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0354998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5F93A0B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900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D88AAC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F0C642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596B913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3CA0C0F9" w14:textId="77777777">
        <w:trPr>
          <w:trHeight w:val="288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ED6474B" w14:textId="77777777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Overall Total, Initial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Response</w:t>
            </w:r>
            <w:r w:rsidRPr="00F2049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including Exemption Applications</w:t>
            </w:r>
          </w:p>
        </w:tc>
        <w:tc>
          <w:tcPr>
            <w:tcW w:w="5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D7A026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4.41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CBA201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4B6D54C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3C59B13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57EFF51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2B9ABEC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$6,3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E81577" w:rsidP="008A7135" w:rsidRDefault="00E81577" w14:paraId="6A9604C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7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E81577" w:rsidP="008A7135" w:rsidRDefault="00E81577" w14:paraId="1842256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$6,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623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E81577" w:rsidTr="008A7135" w14:paraId="1E791C70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1D4C" w:rsidR="00E81577" w:rsidP="008A7135" w:rsidRDefault="00E81577" w14:paraId="7E17D5E9" w14:textId="77777777">
            <w:pPr>
              <w:keepNext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E81577" w:rsidP="008A7135" w:rsidRDefault="00E81577" w14:paraId="73765A74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460ED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0460E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per chemical</w:t>
            </w:r>
            <w:r w:rsidRPr="000460ED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</w:tr>
    </w:tbl>
    <w:p w:rsidRPr="00F2049B" w:rsidR="00E81577" w:rsidP="00E81577" w:rsidRDefault="00E81577" w14:paraId="2744B7C0" w14:textId="77777777"/>
    <w:p w:rsidR="00621951" w:rsidP="00E81577" w:rsidRDefault="00E81577" w14:paraId="12AD6132" w14:textId="7E462084">
      <w:pPr>
        <w:rPr>
          <w:sz w:val="28"/>
        </w:rPr>
      </w:pPr>
      <w:r>
        <w:rPr>
          <w:sz w:val="28"/>
        </w:rPr>
        <w:t xml:space="preserve"> </w:t>
      </w:r>
    </w:p>
    <w:p w:rsidRPr="0016032B" w:rsidR="00DE3D18" w:rsidP="00DE3D18" w:rsidRDefault="00717549" w14:paraId="47ECEF22" w14:textId="6982BCBB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E81577">
        <w:t>256.689</w:t>
      </w:r>
      <w:bookmarkStart w:name="_GoBack" w:id="1"/>
      <w:bookmarkEnd w:id="1"/>
      <w:r w:rsidR="0016032B">
        <w:t xml:space="preserve"> 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  <w:footnote w:id="1">
    <w:p w14:paraId="4AD69D46" w14:textId="7A32A0B0" w:rsidR="00E81577" w:rsidRDefault="00E81577" w:rsidP="00E81577">
      <w:pPr>
        <w:pStyle w:val="FootnoteText"/>
      </w:pPr>
      <w:r>
        <w:rPr>
          <w:rStyle w:val="FootnoteReference"/>
        </w:rPr>
        <w:footnoteRef/>
      </w:r>
      <w:r>
        <w:t xml:space="preserve"> For details of the assumption, see </w:t>
      </w:r>
      <w:r>
        <w:t xml:space="preserve">Supporting Statement </w:t>
      </w:r>
      <w:r>
        <w:t xml:space="preserve">discussion in Section 5(c), and </w:t>
      </w:r>
      <w:r>
        <w:fldChar w:fldCharType="begin"/>
      </w:r>
      <w:r>
        <w:instrText xml:space="preserve"> REF _Ref18430176 \h </w:instrText>
      </w:r>
      <w:r>
        <w:fldChar w:fldCharType="separate"/>
      </w:r>
      <w:r>
        <w:t xml:space="preserve">Table </w:t>
      </w:r>
      <w:r>
        <w:rPr>
          <w:noProof/>
        </w:rPr>
        <w:t>19</w:t>
      </w:r>
      <w:r>
        <w:fldChar w:fldCharType="end"/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6032B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80D76"/>
    <w:rsid w:val="00BA2105"/>
    <w:rsid w:val="00BA7E06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33D3"/>
    <w:rsid w:val="00DE3D18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3</cp:revision>
  <cp:lastPrinted>2011-09-30T16:31:00Z</cp:lastPrinted>
  <dcterms:created xsi:type="dcterms:W3CDTF">2020-09-03T12:24:00Z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