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029" w:rsidP="008E5029" w:rsidRDefault="008E5029" w14:paraId="5C224FF2" w14:textId="093FF570">
      <w:pPr>
        <w:widowControl w:val="0"/>
        <w:pBdr>
          <w:bottom w:val="single" w:color="auto" w:sz="24" w:space="3"/>
        </w:pBdr>
        <w:tabs>
          <w:tab w:val="right" w:pos="10080"/>
        </w:tabs>
        <w:overflowPunct w:val="0"/>
        <w:autoSpaceDE w:val="0"/>
        <w:autoSpaceDN w:val="0"/>
        <w:adjustRightInd w:val="0"/>
        <w:spacing w:before="80" w:after="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7B37EC" w:rsidR="008E5029" w:rsidP="008E5029" w:rsidRDefault="008E5029" w14:paraId="2B61E98E" w14:textId="77777777">
      <w:pPr>
        <w:tabs>
          <w:tab w:val="left" w:pos="720"/>
          <w:tab w:val="left" w:pos="3240"/>
        </w:tabs>
        <w:overflowPunct w:val="0"/>
        <w:autoSpaceDE w:val="0"/>
        <w:autoSpaceDN w:val="0"/>
        <w:adjustRightInd w:val="0"/>
        <w:ind w:left="4320" w:hanging="86"/>
        <w:jc w:val="right"/>
        <w:textAlignment w:val="baseline"/>
        <w:rPr>
          <w:rFonts w:ascii="Helvetica" w:hAnsi="Helvetica" w:eastAsia="Times New Roman" w:cs="Times New Roman"/>
          <w:b/>
          <w:bCs/>
          <w:sz w:val="36"/>
          <w:szCs w:val="36"/>
        </w:rPr>
      </w:pPr>
    </w:p>
    <w:p w:rsidRPr="008E5029" w:rsidR="008E5029" w:rsidP="008E5029" w:rsidRDefault="008E5029" w14:paraId="6A2BFDC5" w14:textId="60B5BC5F">
      <w:pPr>
        <w:tabs>
          <w:tab w:val="left" w:pos="720"/>
          <w:tab w:val="left" w:pos="3240"/>
        </w:tabs>
        <w:overflowPunct w:val="0"/>
        <w:autoSpaceDE w:val="0"/>
        <w:autoSpaceDN w:val="0"/>
        <w:adjustRightInd w:val="0"/>
        <w:ind w:left="4320" w:hanging="86"/>
        <w:jc w:val="right"/>
        <w:textAlignment w:val="baseline"/>
        <w:rPr>
          <w:rFonts w:ascii="Helvetica" w:hAnsi="Helvetica" w:eastAsia="Times New Roman" w:cs="Times New Roman"/>
          <w:b/>
          <w:bCs/>
          <w:sz w:val="32"/>
          <w:szCs w:val="32"/>
        </w:rPr>
      </w:pPr>
      <w:r w:rsidRPr="008E5029">
        <w:rPr>
          <w:rFonts w:ascii="Helvetica" w:hAnsi="Helvetica" w:eastAsia="Times New Roman" w:cs="Times New Roman"/>
          <w:b/>
          <w:bCs/>
          <w:sz w:val="32"/>
          <w:szCs w:val="32"/>
        </w:rPr>
        <w:t>Appendix 1</w:t>
      </w:r>
    </w:p>
    <w:p w:rsidRPr="008E5029" w:rsidR="008E5029" w:rsidP="008E5029" w:rsidRDefault="008E5029" w14:paraId="6649C2FA" w14:textId="3F52E51A">
      <w:pPr>
        <w:tabs>
          <w:tab w:val="left" w:pos="720"/>
          <w:tab w:val="left" w:pos="3240"/>
        </w:tabs>
        <w:overflowPunct w:val="0"/>
        <w:autoSpaceDE w:val="0"/>
        <w:autoSpaceDN w:val="0"/>
        <w:adjustRightInd w:val="0"/>
        <w:ind w:left="4320" w:hanging="86"/>
        <w:jc w:val="right"/>
        <w:textAlignment w:val="baseline"/>
        <w:rPr>
          <w:rFonts w:ascii="Helvetica" w:hAnsi="Helvetica" w:eastAsia="Times New Roman" w:cs="Times New Roman"/>
          <w:b/>
          <w:bCs/>
          <w:sz w:val="32"/>
          <w:szCs w:val="32"/>
        </w:rPr>
      </w:pPr>
      <w:r w:rsidRPr="008E5029">
        <w:rPr>
          <w:rFonts w:ascii="Helvetica" w:hAnsi="Helvetica" w:eastAsia="Times New Roman" w:cs="Times New Roman"/>
          <w:b/>
          <w:bCs/>
          <w:sz w:val="32"/>
          <w:szCs w:val="32"/>
        </w:rPr>
        <w:t>HUD Standard Processing Times</w:t>
      </w:r>
    </w:p>
    <w:p w:rsidRPr="007B37EC" w:rsidR="008E5029" w:rsidP="008E5029" w:rsidRDefault="008E5029" w14:paraId="36C9DB38" w14:textId="77777777">
      <w:pPr>
        <w:widowControl w:val="0"/>
        <w:pBdr>
          <w:bottom w:val="single" w:color="auto" w:sz="24" w:space="3"/>
        </w:pBdr>
        <w:tabs>
          <w:tab w:val="right" w:pos="10080"/>
        </w:tabs>
        <w:overflowPunct w:val="0"/>
        <w:autoSpaceDE w:val="0"/>
        <w:autoSpaceDN w:val="0"/>
        <w:adjustRightInd w:val="0"/>
        <w:spacing w:before="80" w:after="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="00F9636A" w:rsidRDefault="00F9636A" w14:paraId="78EBCA7B" w14:textId="662D13B6"/>
    <w:p w:rsidR="0047742E" w:rsidRDefault="0047742E" w14:paraId="6A5A1CC2" w14:textId="77777777"/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1260"/>
        <w:gridCol w:w="1260"/>
        <w:gridCol w:w="1710"/>
        <w:gridCol w:w="1710"/>
        <w:gridCol w:w="1440"/>
        <w:gridCol w:w="1800"/>
      </w:tblGrid>
      <w:tr w:rsidRPr="00672EF3" w:rsidR="00FC69CF" w:rsidTr="00672EF3" w14:paraId="5F7AF13A" w14:textId="552BA393">
        <w:tc>
          <w:tcPr>
            <w:tcW w:w="1260" w:type="dxa"/>
          </w:tcPr>
          <w:p w:rsidRPr="00672EF3" w:rsidR="00D06734" w:rsidRDefault="00D06734" w14:paraId="60A6C770" w14:textId="3C61811D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SOA</w:t>
            </w:r>
          </w:p>
        </w:tc>
        <w:tc>
          <w:tcPr>
            <w:tcW w:w="1260" w:type="dxa"/>
          </w:tcPr>
          <w:p w:rsidRPr="00672EF3" w:rsidR="00D06734" w:rsidRDefault="001B29DA" w14:paraId="3B1C3543" w14:textId="773F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HUD</w:t>
            </w:r>
            <w:r w:rsidRPr="00672EF3">
              <w:rPr>
                <w:rFonts w:ascii="Times New Roman" w:hAnsi="Times New Roman" w:cs="Times New Roman"/>
              </w:rPr>
              <w:t xml:space="preserve"> </w:t>
            </w:r>
            <w:r w:rsidRPr="00672EF3" w:rsidR="00D06734">
              <w:rPr>
                <w:rFonts w:ascii="Times New Roman" w:hAnsi="Times New Roman" w:cs="Times New Roman"/>
              </w:rPr>
              <w:t>Processing Timeframe</w:t>
            </w:r>
          </w:p>
        </w:tc>
        <w:tc>
          <w:tcPr>
            <w:tcW w:w="1710" w:type="dxa"/>
          </w:tcPr>
          <w:p w:rsidRPr="00672EF3" w:rsidR="00D06734" w:rsidRDefault="00D06734" w14:paraId="793E02F4" w14:textId="38D63766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Pre-Application Invitation Term</w:t>
            </w:r>
          </w:p>
        </w:tc>
        <w:tc>
          <w:tcPr>
            <w:tcW w:w="1710" w:type="dxa"/>
          </w:tcPr>
          <w:p w:rsidRPr="00672EF3" w:rsidR="00D06734" w:rsidRDefault="00FC69CF" w14:paraId="370D9068" w14:textId="0188A907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 xml:space="preserve">Pre-Application </w:t>
            </w:r>
            <w:r w:rsidRPr="00672EF3" w:rsidR="00D06734">
              <w:rPr>
                <w:rFonts w:ascii="Times New Roman" w:hAnsi="Times New Roman" w:cs="Times New Roman"/>
              </w:rPr>
              <w:t>Extensions</w:t>
            </w:r>
          </w:p>
        </w:tc>
        <w:tc>
          <w:tcPr>
            <w:tcW w:w="1440" w:type="dxa"/>
          </w:tcPr>
          <w:p w:rsidRPr="00672EF3" w:rsidR="00D06734" w:rsidRDefault="00D06734" w14:paraId="5B0440BA" w14:textId="574F4D6A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 xml:space="preserve">Firm </w:t>
            </w:r>
            <w:proofErr w:type="gramStart"/>
            <w:r w:rsidRPr="00672EF3">
              <w:rPr>
                <w:rFonts w:ascii="Times New Roman" w:hAnsi="Times New Roman" w:cs="Times New Roman"/>
              </w:rPr>
              <w:t>Commitment  Term</w:t>
            </w:r>
            <w:proofErr w:type="gramEnd"/>
          </w:p>
        </w:tc>
        <w:tc>
          <w:tcPr>
            <w:tcW w:w="1800" w:type="dxa"/>
          </w:tcPr>
          <w:p w:rsidRPr="00672EF3" w:rsidR="00D06734" w:rsidRDefault="00FC69CF" w14:paraId="4D340399" w14:textId="006A21EC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 xml:space="preserve">Firm Commitment </w:t>
            </w:r>
            <w:r w:rsidRPr="00672EF3" w:rsidR="00D06734">
              <w:rPr>
                <w:rFonts w:ascii="Times New Roman" w:hAnsi="Times New Roman" w:cs="Times New Roman"/>
              </w:rPr>
              <w:t>Extensions</w:t>
            </w:r>
          </w:p>
        </w:tc>
      </w:tr>
      <w:tr w:rsidRPr="00672EF3" w:rsidR="00FC69CF" w:rsidTr="00672EF3" w14:paraId="131EC882" w14:textId="57B374D7">
        <w:tc>
          <w:tcPr>
            <w:tcW w:w="1260" w:type="dxa"/>
          </w:tcPr>
          <w:p w:rsidRPr="00672EF3" w:rsidR="00D06734" w:rsidRDefault="00D06734" w14:paraId="0A852673" w14:textId="673BCCC9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221(d)(4)</w:t>
            </w:r>
          </w:p>
        </w:tc>
        <w:tc>
          <w:tcPr>
            <w:tcW w:w="1260" w:type="dxa"/>
          </w:tcPr>
          <w:p w:rsidRPr="00672EF3" w:rsidR="00D06734" w:rsidRDefault="003E2DE6" w14:paraId="203B1F1C" w14:textId="55768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672EF3">
              <w:rPr>
                <w:rFonts w:ascii="Times New Roman" w:hAnsi="Times New Roman" w:cs="Times New Roman"/>
              </w:rPr>
              <w:t xml:space="preserve"> </w:t>
            </w:r>
            <w:r w:rsidRPr="00672EF3" w:rsidR="00D06734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710" w:type="dxa"/>
          </w:tcPr>
          <w:p w:rsidRPr="00672EF3" w:rsidR="00D06734" w:rsidRDefault="00D06734" w14:paraId="3120BE3A" w14:textId="443429F9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</w:t>
            </w:r>
          </w:p>
        </w:tc>
        <w:tc>
          <w:tcPr>
            <w:tcW w:w="1710" w:type="dxa"/>
          </w:tcPr>
          <w:p w:rsidRPr="00672EF3" w:rsidR="00D06734" w:rsidRDefault="00A46EFD" w14:paraId="59F1A80B" w14:textId="35611212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90</w:t>
            </w:r>
            <w:r w:rsidRPr="00672EF3" w:rsidR="00D06734">
              <w:rPr>
                <w:rFonts w:ascii="Times New Roman" w:hAnsi="Times New Roman" w:cs="Times New Roman"/>
              </w:rPr>
              <w:t xml:space="preserve"> days*</w:t>
            </w:r>
          </w:p>
        </w:tc>
        <w:tc>
          <w:tcPr>
            <w:tcW w:w="1440" w:type="dxa"/>
          </w:tcPr>
          <w:p w:rsidRPr="00672EF3" w:rsidR="00D06734" w:rsidRDefault="00D06734" w14:paraId="502E969A" w14:textId="1E69BFD9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800" w:type="dxa"/>
          </w:tcPr>
          <w:p w:rsidRPr="00672EF3" w:rsidR="00D06734" w:rsidRDefault="00B47576" w14:paraId="2654827D" w14:textId="779AD136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</w:t>
            </w:r>
            <w:r w:rsidRPr="00672EF3" w:rsidR="00A46EFD">
              <w:rPr>
                <w:rFonts w:ascii="Times New Roman" w:hAnsi="Times New Roman" w:cs="Times New Roman"/>
              </w:rPr>
              <w:t>*</w:t>
            </w:r>
            <w:r w:rsidRPr="00672EF3" w:rsidR="00672EF3">
              <w:rPr>
                <w:rFonts w:ascii="Times New Roman" w:hAnsi="Times New Roman" w:cs="Times New Roman"/>
              </w:rPr>
              <w:t>*</w:t>
            </w:r>
          </w:p>
        </w:tc>
      </w:tr>
      <w:tr w:rsidRPr="00672EF3" w:rsidR="00FC69CF" w:rsidTr="00672EF3" w14:paraId="5AA14DC0" w14:textId="12A593CD">
        <w:tc>
          <w:tcPr>
            <w:tcW w:w="1260" w:type="dxa"/>
          </w:tcPr>
          <w:p w:rsidRPr="00672EF3" w:rsidR="00D06734" w:rsidRDefault="00D06734" w14:paraId="1EFEE790" w14:textId="1B784BE8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60" w:type="dxa"/>
          </w:tcPr>
          <w:p w:rsidRPr="00672EF3" w:rsidR="00D06734" w:rsidRDefault="003E2DE6" w14:paraId="083BF27B" w14:textId="3F9B6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672EF3">
              <w:rPr>
                <w:rFonts w:ascii="Times New Roman" w:hAnsi="Times New Roman" w:cs="Times New Roman"/>
              </w:rPr>
              <w:t xml:space="preserve"> </w:t>
            </w:r>
            <w:r w:rsidRPr="00672EF3" w:rsidR="00D06734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710" w:type="dxa"/>
          </w:tcPr>
          <w:p w:rsidRPr="00672EF3" w:rsidR="00D06734" w:rsidRDefault="00D06734" w14:paraId="34064BF7" w14:textId="17252CFF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</w:t>
            </w:r>
          </w:p>
        </w:tc>
        <w:tc>
          <w:tcPr>
            <w:tcW w:w="1710" w:type="dxa"/>
          </w:tcPr>
          <w:p w:rsidRPr="00672EF3" w:rsidR="00D06734" w:rsidRDefault="00D06734" w14:paraId="79E42250" w14:textId="37003BD8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90 days*</w:t>
            </w:r>
          </w:p>
        </w:tc>
        <w:tc>
          <w:tcPr>
            <w:tcW w:w="1440" w:type="dxa"/>
          </w:tcPr>
          <w:p w:rsidRPr="00672EF3" w:rsidR="00D06734" w:rsidRDefault="00D06734" w14:paraId="709D1599" w14:textId="26C8A163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800" w:type="dxa"/>
          </w:tcPr>
          <w:p w:rsidRPr="00672EF3" w:rsidR="00D06734" w:rsidRDefault="00A46EFD" w14:paraId="55528ABD" w14:textId="095907BF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days*</w:t>
            </w:r>
            <w:r w:rsidRPr="00672EF3" w:rsidR="00672EF3">
              <w:rPr>
                <w:rFonts w:ascii="Times New Roman" w:hAnsi="Times New Roman" w:cs="Times New Roman"/>
              </w:rPr>
              <w:t>*</w:t>
            </w:r>
          </w:p>
        </w:tc>
      </w:tr>
      <w:tr w:rsidRPr="00672EF3" w:rsidR="00FC69CF" w:rsidTr="00672EF3" w14:paraId="73721D7E" w14:textId="7AE79FDE">
        <w:tc>
          <w:tcPr>
            <w:tcW w:w="1260" w:type="dxa"/>
          </w:tcPr>
          <w:p w:rsidRPr="00672EF3" w:rsidR="00D06734" w:rsidRDefault="00D06734" w14:paraId="4461F53F" w14:textId="5D50CACF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260" w:type="dxa"/>
          </w:tcPr>
          <w:p w:rsidRPr="00672EF3" w:rsidR="00D06734" w:rsidRDefault="003E2DE6" w14:paraId="59C4E29A" w14:textId="48EC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672EF3">
              <w:rPr>
                <w:rFonts w:ascii="Times New Roman" w:hAnsi="Times New Roman" w:cs="Times New Roman"/>
              </w:rPr>
              <w:t xml:space="preserve"> </w:t>
            </w:r>
            <w:r w:rsidRPr="00672EF3" w:rsidR="00D06734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710" w:type="dxa"/>
          </w:tcPr>
          <w:p w:rsidRPr="00672EF3" w:rsidR="00D06734" w:rsidRDefault="00D06734" w14:paraId="7D0A546A" w14:textId="7ED202DD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</w:t>
            </w:r>
          </w:p>
        </w:tc>
        <w:tc>
          <w:tcPr>
            <w:tcW w:w="1710" w:type="dxa"/>
          </w:tcPr>
          <w:p w:rsidRPr="00672EF3" w:rsidR="00D06734" w:rsidRDefault="00D06734" w14:paraId="243FE813" w14:textId="2DC98737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90 days*</w:t>
            </w:r>
          </w:p>
        </w:tc>
        <w:tc>
          <w:tcPr>
            <w:tcW w:w="1440" w:type="dxa"/>
          </w:tcPr>
          <w:p w:rsidRPr="00672EF3" w:rsidR="00D06734" w:rsidRDefault="00D06734" w14:paraId="1055613E" w14:textId="40053E9D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800" w:type="dxa"/>
          </w:tcPr>
          <w:p w:rsidRPr="00672EF3" w:rsidR="00D06734" w:rsidRDefault="00A46EFD" w14:paraId="36804F61" w14:textId="378AD911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days*</w:t>
            </w:r>
            <w:r w:rsidRPr="00672EF3" w:rsidR="00672EF3">
              <w:rPr>
                <w:rFonts w:ascii="Times New Roman" w:hAnsi="Times New Roman" w:cs="Times New Roman"/>
              </w:rPr>
              <w:t>*</w:t>
            </w:r>
          </w:p>
        </w:tc>
      </w:tr>
      <w:tr w:rsidRPr="00672EF3" w:rsidR="00FC69CF" w:rsidTr="00672EF3" w14:paraId="17C8C890" w14:textId="77777777">
        <w:tc>
          <w:tcPr>
            <w:tcW w:w="1260" w:type="dxa"/>
          </w:tcPr>
          <w:p w:rsidRPr="00672EF3" w:rsidR="00D06734" w:rsidRDefault="00D06734" w14:paraId="5521E90F" w14:textId="21BA685B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241(a)</w:t>
            </w:r>
          </w:p>
        </w:tc>
        <w:tc>
          <w:tcPr>
            <w:tcW w:w="1260" w:type="dxa"/>
          </w:tcPr>
          <w:p w:rsidRPr="00672EF3" w:rsidR="00D06734" w:rsidRDefault="003E2DE6" w14:paraId="10F6C629" w14:textId="33D4A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672EF3">
              <w:rPr>
                <w:rFonts w:ascii="Times New Roman" w:hAnsi="Times New Roman" w:cs="Times New Roman"/>
              </w:rPr>
              <w:t xml:space="preserve"> </w:t>
            </w:r>
            <w:r w:rsidRPr="00672EF3" w:rsidR="00D06734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710" w:type="dxa"/>
          </w:tcPr>
          <w:p w:rsidRPr="00672EF3" w:rsidR="00D06734" w:rsidRDefault="00D06734" w14:paraId="661CC0F9" w14:textId="0DE33262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</w:t>
            </w:r>
          </w:p>
        </w:tc>
        <w:tc>
          <w:tcPr>
            <w:tcW w:w="1710" w:type="dxa"/>
          </w:tcPr>
          <w:p w:rsidRPr="00672EF3" w:rsidR="00D06734" w:rsidRDefault="00D06734" w14:paraId="7EFAD0FF" w14:textId="10FE1CC9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90 days*</w:t>
            </w:r>
          </w:p>
        </w:tc>
        <w:tc>
          <w:tcPr>
            <w:tcW w:w="1440" w:type="dxa"/>
          </w:tcPr>
          <w:p w:rsidRPr="00672EF3" w:rsidR="00D06734" w:rsidRDefault="00D06734" w14:paraId="7824057E" w14:textId="42B6EEFA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800" w:type="dxa"/>
          </w:tcPr>
          <w:p w:rsidRPr="00672EF3" w:rsidR="00D06734" w:rsidRDefault="00A46EFD" w14:paraId="18F3A857" w14:textId="64B6413B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days*</w:t>
            </w:r>
            <w:r w:rsidRPr="00672EF3" w:rsidR="00672EF3">
              <w:rPr>
                <w:rFonts w:ascii="Times New Roman" w:hAnsi="Times New Roman" w:cs="Times New Roman"/>
              </w:rPr>
              <w:t>*</w:t>
            </w:r>
          </w:p>
        </w:tc>
      </w:tr>
      <w:tr w:rsidRPr="00672EF3" w:rsidR="00FC69CF" w:rsidTr="00672EF3" w14:paraId="26DDB65A" w14:textId="77777777">
        <w:tc>
          <w:tcPr>
            <w:tcW w:w="1260" w:type="dxa"/>
          </w:tcPr>
          <w:p w:rsidRPr="00672EF3" w:rsidR="00D06734" w:rsidRDefault="00D06734" w14:paraId="077914D0" w14:textId="6ECBEB68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223(f)</w:t>
            </w:r>
          </w:p>
        </w:tc>
        <w:tc>
          <w:tcPr>
            <w:tcW w:w="1260" w:type="dxa"/>
          </w:tcPr>
          <w:p w:rsidRPr="00672EF3" w:rsidR="00D06734" w:rsidRDefault="003E2DE6" w14:paraId="4B201A30" w14:textId="006B7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72EF3">
              <w:rPr>
                <w:rFonts w:ascii="Times New Roman" w:hAnsi="Times New Roman" w:cs="Times New Roman"/>
              </w:rPr>
              <w:t xml:space="preserve"> </w:t>
            </w:r>
            <w:r w:rsidRPr="00672EF3" w:rsidR="00D06734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710" w:type="dxa"/>
          </w:tcPr>
          <w:p w:rsidRPr="00672EF3" w:rsidR="00D06734" w:rsidRDefault="00FC69CF" w14:paraId="29997B95" w14:textId="71F2DDD6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710" w:type="dxa"/>
          </w:tcPr>
          <w:p w:rsidRPr="00672EF3" w:rsidR="00D06734" w:rsidRDefault="00FC69CF" w14:paraId="2471617B" w14:textId="5F857A8E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:rsidRPr="00672EF3" w:rsidR="00D06734" w:rsidRDefault="00FC69CF" w14:paraId="0026D568" w14:textId="62C155EE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800" w:type="dxa"/>
          </w:tcPr>
          <w:p w:rsidRPr="00672EF3" w:rsidR="00D06734" w:rsidRDefault="00A46EFD" w14:paraId="6CD594D3" w14:textId="3EF16F64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120 days*</w:t>
            </w:r>
            <w:r w:rsidRPr="00672EF3" w:rsidR="00672EF3">
              <w:rPr>
                <w:rFonts w:ascii="Times New Roman" w:hAnsi="Times New Roman" w:cs="Times New Roman"/>
              </w:rPr>
              <w:t>*</w:t>
            </w:r>
          </w:p>
        </w:tc>
      </w:tr>
      <w:tr w:rsidRPr="00672EF3" w:rsidR="00FC69CF" w:rsidTr="00672EF3" w14:paraId="03C4CBDE" w14:textId="77777777">
        <w:tc>
          <w:tcPr>
            <w:tcW w:w="1260" w:type="dxa"/>
          </w:tcPr>
          <w:p w:rsidRPr="00672EF3" w:rsidR="00D06734" w:rsidRDefault="00D06734" w14:paraId="14C95A72" w14:textId="0C0D567A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223(a)(7)</w:t>
            </w:r>
          </w:p>
        </w:tc>
        <w:tc>
          <w:tcPr>
            <w:tcW w:w="1260" w:type="dxa"/>
          </w:tcPr>
          <w:p w:rsidRPr="00672EF3" w:rsidR="00D06734" w:rsidRDefault="00D06734" w14:paraId="0B9F883B" w14:textId="20A6B708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30 days</w:t>
            </w:r>
          </w:p>
        </w:tc>
        <w:tc>
          <w:tcPr>
            <w:tcW w:w="1710" w:type="dxa"/>
          </w:tcPr>
          <w:p w:rsidRPr="00672EF3" w:rsidR="00D06734" w:rsidRDefault="00FC69CF" w14:paraId="0239F77C" w14:textId="51119D21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710" w:type="dxa"/>
          </w:tcPr>
          <w:p w:rsidRPr="00672EF3" w:rsidR="00D06734" w:rsidRDefault="00FC69CF" w14:paraId="45557676" w14:textId="1D5853F2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:rsidRPr="00672EF3" w:rsidR="00D06734" w:rsidRDefault="00FC69CF" w14:paraId="04D7FE6E" w14:textId="12C17010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90 days</w:t>
            </w:r>
          </w:p>
        </w:tc>
        <w:tc>
          <w:tcPr>
            <w:tcW w:w="1800" w:type="dxa"/>
          </w:tcPr>
          <w:p w:rsidRPr="00672EF3" w:rsidR="00D06734" w:rsidRDefault="00672EF3" w14:paraId="6D488625" w14:textId="01C54598">
            <w:pPr>
              <w:rPr>
                <w:rFonts w:ascii="Times New Roman" w:hAnsi="Times New Roman" w:cs="Times New Roman"/>
              </w:rPr>
            </w:pPr>
            <w:r w:rsidRPr="00672EF3">
              <w:rPr>
                <w:rFonts w:ascii="Times New Roman" w:hAnsi="Times New Roman" w:cs="Times New Roman"/>
              </w:rPr>
              <w:t>90 days***</w:t>
            </w:r>
          </w:p>
        </w:tc>
      </w:tr>
    </w:tbl>
    <w:p w:rsidRPr="00672EF3" w:rsidR="0047742E" w:rsidRDefault="0047742E" w14:paraId="62FE2108" w14:textId="77777777">
      <w:pPr>
        <w:rPr>
          <w:rFonts w:ascii="Times New Roman" w:hAnsi="Times New Roman" w:cs="Times New Roman"/>
        </w:rPr>
      </w:pPr>
    </w:p>
    <w:p w:rsidR="001B29DA" w:rsidP="00FC69CF" w:rsidRDefault="001B29DA" w14:paraId="1A15AC3A" w14:textId="46E6BCCB">
      <w:pPr>
        <w:rPr>
          <w:rFonts w:ascii="Times New Roman" w:hAnsi="Times New Roman" w:cs="Times New Roman"/>
        </w:rPr>
      </w:pPr>
      <w:bookmarkStart w:name="_Hlk50460482" w:id="0"/>
      <w:r>
        <w:rPr>
          <w:rFonts w:ascii="Times New Roman" w:hAnsi="Times New Roman" w:cs="Times New Roman"/>
        </w:rPr>
        <w:t xml:space="preserve">The HUD Processing Timeframe refers to the </w:t>
      </w:r>
      <w:r w:rsidR="002A57C9">
        <w:rPr>
          <w:rFonts w:ascii="Times New Roman" w:hAnsi="Times New Roman" w:cs="Times New Roman"/>
        </w:rPr>
        <w:t xml:space="preserve">total </w:t>
      </w:r>
      <w:r w:rsidR="00A3426E">
        <w:rPr>
          <w:rFonts w:ascii="Times New Roman" w:hAnsi="Times New Roman" w:cs="Times New Roman"/>
        </w:rPr>
        <w:t xml:space="preserve">calendar </w:t>
      </w:r>
      <w:r w:rsidR="00646DE3">
        <w:rPr>
          <w:rFonts w:ascii="Times New Roman" w:hAnsi="Times New Roman" w:cs="Times New Roman"/>
        </w:rPr>
        <w:t>days between</w:t>
      </w:r>
      <w:r>
        <w:rPr>
          <w:rFonts w:ascii="Times New Roman" w:hAnsi="Times New Roman" w:cs="Times New Roman"/>
        </w:rPr>
        <w:t xml:space="preserve"> </w:t>
      </w:r>
      <w:r w:rsidR="003E2DE6">
        <w:rPr>
          <w:rFonts w:ascii="Times New Roman" w:hAnsi="Times New Roman" w:cs="Times New Roman"/>
        </w:rPr>
        <w:t xml:space="preserve">assignment of the </w:t>
      </w:r>
      <w:r>
        <w:rPr>
          <w:rFonts w:ascii="Times New Roman" w:hAnsi="Times New Roman" w:cs="Times New Roman"/>
        </w:rPr>
        <w:t xml:space="preserve">application </w:t>
      </w:r>
      <w:r w:rsidR="003E2DE6">
        <w:rPr>
          <w:rFonts w:ascii="Times New Roman" w:hAnsi="Times New Roman" w:cs="Times New Roman"/>
        </w:rPr>
        <w:t>to an underwriter</w:t>
      </w:r>
      <w:r>
        <w:rPr>
          <w:rFonts w:ascii="Times New Roman" w:hAnsi="Times New Roman" w:cs="Times New Roman"/>
        </w:rPr>
        <w:t xml:space="preserve"> and issuance of </w:t>
      </w:r>
      <w:r w:rsidR="00037A3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Firm Commitment. The </w:t>
      </w:r>
      <w:r w:rsidR="00B32F61">
        <w:rPr>
          <w:rFonts w:ascii="Times New Roman" w:hAnsi="Times New Roman" w:cs="Times New Roman"/>
        </w:rPr>
        <w:t xml:space="preserve">Processing Timeframes are intended as general guidance; the actual timeframe for HUD processing may be shorter or longer based on the individual application. </w:t>
      </w:r>
    </w:p>
    <w:bookmarkEnd w:id="0"/>
    <w:p w:rsidR="001B29DA" w:rsidP="00FC69CF" w:rsidRDefault="001B29DA" w14:paraId="17B6C040" w14:textId="77777777">
      <w:pPr>
        <w:rPr>
          <w:rFonts w:ascii="Times New Roman" w:hAnsi="Times New Roman" w:cs="Times New Roman"/>
        </w:rPr>
      </w:pPr>
    </w:p>
    <w:p w:rsidRPr="00672EF3" w:rsidR="0047742E" w:rsidP="00FC69CF" w:rsidRDefault="00FC69CF" w14:paraId="7E9FB725" w14:textId="242E1A61">
      <w:pPr>
        <w:rPr>
          <w:rFonts w:ascii="Times New Roman" w:hAnsi="Times New Roman" w:cs="Times New Roman"/>
        </w:rPr>
      </w:pPr>
      <w:r w:rsidRPr="00672EF3">
        <w:rPr>
          <w:rFonts w:ascii="Times New Roman" w:hAnsi="Times New Roman" w:cs="Times New Roman"/>
        </w:rPr>
        <w:t xml:space="preserve">*Pre-Application Extensions: </w:t>
      </w:r>
      <w:r w:rsidRPr="00672EF3" w:rsidR="00D06734">
        <w:rPr>
          <w:rFonts w:ascii="Times New Roman" w:hAnsi="Times New Roman" w:cs="Times New Roman"/>
        </w:rPr>
        <w:t>One 90</w:t>
      </w:r>
      <w:r w:rsidRPr="00672EF3">
        <w:rPr>
          <w:rFonts w:ascii="Times New Roman" w:hAnsi="Times New Roman" w:cs="Times New Roman"/>
        </w:rPr>
        <w:t>-</w:t>
      </w:r>
      <w:r w:rsidRPr="00672EF3" w:rsidR="00D06734">
        <w:rPr>
          <w:rFonts w:ascii="Times New Roman" w:hAnsi="Times New Roman" w:cs="Times New Roman"/>
        </w:rPr>
        <w:t>day extension may</w:t>
      </w:r>
      <w:r w:rsidRPr="00672EF3">
        <w:rPr>
          <w:rFonts w:ascii="Times New Roman" w:hAnsi="Times New Roman" w:cs="Times New Roman"/>
        </w:rPr>
        <w:t xml:space="preserve"> </w:t>
      </w:r>
      <w:r w:rsidRPr="00672EF3" w:rsidR="00D06734">
        <w:rPr>
          <w:rFonts w:ascii="Times New Roman" w:hAnsi="Times New Roman" w:cs="Times New Roman"/>
        </w:rPr>
        <w:t xml:space="preserve">be </w:t>
      </w:r>
      <w:r w:rsidRPr="00672EF3">
        <w:rPr>
          <w:rFonts w:ascii="Times New Roman" w:hAnsi="Times New Roman" w:cs="Times New Roman"/>
        </w:rPr>
        <w:t>authorized</w:t>
      </w:r>
      <w:r w:rsidRPr="00672EF3" w:rsidR="00D06734">
        <w:rPr>
          <w:rFonts w:ascii="Times New Roman" w:hAnsi="Times New Roman" w:cs="Times New Roman"/>
        </w:rPr>
        <w:t xml:space="preserve"> by the Regional Director</w:t>
      </w:r>
      <w:r w:rsidRPr="00672EF3">
        <w:rPr>
          <w:rFonts w:ascii="Times New Roman" w:hAnsi="Times New Roman" w:cs="Times New Roman"/>
        </w:rPr>
        <w:t xml:space="preserve">. The Director of the Office of Multifamily Production </w:t>
      </w:r>
      <w:r w:rsidRPr="00672EF3" w:rsidR="00672EF3">
        <w:rPr>
          <w:rFonts w:ascii="Times New Roman" w:hAnsi="Times New Roman" w:cs="Times New Roman"/>
        </w:rPr>
        <w:t xml:space="preserve">at HUD Headquarters </w:t>
      </w:r>
      <w:r w:rsidRPr="00672EF3">
        <w:rPr>
          <w:rFonts w:ascii="Times New Roman" w:hAnsi="Times New Roman" w:cs="Times New Roman"/>
        </w:rPr>
        <w:t>may approve an additional time extension</w:t>
      </w:r>
      <w:r w:rsidR="00B33878">
        <w:rPr>
          <w:rFonts w:ascii="Times New Roman" w:hAnsi="Times New Roman" w:cs="Times New Roman"/>
        </w:rPr>
        <w:t xml:space="preserve"> for good cause</w:t>
      </w:r>
      <w:r w:rsidRPr="00672EF3">
        <w:rPr>
          <w:rFonts w:ascii="Times New Roman" w:hAnsi="Times New Roman" w:cs="Times New Roman"/>
        </w:rPr>
        <w:t>. See 4.2.</w:t>
      </w:r>
      <w:r w:rsidR="00D75B92">
        <w:rPr>
          <w:rFonts w:ascii="Times New Roman" w:hAnsi="Times New Roman" w:cs="Times New Roman"/>
        </w:rPr>
        <w:t>B.2.</w:t>
      </w:r>
    </w:p>
    <w:p w:rsidRPr="00672EF3" w:rsidR="00FC69CF" w:rsidP="00FC69CF" w:rsidRDefault="00FC69CF" w14:paraId="589B5472" w14:textId="5A036F0E">
      <w:pPr>
        <w:rPr>
          <w:rFonts w:ascii="Times New Roman" w:hAnsi="Times New Roman" w:cs="Times New Roman"/>
        </w:rPr>
      </w:pPr>
    </w:p>
    <w:p w:rsidRPr="00672EF3" w:rsidR="00FC69CF" w:rsidP="00FC69CF" w:rsidRDefault="44E3B913" w14:paraId="50C85D87" w14:textId="212CCF0B">
      <w:pPr>
        <w:rPr>
          <w:rFonts w:ascii="Times New Roman" w:hAnsi="Times New Roman" w:cs="Times New Roman"/>
        </w:rPr>
      </w:pPr>
      <w:r w:rsidRPr="44E3B913">
        <w:rPr>
          <w:rFonts w:ascii="Times New Roman" w:hAnsi="Times New Roman" w:cs="Times New Roman"/>
        </w:rPr>
        <w:t>**Firm Commitment Extensions (221, 220, 231, 241(a) &amp; 223(f)</w:t>
      </w:r>
      <w:r w:rsidR="00584EE7">
        <w:rPr>
          <w:rFonts w:ascii="Times New Roman" w:hAnsi="Times New Roman" w:cs="Times New Roman"/>
        </w:rPr>
        <w:t>)</w:t>
      </w:r>
      <w:r w:rsidRPr="44E3B913">
        <w:rPr>
          <w:rFonts w:ascii="Times New Roman" w:hAnsi="Times New Roman" w:cs="Times New Roman"/>
        </w:rPr>
        <w:t>: The Regional Director may grant one or more extensions for up to a total of 120 days from the original expiration date. An additional 60-day good cause extension may be approved by the Director of the Office of Multifamily Production at HUD Headquarters. A reopening fee of 5 basis points is required following the maximum Firm Commitment term of 180 days. See 4.2.A.1.</w:t>
      </w:r>
      <w:r w:rsidR="0032507F">
        <w:rPr>
          <w:rFonts w:ascii="Times New Roman" w:hAnsi="Times New Roman" w:cs="Times New Roman"/>
        </w:rPr>
        <w:t>5.</w:t>
      </w:r>
    </w:p>
    <w:p w:rsidR="0047742E" w:rsidRDefault="0047742E" w14:paraId="11D484CC" w14:textId="2EA41FE9"/>
    <w:p w:rsidRPr="00672EF3" w:rsidR="00672EF3" w:rsidP="00672EF3" w:rsidRDefault="00672EF3" w14:paraId="64BA6E2F" w14:textId="605CB054">
      <w:pPr>
        <w:pStyle w:val="Default"/>
      </w:pPr>
      <w:r>
        <w:t>***Firm Commitment Extensions (223(a)(7)</w:t>
      </w:r>
      <w:r w:rsidR="0032507F">
        <w:t>)</w:t>
      </w:r>
      <w:r>
        <w:t xml:space="preserve">: </w:t>
      </w:r>
      <w:r>
        <w:rPr>
          <w:sz w:val="23"/>
          <w:szCs w:val="23"/>
        </w:rPr>
        <w:t xml:space="preserve">It is not anticipated that extensions will be necessary in a Section 223(a)(7) refinancing. However, the </w:t>
      </w:r>
      <w:r w:rsidR="00D75B92">
        <w:rPr>
          <w:sz w:val="23"/>
          <w:szCs w:val="23"/>
        </w:rPr>
        <w:t>Regional</w:t>
      </w:r>
      <w:r>
        <w:rPr>
          <w:sz w:val="23"/>
          <w:szCs w:val="23"/>
        </w:rPr>
        <w:t xml:space="preserve"> Director</w:t>
      </w:r>
      <w:r w:rsidR="00D75B92">
        <w:rPr>
          <w:sz w:val="23"/>
          <w:szCs w:val="23"/>
        </w:rPr>
        <w:t xml:space="preserve"> or Production Division Director</w:t>
      </w:r>
      <w:r>
        <w:rPr>
          <w:sz w:val="23"/>
          <w:szCs w:val="23"/>
        </w:rPr>
        <w:t xml:space="preserve"> may extend Section 223(a)(7) commitments for a maximum of three additional 30-day periods</w:t>
      </w:r>
      <w:r w:rsidR="00D75B92">
        <w:rPr>
          <w:sz w:val="23"/>
          <w:szCs w:val="23"/>
        </w:rPr>
        <w:t>.</w:t>
      </w:r>
      <w:r>
        <w:rPr>
          <w:sz w:val="23"/>
          <w:szCs w:val="23"/>
        </w:rPr>
        <w:t xml:space="preserve"> See 18.</w:t>
      </w:r>
      <w:r w:rsidR="00D75B92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D75B92">
        <w:rPr>
          <w:sz w:val="23"/>
          <w:szCs w:val="23"/>
        </w:rPr>
        <w:t>M.</w:t>
      </w:r>
    </w:p>
    <w:p w:rsidR="00672EF3" w:rsidRDefault="00672EF3" w14:paraId="6968F0DA" w14:textId="5F21E1A8"/>
    <w:sectPr w:rsidR="00672E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F916" w14:textId="77777777" w:rsidR="009771DA" w:rsidRDefault="009771DA" w:rsidP="00803E54">
      <w:r>
        <w:separator/>
      </w:r>
    </w:p>
  </w:endnote>
  <w:endnote w:type="continuationSeparator" w:id="0">
    <w:p w14:paraId="23F5E3D1" w14:textId="77777777" w:rsidR="009771DA" w:rsidRDefault="009771DA" w:rsidP="00803E54">
      <w:r>
        <w:continuationSeparator/>
      </w:r>
    </w:p>
  </w:endnote>
  <w:endnote w:type="continuationNotice" w:id="1">
    <w:p w14:paraId="292FD709" w14:textId="77777777" w:rsidR="009771DA" w:rsidRDefault="00977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59947" w14:textId="77777777" w:rsidR="005E49B7" w:rsidRDefault="005E4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BA95C" w14:textId="264654AD" w:rsidR="005818D9" w:rsidRPr="00F3773F" w:rsidRDefault="005E49B7" w:rsidP="002A1E1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2020 MAP Guide </w:t>
    </w:r>
    <w:proofErr w:type="spellStart"/>
    <w:r>
      <w:rPr>
        <w:sz w:val="20"/>
        <w:szCs w:val="20"/>
      </w:rPr>
      <w:t>Appdx</w:t>
    </w:r>
    <w:proofErr w:type="spellEnd"/>
    <w:r>
      <w:rPr>
        <w:sz w:val="20"/>
        <w:szCs w:val="20"/>
      </w:rPr>
      <w:t xml:space="preserve"> #1</w:t>
    </w:r>
    <w:r w:rsidRPr="005E49B7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OMB Version 04-02-2020</w:t>
    </w:r>
    <w:r w:rsidRPr="005E49B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0746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9663" w14:textId="77777777" w:rsidR="005E49B7" w:rsidRDefault="005E4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D782F" w14:textId="77777777" w:rsidR="009771DA" w:rsidRDefault="009771DA" w:rsidP="00803E54">
      <w:r>
        <w:separator/>
      </w:r>
    </w:p>
  </w:footnote>
  <w:footnote w:type="continuationSeparator" w:id="0">
    <w:p w14:paraId="2427FE16" w14:textId="77777777" w:rsidR="009771DA" w:rsidRDefault="009771DA" w:rsidP="00803E54">
      <w:r>
        <w:continuationSeparator/>
      </w:r>
    </w:p>
  </w:footnote>
  <w:footnote w:type="continuationNotice" w:id="1">
    <w:p w14:paraId="41241FAC" w14:textId="77777777" w:rsidR="009771DA" w:rsidRDefault="00977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03531" w14:textId="77777777" w:rsidR="005E49B7" w:rsidRDefault="005E4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EC81" w14:textId="2C0D18DC" w:rsidR="00803E54" w:rsidRDefault="005E49B7" w:rsidP="005E49B7">
    <w:pPr>
      <w:pStyle w:val="Header"/>
    </w:pPr>
    <w:r>
      <w:t>OMB Version Appendix 1_04-02-2020</w:t>
    </w:r>
    <w:r w:rsidR="00C92A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C6E7" w14:textId="77777777" w:rsidR="005E49B7" w:rsidRDefault="005E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F9F"/>
    <w:multiLevelType w:val="hybridMultilevel"/>
    <w:tmpl w:val="FAEAA35E"/>
    <w:lvl w:ilvl="0" w:tplc="87C05B74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54C5"/>
    <w:multiLevelType w:val="hybridMultilevel"/>
    <w:tmpl w:val="2ACC1F62"/>
    <w:lvl w:ilvl="0" w:tplc="4F1C7760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51EC4"/>
    <w:multiLevelType w:val="hybridMultilevel"/>
    <w:tmpl w:val="49A0FE98"/>
    <w:lvl w:ilvl="0" w:tplc="93AA57D0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29"/>
    <w:rsid w:val="00037A3D"/>
    <w:rsid w:val="000600B6"/>
    <w:rsid w:val="000659B9"/>
    <w:rsid w:val="00084701"/>
    <w:rsid w:val="000A1C09"/>
    <w:rsid w:val="00131C9F"/>
    <w:rsid w:val="00183247"/>
    <w:rsid w:val="001B283F"/>
    <w:rsid w:val="001B29DA"/>
    <w:rsid w:val="00233F83"/>
    <w:rsid w:val="002534D1"/>
    <w:rsid w:val="0026487D"/>
    <w:rsid w:val="00296BBF"/>
    <w:rsid w:val="002972F4"/>
    <w:rsid w:val="002A1E1E"/>
    <w:rsid w:val="002A57C9"/>
    <w:rsid w:val="002B040E"/>
    <w:rsid w:val="002C310E"/>
    <w:rsid w:val="002F2576"/>
    <w:rsid w:val="003046A4"/>
    <w:rsid w:val="00307469"/>
    <w:rsid w:val="00314E1F"/>
    <w:rsid w:val="0032507F"/>
    <w:rsid w:val="003A657A"/>
    <w:rsid w:val="003D036F"/>
    <w:rsid w:val="003D1579"/>
    <w:rsid w:val="003E2DE6"/>
    <w:rsid w:val="003E5D3A"/>
    <w:rsid w:val="00404D1D"/>
    <w:rsid w:val="00412BC7"/>
    <w:rsid w:val="00414EF8"/>
    <w:rsid w:val="00444DC8"/>
    <w:rsid w:val="004630CF"/>
    <w:rsid w:val="0047742E"/>
    <w:rsid w:val="004920F7"/>
    <w:rsid w:val="004930D3"/>
    <w:rsid w:val="00495C84"/>
    <w:rsid w:val="004E4017"/>
    <w:rsid w:val="00521FB9"/>
    <w:rsid w:val="00564005"/>
    <w:rsid w:val="005818D9"/>
    <w:rsid w:val="00584EE7"/>
    <w:rsid w:val="005C35D0"/>
    <w:rsid w:val="005C5D0A"/>
    <w:rsid w:val="005E49B7"/>
    <w:rsid w:val="006068C3"/>
    <w:rsid w:val="00631139"/>
    <w:rsid w:val="00637662"/>
    <w:rsid w:val="00646DE3"/>
    <w:rsid w:val="00655EAB"/>
    <w:rsid w:val="00672EF3"/>
    <w:rsid w:val="00675E01"/>
    <w:rsid w:val="006A1B0A"/>
    <w:rsid w:val="006B1F8F"/>
    <w:rsid w:val="006B4B0E"/>
    <w:rsid w:val="006E3A81"/>
    <w:rsid w:val="006F3D03"/>
    <w:rsid w:val="00712061"/>
    <w:rsid w:val="0072741C"/>
    <w:rsid w:val="00731B92"/>
    <w:rsid w:val="00747E95"/>
    <w:rsid w:val="007910B7"/>
    <w:rsid w:val="0079626F"/>
    <w:rsid w:val="007B401B"/>
    <w:rsid w:val="007B4EEC"/>
    <w:rsid w:val="007C3703"/>
    <w:rsid w:val="007C5094"/>
    <w:rsid w:val="00803E54"/>
    <w:rsid w:val="00812A81"/>
    <w:rsid w:val="008E5029"/>
    <w:rsid w:val="008F0D28"/>
    <w:rsid w:val="00947B1A"/>
    <w:rsid w:val="009771DA"/>
    <w:rsid w:val="009A573E"/>
    <w:rsid w:val="009B5ABA"/>
    <w:rsid w:val="009C78F7"/>
    <w:rsid w:val="009E4FBD"/>
    <w:rsid w:val="009E683C"/>
    <w:rsid w:val="00A06BD3"/>
    <w:rsid w:val="00A21431"/>
    <w:rsid w:val="00A3426E"/>
    <w:rsid w:val="00A45023"/>
    <w:rsid w:val="00A46EFD"/>
    <w:rsid w:val="00A65A2B"/>
    <w:rsid w:val="00A853B9"/>
    <w:rsid w:val="00B24230"/>
    <w:rsid w:val="00B251C6"/>
    <w:rsid w:val="00B32F61"/>
    <w:rsid w:val="00B33878"/>
    <w:rsid w:val="00B42DB0"/>
    <w:rsid w:val="00B47175"/>
    <w:rsid w:val="00B47576"/>
    <w:rsid w:val="00B86A95"/>
    <w:rsid w:val="00BE4630"/>
    <w:rsid w:val="00C16C4B"/>
    <w:rsid w:val="00C21435"/>
    <w:rsid w:val="00C22655"/>
    <w:rsid w:val="00C31B12"/>
    <w:rsid w:val="00C36492"/>
    <w:rsid w:val="00C61288"/>
    <w:rsid w:val="00C64B5F"/>
    <w:rsid w:val="00C85A0D"/>
    <w:rsid w:val="00C86FBB"/>
    <w:rsid w:val="00C92A60"/>
    <w:rsid w:val="00C95B68"/>
    <w:rsid w:val="00CA50D1"/>
    <w:rsid w:val="00D06734"/>
    <w:rsid w:val="00D252E2"/>
    <w:rsid w:val="00D35FB1"/>
    <w:rsid w:val="00D64103"/>
    <w:rsid w:val="00D75B92"/>
    <w:rsid w:val="00D8300C"/>
    <w:rsid w:val="00DB2F85"/>
    <w:rsid w:val="00E02DA8"/>
    <w:rsid w:val="00E06129"/>
    <w:rsid w:val="00E6333C"/>
    <w:rsid w:val="00E9464E"/>
    <w:rsid w:val="00E96CC9"/>
    <w:rsid w:val="00F00077"/>
    <w:rsid w:val="00F05938"/>
    <w:rsid w:val="00F3773F"/>
    <w:rsid w:val="00F9636A"/>
    <w:rsid w:val="00F97484"/>
    <w:rsid w:val="00FC69CF"/>
    <w:rsid w:val="00FF6F56"/>
    <w:rsid w:val="3CC202F9"/>
    <w:rsid w:val="44E3B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1B7D8"/>
  <w15:chartTrackingRefBased/>
  <w15:docId w15:val="{E1873FE3-65C2-4332-A041-7A1F2920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E54"/>
  </w:style>
  <w:style w:type="paragraph" w:styleId="Footer">
    <w:name w:val="footer"/>
    <w:basedOn w:val="Normal"/>
    <w:link w:val="FooterChar"/>
    <w:uiPriority w:val="99"/>
    <w:unhideWhenUsed/>
    <w:rsid w:val="0080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E54"/>
  </w:style>
  <w:style w:type="character" w:styleId="CommentReference">
    <w:name w:val="annotation reference"/>
    <w:basedOn w:val="DefaultParagraphFont"/>
    <w:uiPriority w:val="99"/>
    <w:semiHidden/>
    <w:unhideWhenUsed/>
    <w:rsid w:val="0063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HUDDASMFH-1742398994-206088</_dlc_DocId>
    <_dlc_DocIdUrl xmlns="d4a638c4-874f-49c0-bb2b-5cb8563c2b18">
      <Url>https://hudgov.sharepoint.com/sites/DASMFH/OMHD/mapguiderevision/_layouts/15/DocIdRedir.aspx?ID=HUDDASMFH-1742398994-206088</Url>
      <Description>HUDDASMFH-1742398994-206088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6D624DB482344A24DBEB47434A9FC" ma:contentTypeVersion="4" ma:contentTypeDescription="Create a new document." ma:contentTypeScope="" ma:versionID="043a1475a67b2f4c50b977055773d6f1">
  <xsd:schema xmlns:xsd="http://www.w3.org/2001/XMLSchema" xmlns:xs="http://www.w3.org/2001/XMLSchema" xmlns:p="http://schemas.microsoft.com/office/2006/metadata/properties" xmlns:ns2="d4a638c4-874f-49c0-bb2b-5cb8563c2b18" xmlns:ns3="320a6383-acb3-40ce-ba1a-9b16453a2770" xmlns:ns4="0e0d5cb7-7792-47bf-9551-1d0e5354bfb1" targetNamespace="http://schemas.microsoft.com/office/2006/metadata/properties" ma:root="true" ma:fieldsID="4d4d398b8b16f4b08cbf0bdc68ef6123" ns2:_="" ns3:_="" ns4:_="">
    <xsd:import namespace="d4a638c4-874f-49c0-bb2b-5cb8563c2b18"/>
    <xsd:import namespace="320a6383-acb3-40ce-ba1a-9b16453a2770"/>
    <xsd:import namespace="0e0d5cb7-7792-47bf-9551-1d0e5354bf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a6383-acb3-40ce-ba1a-9b16453a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d5cb7-7792-47bf-9551-1d0e5354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C7CC2-BEFC-4524-9C4D-31BC0483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654A6-AD88-4EC9-8870-4A40AFC03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7CF27-045A-4B72-856D-422F66166359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4.xml><?xml version="1.0" encoding="utf-8"?>
<ds:datastoreItem xmlns:ds="http://schemas.openxmlformats.org/officeDocument/2006/customXml" ds:itemID="{F4E837FB-0341-4143-BACE-5351ABC5D8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CCC86A-2925-4EB1-95B3-80467739E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320a6383-acb3-40ce-ba1a-9b16453a2770"/>
    <ds:schemaRef ds:uri="0e0d5cb7-7792-47bf-9551-1d0e5354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Doresky, Ken P</dc:creator>
  <cp:keywords/>
  <dc:description/>
  <cp:lastModifiedBy>Pollard, Colette</cp:lastModifiedBy>
  <cp:revision>2</cp:revision>
  <dcterms:created xsi:type="dcterms:W3CDTF">2020-10-27T18:26:00Z</dcterms:created>
  <dcterms:modified xsi:type="dcterms:W3CDTF">2020-10-27T18:26:00Z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0x010100DF56D624DB482344A24DBEB47434A9FC</vt:lpwstr>
  </property>
  <property fmtid="{D5CDD505-2E9C-101B-9397-08002B2CF9AE}" pid="3" name="_dlc_DocIdItemGuid">
    <vt:lpwstr>eb9534e4-d7f0-4a53-8c1c-92fb08f9907e</vt:lpwstr>
  </property>
</Properties>
</file>