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495647292"/>
        <w:docPartObj>
          <w:docPartGallery w:val="Cover Pages"/>
          <w:docPartUnique/>
        </w:docPartObj>
      </w:sdtPr>
      <w:sdtEndPr/>
      <w:sdtContent>
        <w:p w:rsidR="006B7BD5" w:rsidRDefault="006B7BD5" w14:paraId="5C0B7201" w14:textId="4F906337"/>
        <w:tbl>
          <w:tblPr>
            <w:tblpPr w:leftFromText="187" w:rightFromText="187" w:horzAnchor="margin" w:tblpXSpec="center" w:tblpY="2881"/>
            <w:tblW w:w="4000" w:type="pct"/>
            <w:tblBorders>
              <w:left w:val="single" w:color="5B9BD5" w:themeColor="accent1" w:sz="12" w:space="0"/>
            </w:tblBorders>
            <w:tblCellMar>
              <w:left w:w="144" w:type="dxa"/>
              <w:right w:w="115" w:type="dxa"/>
            </w:tblCellMar>
            <w:tblLook w:val="04A0" w:firstRow="1" w:lastRow="0" w:firstColumn="1" w:lastColumn="0" w:noHBand="0" w:noVBand="1"/>
          </w:tblPr>
          <w:tblGrid>
            <w:gridCol w:w="7591"/>
          </w:tblGrid>
          <w:tr w:rsidR="006B7BD5" w14:paraId="27D9662E" w14:textId="77777777">
            <w:tc>
              <w:tcPr>
                <w:tcW w:w="7672" w:type="dxa"/>
                <w:tcMar>
                  <w:top w:w="216" w:type="dxa"/>
                  <w:left w:w="115" w:type="dxa"/>
                  <w:bottom w:w="216" w:type="dxa"/>
                  <w:right w:w="115" w:type="dxa"/>
                </w:tcMar>
              </w:tcPr>
              <w:p w:rsidR="006B7BD5" w:rsidRDefault="006B7BD5" w14:paraId="3E218ADF" w14:textId="0056C5BA">
                <w:pPr>
                  <w:pStyle w:val="NoSpacing"/>
                  <w:rPr>
                    <w:color w:val="2E74B5" w:themeColor="accent1" w:themeShade="BF"/>
                    <w:sz w:val="24"/>
                  </w:rPr>
                </w:pPr>
              </w:p>
            </w:tc>
          </w:tr>
          <w:tr w:rsidR="006B7BD5" w14:paraId="3EA18706" w14:textId="77777777">
            <w:tc>
              <w:tcPr>
                <w:tcW w:w="7672" w:type="dxa"/>
              </w:tcPr>
              <w:sdt>
                <w:sdtPr>
                  <w:rPr>
                    <w:rFonts w:asciiTheme="majorHAnsi" w:hAnsiTheme="majorHAnsi" w:eastAsiaTheme="majorEastAsia" w:cstheme="majorBidi"/>
                    <w:color w:val="5B9BD5" w:themeColor="accent1"/>
                    <w:sz w:val="88"/>
                    <w:szCs w:val="88"/>
                  </w:rPr>
                  <w:alias w:val="Title"/>
                  <w:id w:val="13406919"/>
                  <w:placeholder>
                    <w:docPart w:val="50141371BCF64331BD4D9B8BB864195A"/>
                  </w:placeholder>
                  <w:dataBinding w:prefixMappings="xmlns:ns0='http://schemas.openxmlformats.org/package/2006/metadata/core-properties' xmlns:ns1='http://purl.org/dc/elements/1.1/'" w:xpath="/ns0:coreProperties[1]/ns1:title[1]" w:storeItemID="{6C3C8BC8-F283-45AE-878A-BAB7291924A1}"/>
                  <w:text/>
                </w:sdtPr>
                <w:sdtEndPr/>
                <w:sdtContent>
                  <w:p w:rsidR="006B7BD5" w:rsidRDefault="006B7BD5" w14:paraId="5A31AC08" w14:textId="62549F36">
                    <w:pPr>
                      <w:pStyle w:val="NoSpacing"/>
                      <w:spacing w:line="216" w:lineRule="auto"/>
                      <w:rPr>
                        <w:rFonts w:asciiTheme="majorHAnsi" w:hAnsiTheme="majorHAnsi" w:eastAsiaTheme="majorEastAsia" w:cstheme="majorBidi"/>
                        <w:color w:val="5B9BD5" w:themeColor="accent1"/>
                        <w:sz w:val="88"/>
                        <w:szCs w:val="88"/>
                      </w:rPr>
                    </w:pPr>
                    <w:r>
                      <w:rPr>
                        <w:rFonts w:asciiTheme="majorHAnsi" w:hAnsiTheme="majorHAnsi" w:eastAsiaTheme="majorEastAsia" w:cstheme="majorBidi"/>
                        <w:color w:val="5B9BD5" w:themeColor="accent1"/>
                        <w:sz w:val="88"/>
                        <w:szCs w:val="88"/>
                      </w:rPr>
                      <w:t>Appendix 9B</w:t>
                    </w:r>
                  </w:p>
                </w:sdtContent>
              </w:sdt>
            </w:tc>
          </w:tr>
          <w:tr w:rsidR="006B7BD5" w14:paraId="1DCB6A5B" w14:textId="77777777">
            <w:sdt>
              <w:sdtPr>
                <w:rPr>
                  <w:color w:val="2E74B5" w:themeColor="accent1" w:themeShade="BF"/>
                  <w:sz w:val="24"/>
                  <w:szCs w:val="24"/>
                </w:rPr>
                <w:alias w:val="Subtitle"/>
                <w:id w:val="13406923"/>
                <w:placeholder>
                  <w:docPart w:val="061F8C341C6F4F3A89C76E3A2C413DE9"/>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6B7BD5" w:rsidRDefault="006B7BD5" w14:paraId="55C5BC08" w14:textId="15570DA5">
                    <w:pPr>
                      <w:pStyle w:val="NoSpacing"/>
                      <w:rPr>
                        <w:color w:val="2E74B5" w:themeColor="accent1" w:themeShade="BF"/>
                        <w:sz w:val="24"/>
                      </w:rPr>
                    </w:pPr>
                    <w:r>
                      <w:rPr>
                        <w:color w:val="2E74B5" w:themeColor="accent1" w:themeShade="BF"/>
                        <w:sz w:val="24"/>
                        <w:szCs w:val="24"/>
                      </w:rPr>
                      <w:t>Section 106 Delegation Memo</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331"/>
          </w:tblGrid>
          <w:tr w:rsidR="006B7BD5" w14:paraId="39124F59" w14:textId="77777777">
            <w:tc>
              <w:tcPr>
                <w:tcW w:w="7221" w:type="dxa"/>
                <w:tcMar>
                  <w:top w:w="216" w:type="dxa"/>
                  <w:left w:w="115" w:type="dxa"/>
                  <w:bottom w:w="216" w:type="dxa"/>
                  <w:right w:w="115" w:type="dxa"/>
                </w:tcMar>
              </w:tcPr>
              <w:p w:rsidR="006B7BD5" w:rsidP="006B7BD5" w:rsidRDefault="006B7BD5" w14:paraId="68F5CEFB" w14:textId="77777777">
                <w:pPr>
                  <w:pStyle w:val="NoSpacing"/>
                  <w:rPr>
                    <w:color w:val="5B9BD5" w:themeColor="accent1"/>
                  </w:rPr>
                </w:pPr>
              </w:p>
            </w:tc>
          </w:tr>
        </w:tbl>
        <w:p w:rsidR="006B7BD5" w:rsidRDefault="006B7BD5" w14:paraId="64952D8E" w14:textId="11E9C0A6">
          <w:pPr>
            <w:widowControl/>
            <w:overflowPunct/>
            <w:autoSpaceDE/>
            <w:autoSpaceDN/>
            <w:adjustRightInd/>
            <w:textAlignment w:val="auto"/>
          </w:pPr>
          <w:r>
            <w:br w:type="page"/>
          </w:r>
        </w:p>
      </w:sdtContent>
    </w:sdt>
    <w:p w:rsidRPr="00BF1520" w:rsidR="00537276" w:rsidP="00F56E61" w:rsidRDefault="00537276" w14:paraId="6DE3ED17" w14:textId="77777777">
      <w:pPr>
        <w:spacing w:line="276" w:lineRule="auto"/>
        <w:ind w:left="2880" w:hanging="2880"/>
      </w:pPr>
    </w:p>
    <w:p w:rsidR="00F56E61" w:rsidP="00F56E61" w:rsidRDefault="00F56E61" w14:paraId="2791A0A4" w14:textId="66399C79">
      <w:pPr>
        <w:spacing w:line="276" w:lineRule="auto"/>
        <w:ind w:left="2880" w:hanging="2880"/>
      </w:pPr>
      <w:r>
        <w:t>MEMORANDUM FOR:</w:t>
      </w:r>
      <w:r>
        <w:tab/>
        <w:t>State Historic Preservation Officers (SHPO) and Tribal Historic Preservation Officers (THPO)</w:t>
      </w:r>
      <w:r w:rsidR="00537276">
        <w:t>, MAP</w:t>
      </w:r>
      <w:r w:rsidR="00E500D1">
        <w:t>-</w:t>
      </w:r>
      <w:r w:rsidR="00537276">
        <w:t xml:space="preserve"> and </w:t>
      </w:r>
      <w:r w:rsidR="004529D7">
        <w:t>OHP</w:t>
      </w:r>
      <w:r w:rsidR="00537276">
        <w:t>-approved Lenders</w:t>
      </w:r>
    </w:p>
    <w:p w:rsidR="00F56E61" w:rsidP="00F56E61" w:rsidRDefault="00F56E61" w14:paraId="18CC68EE" w14:textId="77777777">
      <w:pPr>
        <w:spacing w:line="276" w:lineRule="auto"/>
      </w:pPr>
    </w:p>
    <w:p w:rsidR="00F56E61" w:rsidP="00F56E61" w:rsidRDefault="00F56E61" w14:paraId="74E23286" w14:textId="3EEEB517">
      <w:pPr>
        <w:spacing w:line="276" w:lineRule="auto"/>
      </w:pPr>
      <w:r>
        <w:t>FROM:</w:t>
      </w:r>
      <w:r>
        <w:tab/>
      </w:r>
      <w:r>
        <w:tab/>
      </w:r>
      <w:r>
        <w:tab/>
        <w:t>Danielle Schopp, Director, Office of Environment and Energy</w:t>
      </w:r>
    </w:p>
    <w:p w:rsidR="00537276" w:rsidP="00F56E61" w:rsidRDefault="00537276" w14:paraId="66A5F72A" w14:textId="70E86F18">
      <w:pPr>
        <w:spacing w:line="276" w:lineRule="auto"/>
      </w:pPr>
      <w:r>
        <w:tab/>
      </w:r>
      <w:r>
        <w:tab/>
      </w:r>
      <w:r>
        <w:tab/>
      </w:r>
      <w:r>
        <w:tab/>
        <w:t>Department Environmental Clearance Officer</w:t>
      </w:r>
    </w:p>
    <w:p w:rsidR="00F56E61" w:rsidP="00F56E61" w:rsidRDefault="00F56E61" w14:paraId="24B92422" w14:textId="77777777">
      <w:pPr>
        <w:spacing w:line="276" w:lineRule="auto"/>
      </w:pPr>
    </w:p>
    <w:p w:rsidR="00F56E61" w:rsidP="00F56E61" w:rsidRDefault="00F56E61" w14:paraId="6DAC0417" w14:textId="19C1EFAB">
      <w:pPr>
        <w:ind w:left="2880" w:hanging="2880"/>
      </w:pPr>
      <w:r>
        <w:t>SUBJECT:</w:t>
      </w:r>
      <w:r>
        <w:tab/>
      </w:r>
      <w:r w:rsidR="00467C0A">
        <w:t>Authorization of</w:t>
      </w:r>
      <w:r>
        <w:t xml:space="preserve"> </w:t>
      </w:r>
      <w:r w:rsidR="00467C0A">
        <w:rPr>
          <w:color w:val="000000"/>
          <w:spacing w:val="-5"/>
          <w:szCs w:val="24"/>
        </w:rPr>
        <w:t>MAP</w:t>
      </w:r>
      <w:r w:rsidR="00E500D1">
        <w:rPr>
          <w:color w:val="000000"/>
          <w:spacing w:val="-5"/>
          <w:szCs w:val="24"/>
        </w:rPr>
        <w:t>-</w:t>
      </w:r>
      <w:r w:rsidR="00467C0A">
        <w:rPr>
          <w:color w:val="000000"/>
          <w:spacing w:val="-5"/>
          <w:szCs w:val="24"/>
        </w:rPr>
        <w:t xml:space="preserve"> and </w:t>
      </w:r>
      <w:r w:rsidR="003B7F97">
        <w:rPr>
          <w:color w:val="000000"/>
          <w:spacing w:val="-5"/>
          <w:szCs w:val="24"/>
        </w:rPr>
        <w:t>OHP</w:t>
      </w:r>
      <w:r w:rsidR="00467C0A">
        <w:rPr>
          <w:color w:val="000000"/>
          <w:spacing w:val="-5"/>
          <w:szCs w:val="24"/>
        </w:rPr>
        <w:t>-approved</w:t>
      </w:r>
      <w:r w:rsidRPr="004063C1" w:rsidR="00467C0A">
        <w:rPr>
          <w:color w:val="000000"/>
          <w:spacing w:val="-5"/>
          <w:szCs w:val="24"/>
        </w:rPr>
        <w:t xml:space="preserve"> </w:t>
      </w:r>
      <w:r w:rsidR="00467C0A">
        <w:rPr>
          <w:color w:val="000000"/>
          <w:spacing w:val="-5"/>
          <w:szCs w:val="24"/>
        </w:rPr>
        <w:t>L</w:t>
      </w:r>
      <w:r w:rsidRPr="004063C1" w:rsidR="00467C0A">
        <w:rPr>
          <w:color w:val="000000"/>
          <w:spacing w:val="-5"/>
          <w:szCs w:val="24"/>
        </w:rPr>
        <w:t xml:space="preserve">enders and </w:t>
      </w:r>
      <w:r w:rsidR="00467C0A">
        <w:rPr>
          <w:color w:val="000000"/>
          <w:spacing w:val="-5"/>
          <w:szCs w:val="24"/>
        </w:rPr>
        <w:t>T</w:t>
      </w:r>
      <w:r w:rsidRPr="004063C1" w:rsidR="00467C0A">
        <w:rPr>
          <w:color w:val="000000"/>
          <w:spacing w:val="-5"/>
          <w:szCs w:val="24"/>
        </w:rPr>
        <w:t xml:space="preserve">heir </w:t>
      </w:r>
      <w:r w:rsidR="00467C0A">
        <w:rPr>
          <w:color w:val="000000"/>
          <w:spacing w:val="-5"/>
          <w:szCs w:val="24"/>
        </w:rPr>
        <w:t>A</w:t>
      </w:r>
      <w:r w:rsidRPr="004063C1" w:rsidR="00467C0A">
        <w:rPr>
          <w:color w:val="000000"/>
          <w:spacing w:val="-5"/>
          <w:szCs w:val="24"/>
        </w:rPr>
        <w:t xml:space="preserve">uthorized </w:t>
      </w:r>
      <w:r w:rsidR="00467C0A">
        <w:rPr>
          <w:color w:val="000000"/>
          <w:spacing w:val="-5"/>
          <w:szCs w:val="24"/>
        </w:rPr>
        <w:t>R</w:t>
      </w:r>
      <w:r w:rsidRPr="004063C1" w:rsidR="00467C0A">
        <w:rPr>
          <w:color w:val="000000"/>
          <w:spacing w:val="-5"/>
          <w:szCs w:val="24"/>
        </w:rPr>
        <w:t>epresentatives</w:t>
      </w:r>
      <w:r w:rsidR="00467C0A">
        <w:t xml:space="preserve"> </w:t>
      </w:r>
      <w:r>
        <w:t xml:space="preserve">to Initiate </w:t>
      </w:r>
      <w:r w:rsidR="00467C0A">
        <w:t xml:space="preserve">Section 106 </w:t>
      </w:r>
      <w:r>
        <w:t xml:space="preserve">Consultation </w:t>
      </w:r>
    </w:p>
    <w:p w:rsidR="00537276" w:rsidP="00F56E61" w:rsidRDefault="00537276" w14:paraId="5368F898" w14:textId="03DF8259">
      <w:pPr>
        <w:ind w:left="2880" w:hanging="2880"/>
      </w:pPr>
      <w:r>
        <w:tab/>
        <w:t xml:space="preserve">For </w:t>
      </w:r>
      <w:r w:rsidR="00C85FBE">
        <w:t xml:space="preserve">HUD </w:t>
      </w:r>
      <w:r>
        <w:t>Office of Housing Programs</w:t>
      </w:r>
    </w:p>
    <w:p w:rsidR="00537276" w:rsidP="00F56E61" w:rsidRDefault="00537276" w14:paraId="48E73DE7" w14:textId="77777777">
      <w:pPr>
        <w:ind w:left="2880" w:hanging="2880"/>
      </w:pPr>
    </w:p>
    <w:p w:rsidR="00537276" w:rsidP="00F56E61" w:rsidRDefault="00537276" w14:paraId="78DD6708" w14:textId="5672FB70">
      <w:pPr>
        <w:ind w:left="2880" w:hanging="2880"/>
      </w:pPr>
      <w:r>
        <w:t>EFFECTIVE DATE:</w:t>
      </w:r>
      <w:r>
        <w:tab/>
      </w:r>
    </w:p>
    <w:p w:rsidR="00F56E61" w:rsidP="00F56E61" w:rsidRDefault="00F56E61" w14:paraId="7B25DB17" w14:textId="77777777">
      <w:pPr>
        <w:ind w:left="2880" w:hanging="2880"/>
      </w:pPr>
    </w:p>
    <w:p w:rsidR="00F56E61" w:rsidP="00F56E61" w:rsidRDefault="00F56E61" w14:paraId="7653018E" w14:textId="77777777">
      <w:pPr>
        <w:ind w:left="2880" w:hanging="2880"/>
      </w:pPr>
    </w:p>
    <w:p w:rsidRPr="004063C1" w:rsidR="00F56E61" w:rsidP="00F56E61" w:rsidRDefault="00F56E61" w14:paraId="696F9CB2" w14:textId="4230C9A2">
      <w:pPr>
        <w:ind w:left="72" w:firstLine="648"/>
        <w:rPr>
          <w:color w:val="000000"/>
          <w:spacing w:val="-4"/>
          <w:szCs w:val="24"/>
        </w:rPr>
      </w:pPr>
      <w:r w:rsidRPr="004063C1">
        <w:rPr>
          <w:color w:val="000000"/>
          <w:spacing w:val="-4"/>
          <w:szCs w:val="24"/>
        </w:rPr>
        <w:t xml:space="preserve">The Office of </w:t>
      </w:r>
      <w:r>
        <w:rPr>
          <w:color w:val="000000"/>
          <w:spacing w:val="-4"/>
          <w:szCs w:val="24"/>
        </w:rPr>
        <w:t xml:space="preserve">Housing at the </w:t>
      </w:r>
      <w:r w:rsidR="0034652A">
        <w:rPr>
          <w:color w:val="000000"/>
          <w:spacing w:val="-4"/>
          <w:szCs w:val="24"/>
        </w:rPr>
        <w:t xml:space="preserve">U.S. </w:t>
      </w:r>
      <w:r>
        <w:rPr>
          <w:color w:val="000000"/>
          <w:spacing w:val="-4"/>
          <w:szCs w:val="24"/>
        </w:rPr>
        <w:t xml:space="preserve">Department of Housing and Urban Development (HUD) operates </w:t>
      </w:r>
      <w:r w:rsidR="00C023E5">
        <w:rPr>
          <w:color w:val="000000"/>
          <w:spacing w:val="-4"/>
          <w:szCs w:val="24"/>
        </w:rPr>
        <w:t>t</w:t>
      </w:r>
      <w:r>
        <w:rPr>
          <w:color w:val="000000"/>
          <w:spacing w:val="-4"/>
          <w:szCs w:val="24"/>
        </w:rPr>
        <w:t xml:space="preserve">he Federal Housing Administration (FHA), providing mortgage insurance on mortgages for Single Family homes, Multifamily properties, and Healthcare facilities.  Within Housing, the Office of </w:t>
      </w:r>
      <w:r w:rsidRPr="004063C1">
        <w:rPr>
          <w:color w:val="000000"/>
          <w:spacing w:val="-4"/>
          <w:szCs w:val="24"/>
        </w:rPr>
        <w:t>Multifamily Housing Programs is responsible for the overall management, development, direction and administration of HUD</w:t>
      </w:r>
      <w:r>
        <w:rPr>
          <w:color w:val="000000"/>
          <w:spacing w:val="-4"/>
          <w:szCs w:val="24"/>
        </w:rPr>
        <w:t xml:space="preserve">’s </w:t>
      </w:r>
      <w:r w:rsidRPr="004063C1">
        <w:rPr>
          <w:color w:val="000000"/>
          <w:spacing w:val="-4"/>
          <w:szCs w:val="24"/>
        </w:rPr>
        <w:t>Multifamily Housing Programs</w:t>
      </w:r>
      <w:r w:rsidR="0034652A">
        <w:rPr>
          <w:color w:val="000000"/>
          <w:spacing w:val="-4"/>
          <w:szCs w:val="24"/>
        </w:rPr>
        <w:t>,</w:t>
      </w:r>
      <w:r w:rsidR="00E71CE3">
        <w:rPr>
          <w:color w:val="000000"/>
          <w:spacing w:val="-4"/>
          <w:szCs w:val="24"/>
        </w:rPr>
        <w:t xml:space="preserve"> and</w:t>
      </w:r>
      <w:r>
        <w:rPr>
          <w:color w:val="000000"/>
          <w:spacing w:val="-4"/>
          <w:szCs w:val="24"/>
        </w:rPr>
        <w:t xml:space="preserve"> the Office of </w:t>
      </w:r>
      <w:r w:rsidR="00E71CE3">
        <w:rPr>
          <w:color w:val="000000"/>
          <w:spacing w:val="-4"/>
          <w:szCs w:val="24"/>
        </w:rPr>
        <w:t xml:space="preserve">Health Care Programs is responsible for the administration of HUD’s </w:t>
      </w:r>
      <w:r>
        <w:rPr>
          <w:color w:val="000000"/>
          <w:spacing w:val="-4"/>
          <w:szCs w:val="24"/>
        </w:rPr>
        <w:t>Residential Care programs and Hospital Programs.  HUD’s FHA Programs are identified by section of the National Housing Act.</w:t>
      </w:r>
      <w:r w:rsidR="0034652A">
        <w:rPr>
          <w:color w:val="000000"/>
          <w:spacing w:val="-4"/>
          <w:szCs w:val="24"/>
        </w:rPr>
        <w:t xml:space="preserve"> (The Act.)</w:t>
      </w:r>
      <w:r>
        <w:rPr>
          <w:color w:val="000000"/>
          <w:spacing w:val="-4"/>
          <w:szCs w:val="24"/>
        </w:rPr>
        <w:t xml:space="preserve">  Sections 220, 221(d)(4), 231, 213 and 241(a) of the Act provide FHA multifamily mortgage insurance for the new construction or substantial rehabilitation of multifamily rental housing.  Sections 232 and 242 provide FHA mortgage insurance for new construction or substantial rehabilitation of healthcare facilities and hospitals. </w:t>
      </w:r>
      <w:r w:rsidR="0034652A">
        <w:rPr>
          <w:color w:val="000000"/>
          <w:spacing w:val="-4"/>
          <w:szCs w:val="24"/>
        </w:rPr>
        <w:t xml:space="preserve">The </w:t>
      </w:r>
      <w:r>
        <w:rPr>
          <w:color w:val="000000"/>
          <w:spacing w:val="-4"/>
          <w:szCs w:val="24"/>
        </w:rPr>
        <w:t>Section 207/223(f)</w:t>
      </w:r>
      <w:r w:rsidR="0034652A">
        <w:rPr>
          <w:color w:val="000000"/>
          <w:spacing w:val="-4"/>
          <w:szCs w:val="24"/>
        </w:rPr>
        <w:t xml:space="preserve"> program</w:t>
      </w:r>
      <w:r>
        <w:rPr>
          <w:color w:val="000000"/>
          <w:spacing w:val="-4"/>
          <w:szCs w:val="24"/>
        </w:rPr>
        <w:t xml:space="preserve"> insures mortgages for the purchase or refinancing of existing rental housing or healthcare facilities which may have been financed originally with conventional mortgages or equity.  The Section 223(a)(7) program provides for streamlined refinancing of currently insured FHA loans. </w:t>
      </w:r>
    </w:p>
    <w:p w:rsidRPr="004063C1" w:rsidR="00F56E61" w:rsidP="00F56E61" w:rsidRDefault="00F56E61" w14:paraId="79DB3918" w14:textId="77777777">
      <w:pPr>
        <w:rPr>
          <w:szCs w:val="24"/>
        </w:rPr>
      </w:pPr>
    </w:p>
    <w:p w:rsidR="00F56E61" w:rsidP="005375C4" w:rsidRDefault="00F56E61" w14:paraId="6A2A4527" w14:textId="7A7AA995">
      <w:pPr>
        <w:ind w:left="72" w:firstLine="648"/>
        <w:rPr>
          <w:color w:val="000000"/>
          <w:spacing w:val="-4"/>
          <w:szCs w:val="24"/>
        </w:rPr>
      </w:pPr>
      <w:r>
        <w:rPr>
          <w:color w:val="000000"/>
          <w:spacing w:val="-4"/>
          <w:szCs w:val="24"/>
        </w:rPr>
        <w:t>All Housing FHA programs (</w:t>
      </w:r>
      <w:r w:rsidR="00467C0A">
        <w:rPr>
          <w:color w:val="000000"/>
          <w:spacing w:val="-4"/>
          <w:szCs w:val="24"/>
        </w:rPr>
        <w:t>except</w:t>
      </w:r>
      <w:r>
        <w:rPr>
          <w:color w:val="000000"/>
          <w:spacing w:val="-4"/>
          <w:szCs w:val="24"/>
        </w:rPr>
        <w:t xml:space="preserve"> single family</w:t>
      </w:r>
      <w:r w:rsidR="00467C0A">
        <w:rPr>
          <w:color w:val="000000"/>
          <w:spacing w:val="-4"/>
          <w:szCs w:val="24"/>
        </w:rPr>
        <w:t>,</w:t>
      </w:r>
      <w:r>
        <w:rPr>
          <w:color w:val="000000"/>
          <w:spacing w:val="-4"/>
          <w:szCs w:val="24"/>
        </w:rPr>
        <w:t xml:space="preserve"> </w:t>
      </w:r>
      <w:r w:rsidR="00467C0A">
        <w:rPr>
          <w:color w:val="000000"/>
          <w:spacing w:val="-4"/>
          <w:szCs w:val="24"/>
        </w:rPr>
        <w:t xml:space="preserve">1-4 unit properties, </w:t>
      </w:r>
      <w:r>
        <w:rPr>
          <w:color w:val="000000"/>
          <w:spacing w:val="-4"/>
          <w:szCs w:val="24"/>
        </w:rPr>
        <w:t xml:space="preserve">which are </w:t>
      </w:r>
      <w:r w:rsidR="0034652A">
        <w:rPr>
          <w:color w:val="000000"/>
          <w:spacing w:val="-4"/>
          <w:szCs w:val="24"/>
        </w:rPr>
        <w:t xml:space="preserve">generally </w:t>
      </w:r>
      <w:r>
        <w:rPr>
          <w:color w:val="000000"/>
          <w:spacing w:val="-4"/>
          <w:szCs w:val="24"/>
        </w:rPr>
        <w:t xml:space="preserve">categorically excluded from </w:t>
      </w:r>
      <w:r w:rsidR="0034652A">
        <w:rPr>
          <w:color w:val="000000"/>
          <w:spacing w:val="-4"/>
          <w:szCs w:val="24"/>
        </w:rPr>
        <w:t>review under the National Environmental Policy Act (</w:t>
      </w:r>
      <w:r>
        <w:rPr>
          <w:color w:val="000000"/>
          <w:spacing w:val="-4"/>
          <w:szCs w:val="24"/>
        </w:rPr>
        <w:t>NEPA</w:t>
      </w:r>
      <w:r w:rsidR="0034652A">
        <w:rPr>
          <w:color w:val="000000"/>
          <w:spacing w:val="-4"/>
          <w:szCs w:val="24"/>
        </w:rPr>
        <w:t>)</w:t>
      </w:r>
      <w:r>
        <w:rPr>
          <w:color w:val="000000"/>
          <w:spacing w:val="-4"/>
          <w:szCs w:val="24"/>
        </w:rPr>
        <w:t>, not subject to related laws and authorities</w:t>
      </w:r>
      <w:r w:rsidR="0034652A">
        <w:rPr>
          <w:color w:val="000000"/>
          <w:spacing w:val="-4"/>
          <w:szCs w:val="24"/>
        </w:rPr>
        <w:t xml:space="preserve"> specified in HUD’s environmental regulations</w:t>
      </w:r>
      <w:r>
        <w:rPr>
          <w:color w:val="000000"/>
          <w:spacing w:val="-4"/>
          <w:szCs w:val="24"/>
        </w:rPr>
        <w:t xml:space="preserve">) </w:t>
      </w:r>
      <w:r w:rsidRPr="004063C1">
        <w:rPr>
          <w:color w:val="000000"/>
          <w:spacing w:val="-4"/>
          <w:szCs w:val="24"/>
        </w:rPr>
        <w:t xml:space="preserve">must comply with provisions of Section 106 of the National Historic Preservation Act (NHPA) and its implementing regulations, 36 CFR Part 800. In these projects, </w:t>
      </w:r>
      <w:r>
        <w:rPr>
          <w:color w:val="000000"/>
          <w:spacing w:val="-4"/>
          <w:szCs w:val="24"/>
        </w:rPr>
        <w:t xml:space="preserve">HUD receives applications from lenders and is </w:t>
      </w:r>
      <w:r w:rsidRPr="004063C1">
        <w:rPr>
          <w:color w:val="000000"/>
          <w:spacing w:val="-4"/>
          <w:szCs w:val="24"/>
        </w:rPr>
        <w:t>responsible for completing environmental and Section 106 reviews under HUD's environmental regulations in 24 CFR Part 50</w:t>
      </w:r>
      <w:r>
        <w:rPr>
          <w:color w:val="000000"/>
          <w:spacing w:val="-4"/>
          <w:szCs w:val="24"/>
        </w:rPr>
        <w:t xml:space="preserve"> as part of its underwriting process</w:t>
      </w:r>
      <w:r w:rsidRPr="004063C1">
        <w:rPr>
          <w:color w:val="000000"/>
          <w:spacing w:val="-4"/>
          <w:szCs w:val="24"/>
        </w:rPr>
        <w:t xml:space="preserve">. </w:t>
      </w:r>
      <w:r w:rsidR="008B5C85">
        <w:rPr>
          <w:color w:val="000000"/>
          <w:spacing w:val="-4"/>
          <w:szCs w:val="24"/>
        </w:rPr>
        <w:t xml:space="preserve"> </w:t>
      </w:r>
      <w:r w:rsidR="005C51DB">
        <w:rPr>
          <w:color w:val="000000"/>
          <w:spacing w:val="-4"/>
          <w:szCs w:val="24"/>
        </w:rPr>
        <w:t>E</w:t>
      </w:r>
      <w:r w:rsidR="00C31C00">
        <w:rPr>
          <w:color w:val="000000"/>
          <w:spacing w:val="-4"/>
          <w:szCs w:val="24"/>
        </w:rPr>
        <w:t>arly co</w:t>
      </w:r>
      <w:r w:rsidR="00673366">
        <w:rPr>
          <w:color w:val="000000"/>
          <w:spacing w:val="-4"/>
          <w:szCs w:val="24"/>
        </w:rPr>
        <w:t>nsideration</w:t>
      </w:r>
      <w:r w:rsidR="00C31C00">
        <w:rPr>
          <w:color w:val="000000"/>
          <w:spacing w:val="-4"/>
          <w:szCs w:val="24"/>
        </w:rPr>
        <w:t xml:space="preserve"> of </w:t>
      </w:r>
      <w:r w:rsidR="00582978">
        <w:rPr>
          <w:color w:val="000000"/>
          <w:spacing w:val="-4"/>
          <w:szCs w:val="24"/>
        </w:rPr>
        <w:t>Section 106</w:t>
      </w:r>
      <w:r w:rsidR="007C0B0F">
        <w:rPr>
          <w:color w:val="000000"/>
          <w:spacing w:val="-4"/>
          <w:szCs w:val="24"/>
        </w:rPr>
        <w:t xml:space="preserve"> is necessary</w:t>
      </w:r>
      <w:r w:rsidR="005C51DB">
        <w:rPr>
          <w:color w:val="000000"/>
          <w:spacing w:val="-4"/>
          <w:szCs w:val="24"/>
        </w:rPr>
        <w:t xml:space="preserve"> to meet program timelines which often overlap with other funding and tax credit deadlines</w:t>
      </w:r>
      <w:r w:rsidR="00855CB5">
        <w:rPr>
          <w:color w:val="000000"/>
          <w:spacing w:val="-4"/>
          <w:szCs w:val="24"/>
        </w:rPr>
        <w:t xml:space="preserve">.  </w:t>
      </w:r>
      <w:bookmarkStart w:name="_Hlk29201851" w:id="0"/>
      <w:r w:rsidRPr="004063C1" w:rsidR="00DF238E">
        <w:rPr>
          <w:color w:val="000000"/>
          <w:spacing w:val="-4"/>
          <w:szCs w:val="24"/>
        </w:rPr>
        <w:t xml:space="preserve">In order to facilitate the review process, HUD has determined that it is consistent with 36 CFR 800.2(c)(4) for the lenders applying for </w:t>
      </w:r>
      <w:r w:rsidR="00DF238E">
        <w:rPr>
          <w:color w:val="000000"/>
          <w:spacing w:val="-4"/>
          <w:szCs w:val="24"/>
        </w:rPr>
        <w:t>mortgage insurance under these Programs</w:t>
      </w:r>
      <w:r w:rsidRPr="004063C1" w:rsidR="00DF238E">
        <w:rPr>
          <w:color w:val="000000"/>
          <w:spacing w:val="-4"/>
          <w:szCs w:val="24"/>
        </w:rPr>
        <w:t xml:space="preserve"> to initiate Section 106 consultation with State Historic Preservation Officers (SHPO) and other consulting parties</w:t>
      </w:r>
      <w:r w:rsidR="00DF238E">
        <w:rPr>
          <w:color w:val="000000"/>
          <w:spacing w:val="-4"/>
          <w:szCs w:val="24"/>
        </w:rPr>
        <w:t>, except for Indian Tribes</w:t>
      </w:r>
      <w:r w:rsidRPr="004063C1" w:rsidR="00DF238E">
        <w:rPr>
          <w:color w:val="000000"/>
          <w:spacing w:val="-4"/>
          <w:szCs w:val="24"/>
        </w:rPr>
        <w:t>.</w:t>
      </w:r>
      <w:r w:rsidR="00DF238E">
        <w:rPr>
          <w:color w:val="000000"/>
          <w:spacing w:val="-4"/>
          <w:szCs w:val="24"/>
        </w:rPr>
        <w:t xml:space="preserve">  HUD must conduct consultation with Indian Tribes.</w:t>
      </w:r>
      <w:r w:rsidR="005375C4">
        <w:rPr>
          <w:color w:val="000000"/>
          <w:spacing w:val="-4"/>
          <w:szCs w:val="24"/>
        </w:rPr>
        <w:t xml:space="preserve"> For the purposes of this </w:t>
      </w:r>
      <w:r w:rsidR="00285B2A">
        <w:rPr>
          <w:color w:val="000000"/>
          <w:spacing w:val="-4"/>
          <w:szCs w:val="24"/>
        </w:rPr>
        <w:t>M</w:t>
      </w:r>
      <w:r w:rsidR="005375C4">
        <w:rPr>
          <w:color w:val="000000"/>
          <w:spacing w:val="-4"/>
          <w:szCs w:val="24"/>
        </w:rPr>
        <w:t>emorandum, Section 106 consultation may begin once HUD has issued an FHA number.</w:t>
      </w:r>
      <w:bookmarkEnd w:id="0"/>
    </w:p>
    <w:p w:rsidRPr="004063C1" w:rsidR="00F56E61" w:rsidP="00F56E61" w:rsidRDefault="00F56E61" w14:paraId="72ABD7AF" w14:textId="77777777">
      <w:pPr>
        <w:ind w:left="72" w:firstLine="648"/>
        <w:rPr>
          <w:color w:val="000000"/>
          <w:spacing w:val="-4"/>
          <w:szCs w:val="24"/>
        </w:rPr>
      </w:pPr>
    </w:p>
    <w:p w:rsidR="004C40B3" w:rsidP="00F56E61" w:rsidRDefault="00F56E61" w14:paraId="4C0CD650" w14:textId="0566445D">
      <w:pPr>
        <w:ind w:left="72" w:right="144" w:firstLine="648"/>
        <w:rPr>
          <w:color w:val="000000"/>
          <w:spacing w:val="-5"/>
          <w:szCs w:val="24"/>
        </w:rPr>
      </w:pPr>
      <w:r w:rsidRPr="004063C1">
        <w:rPr>
          <w:color w:val="000000"/>
          <w:spacing w:val="-5"/>
          <w:szCs w:val="24"/>
        </w:rPr>
        <w:t xml:space="preserve">Effective immediately, the Department authorizes </w:t>
      </w:r>
      <w:r>
        <w:rPr>
          <w:color w:val="000000"/>
          <w:spacing w:val="-5"/>
          <w:szCs w:val="24"/>
        </w:rPr>
        <w:t>MAP</w:t>
      </w:r>
      <w:r w:rsidR="00E46EBD">
        <w:rPr>
          <w:color w:val="000000"/>
          <w:spacing w:val="-5"/>
          <w:szCs w:val="24"/>
        </w:rPr>
        <w:t>-</w:t>
      </w:r>
      <w:r>
        <w:rPr>
          <w:color w:val="000000"/>
          <w:spacing w:val="-5"/>
          <w:szCs w:val="24"/>
        </w:rPr>
        <w:t xml:space="preserve"> and </w:t>
      </w:r>
      <w:r w:rsidR="003C7BC4">
        <w:rPr>
          <w:color w:val="000000"/>
          <w:spacing w:val="-5"/>
          <w:szCs w:val="24"/>
        </w:rPr>
        <w:t>OHP</w:t>
      </w:r>
      <w:r>
        <w:rPr>
          <w:color w:val="000000"/>
          <w:spacing w:val="-5"/>
          <w:szCs w:val="24"/>
        </w:rPr>
        <w:t>-approved</w:t>
      </w:r>
      <w:r w:rsidRPr="004063C1">
        <w:rPr>
          <w:color w:val="000000"/>
          <w:spacing w:val="-5"/>
          <w:szCs w:val="24"/>
        </w:rPr>
        <w:t xml:space="preserve"> lenders and their </w:t>
      </w:r>
      <w:r w:rsidRPr="004063C1">
        <w:rPr>
          <w:color w:val="000000"/>
          <w:spacing w:val="-5"/>
          <w:szCs w:val="24"/>
        </w:rPr>
        <w:lastRenderedPageBreak/>
        <w:t>authorized representatives to act on behalf of HUD to consult with SHPOs to initiate the Section 106 review process, identify and evaluate historic properties, and assess effects</w:t>
      </w:r>
      <w:r w:rsidR="00D942EC">
        <w:rPr>
          <w:color w:val="000000"/>
          <w:spacing w:val="-5"/>
          <w:szCs w:val="24"/>
        </w:rPr>
        <w:t>.</w:t>
      </w:r>
      <w:r w:rsidR="008648A3">
        <w:rPr>
          <w:color w:val="000000"/>
          <w:spacing w:val="-5"/>
          <w:szCs w:val="24"/>
        </w:rPr>
        <w:t xml:space="preserve">  Lenders using this option </w:t>
      </w:r>
      <w:r w:rsidR="009A5C7B">
        <w:rPr>
          <w:color w:val="000000"/>
          <w:spacing w:val="-5"/>
          <w:szCs w:val="24"/>
        </w:rPr>
        <w:t>must</w:t>
      </w:r>
      <w:r w:rsidR="008648A3">
        <w:rPr>
          <w:color w:val="000000"/>
          <w:spacing w:val="-5"/>
          <w:szCs w:val="24"/>
        </w:rPr>
        <w:t xml:space="preserve"> include a copy of this Memorandum with their submission to SHPO.</w:t>
      </w:r>
    </w:p>
    <w:p w:rsidR="004C40B3" w:rsidP="00F56E61" w:rsidRDefault="004C40B3" w14:paraId="7EAC00D6" w14:textId="77777777">
      <w:pPr>
        <w:ind w:left="72" w:right="144" w:firstLine="648"/>
        <w:rPr>
          <w:color w:val="000000"/>
          <w:spacing w:val="-5"/>
          <w:szCs w:val="24"/>
        </w:rPr>
      </w:pPr>
    </w:p>
    <w:p w:rsidR="00F56E61" w:rsidP="00F56E61" w:rsidRDefault="004C40B3" w14:paraId="457E51B4" w14:textId="3D0FA2E1">
      <w:pPr>
        <w:ind w:left="72" w:right="144" w:firstLine="648"/>
        <w:rPr>
          <w:color w:val="000000"/>
          <w:spacing w:val="-5"/>
          <w:szCs w:val="24"/>
        </w:rPr>
      </w:pPr>
      <w:r>
        <w:rPr>
          <w:color w:val="000000"/>
          <w:spacing w:val="-5"/>
          <w:szCs w:val="24"/>
        </w:rPr>
        <w:t xml:space="preserve"> </w:t>
      </w:r>
      <w:r w:rsidR="000F5DB1">
        <w:rPr>
          <w:color w:val="000000"/>
          <w:spacing w:val="-5"/>
          <w:szCs w:val="24"/>
        </w:rPr>
        <w:t>I</w:t>
      </w:r>
      <w:r w:rsidR="00F56E61">
        <w:rPr>
          <w:color w:val="000000"/>
          <w:spacing w:val="-5"/>
          <w:szCs w:val="24"/>
        </w:rPr>
        <w:t xml:space="preserve">f a project involves </w:t>
      </w:r>
      <w:r w:rsidR="001F6A95">
        <w:rPr>
          <w:color w:val="000000"/>
          <w:spacing w:val="-5"/>
          <w:szCs w:val="24"/>
        </w:rPr>
        <w:t>demolition</w:t>
      </w:r>
      <w:r w:rsidR="00C67429">
        <w:rPr>
          <w:color w:val="000000"/>
          <w:spacing w:val="-5"/>
          <w:szCs w:val="24"/>
        </w:rPr>
        <w:t xml:space="preserve"> of a building over 45 years old</w:t>
      </w:r>
      <w:r w:rsidR="001F6A95">
        <w:rPr>
          <w:color w:val="000000"/>
          <w:spacing w:val="-5"/>
          <w:szCs w:val="24"/>
        </w:rPr>
        <w:t xml:space="preserve">, </w:t>
      </w:r>
      <w:r w:rsidR="00F56E61">
        <w:rPr>
          <w:color w:val="000000"/>
          <w:spacing w:val="-5"/>
          <w:szCs w:val="24"/>
        </w:rPr>
        <w:t>new construction</w:t>
      </w:r>
      <w:r w:rsidR="005375C4">
        <w:rPr>
          <w:color w:val="000000"/>
          <w:spacing w:val="-5"/>
          <w:szCs w:val="24"/>
        </w:rPr>
        <w:t xml:space="preserve"> in or adjacent to a historic district</w:t>
      </w:r>
      <w:r w:rsidR="00F56E61">
        <w:rPr>
          <w:color w:val="000000"/>
          <w:spacing w:val="-5"/>
          <w:szCs w:val="24"/>
        </w:rPr>
        <w:t xml:space="preserve">, </w:t>
      </w:r>
      <w:r w:rsidR="008648A3">
        <w:rPr>
          <w:color w:val="000000"/>
          <w:spacing w:val="-5"/>
          <w:szCs w:val="24"/>
        </w:rPr>
        <w:t>s</w:t>
      </w:r>
      <w:r w:rsidR="00141DBA">
        <w:rPr>
          <w:color w:val="000000"/>
          <w:spacing w:val="-5"/>
          <w:szCs w:val="24"/>
        </w:rPr>
        <w:t>ubstantial</w:t>
      </w:r>
      <w:r w:rsidR="005375C4">
        <w:rPr>
          <w:color w:val="000000"/>
          <w:spacing w:val="-5"/>
          <w:szCs w:val="24"/>
        </w:rPr>
        <w:t xml:space="preserve"> </w:t>
      </w:r>
      <w:r w:rsidR="00F56E61">
        <w:rPr>
          <w:color w:val="000000"/>
          <w:spacing w:val="-5"/>
          <w:szCs w:val="24"/>
        </w:rPr>
        <w:t>ground disturbance</w:t>
      </w:r>
      <w:r w:rsidR="00E44679">
        <w:rPr>
          <w:rStyle w:val="FootnoteReference"/>
          <w:color w:val="000000"/>
          <w:spacing w:val="-5"/>
          <w:szCs w:val="24"/>
        </w:rPr>
        <w:footnoteReference w:id="2"/>
      </w:r>
      <w:r w:rsidR="00F56E61">
        <w:rPr>
          <w:color w:val="000000"/>
          <w:spacing w:val="-5"/>
          <w:szCs w:val="24"/>
        </w:rPr>
        <w:t xml:space="preserve">, or </w:t>
      </w:r>
      <w:r>
        <w:rPr>
          <w:color w:val="000000"/>
          <w:spacing w:val="-5"/>
          <w:szCs w:val="24"/>
        </w:rPr>
        <w:t xml:space="preserve">exterior </w:t>
      </w:r>
      <w:r w:rsidR="00F56E61">
        <w:rPr>
          <w:color w:val="000000"/>
          <w:spacing w:val="-5"/>
          <w:szCs w:val="24"/>
        </w:rPr>
        <w:t>rehabilitation of a building more than 45 years old, lenders must retain a Qualified Historic Preservation Professional</w:t>
      </w:r>
      <w:r w:rsidR="00AE235E">
        <w:rPr>
          <w:color w:val="000000"/>
          <w:spacing w:val="-5"/>
          <w:szCs w:val="24"/>
          <w:vertAlign w:val="superscript"/>
        </w:rPr>
        <w:t>2</w:t>
      </w:r>
      <w:r w:rsidR="00F56E61">
        <w:rPr>
          <w:color w:val="000000"/>
          <w:spacing w:val="-5"/>
          <w:szCs w:val="24"/>
        </w:rPr>
        <w:t xml:space="preserve"> in the discipline relevant to the project activities to prepare submissions to SHPO and manage consultation with interested parties and the public, as well as coordinate with HUD on HUD’s consultation with Indian Tribes.</w:t>
      </w:r>
      <w:r w:rsidR="005C51DB">
        <w:rPr>
          <w:color w:val="000000"/>
          <w:spacing w:val="-5"/>
          <w:szCs w:val="24"/>
        </w:rPr>
        <w:t xml:space="preserve">  </w:t>
      </w:r>
    </w:p>
    <w:p w:rsidR="00F56E61" w:rsidP="00F56E61" w:rsidRDefault="00F56E61" w14:paraId="1A114D6B" w14:textId="77777777">
      <w:pPr>
        <w:ind w:left="72" w:right="144" w:firstLine="648"/>
        <w:rPr>
          <w:color w:val="000000"/>
          <w:spacing w:val="-5"/>
          <w:szCs w:val="24"/>
        </w:rPr>
      </w:pPr>
    </w:p>
    <w:p w:rsidR="00CE6B86" w:rsidP="00CE6B86" w:rsidRDefault="00F56E61" w14:paraId="1E836666" w14:textId="45024E74">
      <w:pPr>
        <w:ind w:left="72" w:right="144" w:firstLine="648"/>
        <w:rPr>
          <w:color w:val="000000"/>
          <w:spacing w:val="-5"/>
          <w:szCs w:val="24"/>
        </w:rPr>
      </w:pPr>
      <w:r>
        <w:rPr>
          <w:color w:val="000000"/>
          <w:spacing w:val="-5"/>
          <w:szCs w:val="24"/>
        </w:rPr>
        <w:t xml:space="preserve">  </w:t>
      </w:r>
      <w:r w:rsidRPr="004063C1">
        <w:rPr>
          <w:color w:val="000000"/>
          <w:spacing w:val="-5"/>
          <w:szCs w:val="24"/>
        </w:rPr>
        <w:t xml:space="preserve">When consulting with the SHPO and others, the lenders </w:t>
      </w:r>
      <w:r>
        <w:rPr>
          <w:color w:val="000000"/>
          <w:spacing w:val="-5"/>
          <w:szCs w:val="24"/>
        </w:rPr>
        <w:t xml:space="preserve">or authorized representatives </w:t>
      </w:r>
      <w:r w:rsidRPr="004063C1">
        <w:rPr>
          <w:color w:val="000000"/>
          <w:spacing w:val="-5"/>
          <w:szCs w:val="24"/>
        </w:rPr>
        <w:t xml:space="preserve">shall identify their project </w:t>
      </w:r>
      <w:r>
        <w:rPr>
          <w:color w:val="000000"/>
          <w:spacing w:val="-5"/>
          <w:szCs w:val="24"/>
        </w:rPr>
        <w:t xml:space="preserve">by the HUD program followed by the section of the Act </w:t>
      </w:r>
      <w:r w:rsidRPr="004063C1">
        <w:rPr>
          <w:color w:val="000000"/>
          <w:spacing w:val="-5"/>
          <w:szCs w:val="24"/>
        </w:rPr>
        <w:t xml:space="preserve">and provide an appropriate contact person </w:t>
      </w:r>
      <w:r>
        <w:rPr>
          <w:color w:val="000000"/>
          <w:spacing w:val="-5"/>
          <w:szCs w:val="24"/>
        </w:rPr>
        <w:t>at both the lender’s organization and the authorized representative hired to coordinate the review.</w:t>
      </w:r>
      <w:r w:rsidR="00CE6B86">
        <w:rPr>
          <w:color w:val="000000"/>
          <w:spacing w:val="-5"/>
          <w:szCs w:val="24"/>
        </w:rPr>
        <w:t xml:space="preserve">  </w:t>
      </w:r>
      <w:r w:rsidRPr="00677571" w:rsidR="00CE6B86">
        <w:rPr>
          <w:color w:val="000000"/>
          <w:spacing w:val="-5"/>
          <w:szCs w:val="24"/>
        </w:rPr>
        <w:t xml:space="preserve">Lenders and authorized representatives must consider timely comments received </w:t>
      </w:r>
      <w:r w:rsidR="0034652A">
        <w:rPr>
          <w:color w:val="000000"/>
          <w:spacing w:val="-5"/>
          <w:szCs w:val="24"/>
        </w:rPr>
        <w:t xml:space="preserve">by HUD </w:t>
      </w:r>
      <w:r w:rsidRPr="00677571" w:rsidR="00CE6B86">
        <w:rPr>
          <w:color w:val="000000"/>
          <w:spacing w:val="-5"/>
          <w:szCs w:val="24"/>
        </w:rPr>
        <w:t>from Indian Tribes before reaching final determinations of effect.</w:t>
      </w:r>
    </w:p>
    <w:p w:rsidR="00EE625B" w:rsidP="00CE6B86" w:rsidRDefault="00EE625B" w14:paraId="2674BB7E" w14:textId="77777777">
      <w:pPr>
        <w:ind w:left="72" w:right="144" w:firstLine="648"/>
        <w:rPr>
          <w:color w:val="000000"/>
          <w:spacing w:val="-5"/>
          <w:szCs w:val="24"/>
        </w:rPr>
      </w:pPr>
    </w:p>
    <w:p w:rsidR="00F56E61" w:rsidP="00F56E61" w:rsidRDefault="00F56E61" w14:paraId="24D3D259" w14:textId="5E6F1615">
      <w:pPr>
        <w:ind w:left="72" w:right="144" w:firstLine="648"/>
        <w:rPr>
          <w:b/>
          <w:color w:val="000000"/>
          <w:spacing w:val="-5"/>
          <w:szCs w:val="24"/>
        </w:rPr>
      </w:pPr>
      <w:r w:rsidRPr="004063C1">
        <w:rPr>
          <w:color w:val="000000"/>
          <w:spacing w:val="-5"/>
          <w:szCs w:val="24"/>
        </w:rPr>
        <w:t xml:space="preserve"> </w:t>
      </w:r>
      <w:r w:rsidR="00CD5DAC">
        <w:rPr>
          <w:color w:val="000000"/>
          <w:spacing w:val="-5"/>
          <w:szCs w:val="24"/>
        </w:rPr>
        <w:t>T</w:t>
      </w:r>
      <w:r w:rsidRPr="004063C1">
        <w:rPr>
          <w:color w:val="000000"/>
          <w:spacing w:val="-5"/>
          <w:szCs w:val="24"/>
        </w:rPr>
        <w:t>he</w:t>
      </w:r>
      <w:r w:rsidR="005C51DB">
        <w:rPr>
          <w:color w:val="000000"/>
          <w:spacing w:val="-5"/>
          <w:szCs w:val="24"/>
        </w:rPr>
        <w:t xml:space="preserve"> lender or authorized </w:t>
      </w:r>
      <w:r w:rsidR="00A0117E">
        <w:rPr>
          <w:color w:val="000000"/>
          <w:spacing w:val="-5"/>
          <w:szCs w:val="24"/>
        </w:rPr>
        <w:t xml:space="preserve">representative </w:t>
      </w:r>
      <w:r w:rsidR="0007742B">
        <w:rPr>
          <w:color w:val="000000"/>
          <w:spacing w:val="-5"/>
          <w:szCs w:val="24"/>
        </w:rPr>
        <w:t>shall</w:t>
      </w:r>
      <w:r w:rsidRPr="004063C1">
        <w:rPr>
          <w:color w:val="000000"/>
          <w:spacing w:val="-5"/>
          <w:szCs w:val="24"/>
        </w:rPr>
        <w:t xml:space="preserve"> </w:t>
      </w:r>
      <w:r w:rsidR="00CD5DAC">
        <w:rPr>
          <w:color w:val="000000"/>
          <w:spacing w:val="-5"/>
          <w:szCs w:val="24"/>
        </w:rPr>
        <w:t>prepare documentation that meets 36 CFR 800.11 (d) or (e) and submit to SHPO</w:t>
      </w:r>
      <w:r w:rsidRPr="004063C1">
        <w:rPr>
          <w:color w:val="000000"/>
          <w:spacing w:val="-5"/>
          <w:szCs w:val="24"/>
        </w:rPr>
        <w:t xml:space="preserve"> for review and concurrence. If </w:t>
      </w:r>
      <w:r w:rsidR="00537276">
        <w:rPr>
          <w:color w:val="000000"/>
          <w:spacing w:val="-5"/>
          <w:szCs w:val="24"/>
        </w:rPr>
        <w:t>SHPO</w:t>
      </w:r>
      <w:r w:rsidRPr="004063C1">
        <w:rPr>
          <w:color w:val="000000"/>
          <w:spacing w:val="-5"/>
          <w:szCs w:val="24"/>
        </w:rPr>
        <w:t xml:space="preserve"> concur</w:t>
      </w:r>
      <w:r w:rsidR="00537276">
        <w:rPr>
          <w:color w:val="000000"/>
          <w:spacing w:val="-5"/>
          <w:szCs w:val="24"/>
        </w:rPr>
        <w:t>s</w:t>
      </w:r>
      <w:r w:rsidR="00426E9D">
        <w:rPr>
          <w:color w:val="000000"/>
          <w:spacing w:val="-5"/>
          <w:szCs w:val="24"/>
        </w:rPr>
        <w:t xml:space="preserve"> with the </w:t>
      </w:r>
      <w:r w:rsidR="002603DE">
        <w:rPr>
          <w:color w:val="000000"/>
          <w:spacing w:val="-5"/>
          <w:szCs w:val="24"/>
        </w:rPr>
        <w:t>finding of effect</w:t>
      </w:r>
      <w:r w:rsidRPr="004063C1">
        <w:rPr>
          <w:color w:val="000000"/>
          <w:spacing w:val="-5"/>
          <w:szCs w:val="24"/>
        </w:rPr>
        <w:t xml:space="preserve">, the </w:t>
      </w:r>
      <w:r w:rsidR="006603AA">
        <w:rPr>
          <w:color w:val="000000"/>
          <w:spacing w:val="-5"/>
          <w:szCs w:val="24"/>
        </w:rPr>
        <w:t xml:space="preserve">lender may </w:t>
      </w:r>
      <w:r w:rsidR="000D3D04">
        <w:rPr>
          <w:color w:val="000000"/>
          <w:spacing w:val="-5"/>
          <w:szCs w:val="24"/>
        </w:rPr>
        <w:t xml:space="preserve">enter </w:t>
      </w:r>
      <w:r w:rsidR="0037711B">
        <w:rPr>
          <w:color w:val="000000"/>
          <w:spacing w:val="-5"/>
          <w:szCs w:val="24"/>
        </w:rPr>
        <w:t xml:space="preserve">the concurrence and supporting documentation </w:t>
      </w:r>
      <w:r w:rsidR="000D3D04">
        <w:rPr>
          <w:color w:val="000000"/>
          <w:spacing w:val="-5"/>
          <w:szCs w:val="24"/>
        </w:rPr>
        <w:t>in</w:t>
      </w:r>
      <w:r w:rsidR="00316107">
        <w:rPr>
          <w:color w:val="000000"/>
          <w:spacing w:val="-5"/>
          <w:szCs w:val="24"/>
        </w:rPr>
        <w:t>to</w:t>
      </w:r>
      <w:r w:rsidR="00737609">
        <w:rPr>
          <w:color w:val="000000"/>
          <w:spacing w:val="-5"/>
          <w:szCs w:val="24"/>
        </w:rPr>
        <w:t xml:space="preserve"> HUD’s Environmental Review Online System</w:t>
      </w:r>
      <w:r w:rsidR="000D3D04">
        <w:rPr>
          <w:color w:val="000000"/>
          <w:spacing w:val="-5"/>
          <w:szCs w:val="24"/>
        </w:rPr>
        <w:t xml:space="preserve"> </w:t>
      </w:r>
      <w:r w:rsidR="00737609">
        <w:rPr>
          <w:color w:val="000000"/>
          <w:spacing w:val="-5"/>
          <w:szCs w:val="24"/>
        </w:rPr>
        <w:t>(</w:t>
      </w:r>
      <w:r w:rsidR="000D3D04">
        <w:rPr>
          <w:color w:val="000000"/>
          <w:spacing w:val="-5"/>
          <w:szCs w:val="24"/>
        </w:rPr>
        <w:t>HEROS</w:t>
      </w:r>
      <w:r w:rsidR="00737609">
        <w:rPr>
          <w:color w:val="000000"/>
          <w:spacing w:val="-5"/>
          <w:szCs w:val="24"/>
        </w:rPr>
        <w:t>)</w:t>
      </w:r>
      <w:r w:rsidR="00A92DF3">
        <w:rPr>
          <w:color w:val="000000"/>
          <w:spacing w:val="-5"/>
          <w:szCs w:val="24"/>
        </w:rPr>
        <w:t xml:space="preserve"> and consider Section 106 complete,</w:t>
      </w:r>
      <w:r w:rsidR="002E09BA">
        <w:rPr>
          <w:color w:val="000000"/>
          <w:spacing w:val="-5"/>
          <w:szCs w:val="24"/>
        </w:rPr>
        <w:t xml:space="preserve"> </w:t>
      </w:r>
      <w:r w:rsidRPr="004063C1">
        <w:rPr>
          <w:color w:val="000000"/>
          <w:spacing w:val="-5"/>
          <w:szCs w:val="24"/>
        </w:rPr>
        <w:t xml:space="preserve">unless any of the considerations </w:t>
      </w:r>
      <w:r w:rsidRPr="001D6CFC">
        <w:rPr>
          <w:bCs/>
          <w:color w:val="000000"/>
          <w:spacing w:val="-5"/>
          <w:szCs w:val="24"/>
        </w:rPr>
        <w:t>below apply.</w:t>
      </w:r>
    </w:p>
    <w:p w:rsidRPr="004063C1" w:rsidR="00F56E61" w:rsidP="00F56E61" w:rsidRDefault="00F56E61" w14:paraId="6D3956F4" w14:textId="77777777">
      <w:pPr>
        <w:ind w:left="72" w:right="144" w:firstLine="648"/>
        <w:rPr>
          <w:b/>
          <w:color w:val="000000"/>
          <w:spacing w:val="-5"/>
          <w:szCs w:val="24"/>
        </w:rPr>
      </w:pPr>
    </w:p>
    <w:p w:rsidR="00F56E61" w:rsidP="00F56E61" w:rsidRDefault="00537276" w14:paraId="4BC9B870" w14:textId="2C280DE4">
      <w:pPr>
        <w:ind w:right="216" w:firstLine="720"/>
        <w:rPr>
          <w:color w:val="000000"/>
          <w:spacing w:val="0"/>
          <w:szCs w:val="24"/>
        </w:rPr>
      </w:pPr>
      <w:r>
        <w:rPr>
          <w:color w:val="000000"/>
          <w:spacing w:val="0"/>
          <w:szCs w:val="24"/>
        </w:rPr>
        <w:t xml:space="preserve"> HUD Office of Housing</w:t>
      </w:r>
      <w:r w:rsidRPr="004063C1" w:rsidR="00F56E61">
        <w:rPr>
          <w:color w:val="000000"/>
          <w:spacing w:val="0"/>
          <w:szCs w:val="24"/>
        </w:rPr>
        <w:t xml:space="preserve"> will remain legally responsible for all findings and determinations</w:t>
      </w:r>
      <w:r w:rsidR="00A94A9E">
        <w:rPr>
          <w:color w:val="000000"/>
          <w:spacing w:val="0"/>
          <w:szCs w:val="24"/>
        </w:rPr>
        <w:t xml:space="preserve">. HUD Office of </w:t>
      </w:r>
      <w:proofErr w:type="gramStart"/>
      <w:r w:rsidR="00A94A9E">
        <w:rPr>
          <w:color w:val="000000"/>
          <w:spacing w:val="0"/>
          <w:szCs w:val="24"/>
        </w:rPr>
        <w:t xml:space="preserve">Housing  </w:t>
      </w:r>
      <w:r w:rsidRPr="004063C1" w:rsidR="00F56E61">
        <w:rPr>
          <w:color w:val="000000"/>
          <w:spacing w:val="0"/>
          <w:szCs w:val="24"/>
        </w:rPr>
        <w:t>will</w:t>
      </w:r>
      <w:proofErr w:type="gramEnd"/>
      <w:r w:rsidRPr="004063C1" w:rsidR="00F56E61">
        <w:rPr>
          <w:color w:val="000000"/>
          <w:spacing w:val="0"/>
          <w:szCs w:val="24"/>
        </w:rPr>
        <w:t xml:space="preserve"> participate in </w:t>
      </w:r>
      <w:r w:rsidR="00F56E61">
        <w:rPr>
          <w:color w:val="000000"/>
          <w:spacing w:val="0"/>
          <w:szCs w:val="24"/>
        </w:rPr>
        <w:t xml:space="preserve">and complete </w:t>
      </w:r>
      <w:r w:rsidRPr="004063C1" w:rsidR="00F56E61">
        <w:rPr>
          <w:color w:val="000000"/>
          <w:spacing w:val="0"/>
          <w:szCs w:val="24"/>
        </w:rPr>
        <w:t xml:space="preserve">the </w:t>
      </w:r>
      <w:r w:rsidR="00F56E61">
        <w:rPr>
          <w:color w:val="000000"/>
          <w:spacing w:val="0"/>
          <w:szCs w:val="24"/>
        </w:rPr>
        <w:t xml:space="preserve">Section 106 </w:t>
      </w:r>
      <w:r w:rsidR="00500A11">
        <w:rPr>
          <w:color w:val="000000"/>
          <w:spacing w:val="0"/>
          <w:szCs w:val="24"/>
        </w:rPr>
        <w:t>review</w:t>
      </w:r>
      <w:r w:rsidRPr="004063C1" w:rsidR="00F56E61">
        <w:rPr>
          <w:color w:val="000000"/>
          <w:spacing w:val="0"/>
          <w:szCs w:val="24"/>
        </w:rPr>
        <w:t xml:space="preserve"> when:</w:t>
      </w:r>
    </w:p>
    <w:p w:rsidRPr="004063C1" w:rsidR="00F56E61" w:rsidP="00F56E61" w:rsidRDefault="00F56E61" w14:paraId="14B58CD0" w14:textId="77777777">
      <w:pPr>
        <w:ind w:right="216" w:firstLine="720"/>
        <w:rPr>
          <w:color w:val="000000"/>
          <w:szCs w:val="24"/>
        </w:rPr>
      </w:pPr>
    </w:p>
    <w:p w:rsidRPr="004063C1" w:rsidR="00F56E61" w:rsidP="00F56E61" w:rsidRDefault="00F56E61" w14:paraId="13E7BF2A" w14:textId="0845FED9">
      <w:pPr>
        <w:widowControl/>
        <w:numPr>
          <w:ilvl w:val="0"/>
          <w:numId w:val="2"/>
        </w:numPr>
        <w:tabs>
          <w:tab w:val="clear" w:pos="360"/>
          <w:tab w:val="left" w:pos="1440"/>
        </w:tabs>
        <w:overflowPunct/>
        <w:autoSpaceDE/>
        <w:autoSpaceDN/>
        <w:adjustRightInd/>
        <w:ind w:left="1440" w:right="216" w:hanging="360"/>
        <w:jc w:val="both"/>
        <w:rPr>
          <w:color w:val="000000"/>
          <w:szCs w:val="24"/>
        </w:rPr>
      </w:pPr>
      <w:r w:rsidRPr="004063C1">
        <w:rPr>
          <w:color w:val="000000"/>
          <w:spacing w:val="0"/>
          <w:szCs w:val="24"/>
        </w:rPr>
        <w:t>It is determined</w:t>
      </w:r>
      <w:r w:rsidR="00342A37">
        <w:rPr>
          <w:color w:val="000000"/>
          <w:spacing w:val="0"/>
          <w:szCs w:val="24"/>
        </w:rPr>
        <w:t xml:space="preserve"> during review that</w:t>
      </w:r>
      <w:r w:rsidR="001A46F3">
        <w:rPr>
          <w:color w:val="000000"/>
          <w:spacing w:val="0"/>
          <w:szCs w:val="24"/>
        </w:rPr>
        <w:t>,</w:t>
      </w:r>
      <w:r w:rsidR="002E09BA">
        <w:rPr>
          <w:color w:val="000000"/>
          <w:spacing w:val="0"/>
          <w:szCs w:val="24"/>
        </w:rPr>
        <w:t xml:space="preserve"> </w:t>
      </w:r>
      <w:r w:rsidRPr="004063C1">
        <w:rPr>
          <w:color w:val="000000"/>
          <w:spacing w:val="0"/>
          <w:szCs w:val="24"/>
        </w:rPr>
        <w:t xml:space="preserve">in accordance with the </w:t>
      </w:r>
      <w:r w:rsidRPr="004063C1">
        <w:rPr>
          <w:i/>
          <w:color w:val="000000"/>
          <w:spacing w:val="0"/>
          <w:szCs w:val="24"/>
        </w:rPr>
        <w:t xml:space="preserve">Criteria of Adverse Effect, </w:t>
      </w:r>
      <w:r w:rsidRPr="004063C1">
        <w:rPr>
          <w:color w:val="000000"/>
          <w:spacing w:val="0"/>
          <w:szCs w:val="24"/>
        </w:rPr>
        <w:t xml:space="preserve">there </w:t>
      </w:r>
      <w:r>
        <w:rPr>
          <w:color w:val="000000"/>
          <w:spacing w:val="0"/>
          <w:szCs w:val="24"/>
        </w:rPr>
        <w:t>may be</w:t>
      </w:r>
      <w:r w:rsidRPr="004063C1">
        <w:rPr>
          <w:color w:val="000000"/>
          <w:spacing w:val="0"/>
          <w:szCs w:val="24"/>
        </w:rPr>
        <w:t xml:space="preserve"> an adverse effect on a historic </w:t>
      </w:r>
      <w:proofErr w:type="gramStart"/>
      <w:r w:rsidRPr="004063C1">
        <w:rPr>
          <w:color w:val="000000"/>
          <w:spacing w:val="0"/>
          <w:szCs w:val="24"/>
        </w:rPr>
        <w:t>property;</w:t>
      </w:r>
      <w:proofErr w:type="gramEnd"/>
    </w:p>
    <w:p w:rsidRPr="004063C1" w:rsidR="00F56E61" w:rsidP="00F56E61" w:rsidRDefault="00F56E61" w14:paraId="3C9D5931" w14:textId="59001BFF">
      <w:pPr>
        <w:widowControl/>
        <w:numPr>
          <w:ilvl w:val="0"/>
          <w:numId w:val="2"/>
        </w:numPr>
        <w:tabs>
          <w:tab w:val="clear" w:pos="360"/>
          <w:tab w:val="left" w:pos="1440"/>
        </w:tabs>
        <w:overflowPunct/>
        <w:autoSpaceDE/>
        <w:autoSpaceDN/>
        <w:adjustRightInd/>
        <w:ind w:left="1440" w:right="216" w:hanging="360"/>
        <w:rPr>
          <w:color w:val="000000"/>
          <w:spacing w:val="-4"/>
          <w:szCs w:val="24"/>
        </w:rPr>
      </w:pPr>
      <w:bookmarkStart w:name="_Hlk31097565" w:id="1"/>
      <w:r w:rsidRPr="004063C1">
        <w:rPr>
          <w:color w:val="000000"/>
          <w:spacing w:val="-4"/>
          <w:szCs w:val="24"/>
        </w:rPr>
        <w:t xml:space="preserve">There is a disagreement between the </w:t>
      </w:r>
      <w:r w:rsidR="00D42166">
        <w:rPr>
          <w:color w:val="000000"/>
          <w:spacing w:val="-4"/>
          <w:szCs w:val="24"/>
        </w:rPr>
        <w:t>lender</w:t>
      </w:r>
      <w:r w:rsidRPr="004063C1">
        <w:rPr>
          <w:color w:val="000000"/>
          <w:spacing w:val="-4"/>
          <w:szCs w:val="24"/>
        </w:rPr>
        <w:t xml:space="preserve"> or their authorized representatives and the SHPO </w:t>
      </w:r>
      <w:r w:rsidR="00D72594">
        <w:rPr>
          <w:color w:val="000000"/>
          <w:spacing w:val="-4"/>
          <w:szCs w:val="24"/>
        </w:rPr>
        <w:t xml:space="preserve">and/or THPO </w:t>
      </w:r>
      <w:r w:rsidRPr="004063C1">
        <w:rPr>
          <w:color w:val="000000"/>
          <w:spacing w:val="-4"/>
          <w:szCs w:val="24"/>
        </w:rPr>
        <w:t xml:space="preserve">regarding identification and evaluation of historic properties and/or assessment of </w:t>
      </w:r>
      <w:proofErr w:type="gramStart"/>
      <w:r w:rsidRPr="004063C1">
        <w:rPr>
          <w:color w:val="000000"/>
          <w:spacing w:val="-4"/>
          <w:szCs w:val="24"/>
        </w:rPr>
        <w:t>effects;</w:t>
      </w:r>
      <w:proofErr w:type="gramEnd"/>
    </w:p>
    <w:bookmarkEnd w:id="1"/>
    <w:p w:rsidRPr="004063C1" w:rsidR="00F56E61" w:rsidP="00F56E61" w:rsidRDefault="00F56E61" w14:paraId="7B7389B5" w14:textId="4C46D1F4">
      <w:pPr>
        <w:widowControl/>
        <w:numPr>
          <w:ilvl w:val="0"/>
          <w:numId w:val="2"/>
        </w:numPr>
        <w:tabs>
          <w:tab w:val="clear" w:pos="360"/>
          <w:tab w:val="left" w:pos="1440"/>
        </w:tabs>
        <w:overflowPunct/>
        <w:autoSpaceDE/>
        <w:autoSpaceDN/>
        <w:adjustRightInd/>
        <w:ind w:left="1440" w:hanging="360"/>
        <w:rPr>
          <w:color w:val="000000"/>
          <w:szCs w:val="24"/>
        </w:rPr>
      </w:pPr>
      <w:r>
        <w:rPr>
          <w:color w:val="000000"/>
          <w:spacing w:val="0"/>
          <w:szCs w:val="24"/>
        </w:rPr>
        <w:t xml:space="preserve">There is an objection from </w:t>
      </w:r>
      <w:r w:rsidR="00FD19C2">
        <w:rPr>
          <w:color w:val="000000"/>
          <w:spacing w:val="0"/>
          <w:szCs w:val="24"/>
        </w:rPr>
        <w:t xml:space="preserve">tribes, </w:t>
      </w:r>
      <w:r>
        <w:rPr>
          <w:color w:val="000000"/>
          <w:spacing w:val="0"/>
          <w:szCs w:val="24"/>
        </w:rPr>
        <w:t>consulting parties or the public regarding</w:t>
      </w:r>
      <w:r w:rsidR="00EB2FDC">
        <w:rPr>
          <w:color w:val="000000"/>
          <w:spacing w:val="0"/>
          <w:szCs w:val="24"/>
        </w:rPr>
        <w:t xml:space="preserve"> their</w:t>
      </w:r>
      <w:r w:rsidR="007F7D45">
        <w:rPr>
          <w:color w:val="000000"/>
          <w:spacing w:val="0"/>
          <w:szCs w:val="24"/>
        </w:rPr>
        <w:t xml:space="preserve"> involvement in the review process</w:t>
      </w:r>
      <w:r w:rsidR="00AA46E5">
        <w:rPr>
          <w:color w:val="000000"/>
          <w:spacing w:val="0"/>
          <w:szCs w:val="24"/>
        </w:rPr>
        <w:t>, recommended Section 106 findings and determinations</w:t>
      </w:r>
      <w:r w:rsidR="00AA5212">
        <w:rPr>
          <w:color w:val="000000"/>
          <w:spacing w:val="0"/>
          <w:szCs w:val="24"/>
        </w:rPr>
        <w:t xml:space="preserve">, </w:t>
      </w:r>
      <w:proofErr w:type="gramStart"/>
      <w:r w:rsidR="00AA5212">
        <w:rPr>
          <w:color w:val="000000"/>
          <w:spacing w:val="0"/>
          <w:szCs w:val="24"/>
        </w:rPr>
        <w:t xml:space="preserve">or </w:t>
      </w:r>
      <w:r>
        <w:rPr>
          <w:color w:val="000000"/>
          <w:spacing w:val="0"/>
          <w:szCs w:val="24"/>
        </w:rPr>
        <w:t xml:space="preserve"> the</w:t>
      </w:r>
      <w:proofErr w:type="gramEnd"/>
      <w:r w:rsidRPr="004063C1">
        <w:rPr>
          <w:color w:val="000000"/>
          <w:spacing w:val="0"/>
          <w:szCs w:val="24"/>
        </w:rPr>
        <w:t xml:space="preserve"> implementation of agreed upon provisions;</w:t>
      </w:r>
    </w:p>
    <w:p w:rsidRPr="004063C1" w:rsidR="00F56E61" w:rsidP="00F56E61" w:rsidRDefault="00F56E61" w14:paraId="1A76EDF3" w14:textId="7FE15CCA">
      <w:pPr>
        <w:widowControl/>
        <w:numPr>
          <w:ilvl w:val="0"/>
          <w:numId w:val="2"/>
        </w:numPr>
        <w:tabs>
          <w:tab w:val="clear" w:pos="360"/>
          <w:tab w:val="left" w:pos="1440"/>
        </w:tabs>
        <w:overflowPunct/>
        <w:autoSpaceDE/>
        <w:autoSpaceDN/>
        <w:adjustRightInd/>
        <w:ind w:left="1440" w:hanging="360"/>
        <w:rPr>
          <w:color w:val="000000"/>
          <w:spacing w:val="-4"/>
          <w:szCs w:val="24"/>
        </w:rPr>
      </w:pPr>
      <w:r w:rsidRPr="004063C1">
        <w:rPr>
          <w:color w:val="000000"/>
          <w:spacing w:val="-4"/>
          <w:szCs w:val="24"/>
        </w:rPr>
        <w:t>There is the potential for a foreclosure situation per 36 CFR 800.9(b) or anticipatory demolition as specified in Section 110(k) of the National Historic Preservation Act;</w:t>
      </w:r>
      <w:r w:rsidR="00500A11">
        <w:rPr>
          <w:color w:val="000000"/>
          <w:spacing w:val="-4"/>
          <w:szCs w:val="24"/>
        </w:rPr>
        <w:t xml:space="preserve"> </w:t>
      </w:r>
      <w:r w:rsidRPr="004063C1">
        <w:rPr>
          <w:color w:val="000000"/>
          <w:spacing w:val="-4"/>
          <w:szCs w:val="24"/>
        </w:rPr>
        <w:t>or</w:t>
      </w:r>
    </w:p>
    <w:p w:rsidRPr="004063C1" w:rsidR="00F56E61" w:rsidP="340E759E" w:rsidRDefault="00F56E61" w14:paraId="5F934D3B" w14:textId="58722A00">
      <w:pPr>
        <w:widowControl/>
        <w:numPr>
          <w:ilvl w:val="0"/>
          <w:numId w:val="2"/>
        </w:numPr>
        <w:tabs>
          <w:tab w:val="clear" w:pos="360"/>
          <w:tab w:val="left" w:pos="1440"/>
        </w:tabs>
        <w:overflowPunct/>
        <w:autoSpaceDE/>
        <w:autoSpaceDN/>
        <w:adjustRightInd/>
        <w:ind w:left="1440" w:hanging="360"/>
        <w:rPr>
          <w:color w:val="000000"/>
          <w:spacing w:val="-4"/>
        </w:rPr>
      </w:pPr>
      <w:r w:rsidRPr="340E759E">
        <w:rPr>
          <w:color w:val="000000"/>
          <w:spacing w:val="-4"/>
        </w:rPr>
        <w:t>There is government-to-government consultation with Indian tribes</w:t>
      </w:r>
      <w:r w:rsidRPr="340E759E" w:rsidR="0C2A31F4">
        <w:rPr>
          <w:color w:val="000000"/>
          <w:spacing w:val="-4"/>
        </w:rPr>
        <w:t>, or</w:t>
      </w:r>
    </w:p>
    <w:p w:rsidR="0C2A31F4" w:rsidP="340E759E" w:rsidRDefault="0C2A31F4" w14:paraId="24C0D1D2" w14:textId="395EF10F">
      <w:pPr>
        <w:numPr>
          <w:ilvl w:val="0"/>
          <w:numId w:val="2"/>
        </w:numPr>
        <w:ind w:left="1440" w:hanging="360"/>
        <w:rPr>
          <w:color w:val="000000" w:themeColor="text1"/>
          <w:szCs w:val="24"/>
        </w:rPr>
      </w:pPr>
      <w:r w:rsidRPr="340E759E">
        <w:rPr>
          <w:color w:val="000000" w:themeColor="text1"/>
          <w:szCs w:val="24"/>
        </w:rPr>
        <w:t>HUD deems the consultation record inadequate.</w:t>
      </w:r>
    </w:p>
    <w:p w:rsidR="00CF55C1" w:rsidP="00F61547" w:rsidRDefault="00CF55C1" w14:paraId="3D874ED9" w14:textId="77777777">
      <w:pPr>
        <w:ind w:right="144" w:firstLine="648"/>
        <w:rPr>
          <w:color w:val="000000"/>
          <w:spacing w:val="0"/>
          <w:szCs w:val="24"/>
        </w:rPr>
      </w:pPr>
    </w:p>
    <w:p w:rsidR="00F56E61" w:rsidP="00F61547" w:rsidRDefault="00F56E61" w14:paraId="695A1E9B" w14:textId="73812C24">
      <w:pPr>
        <w:ind w:right="144" w:firstLine="648"/>
        <w:rPr>
          <w:color w:val="000000"/>
          <w:spacing w:val="0"/>
          <w:szCs w:val="24"/>
        </w:rPr>
      </w:pPr>
      <w:r w:rsidRPr="004063C1">
        <w:rPr>
          <w:color w:val="000000"/>
          <w:spacing w:val="0"/>
          <w:szCs w:val="24"/>
        </w:rPr>
        <w:t>It is important that Section 106 reviews be conducted within the timeframes set forth in 36</w:t>
      </w:r>
      <w:r w:rsidR="00CF55C1">
        <w:rPr>
          <w:color w:val="000000"/>
          <w:spacing w:val="0"/>
          <w:szCs w:val="24"/>
        </w:rPr>
        <w:t xml:space="preserve"> </w:t>
      </w:r>
      <w:r w:rsidRPr="004063C1">
        <w:rPr>
          <w:color w:val="000000"/>
          <w:spacing w:val="0"/>
          <w:szCs w:val="24"/>
        </w:rPr>
        <w:t xml:space="preserve">CFR Part 800 </w:t>
      </w:r>
      <w:r>
        <w:rPr>
          <w:color w:val="000000"/>
          <w:spacing w:val="0"/>
          <w:szCs w:val="24"/>
        </w:rPr>
        <w:t xml:space="preserve">and in the Housing Multifamily and Healthcare FHA programs </w:t>
      </w:r>
      <w:r w:rsidRPr="004063C1">
        <w:rPr>
          <w:color w:val="000000"/>
          <w:spacing w:val="0"/>
          <w:szCs w:val="24"/>
        </w:rPr>
        <w:t xml:space="preserve">and that the exchange of documentation and consultations between the consulting parties be carried out in a consistent and predictable manner. To this end, HUD will coordinate with its </w:t>
      </w:r>
      <w:r>
        <w:rPr>
          <w:color w:val="000000"/>
          <w:spacing w:val="0"/>
          <w:szCs w:val="24"/>
        </w:rPr>
        <w:t>MAP</w:t>
      </w:r>
      <w:r w:rsidR="00E46EBD">
        <w:rPr>
          <w:color w:val="000000"/>
          <w:spacing w:val="0"/>
          <w:szCs w:val="24"/>
        </w:rPr>
        <w:t>-</w:t>
      </w:r>
      <w:r>
        <w:rPr>
          <w:color w:val="000000"/>
          <w:spacing w:val="0"/>
          <w:szCs w:val="24"/>
        </w:rPr>
        <w:t xml:space="preserve"> and </w:t>
      </w:r>
      <w:r w:rsidR="003C7BC4">
        <w:rPr>
          <w:color w:val="000000"/>
          <w:spacing w:val="0"/>
          <w:szCs w:val="24"/>
        </w:rPr>
        <w:t>OHP</w:t>
      </w:r>
      <w:r>
        <w:rPr>
          <w:color w:val="000000"/>
          <w:spacing w:val="0"/>
          <w:szCs w:val="24"/>
        </w:rPr>
        <w:t>-approved</w:t>
      </w:r>
      <w:r w:rsidRPr="004063C1">
        <w:rPr>
          <w:color w:val="000000"/>
          <w:spacing w:val="0"/>
          <w:szCs w:val="24"/>
        </w:rPr>
        <w:t xml:space="preserve"> lenders to carry out the process set forth in this memorandum.</w:t>
      </w:r>
      <w:r w:rsidR="00A0117E">
        <w:rPr>
          <w:color w:val="000000"/>
          <w:spacing w:val="0"/>
          <w:szCs w:val="24"/>
        </w:rPr>
        <w:t xml:space="preserve">  HUD will provide </w:t>
      </w:r>
      <w:r w:rsidR="004B661F">
        <w:rPr>
          <w:color w:val="000000"/>
          <w:spacing w:val="0"/>
          <w:szCs w:val="24"/>
        </w:rPr>
        <w:t xml:space="preserve">guidance and </w:t>
      </w:r>
      <w:r w:rsidR="00A0117E">
        <w:rPr>
          <w:color w:val="000000"/>
          <w:spacing w:val="0"/>
          <w:szCs w:val="24"/>
        </w:rPr>
        <w:t xml:space="preserve">periodic training on the implementation of the authorization.  HUD will also monitor compliance with the authorization and prepare an annual report that summarizes the activities conducted under this authorization and make it publicly available on the HUD website.   </w:t>
      </w:r>
    </w:p>
    <w:p w:rsidRPr="004063C1" w:rsidR="00F56E61" w:rsidP="00F56E61" w:rsidRDefault="00F56E61" w14:paraId="41551233" w14:textId="77777777">
      <w:pPr>
        <w:ind w:right="144" w:firstLine="648"/>
        <w:rPr>
          <w:color w:val="000000"/>
          <w:szCs w:val="24"/>
        </w:rPr>
      </w:pPr>
    </w:p>
    <w:p w:rsidR="00F56E61" w:rsidP="00F56E61" w:rsidRDefault="00F56E61" w14:paraId="77A80BF6" w14:textId="1F723FB5">
      <w:pPr>
        <w:ind w:right="72" w:firstLine="648"/>
        <w:rPr>
          <w:color w:val="000000"/>
          <w:spacing w:val="0"/>
          <w:szCs w:val="24"/>
        </w:rPr>
      </w:pPr>
      <w:r w:rsidRPr="004063C1">
        <w:rPr>
          <w:color w:val="000000"/>
          <w:spacing w:val="0"/>
          <w:szCs w:val="24"/>
        </w:rPr>
        <w:t xml:space="preserve">If you have any questions regarding </w:t>
      </w:r>
      <w:r>
        <w:rPr>
          <w:color w:val="000000"/>
          <w:spacing w:val="0"/>
          <w:szCs w:val="24"/>
        </w:rPr>
        <w:t>compliance with this Memorandum, please contact Sara Jensen</w:t>
      </w:r>
      <w:r w:rsidR="00333757">
        <w:rPr>
          <w:color w:val="000000"/>
          <w:spacing w:val="0"/>
          <w:szCs w:val="24"/>
        </w:rPr>
        <w:t xml:space="preserve">, Multifamily Housing Program Environmental Clearance Officer, </w:t>
      </w:r>
      <w:r>
        <w:rPr>
          <w:color w:val="000000"/>
          <w:spacing w:val="0"/>
          <w:szCs w:val="24"/>
        </w:rPr>
        <w:t xml:space="preserve"> at </w:t>
      </w:r>
      <w:hyperlink w:history="1" r:id="rId12">
        <w:r w:rsidRPr="00B17DBB">
          <w:rPr>
            <w:rStyle w:val="Hyperlink"/>
            <w:spacing w:val="0"/>
            <w:szCs w:val="24"/>
          </w:rPr>
          <w:t>sara.jensen@hud.gov</w:t>
        </w:r>
      </w:hyperlink>
      <w:r>
        <w:rPr>
          <w:color w:val="000000"/>
          <w:spacing w:val="0"/>
          <w:szCs w:val="24"/>
        </w:rPr>
        <w:t xml:space="preserve"> or 206-220-5226.</w:t>
      </w:r>
      <w:r w:rsidR="00333757">
        <w:rPr>
          <w:color w:val="000000"/>
          <w:spacing w:val="0"/>
          <w:szCs w:val="24"/>
        </w:rPr>
        <w:t xml:space="preserve"> </w:t>
      </w:r>
      <w:r>
        <w:rPr>
          <w:color w:val="000000"/>
          <w:spacing w:val="0"/>
          <w:szCs w:val="24"/>
        </w:rPr>
        <w:t xml:space="preserve"> </w:t>
      </w:r>
      <w:r w:rsidRPr="004063C1">
        <w:rPr>
          <w:color w:val="000000"/>
          <w:spacing w:val="0"/>
          <w:szCs w:val="24"/>
        </w:rPr>
        <w:t xml:space="preserve">If you have any questions regarding HUD's Historic Preservation Program, please contact Nancy Boone, Federal Preservation Officer at </w:t>
      </w:r>
      <w:r w:rsidRPr="004063C1">
        <w:rPr>
          <w:color w:val="000000"/>
          <w:spacing w:val="0"/>
          <w:szCs w:val="24"/>
          <w:u w:val="single"/>
        </w:rPr>
        <w:t>Nancy.E.Boone</w:t>
      </w:r>
      <w:r>
        <w:rPr>
          <w:color w:val="000000"/>
          <w:spacing w:val="0"/>
          <w:szCs w:val="24"/>
          <w:u w:val="single"/>
        </w:rPr>
        <w:t>@hud.gov</w:t>
      </w:r>
      <w:r w:rsidRPr="004063C1">
        <w:rPr>
          <w:color w:val="000000"/>
          <w:spacing w:val="0"/>
          <w:szCs w:val="24"/>
        </w:rPr>
        <w:t xml:space="preserve"> or (202) 402-5718.</w:t>
      </w:r>
    </w:p>
    <w:p w:rsidR="00D50679" w:rsidRDefault="00D50679" w14:paraId="51052CF0" w14:textId="697D62A6"/>
    <w:p w:rsidR="00F56E61" w:rsidRDefault="00F56E61" w14:paraId="0A3E5ABE" w14:textId="152BD5BC"/>
    <w:p w:rsidR="00F56E61" w:rsidRDefault="00F56E61" w14:paraId="4DB3554D" w14:textId="73DC5A2A"/>
    <w:p w:rsidR="00F56E61" w:rsidRDefault="00F56E61" w14:paraId="677BEC60" w14:textId="5ECD9EE9"/>
    <w:p w:rsidR="00F56E61" w:rsidRDefault="00F56E61" w14:paraId="11562AF0" w14:textId="320584DF">
      <w:r>
        <w:t>Affirmed by __________________________________     Date_________________________</w:t>
      </w:r>
    </w:p>
    <w:p w:rsidR="00F56E61" w:rsidRDefault="00F56E61" w14:paraId="52A53D52" w14:textId="2DEB3439">
      <w:r>
        <w:t xml:space="preserve">                      Brian D. Montgomery</w:t>
      </w:r>
    </w:p>
    <w:p w:rsidR="00F56E61" w:rsidRDefault="00F56E61" w14:paraId="1555361C" w14:textId="277231B5">
      <w:r>
        <w:t xml:space="preserve">                      Assistant Secretary of Housing and FHA Commissioner</w:t>
      </w:r>
    </w:p>
    <w:p w:rsidR="00D50679" w:rsidP="00AC4D6E" w:rsidRDefault="00D50679" w14:paraId="2772C1BE" w14:textId="3C58DF19">
      <w:pPr>
        <w:tabs>
          <w:tab w:val="center" w:pos="4320"/>
          <w:tab w:val="left" w:pos="7200"/>
        </w:tabs>
      </w:pPr>
    </w:p>
    <w:sectPr w:rsidR="00D50679" w:rsidSect="001A4199">
      <w:headerReference w:type="even" r:id="rId13"/>
      <w:headerReference w:type="default" r:id="rId14"/>
      <w:headerReference w:type="first" r:id="rId15"/>
      <w:footerReference w:type="first" r:id="rId16"/>
      <w:endnotePr>
        <w:numFmt w:val="decimal"/>
      </w:endnotePr>
      <w:pgSz w:w="12240" w:h="15840" w:code="1"/>
      <w:pgMar w:top="1440" w:right="1296" w:bottom="1440" w:left="1440"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49A84" w14:textId="77777777" w:rsidR="007105E4" w:rsidRDefault="007105E4">
      <w:pPr>
        <w:spacing w:line="20" w:lineRule="exact"/>
      </w:pPr>
    </w:p>
  </w:endnote>
  <w:endnote w:type="continuationSeparator" w:id="0">
    <w:p w14:paraId="05886036" w14:textId="77777777" w:rsidR="007105E4" w:rsidRDefault="007105E4">
      <w:r>
        <w:t xml:space="preserve"> </w:t>
      </w:r>
    </w:p>
  </w:endnote>
  <w:endnote w:type="continuationNotice" w:id="1">
    <w:p w14:paraId="314B8B84" w14:textId="77777777" w:rsidR="007105E4" w:rsidRDefault="007105E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A7DA9" w14:textId="77777777" w:rsidR="00D50679" w:rsidRDefault="00D50679">
    <w:pPr>
      <w:pStyle w:val="Footer"/>
      <w:jc w:val="center"/>
      <w:rPr>
        <w:rFonts w:ascii="Arial" w:hAnsi="Arial" w:cs="Arial"/>
        <w:sz w:val="18"/>
      </w:rPr>
    </w:pPr>
  </w:p>
  <w:p w14:paraId="3CD385C0" w14:textId="77777777" w:rsidR="00D50679" w:rsidRDefault="007105E4">
    <w:pPr>
      <w:pStyle w:val="Footer"/>
      <w:jc w:val="center"/>
    </w:pPr>
    <w:hyperlink r:id="rId1" w:history="1">
      <w:r w:rsidR="00A9115F">
        <w:rPr>
          <w:rStyle w:val="Hyperlink"/>
          <w:b/>
          <w:bCs/>
          <w:color w:val="auto"/>
          <w:sz w:val="18"/>
          <w:u w:val="none"/>
        </w:rPr>
        <w:t>www.hud.gov</w:t>
      </w:r>
    </w:hyperlink>
    <w:r w:rsidR="00A9115F">
      <w:rPr>
        <w:b/>
        <w:bCs/>
        <w:sz w:val="18"/>
      </w:rPr>
      <w:t xml:space="preserve">                espanol.hud.gov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C4B07" w14:textId="77777777" w:rsidR="007105E4" w:rsidRDefault="007105E4">
      <w:r>
        <w:separator/>
      </w:r>
    </w:p>
  </w:footnote>
  <w:footnote w:type="continuationSeparator" w:id="0">
    <w:p w14:paraId="4077C292" w14:textId="77777777" w:rsidR="007105E4" w:rsidRDefault="007105E4">
      <w:r>
        <w:continuationSeparator/>
      </w:r>
    </w:p>
  </w:footnote>
  <w:footnote w:type="continuationNotice" w:id="1">
    <w:p w14:paraId="61EC0CF7" w14:textId="77777777" w:rsidR="007105E4" w:rsidRDefault="007105E4"/>
  </w:footnote>
  <w:footnote w:id="2">
    <w:p w14:paraId="083A1775" w14:textId="53F169E9" w:rsidR="00E44679" w:rsidRDefault="00E44679">
      <w:pPr>
        <w:pStyle w:val="FootnoteText"/>
      </w:pPr>
      <w:r>
        <w:rPr>
          <w:rStyle w:val="FootnoteReference"/>
        </w:rPr>
        <w:footnoteRef/>
      </w:r>
      <w:r>
        <w:t xml:space="preserve"> </w:t>
      </w:r>
      <w:r w:rsidR="000F5DB1">
        <w:t>D</w:t>
      </w:r>
      <w:r w:rsidR="007F1781">
        <w:t xml:space="preserve">oes </w:t>
      </w:r>
      <w:r>
        <w:t xml:space="preserve">not </w:t>
      </w:r>
      <w:r w:rsidR="002603DE">
        <w:t>include</w:t>
      </w:r>
      <w:r>
        <w:t xml:space="preserve"> </w:t>
      </w:r>
      <w:r w:rsidR="00C02BB3">
        <w:t xml:space="preserve">minor </w:t>
      </w:r>
      <w:r>
        <w:t xml:space="preserve">ground disturbance for </w:t>
      </w:r>
      <w:r w:rsidR="00DF238E">
        <w:t>installing posts for a</w:t>
      </w:r>
      <w:r>
        <w:t xml:space="preserve"> fence, </w:t>
      </w:r>
      <w:r w:rsidR="00DF238E">
        <w:t xml:space="preserve">deck, </w:t>
      </w:r>
      <w:r>
        <w:t>ramp,</w:t>
      </w:r>
      <w:r w:rsidR="00DF238E">
        <w:t xml:space="preserve"> </w:t>
      </w:r>
      <w:r>
        <w:t>handrail</w:t>
      </w:r>
      <w:r w:rsidR="00DF238E">
        <w:t>,</w:t>
      </w:r>
      <w:r w:rsidR="00A94A9E">
        <w:t xml:space="preserve"> etc.</w:t>
      </w:r>
      <w:r w:rsidR="00DF238E">
        <w:t xml:space="preserve">; </w:t>
      </w:r>
      <w:r w:rsidR="002603DE">
        <w:t xml:space="preserve">routine </w:t>
      </w:r>
      <w:r>
        <w:t>landscaping</w:t>
      </w:r>
      <w:r w:rsidR="00DF238E">
        <w:t>;</w:t>
      </w:r>
      <w:r>
        <w:t xml:space="preserve"> </w:t>
      </w:r>
      <w:r w:rsidR="000F5DB1">
        <w:t>or re</w:t>
      </w:r>
      <w:r>
        <w:t>paving a parking lot or sidewalk</w:t>
      </w:r>
      <w:r w:rsidR="000F5DB1">
        <w:t>.</w:t>
      </w:r>
    </w:p>
    <w:p w14:paraId="46105672" w14:textId="53DA5181" w:rsidR="00B94FBF" w:rsidRPr="00B94FBF" w:rsidRDefault="00B94FBF">
      <w:pPr>
        <w:pStyle w:val="FootnoteText"/>
      </w:pPr>
      <w:r>
        <w:rPr>
          <w:vertAlign w:val="superscript"/>
        </w:rPr>
        <w:t xml:space="preserve">2 </w:t>
      </w:r>
      <w:r w:rsidR="00181CA6">
        <w:rPr>
          <w:vertAlign w:val="superscript"/>
        </w:rPr>
        <w:t xml:space="preserve"> </w:t>
      </w:r>
      <w:r w:rsidR="00181CA6">
        <w:rPr>
          <w:color w:val="000000"/>
          <w:spacing w:val="-5"/>
          <w:sz w:val="23"/>
        </w:rPr>
        <w:t xml:space="preserve">A Qualified Historic Preservation Professional is one who meets the Secretary of the Interior’s Professional Qualifications Standards for Archeology, History, Architectural History, Architecture, or Historic Architecture and has substantial experience in conducting Section 106 reviews of historic properties. Detailed information found at </w:t>
      </w:r>
      <w:hyperlink r:id="rId1" w:history="1">
        <w:r w:rsidR="00181CA6">
          <w:rPr>
            <w:rStyle w:val="Hyperlink"/>
          </w:rPr>
          <w:t>https://www.nps.gov/history/local-law/arch_stnds_9.htm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7133B" w14:textId="21515EE1" w:rsidR="00255FEE" w:rsidRDefault="00255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F7FD3" w14:textId="07E5090D" w:rsidR="006B7BD5" w:rsidRDefault="006B7BD5" w:rsidP="006B7BD5">
    <w:pPr>
      <w:pStyle w:val="Heading1"/>
      <w:tabs>
        <w:tab w:val="clear" w:pos="-720"/>
      </w:tabs>
      <w:ind w:right="0" w:firstLine="1008"/>
      <w:rPr>
        <w:sz w:val="18"/>
      </w:rPr>
    </w:pPr>
    <w:r>
      <w:rPr>
        <w:noProof/>
        <w:sz w:val="18"/>
      </w:rPr>
      <w:drawing>
        <wp:anchor distT="0" distB="0" distL="114300" distR="114300" simplePos="0" relativeHeight="251658243" behindDoc="1" locked="0" layoutInCell="1" allowOverlap="1" wp14:anchorId="186CAC74" wp14:editId="554F52C8">
          <wp:simplePos x="0" y="0"/>
          <wp:positionH relativeFrom="column">
            <wp:posOffset>336550</wp:posOffset>
          </wp:positionH>
          <wp:positionV relativeFrom="paragraph">
            <wp:posOffset>-343535</wp:posOffset>
          </wp:positionV>
          <wp:extent cx="675005" cy="648970"/>
          <wp:effectExtent l="0" t="0" r="0" b="0"/>
          <wp:wrapTight wrapText="bothSides">
            <wp:wrapPolygon edited="0">
              <wp:start x="0" y="0"/>
              <wp:lineTo x="0" y="19656"/>
              <wp:lineTo x="19507" y="19656"/>
              <wp:lineTo x="19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U.S. DEPARTMENT OF HOUSING AND URBAN DEVELOPMENT</w:t>
    </w:r>
  </w:p>
  <w:p w14:paraId="6597C79F" w14:textId="77777777" w:rsidR="006B7BD5" w:rsidRDefault="006B7BD5" w:rsidP="006B7BD5">
    <w:pPr>
      <w:suppressAutoHyphens/>
      <w:spacing w:line="264" w:lineRule="auto"/>
      <w:jc w:val="center"/>
      <w:rPr>
        <w:spacing w:val="-1"/>
        <w:sz w:val="16"/>
      </w:rPr>
    </w:pPr>
    <w:r>
      <w:rPr>
        <w:spacing w:val="-2"/>
        <w:sz w:val="16"/>
      </w:rPr>
      <w:t>WASHINGTON, DC  20410-7000</w:t>
    </w:r>
  </w:p>
  <w:p w14:paraId="41A5C508" w14:textId="77777777" w:rsidR="001A4199" w:rsidRDefault="001A4199" w:rsidP="001A4199">
    <w:pPr>
      <w:tabs>
        <w:tab w:val="left" w:pos="-720"/>
      </w:tabs>
      <w:suppressAutoHyphens/>
      <w:ind w:right="-720"/>
      <w:jc w:val="both"/>
      <w:rPr>
        <w:sz w:val="14"/>
      </w:rPr>
    </w:pPr>
    <w:r>
      <w:rPr>
        <w:spacing w:val="-1"/>
        <w:sz w:val="14"/>
      </w:rPr>
      <w:t xml:space="preserve">OFFICE OF </w:t>
    </w:r>
    <w:r>
      <w:rPr>
        <w:sz w:val="14"/>
      </w:rPr>
      <w:t>COMMUNITY PLANNING</w:t>
    </w:r>
  </w:p>
  <w:p w14:paraId="5C05DA0A" w14:textId="49B1945C" w:rsidR="00255FEE" w:rsidRDefault="001A4199" w:rsidP="001A4199">
    <w:pPr>
      <w:pStyle w:val="Header"/>
    </w:pPr>
    <w:r>
      <w:rPr>
        <w:sz w:val="14"/>
      </w:rPr>
      <w:t>AND DEVELOPMENT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FC29A" w14:textId="3C123393" w:rsidR="00D50679" w:rsidRDefault="00D50679">
    <w:pPr>
      <w:pStyle w:val="Heading1"/>
      <w:tabs>
        <w:tab w:val="center" w:pos="4860"/>
      </w:tabs>
      <w:ind w:right="0"/>
      <w:rPr>
        <w:sz w:val="18"/>
      </w:rPr>
    </w:pPr>
  </w:p>
  <w:p w14:paraId="32AB2FFC" w14:textId="77777777" w:rsidR="00D50679" w:rsidRDefault="00D50679">
    <w:pPr>
      <w:tabs>
        <w:tab w:val="left" w:pos="0"/>
      </w:tabs>
      <w:suppressAutoHyphens/>
      <w:ind w:right="-72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E18B2"/>
    <w:multiLevelType w:val="multilevel"/>
    <w:tmpl w:val="2514F760"/>
    <w:lvl w:ilvl="0">
      <w:numFmt w:val="bullet"/>
      <w:lvlText w:val="·"/>
      <w:lvlJc w:val="left"/>
      <w:pPr>
        <w:tabs>
          <w:tab w:val="left" w:pos="360"/>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CB56B3"/>
    <w:multiLevelType w:val="hybridMultilevel"/>
    <w:tmpl w:val="FFFFFFFF"/>
    <w:lvl w:ilvl="0" w:tplc="C4300FCC">
      <w:start w:val="1"/>
      <w:numFmt w:val="bullet"/>
      <w:lvlText w:val=""/>
      <w:lvlJc w:val="left"/>
      <w:pPr>
        <w:ind w:left="720" w:hanging="360"/>
      </w:pPr>
      <w:rPr>
        <w:rFonts w:ascii="Symbol" w:hAnsi="Symbol" w:hint="default"/>
      </w:rPr>
    </w:lvl>
    <w:lvl w:ilvl="1" w:tplc="5C88262E">
      <w:start w:val="1"/>
      <w:numFmt w:val="bullet"/>
      <w:lvlText w:val="o"/>
      <w:lvlJc w:val="left"/>
      <w:pPr>
        <w:ind w:left="1440" w:hanging="360"/>
      </w:pPr>
      <w:rPr>
        <w:rFonts w:ascii="Courier New" w:hAnsi="Courier New" w:hint="default"/>
      </w:rPr>
    </w:lvl>
    <w:lvl w:ilvl="2" w:tplc="1F80BDE0">
      <w:start w:val="1"/>
      <w:numFmt w:val="bullet"/>
      <w:lvlText w:val=""/>
      <w:lvlJc w:val="left"/>
      <w:pPr>
        <w:ind w:left="2160" w:hanging="360"/>
      </w:pPr>
      <w:rPr>
        <w:rFonts w:ascii="Wingdings" w:hAnsi="Wingdings" w:hint="default"/>
      </w:rPr>
    </w:lvl>
    <w:lvl w:ilvl="3" w:tplc="C846CAC6">
      <w:start w:val="1"/>
      <w:numFmt w:val="bullet"/>
      <w:lvlText w:val=""/>
      <w:lvlJc w:val="left"/>
      <w:pPr>
        <w:ind w:left="2880" w:hanging="360"/>
      </w:pPr>
      <w:rPr>
        <w:rFonts w:ascii="Symbol" w:hAnsi="Symbol" w:hint="default"/>
      </w:rPr>
    </w:lvl>
    <w:lvl w:ilvl="4" w:tplc="9A54394C">
      <w:start w:val="1"/>
      <w:numFmt w:val="bullet"/>
      <w:lvlText w:val="o"/>
      <w:lvlJc w:val="left"/>
      <w:pPr>
        <w:ind w:left="3600" w:hanging="360"/>
      </w:pPr>
      <w:rPr>
        <w:rFonts w:ascii="Courier New" w:hAnsi="Courier New" w:hint="default"/>
      </w:rPr>
    </w:lvl>
    <w:lvl w:ilvl="5" w:tplc="9C1AFCA8">
      <w:start w:val="1"/>
      <w:numFmt w:val="bullet"/>
      <w:lvlText w:val=""/>
      <w:lvlJc w:val="left"/>
      <w:pPr>
        <w:ind w:left="4320" w:hanging="360"/>
      </w:pPr>
      <w:rPr>
        <w:rFonts w:ascii="Wingdings" w:hAnsi="Wingdings" w:hint="default"/>
      </w:rPr>
    </w:lvl>
    <w:lvl w:ilvl="6" w:tplc="856026BA">
      <w:start w:val="1"/>
      <w:numFmt w:val="bullet"/>
      <w:lvlText w:val=""/>
      <w:lvlJc w:val="left"/>
      <w:pPr>
        <w:ind w:left="5040" w:hanging="360"/>
      </w:pPr>
      <w:rPr>
        <w:rFonts w:ascii="Symbol" w:hAnsi="Symbol" w:hint="default"/>
      </w:rPr>
    </w:lvl>
    <w:lvl w:ilvl="7" w:tplc="140C7B02">
      <w:start w:val="1"/>
      <w:numFmt w:val="bullet"/>
      <w:lvlText w:val="o"/>
      <w:lvlJc w:val="left"/>
      <w:pPr>
        <w:ind w:left="5760" w:hanging="360"/>
      </w:pPr>
      <w:rPr>
        <w:rFonts w:ascii="Courier New" w:hAnsi="Courier New" w:hint="default"/>
      </w:rPr>
    </w:lvl>
    <w:lvl w:ilvl="8" w:tplc="8D543FEC">
      <w:start w:val="1"/>
      <w:numFmt w:val="bullet"/>
      <w:lvlText w:val=""/>
      <w:lvlJc w:val="left"/>
      <w:pPr>
        <w:ind w:left="6480" w:hanging="360"/>
      </w:pPr>
      <w:rPr>
        <w:rFonts w:ascii="Wingdings" w:hAnsi="Wingdings" w:hint="default"/>
      </w:rPr>
    </w:lvl>
  </w:abstractNum>
  <w:abstractNum w:abstractNumId="2" w15:restartNumberingAfterBreak="0">
    <w:nsid w:val="59C366B8"/>
    <w:multiLevelType w:val="hybridMultilevel"/>
    <w:tmpl w:val="FF40BDF6"/>
    <w:lvl w:ilvl="0" w:tplc="060E8A40">
      <w:start w:val="1"/>
      <w:numFmt w:val="bullet"/>
      <w:lvlText w:val=""/>
      <w:lvlJc w:val="left"/>
      <w:pPr>
        <w:ind w:left="720" w:hanging="360"/>
      </w:pPr>
      <w:rPr>
        <w:rFonts w:ascii="Symbol" w:hAnsi="Symbol" w:hint="default"/>
      </w:rPr>
    </w:lvl>
    <w:lvl w:ilvl="1" w:tplc="35DC9842">
      <w:start w:val="1"/>
      <w:numFmt w:val="bullet"/>
      <w:lvlText w:val="o"/>
      <w:lvlJc w:val="left"/>
      <w:pPr>
        <w:ind w:left="1440" w:hanging="360"/>
      </w:pPr>
      <w:rPr>
        <w:rFonts w:ascii="Courier New" w:hAnsi="Courier New" w:hint="default"/>
      </w:rPr>
    </w:lvl>
    <w:lvl w:ilvl="2" w:tplc="ABA0C5C2">
      <w:start w:val="1"/>
      <w:numFmt w:val="bullet"/>
      <w:lvlText w:val=""/>
      <w:lvlJc w:val="left"/>
      <w:pPr>
        <w:ind w:left="2160" w:hanging="360"/>
      </w:pPr>
      <w:rPr>
        <w:rFonts w:ascii="Wingdings" w:hAnsi="Wingdings" w:hint="default"/>
      </w:rPr>
    </w:lvl>
    <w:lvl w:ilvl="3" w:tplc="2376CDD2">
      <w:start w:val="1"/>
      <w:numFmt w:val="bullet"/>
      <w:lvlText w:val=""/>
      <w:lvlJc w:val="left"/>
      <w:pPr>
        <w:ind w:left="2880" w:hanging="360"/>
      </w:pPr>
      <w:rPr>
        <w:rFonts w:ascii="Symbol" w:hAnsi="Symbol" w:hint="default"/>
      </w:rPr>
    </w:lvl>
    <w:lvl w:ilvl="4" w:tplc="6ACC854E">
      <w:start w:val="1"/>
      <w:numFmt w:val="bullet"/>
      <w:lvlText w:val="o"/>
      <w:lvlJc w:val="left"/>
      <w:pPr>
        <w:ind w:left="3600" w:hanging="360"/>
      </w:pPr>
      <w:rPr>
        <w:rFonts w:ascii="Courier New" w:hAnsi="Courier New" w:hint="default"/>
      </w:rPr>
    </w:lvl>
    <w:lvl w:ilvl="5" w:tplc="98EE6498">
      <w:start w:val="1"/>
      <w:numFmt w:val="bullet"/>
      <w:lvlText w:val=""/>
      <w:lvlJc w:val="left"/>
      <w:pPr>
        <w:ind w:left="4320" w:hanging="360"/>
      </w:pPr>
      <w:rPr>
        <w:rFonts w:ascii="Wingdings" w:hAnsi="Wingdings" w:hint="default"/>
      </w:rPr>
    </w:lvl>
    <w:lvl w:ilvl="6" w:tplc="912271A8">
      <w:start w:val="1"/>
      <w:numFmt w:val="bullet"/>
      <w:lvlText w:val=""/>
      <w:lvlJc w:val="left"/>
      <w:pPr>
        <w:ind w:left="5040" w:hanging="360"/>
      </w:pPr>
      <w:rPr>
        <w:rFonts w:ascii="Symbol" w:hAnsi="Symbol" w:hint="default"/>
      </w:rPr>
    </w:lvl>
    <w:lvl w:ilvl="7" w:tplc="DB7491D4">
      <w:start w:val="1"/>
      <w:numFmt w:val="bullet"/>
      <w:lvlText w:val="o"/>
      <w:lvlJc w:val="left"/>
      <w:pPr>
        <w:ind w:left="5760" w:hanging="360"/>
      </w:pPr>
      <w:rPr>
        <w:rFonts w:ascii="Courier New" w:hAnsi="Courier New" w:hint="default"/>
      </w:rPr>
    </w:lvl>
    <w:lvl w:ilvl="8" w:tplc="0F1ACB54">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95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19"/>
    <w:rsid w:val="0001737F"/>
    <w:rsid w:val="00020EFC"/>
    <w:rsid w:val="0004719F"/>
    <w:rsid w:val="00053DCB"/>
    <w:rsid w:val="00062752"/>
    <w:rsid w:val="00064809"/>
    <w:rsid w:val="0007742B"/>
    <w:rsid w:val="000D3D04"/>
    <w:rsid w:val="000E0529"/>
    <w:rsid w:val="000F5DB1"/>
    <w:rsid w:val="00141DBA"/>
    <w:rsid w:val="0015740A"/>
    <w:rsid w:val="00181CA6"/>
    <w:rsid w:val="0018535A"/>
    <w:rsid w:val="00185787"/>
    <w:rsid w:val="001969F1"/>
    <w:rsid w:val="001A4199"/>
    <w:rsid w:val="001A46F3"/>
    <w:rsid w:val="001C5ED8"/>
    <w:rsid w:val="001D3338"/>
    <w:rsid w:val="001D6CA4"/>
    <w:rsid w:val="001F6A95"/>
    <w:rsid w:val="00223028"/>
    <w:rsid w:val="00255FEE"/>
    <w:rsid w:val="002603DE"/>
    <w:rsid w:val="00285B2A"/>
    <w:rsid w:val="002A2991"/>
    <w:rsid w:val="002A6553"/>
    <w:rsid w:val="002C359C"/>
    <w:rsid w:val="002E09BA"/>
    <w:rsid w:val="002F5892"/>
    <w:rsid w:val="00316107"/>
    <w:rsid w:val="0033191C"/>
    <w:rsid w:val="00333757"/>
    <w:rsid w:val="00342A37"/>
    <w:rsid w:val="00345CCE"/>
    <w:rsid w:val="0034652A"/>
    <w:rsid w:val="0037711B"/>
    <w:rsid w:val="003A1649"/>
    <w:rsid w:val="003B7F97"/>
    <w:rsid w:val="003C6AAA"/>
    <w:rsid w:val="003C7BC4"/>
    <w:rsid w:val="00403BED"/>
    <w:rsid w:val="004063AE"/>
    <w:rsid w:val="0041456B"/>
    <w:rsid w:val="00414DD7"/>
    <w:rsid w:val="00426E9D"/>
    <w:rsid w:val="004529D7"/>
    <w:rsid w:val="004565A0"/>
    <w:rsid w:val="00467C0A"/>
    <w:rsid w:val="00483712"/>
    <w:rsid w:val="004B661F"/>
    <w:rsid w:val="004C40B3"/>
    <w:rsid w:val="00500A11"/>
    <w:rsid w:val="00523419"/>
    <w:rsid w:val="00524045"/>
    <w:rsid w:val="00532387"/>
    <w:rsid w:val="00537276"/>
    <w:rsid w:val="005375C4"/>
    <w:rsid w:val="00547BFD"/>
    <w:rsid w:val="00582978"/>
    <w:rsid w:val="005A539F"/>
    <w:rsid w:val="005C51DB"/>
    <w:rsid w:val="00623689"/>
    <w:rsid w:val="006603AA"/>
    <w:rsid w:val="00673366"/>
    <w:rsid w:val="00677571"/>
    <w:rsid w:val="006B7BD5"/>
    <w:rsid w:val="006E2AD6"/>
    <w:rsid w:val="006F530D"/>
    <w:rsid w:val="007105E4"/>
    <w:rsid w:val="007152C3"/>
    <w:rsid w:val="00733EA6"/>
    <w:rsid w:val="007373BB"/>
    <w:rsid w:val="00737609"/>
    <w:rsid w:val="0074385F"/>
    <w:rsid w:val="00760066"/>
    <w:rsid w:val="0079103C"/>
    <w:rsid w:val="007A7393"/>
    <w:rsid w:val="007B27B9"/>
    <w:rsid w:val="007C0B0F"/>
    <w:rsid w:val="007F1781"/>
    <w:rsid w:val="007F7D45"/>
    <w:rsid w:val="00804467"/>
    <w:rsid w:val="00825721"/>
    <w:rsid w:val="00830301"/>
    <w:rsid w:val="00854778"/>
    <w:rsid w:val="00855CB5"/>
    <w:rsid w:val="008648A3"/>
    <w:rsid w:val="00885B24"/>
    <w:rsid w:val="008B341B"/>
    <w:rsid w:val="008B5C85"/>
    <w:rsid w:val="008C5BD7"/>
    <w:rsid w:val="00922E6A"/>
    <w:rsid w:val="0093097C"/>
    <w:rsid w:val="0094232B"/>
    <w:rsid w:val="0097668B"/>
    <w:rsid w:val="009828F6"/>
    <w:rsid w:val="009A5C7B"/>
    <w:rsid w:val="009C5FEF"/>
    <w:rsid w:val="009F5708"/>
    <w:rsid w:val="00A0117E"/>
    <w:rsid w:val="00A36872"/>
    <w:rsid w:val="00A9062D"/>
    <w:rsid w:val="00A9115F"/>
    <w:rsid w:val="00A92DF3"/>
    <w:rsid w:val="00A94A9E"/>
    <w:rsid w:val="00AA46E5"/>
    <w:rsid w:val="00AA5212"/>
    <w:rsid w:val="00AA764E"/>
    <w:rsid w:val="00AC4D6E"/>
    <w:rsid w:val="00AE235E"/>
    <w:rsid w:val="00B0028A"/>
    <w:rsid w:val="00B305F2"/>
    <w:rsid w:val="00B94FBF"/>
    <w:rsid w:val="00BB0238"/>
    <w:rsid w:val="00BB0446"/>
    <w:rsid w:val="00BF1520"/>
    <w:rsid w:val="00C023E5"/>
    <w:rsid w:val="00C02BB3"/>
    <w:rsid w:val="00C31C00"/>
    <w:rsid w:val="00C66819"/>
    <w:rsid w:val="00C67429"/>
    <w:rsid w:val="00C85FBE"/>
    <w:rsid w:val="00C8705E"/>
    <w:rsid w:val="00CA56CF"/>
    <w:rsid w:val="00CA69A1"/>
    <w:rsid w:val="00CC048F"/>
    <w:rsid w:val="00CD5DAC"/>
    <w:rsid w:val="00CE6B86"/>
    <w:rsid w:val="00CF55C1"/>
    <w:rsid w:val="00D42166"/>
    <w:rsid w:val="00D43FBC"/>
    <w:rsid w:val="00D46B02"/>
    <w:rsid w:val="00D50679"/>
    <w:rsid w:val="00D5580F"/>
    <w:rsid w:val="00D60874"/>
    <w:rsid w:val="00D667AF"/>
    <w:rsid w:val="00D72594"/>
    <w:rsid w:val="00D727E1"/>
    <w:rsid w:val="00D942EC"/>
    <w:rsid w:val="00DB6508"/>
    <w:rsid w:val="00DB68D9"/>
    <w:rsid w:val="00DC4E9B"/>
    <w:rsid w:val="00DE7D90"/>
    <w:rsid w:val="00DF238E"/>
    <w:rsid w:val="00E00F51"/>
    <w:rsid w:val="00E179E2"/>
    <w:rsid w:val="00E34049"/>
    <w:rsid w:val="00E44679"/>
    <w:rsid w:val="00E46EBD"/>
    <w:rsid w:val="00E47EE0"/>
    <w:rsid w:val="00E500D1"/>
    <w:rsid w:val="00E71CE3"/>
    <w:rsid w:val="00E81F6C"/>
    <w:rsid w:val="00E97482"/>
    <w:rsid w:val="00EB2FDC"/>
    <w:rsid w:val="00EC74C3"/>
    <w:rsid w:val="00EE625B"/>
    <w:rsid w:val="00EE7960"/>
    <w:rsid w:val="00EF1EDB"/>
    <w:rsid w:val="00F20461"/>
    <w:rsid w:val="00F56E61"/>
    <w:rsid w:val="00F61547"/>
    <w:rsid w:val="00F73926"/>
    <w:rsid w:val="00FC0398"/>
    <w:rsid w:val="00FD19C2"/>
    <w:rsid w:val="00FF7E04"/>
    <w:rsid w:val="0C2A31F4"/>
    <w:rsid w:val="340E759E"/>
    <w:rsid w:val="683BA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E45220"/>
  <w15:docId w15:val="{4028E3A5-3A4B-458D-9A01-15C8CF4A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spacing w:val="-3"/>
      <w:sz w:val="24"/>
    </w:rPr>
  </w:style>
  <w:style w:type="paragraph" w:styleId="Heading1">
    <w:name w:val="heading 1"/>
    <w:basedOn w:val="Normal"/>
    <w:next w:val="Normal"/>
    <w:qFormat/>
    <w:pPr>
      <w:keepNext/>
      <w:tabs>
        <w:tab w:val="left" w:pos="-720"/>
      </w:tabs>
      <w:suppressAutoHyphens/>
      <w:ind w:left="-1008" w:right="-1008"/>
      <w:jc w:val="center"/>
      <w:outlineLvl w:val="0"/>
    </w:pPr>
    <w:rPr>
      <w:rFonts w:ascii="Times Roman" w:hAnsi="Times Roman"/>
      <w:b/>
      <w:spacing w:val="-2"/>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rPr>
      <w:color w:val="0000FF"/>
      <w:u w:val="single"/>
    </w:rPr>
  </w:style>
  <w:style w:type="paragraph" w:styleId="EnvelopeAddress">
    <w:name w:val="envelope address"/>
    <w:basedOn w:val="Normal"/>
    <w:semiHidden/>
    <w:pPr>
      <w:framePr w:w="7920" w:h="1980" w:hRule="exact" w:hSpace="180" w:wrap="auto" w:hAnchor="page" w:xAlign="center" w:yAlign="bottom"/>
      <w:ind w:left="2880"/>
    </w:pPr>
    <w:rPr>
      <w:szCs w:val="24"/>
    </w:rPr>
  </w:style>
  <w:style w:type="paragraph" w:styleId="BalloonText">
    <w:name w:val="Balloon Text"/>
    <w:basedOn w:val="Normal"/>
    <w:link w:val="BalloonTextChar"/>
    <w:uiPriority w:val="99"/>
    <w:semiHidden/>
    <w:unhideWhenUsed/>
    <w:rsid w:val="00F56E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E61"/>
    <w:rPr>
      <w:rFonts w:ascii="Segoe UI" w:hAnsi="Segoe UI" w:cs="Segoe UI"/>
      <w:spacing w:val="-3"/>
      <w:sz w:val="18"/>
      <w:szCs w:val="18"/>
    </w:rPr>
  </w:style>
  <w:style w:type="character" w:styleId="CommentReference">
    <w:name w:val="annotation reference"/>
    <w:uiPriority w:val="99"/>
    <w:unhideWhenUsed/>
    <w:rsid w:val="00F56E61"/>
    <w:rPr>
      <w:sz w:val="16"/>
      <w:szCs w:val="16"/>
    </w:rPr>
  </w:style>
  <w:style w:type="paragraph" w:styleId="CommentText">
    <w:name w:val="annotation text"/>
    <w:basedOn w:val="Normal"/>
    <w:link w:val="CommentTextChar"/>
    <w:uiPriority w:val="99"/>
    <w:unhideWhenUsed/>
    <w:rsid w:val="00F56E61"/>
    <w:rPr>
      <w:sz w:val="20"/>
    </w:rPr>
  </w:style>
  <w:style w:type="character" w:customStyle="1" w:styleId="CommentTextChar">
    <w:name w:val="Comment Text Char"/>
    <w:basedOn w:val="DefaultParagraphFont"/>
    <w:link w:val="CommentText"/>
    <w:uiPriority w:val="99"/>
    <w:rsid w:val="00F56E61"/>
    <w:rPr>
      <w:spacing w:val="-3"/>
    </w:rPr>
  </w:style>
  <w:style w:type="paragraph" w:styleId="CommentSubject">
    <w:name w:val="annotation subject"/>
    <w:basedOn w:val="CommentText"/>
    <w:next w:val="CommentText"/>
    <w:link w:val="CommentSubjectChar"/>
    <w:uiPriority w:val="99"/>
    <w:semiHidden/>
    <w:unhideWhenUsed/>
    <w:rsid w:val="004C40B3"/>
    <w:rPr>
      <w:b/>
      <w:bCs/>
    </w:rPr>
  </w:style>
  <w:style w:type="character" w:customStyle="1" w:styleId="CommentSubjectChar">
    <w:name w:val="Comment Subject Char"/>
    <w:basedOn w:val="CommentTextChar"/>
    <w:link w:val="CommentSubject"/>
    <w:uiPriority w:val="99"/>
    <w:semiHidden/>
    <w:rsid w:val="004C40B3"/>
    <w:rPr>
      <w:b/>
      <w:bCs/>
      <w:spacing w:val="-3"/>
    </w:rPr>
  </w:style>
  <w:style w:type="character" w:customStyle="1" w:styleId="HeaderChar">
    <w:name w:val="Header Char"/>
    <w:basedOn w:val="DefaultParagraphFont"/>
    <w:link w:val="Header"/>
    <w:uiPriority w:val="99"/>
    <w:rsid w:val="00BF1520"/>
    <w:rPr>
      <w:spacing w:val="-3"/>
      <w:sz w:val="24"/>
    </w:rPr>
  </w:style>
  <w:style w:type="paragraph" w:styleId="NoSpacing">
    <w:name w:val="No Spacing"/>
    <w:link w:val="NoSpacingChar"/>
    <w:uiPriority w:val="1"/>
    <w:qFormat/>
    <w:rsid w:val="006B7BD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B7BD5"/>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ara.jensen@hud.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hud.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ps.gov/history/local-law/arch_stnds_9.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141371BCF64331BD4D9B8BB864195A"/>
        <w:category>
          <w:name w:val="General"/>
          <w:gallery w:val="placeholder"/>
        </w:category>
        <w:types>
          <w:type w:val="bbPlcHdr"/>
        </w:types>
        <w:behaviors>
          <w:behavior w:val="content"/>
        </w:behaviors>
        <w:guid w:val="{EAB53EFB-DB2B-4402-A8E1-EC728D8D349B}"/>
      </w:docPartPr>
      <w:docPartBody>
        <w:p w:rsidR="008B2D07" w:rsidRDefault="004565A0" w:rsidP="004565A0">
          <w:pPr>
            <w:pStyle w:val="50141371BCF64331BD4D9B8BB864195A"/>
          </w:pPr>
          <w:r>
            <w:rPr>
              <w:rFonts w:asciiTheme="majorHAnsi" w:eastAsiaTheme="majorEastAsia" w:hAnsiTheme="majorHAnsi" w:cstheme="majorBidi"/>
              <w:color w:val="4472C4" w:themeColor="accent1"/>
              <w:sz w:val="88"/>
              <w:szCs w:val="88"/>
            </w:rPr>
            <w:t>[Document title]</w:t>
          </w:r>
        </w:p>
      </w:docPartBody>
    </w:docPart>
    <w:docPart>
      <w:docPartPr>
        <w:name w:val="061F8C341C6F4F3A89C76E3A2C413DE9"/>
        <w:category>
          <w:name w:val="General"/>
          <w:gallery w:val="placeholder"/>
        </w:category>
        <w:types>
          <w:type w:val="bbPlcHdr"/>
        </w:types>
        <w:behaviors>
          <w:behavior w:val="content"/>
        </w:behaviors>
        <w:guid w:val="{6CDBBDE1-A24A-4504-9608-A66C78D2F8D1}"/>
      </w:docPartPr>
      <w:docPartBody>
        <w:p w:rsidR="008B2D07" w:rsidRDefault="004565A0" w:rsidP="004565A0">
          <w:pPr>
            <w:pStyle w:val="061F8C341C6F4F3A89C76E3A2C413DE9"/>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5A0"/>
    <w:rsid w:val="004565A0"/>
    <w:rsid w:val="008B2D07"/>
    <w:rsid w:val="00A91D83"/>
    <w:rsid w:val="00BB172A"/>
    <w:rsid w:val="00D949E7"/>
    <w:rsid w:val="00F74252"/>
    <w:rsid w:val="00F75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141371BCF64331BD4D9B8BB864195A">
    <w:name w:val="50141371BCF64331BD4D9B8BB864195A"/>
    <w:rsid w:val="004565A0"/>
  </w:style>
  <w:style w:type="paragraph" w:customStyle="1" w:styleId="061F8C341C6F4F3A89C76E3A2C413DE9">
    <w:name w:val="061F8C341C6F4F3A89C76E3A2C413DE9"/>
    <w:rsid w:val="004565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56D624DB482344A24DBEB47434A9FC" ma:contentTypeVersion="4" ma:contentTypeDescription="Create a new document." ma:contentTypeScope="" ma:versionID="043a1475a67b2f4c50b977055773d6f1">
  <xsd:schema xmlns:xsd="http://www.w3.org/2001/XMLSchema" xmlns:xs="http://www.w3.org/2001/XMLSchema" xmlns:p="http://schemas.microsoft.com/office/2006/metadata/properties" xmlns:ns2="d4a638c4-874f-49c0-bb2b-5cb8563c2b18" xmlns:ns3="320a6383-acb3-40ce-ba1a-9b16453a2770" xmlns:ns4="0e0d5cb7-7792-47bf-9551-1d0e5354bfb1" targetNamespace="http://schemas.microsoft.com/office/2006/metadata/properties" ma:root="true" ma:fieldsID="4d4d398b8b16f4b08cbf0bdc68ef6123" ns2:_="" ns3:_="" ns4:_="">
    <xsd:import namespace="d4a638c4-874f-49c0-bb2b-5cb8563c2b18"/>
    <xsd:import namespace="320a6383-acb3-40ce-ba1a-9b16453a2770"/>
    <xsd:import namespace="0e0d5cb7-7792-47bf-9551-1d0e5354bf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0a6383-acb3-40ce-ba1a-9b16453a27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d5cb7-7792-47bf-9551-1d0e5354bf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HUDDASMFH-1742398994-206068</_dlc_DocId>
    <_dlc_DocIdUrl xmlns="d4a638c4-874f-49c0-bb2b-5cb8563c2b18">
      <Url>https://hudgov.sharepoint.com/sites/DASMFH/OMHD/mapguiderevision/_layouts/15/DocIdRedir.aspx?ID=HUDDASMFH-1742398994-206068</Url>
      <Description>HUDDASMFH-1742398994-206068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2556F-7479-46CE-BCA8-B1BB86071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320a6383-acb3-40ce-ba1a-9b16453a2770"/>
    <ds:schemaRef ds:uri="0e0d5cb7-7792-47bf-9551-1d0e5354b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2662EA-F386-4D09-8AF1-3365EEB3D47B}">
  <ds:schemaRefs>
    <ds:schemaRef ds:uri="http://schemas.microsoft.com/sharepoint/v3/contenttype/forms"/>
  </ds:schemaRefs>
</ds:datastoreItem>
</file>

<file path=customXml/itemProps3.xml><?xml version="1.0" encoding="utf-8"?>
<ds:datastoreItem xmlns:ds="http://schemas.openxmlformats.org/officeDocument/2006/customXml" ds:itemID="{BB0DAEF5-7C64-45EA-846E-6B6F7E7B3568}">
  <ds:schemaRefs>
    <ds:schemaRef ds:uri="http://schemas.microsoft.com/office/2006/metadata/properties"/>
    <ds:schemaRef ds:uri="http://schemas.microsoft.com/office/infopath/2007/PartnerControls"/>
    <ds:schemaRef ds:uri="d4a638c4-874f-49c0-bb2b-5cb8563c2b18"/>
  </ds:schemaRefs>
</ds:datastoreItem>
</file>

<file path=customXml/itemProps4.xml><?xml version="1.0" encoding="utf-8"?>
<ds:datastoreItem xmlns:ds="http://schemas.openxmlformats.org/officeDocument/2006/customXml" ds:itemID="{F70B64B4-EB4A-45D5-A828-B768115F2ED9}">
  <ds:schemaRefs>
    <ds:schemaRef ds:uri="http://schemas.microsoft.com/sharepoint/events"/>
  </ds:schemaRefs>
</ds:datastoreItem>
</file>

<file path=customXml/itemProps5.xml><?xml version="1.0" encoding="utf-8"?>
<ds:datastoreItem xmlns:ds="http://schemas.openxmlformats.org/officeDocument/2006/customXml" ds:itemID="{E152C63B-0DE5-4BA5-ADB8-7129057E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6110</Characters>
  <Application>Microsoft Office Word</Application>
  <DocSecurity>0</DocSecurity>
  <Lines>50</Lines>
  <Paragraphs>14</Paragraphs>
  <ScaleCrop>false</ScaleCrop>
  <Company/>
  <LinksUpToDate>false</LinksUpToDate>
  <CharactersWithSpaces>7167</CharactersWithSpaces>
  <SharedDoc>false</SharedDoc>
  <HLinks>
    <vt:vector size="18" baseType="variant">
      <vt:variant>
        <vt:i4>2621535</vt:i4>
      </vt:variant>
      <vt:variant>
        <vt:i4>0</vt:i4>
      </vt:variant>
      <vt:variant>
        <vt:i4>0</vt:i4>
      </vt:variant>
      <vt:variant>
        <vt:i4>5</vt:i4>
      </vt:variant>
      <vt:variant>
        <vt:lpwstr>mailto:sara.jensen@hud.gov</vt:lpwstr>
      </vt:variant>
      <vt:variant>
        <vt:lpwstr/>
      </vt:variant>
      <vt:variant>
        <vt:i4>3342449</vt:i4>
      </vt:variant>
      <vt:variant>
        <vt:i4>0</vt:i4>
      </vt:variant>
      <vt:variant>
        <vt:i4>0</vt:i4>
      </vt:variant>
      <vt:variant>
        <vt:i4>5</vt:i4>
      </vt:variant>
      <vt:variant>
        <vt:lpwstr>https://www.nps.gov/history/local-law/arch_stnds_9.htm</vt:lpwstr>
      </vt:variant>
      <vt:variant>
        <vt:lpwstr/>
      </vt:variant>
      <vt:variant>
        <vt:i4>3539044</vt:i4>
      </vt:variant>
      <vt:variant>
        <vt:i4>0</vt:i4>
      </vt:variant>
      <vt:variant>
        <vt:i4>0</vt:i4>
      </vt:variant>
      <vt:variant>
        <vt:i4>5</vt:i4>
      </vt:variant>
      <vt:variant>
        <vt:lpwstr>http://www.hud.gov/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9B</dc:title>
  <dc:subject>Section 106 Delegation Memo</dc:subject>
  <dc:creator>Akhdar, Sadaaquat</dc:creator>
  <cp:keywords/>
  <cp:lastModifiedBy>Pollard, Colette</cp:lastModifiedBy>
  <cp:revision>2</cp:revision>
  <cp:lastPrinted>2020-01-27T18:10:00Z</cp:lastPrinted>
  <dcterms:created xsi:type="dcterms:W3CDTF">2020-10-27T18:42:00Z</dcterms:created>
  <dcterms:modified xsi:type="dcterms:W3CDTF">2020-10-27T18:42:00Z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0x010100DF56D624DB482344A24DBEB47434A9FC</vt:lpwstr>
  </property>
  <property fmtid="{D5CDD505-2E9C-101B-9397-08002B2CF9AE}" pid="3" name="_dlc_DocIdItemGuid">
    <vt:lpwstr>68bfced6-0dc0-472d-bce9-e8cb7948cf25</vt:lpwstr>
  </property>
</Properties>
</file>