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346F" w:rsidR="00A57102" w:rsidP="00A57102" w:rsidRDefault="00A57102" w14:paraId="75644006" w14:textId="0F28D4E6">
      <w:pPr>
        <w:pStyle w:val="MAPheader-footerhyperlink"/>
        <w:tabs>
          <w:tab w:val="clear" w:pos="10080"/>
        </w:tabs>
      </w:pPr>
    </w:p>
    <w:p w:rsidRPr="000F1A76" w:rsidR="00A57102" w:rsidP="00A57102" w:rsidRDefault="00A57102" w14:paraId="75644007" w14:textId="77777777">
      <w:pPr>
        <w:rPr>
          <w:sz w:val="16"/>
          <w:szCs w:val="16"/>
        </w:rPr>
      </w:pPr>
    </w:p>
    <w:p w:rsidRPr="000023DB" w:rsidR="00A57102" w:rsidP="00A57102" w:rsidRDefault="00A57102" w14:paraId="75644008" w14:textId="77777777">
      <w:pPr>
        <w:pStyle w:val="MAPChapterHeading"/>
      </w:pPr>
      <w:bookmarkStart w:name="_Toc412631844" w:id="0"/>
      <w:bookmarkStart w:name="_Toc412645415" w:id="1"/>
      <w:r w:rsidRPr="000023DB">
        <w:t>Chapter 11</w:t>
      </w:r>
      <w:r w:rsidRPr="000023DB">
        <w:br/>
        <w:t xml:space="preserve">  Lender Underwriting, HUD Review and Closing Matters</w:t>
      </w:r>
      <w:bookmarkEnd w:id="0"/>
      <w:bookmarkEnd w:id="1"/>
    </w:p>
    <w:p w:rsidRPr="0074346F" w:rsidR="00A57102" w:rsidP="00A57102" w:rsidRDefault="00A57102" w14:paraId="75644009" w14:textId="77777777">
      <w:pPr>
        <w:pStyle w:val="MAPheader-footerhyperlink"/>
      </w:pPr>
    </w:p>
    <w:p w:rsidRPr="000023DB" w:rsidR="00A57102" w:rsidP="00A57102" w:rsidRDefault="00A57102" w14:paraId="7564400A" w14:textId="77777777">
      <w:pPr>
        <w:pStyle w:val="MAPSubchapterheading"/>
        <w:rPr>
          <w:rFonts w:eastAsiaTheme="minorEastAsia"/>
        </w:rPr>
      </w:pPr>
    </w:p>
    <w:p w:rsidRPr="000023DB" w:rsidR="00A57102" w:rsidP="00A57102" w:rsidRDefault="00A57102" w14:paraId="7564400B" w14:textId="3779ABA4">
      <w:pPr>
        <w:overflowPunct w:val="0"/>
        <w:autoSpaceDE w:val="0"/>
        <w:autoSpaceDN w:val="0"/>
        <w:adjustRightInd w:val="0"/>
        <w:spacing w:before="80" w:after="80"/>
        <w:ind w:left="1440" w:hanging="1260"/>
        <w:textAlignment w:val="baseline"/>
        <w:outlineLvl w:val="0"/>
        <w:rPr>
          <w:rFonts w:ascii="Arial" w:hAnsi="Arial" w:eastAsia="Times New Roman" w:cs="Arial"/>
          <w:b/>
          <w:sz w:val="28"/>
          <w:szCs w:val="20"/>
        </w:rPr>
      </w:pPr>
      <w:r w:rsidRPr="000023DB">
        <w:rPr>
          <w:rFonts w:ascii="Arial" w:hAnsi="Arial" w:eastAsia="Times New Roman" w:cs="Arial"/>
          <w:b/>
          <w:sz w:val="28"/>
          <w:szCs w:val="20"/>
        </w:rPr>
        <w:t>11.1</w:t>
      </w:r>
      <w:r w:rsidR="00F776CF">
        <w:rPr>
          <w:rFonts w:ascii="Arial" w:hAnsi="Arial" w:eastAsia="Times New Roman" w:cs="Arial"/>
          <w:b/>
          <w:sz w:val="28"/>
          <w:szCs w:val="20"/>
        </w:rPr>
        <w:tab/>
      </w:r>
      <w:r w:rsidRPr="000023DB">
        <w:rPr>
          <w:rFonts w:ascii="Arial" w:hAnsi="Arial" w:eastAsia="Times New Roman" w:cs="Arial"/>
          <w:b/>
          <w:sz w:val="28"/>
          <w:szCs w:val="20"/>
        </w:rPr>
        <w:t>General</w:t>
      </w:r>
    </w:p>
    <w:p w:rsidRPr="000023DB" w:rsidR="00A57102" w:rsidP="00A57102" w:rsidRDefault="00A57102" w14:paraId="7564400C" w14:textId="77777777">
      <w:pPr>
        <w:overflowPunct w:val="0"/>
        <w:autoSpaceDE w:val="0"/>
        <w:autoSpaceDN w:val="0"/>
        <w:adjustRightInd w:val="0"/>
        <w:spacing w:before="80" w:after="80"/>
        <w:ind w:left="360"/>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ab/>
      </w:r>
    </w:p>
    <w:p w:rsidRPr="000023DB" w:rsidR="00A57102" w:rsidP="00A57102" w:rsidRDefault="00A57102" w14:paraId="7564400D" w14:textId="7A2E731F">
      <w:pPr>
        <w:overflowPunct w:val="0"/>
        <w:autoSpaceDE w:val="0"/>
        <w:autoSpaceDN w:val="0"/>
        <w:adjustRightInd w:val="0"/>
        <w:spacing w:before="80" w:after="8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The MAP program delegates due diligence and underwriting responsibility to MAP approved </w:t>
      </w:r>
      <w:r w:rsidR="00E3515A">
        <w:rPr>
          <w:rFonts w:ascii="Times New Roman" w:hAnsi="Times New Roman" w:eastAsia="Times New Roman" w:cs="Times New Roman"/>
          <w:sz w:val="24"/>
          <w:szCs w:val="20"/>
        </w:rPr>
        <w:t xml:space="preserve">Lenders and their </w:t>
      </w:r>
      <w:r w:rsidRPr="000023DB">
        <w:rPr>
          <w:rFonts w:ascii="Times New Roman" w:hAnsi="Times New Roman" w:eastAsia="Times New Roman" w:cs="Times New Roman"/>
          <w:sz w:val="24"/>
          <w:szCs w:val="20"/>
        </w:rPr>
        <w:t xml:space="preserve">Underwriters.  The MAP approved Underwriter </w:t>
      </w:r>
      <w:r w:rsidR="00B70321">
        <w:rPr>
          <w:rFonts w:ascii="Times New Roman" w:hAnsi="Times New Roman" w:eastAsia="Times New Roman" w:cs="Times New Roman"/>
          <w:sz w:val="24"/>
          <w:szCs w:val="20"/>
        </w:rPr>
        <w:t>must</w:t>
      </w:r>
      <w:r w:rsidR="00EA34A2">
        <w:rPr>
          <w:rFonts w:ascii="Times New Roman" w:hAnsi="Times New Roman" w:eastAsia="Times New Roman" w:cs="Times New Roman"/>
          <w:sz w:val="24"/>
          <w:szCs w:val="20"/>
        </w:rPr>
        <w:t xml:space="preserve"> be</w:t>
      </w:r>
      <w:r w:rsidRPr="000023DB">
        <w:rPr>
          <w:rFonts w:ascii="Times New Roman" w:hAnsi="Times New Roman" w:eastAsia="Times New Roman" w:cs="Times New Roman"/>
          <w:sz w:val="24"/>
          <w:szCs w:val="20"/>
        </w:rPr>
        <w:t xml:space="preserve"> completely familiar with the contents of the MAP Guide, have demonstrated experience and mastery of commercial lending practices and real estate finance, and have a working knowledge of HUD regulatory and statutory authority.</w:t>
      </w:r>
    </w:p>
    <w:p w:rsidRPr="000023DB" w:rsidR="00A57102" w:rsidP="00A57102" w:rsidRDefault="00A57102" w14:paraId="7564400E" w14:textId="77777777">
      <w:pPr>
        <w:overflowPunct w:val="0"/>
        <w:autoSpaceDE w:val="0"/>
        <w:autoSpaceDN w:val="0"/>
        <w:adjustRightInd w:val="0"/>
        <w:spacing w:before="80" w:after="80"/>
        <w:ind w:left="360"/>
        <w:jc w:val="both"/>
        <w:textAlignment w:val="baseline"/>
        <w:outlineLvl w:val="0"/>
        <w:rPr>
          <w:rFonts w:ascii="Times New Roman" w:hAnsi="Times New Roman" w:eastAsia="Times New Roman" w:cs="Times New Roman"/>
          <w:sz w:val="24"/>
          <w:szCs w:val="20"/>
        </w:rPr>
      </w:pPr>
    </w:p>
    <w:p w:rsidRPr="000023DB" w:rsidR="00A57102" w:rsidP="00A57102" w:rsidRDefault="00A57102" w14:paraId="7564400F" w14:textId="5D434C57">
      <w:pPr>
        <w:overflowPunct w:val="0"/>
        <w:autoSpaceDE w:val="0"/>
        <w:autoSpaceDN w:val="0"/>
        <w:adjustRightInd w:val="0"/>
        <w:spacing w:before="80" w:after="8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HUD retains commitment authority and responsibility for final determination of acceptable risk to the insurance fund, as well </w:t>
      </w:r>
      <w:r>
        <w:rPr>
          <w:rFonts w:ascii="Times New Roman" w:hAnsi="Times New Roman" w:eastAsia="Times New Roman" w:cs="Times New Roman"/>
          <w:sz w:val="24"/>
          <w:szCs w:val="20"/>
        </w:rPr>
        <w:t xml:space="preserve">as </w:t>
      </w:r>
      <w:r w:rsidRPr="000023DB">
        <w:rPr>
          <w:rFonts w:ascii="Times New Roman" w:hAnsi="Times New Roman" w:eastAsia="Times New Roman" w:cs="Times New Roman"/>
          <w:sz w:val="24"/>
          <w:szCs w:val="20"/>
        </w:rPr>
        <w:t xml:space="preserve">certain technical and compliance responsibilities. </w:t>
      </w:r>
      <w:r w:rsidR="001C7985">
        <w:rPr>
          <w:rFonts w:ascii="Times New Roman" w:hAnsi="Times New Roman" w:eastAsia="Times New Roman" w:cs="Times New Roman"/>
          <w:sz w:val="24"/>
          <w:szCs w:val="20"/>
        </w:rPr>
        <w:t>However, t</w:t>
      </w:r>
      <w:r w:rsidRPr="000023DB">
        <w:rPr>
          <w:rFonts w:ascii="Times New Roman" w:hAnsi="Times New Roman" w:eastAsia="Times New Roman" w:cs="Times New Roman"/>
          <w:sz w:val="24"/>
          <w:szCs w:val="20"/>
        </w:rPr>
        <w:t>his in no way relieves the MAP Lender from responsibility for their underwriting and programmatic compliance.</w:t>
      </w:r>
    </w:p>
    <w:p w:rsidRPr="000023DB" w:rsidR="00A57102" w:rsidP="00A57102" w:rsidRDefault="00A57102" w14:paraId="75644010" w14:textId="77777777">
      <w:pPr>
        <w:overflowPunct w:val="0"/>
        <w:autoSpaceDE w:val="0"/>
        <w:autoSpaceDN w:val="0"/>
        <w:adjustRightInd w:val="0"/>
        <w:spacing w:before="80" w:after="80"/>
        <w:ind w:left="360"/>
        <w:jc w:val="both"/>
        <w:textAlignment w:val="baseline"/>
        <w:outlineLvl w:val="0"/>
        <w:rPr>
          <w:rFonts w:ascii="Times New Roman" w:hAnsi="Times New Roman" w:eastAsia="Times New Roman" w:cs="Times New Roman"/>
          <w:sz w:val="24"/>
          <w:szCs w:val="20"/>
        </w:rPr>
      </w:pPr>
    </w:p>
    <w:p w:rsidRPr="000023DB" w:rsidR="00A57102" w:rsidP="00A57102" w:rsidRDefault="00A57102" w14:paraId="75644011" w14:textId="77777777">
      <w:pPr>
        <w:overflowPunct w:val="0"/>
        <w:autoSpaceDE w:val="0"/>
        <w:autoSpaceDN w:val="0"/>
        <w:adjustRightInd w:val="0"/>
        <w:spacing w:before="80" w:after="8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The basic function of a MAP approved Underwriter is to objectively evaluate the following factors in making a credit approval recommendation:  </w:t>
      </w:r>
    </w:p>
    <w:p w:rsidRPr="000023DB" w:rsidR="00A57102" w:rsidP="00A57102" w:rsidRDefault="00A57102" w14:paraId="75644012" w14:textId="5BE518C2">
      <w:pPr>
        <w:numPr>
          <w:ilvl w:val="0"/>
          <w:numId w:val="11"/>
        </w:numPr>
        <w:overflowPunct w:val="0"/>
        <w:autoSpaceDE w:val="0"/>
        <w:autoSpaceDN w:val="0"/>
        <w:adjustRightInd w:val="0"/>
        <w:spacing w:before="80" w:after="80" w:line="276" w:lineRule="auto"/>
        <w:ind w:left="54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Character, creditworthiness, competence, and capacity of the borrower and development team </w:t>
      </w:r>
      <w:r w:rsidRPr="000023DB" w:rsidR="006A47F7">
        <w:rPr>
          <w:rFonts w:ascii="Times New Roman" w:hAnsi="Times New Roman" w:eastAsia="Times New Roman" w:cs="Times New Roman"/>
          <w:sz w:val="24"/>
          <w:szCs w:val="20"/>
        </w:rPr>
        <w:t>members.</w:t>
      </w:r>
    </w:p>
    <w:p w:rsidRPr="000023DB" w:rsidR="00A57102" w:rsidP="00A57102" w:rsidRDefault="00A57102" w14:paraId="75644013" w14:textId="66B3C969">
      <w:pPr>
        <w:numPr>
          <w:ilvl w:val="0"/>
          <w:numId w:val="11"/>
        </w:numPr>
        <w:overflowPunct w:val="0"/>
        <w:autoSpaceDE w:val="0"/>
        <w:autoSpaceDN w:val="0"/>
        <w:adjustRightInd w:val="0"/>
        <w:spacing w:before="80" w:after="80" w:line="276" w:lineRule="auto"/>
        <w:ind w:left="54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Cash flow sufficient to service the proposed </w:t>
      </w:r>
      <w:r w:rsidRPr="000023DB" w:rsidR="006A47F7">
        <w:rPr>
          <w:rFonts w:ascii="Times New Roman" w:hAnsi="Times New Roman" w:eastAsia="Times New Roman" w:cs="Times New Roman"/>
          <w:sz w:val="24"/>
          <w:szCs w:val="20"/>
        </w:rPr>
        <w:t>loan.</w:t>
      </w:r>
    </w:p>
    <w:p w:rsidRPr="000023DB" w:rsidR="00A57102" w:rsidP="00A57102" w:rsidRDefault="00A57102" w14:paraId="75644014" w14:textId="0C1D5ABC">
      <w:pPr>
        <w:numPr>
          <w:ilvl w:val="0"/>
          <w:numId w:val="11"/>
        </w:numPr>
        <w:overflowPunct w:val="0"/>
        <w:autoSpaceDE w:val="0"/>
        <w:autoSpaceDN w:val="0"/>
        <w:adjustRightInd w:val="0"/>
        <w:spacing w:before="80" w:after="80" w:line="276" w:lineRule="auto"/>
        <w:ind w:left="54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Collateral quality, including valuation, physical condition, environmental factors and </w:t>
      </w:r>
      <w:r w:rsidRPr="000023DB" w:rsidR="006A47F7">
        <w:rPr>
          <w:rFonts w:ascii="Times New Roman" w:hAnsi="Times New Roman" w:eastAsia="Times New Roman" w:cs="Times New Roman"/>
          <w:sz w:val="24"/>
          <w:szCs w:val="20"/>
        </w:rPr>
        <w:t>location.</w:t>
      </w:r>
    </w:p>
    <w:p w:rsidRPr="000023DB" w:rsidR="00A57102" w:rsidP="00A57102" w:rsidRDefault="00A57102" w14:paraId="75644015" w14:textId="5ECEE846">
      <w:pPr>
        <w:numPr>
          <w:ilvl w:val="0"/>
          <w:numId w:val="11"/>
        </w:numPr>
        <w:overflowPunct w:val="0"/>
        <w:autoSpaceDE w:val="0"/>
        <w:autoSpaceDN w:val="0"/>
        <w:adjustRightInd w:val="0"/>
        <w:spacing w:before="80" w:after="80" w:line="276" w:lineRule="auto"/>
        <w:ind w:left="54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Capital structure, including all proposed indebtedness and </w:t>
      </w:r>
      <w:r w:rsidRPr="000023DB" w:rsidR="006A47F7">
        <w:rPr>
          <w:rFonts w:ascii="Times New Roman" w:hAnsi="Times New Roman" w:eastAsia="Times New Roman" w:cs="Times New Roman"/>
          <w:sz w:val="24"/>
          <w:szCs w:val="20"/>
        </w:rPr>
        <w:t>equity.</w:t>
      </w:r>
    </w:p>
    <w:p w:rsidRPr="000023DB" w:rsidR="00A57102" w:rsidP="00A57102" w:rsidRDefault="00A57102" w14:paraId="75644016" w14:textId="77777777">
      <w:pPr>
        <w:numPr>
          <w:ilvl w:val="0"/>
          <w:numId w:val="11"/>
        </w:numPr>
        <w:overflowPunct w:val="0"/>
        <w:autoSpaceDE w:val="0"/>
        <w:autoSpaceDN w:val="0"/>
        <w:adjustRightInd w:val="0"/>
        <w:spacing w:before="80" w:after="80" w:line="276" w:lineRule="auto"/>
        <w:ind w:left="54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Cash available to close, given the total mortgageable and non-mortgageable costs of the transaction; and </w:t>
      </w:r>
    </w:p>
    <w:p w:rsidRPr="000023DB" w:rsidR="00A57102" w:rsidP="00A57102" w:rsidRDefault="00A57102" w14:paraId="75644017" w14:textId="77777777">
      <w:pPr>
        <w:numPr>
          <w:ilvl w:val="0"/>
          <w:numId w:val="11"/>
        </w:numPr>
        <w:overflowPunct w:val="0"/>
        <w:autoSpaceDE w:val="0"/>
        <w:autoSpaceDN w:val="0"/>
        <w:adjustRightInd w:val="0"/>
        <w:spacing w:before="80" w:after="80" w:line="276" w:lineRule="auto"/>
        <w:ind w:left="54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Compliance with HUD program and processing requirements. </w:t>
      </w:r>
    </w:p>
    <w:p w:rsidRPr="000023DB" w:rsidR="00A57102" w:rsidP="00A57102" w:rsidRDefault="00A57102" w14:paraId="75644018" w14:textId="77777777">
      <w:pPr>
        <w:overflowPunct w:val="0"/>
        <w:autoSpaceDE w:val="0"/>
        <w:autoSpaceDN w:val="0"/>
        <w:adjustRightInd w:val="0"/>
        <w:spacing w:before="80" w:after="80"/>
        <w:ind w:left="360"/>
        <w:jc w:val="both"/>
        <w:textAlignment w:val="baseline"/>
        <w:outlineLvl w:val="0"/>
        <w:rPr>
          <w:rFonts w:ascii="Times New Roman" w:hAnsi="Times New Roman" w:eastAsia="Times New Roman" w:cs="Times New Roman"/>
          <w:sz w:val="24"/>
          <w:szCs w:val="20"/>
        </w:rPr>
      </w:pPr>
    </w:p>
    <w:p w:rsidRPr="000023DB" w:rsidR="00A57102" w:rsidP="00A57102" w:rsidRDefault="00A57102" w14:paraId="75644019" w14:textId="77777777">
      <w:pPr>
        <w:overflowPunct w:val="0"/>
        <w:autoSpaceDE w:val="0"/>
        <w:autoSpaceDN w:val="0"/>
        <w:adjustRightInd w:val="0"/>
        <w:spacing w:before="80" w:after="80"/>
        <w:jc w:val="both"/>
        <w:textAlignment w:val="baseline"/>
        <w:outlineLvl w:val="0"/>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Underwriter must identify all material risks and weaknesses, with appropriate mitigants including quantitative analysis and stress testing to identify the impact of “worst case” scenarios.  </w:t>
      </w:r>
      <w:r w:rsidRPr="000023DB">
        <w:rPr>
          <w:rFonts w:ascii="Times New Roman" w:hAnsi="Times New Roman" w:eastAsia="Times New Roman" w:cs="Times New Roman"/>
          <w:sz w:val="24"/>
          <w:szCs w:val="20"/>
        </w:rPr>
        <w:t xml:space="preserve">If a transaction recommended by a lender is properly underwritten and processed, and is complete and technically compliant, HUD’s role is to review the application and the lender can assume a timely determination. </w:t>
      </w:r>
    </w:p>
    <w:p w:rsidR="00A57102" w:rsidP="00A57102" w:rsidRDefault="00A57102" w14:paraId="7564401A" w14:textId="77777777">
      <w:pPr>
        <w:overflowPunct w:val="0"/>
        <w:autoSpaceDE w:val="0"/>
        <w:autoSpaceDN w:val="0"/>
        <w:adjustRightInd w:val="0"/>
        <w:spacing w:before="80" w:after="80"/>
        <w:jc w:val="both"/>
        <w:textAlignment w:val="baseline"/>
        <w:outlineLvl w:val="0"/>
        <w:rPr>
          <w:rFonts w:ascii="Times New Roman" w:hAnsi="Times New Roman" w:eastAsia="Times New Roman" w:cs="Times New Roman"/>
          <w:sz w:val="24"/>
          <w:szCs w:val="20"/>
        </w:rPr>
      </w:pPr>
    </w:p>
    <w:p w:rsidRPr="000023DB" w:rsidR="00A57102" w:rsidP="00A57102" w:rsidRDefault="00A57102" w14:paraId="7564401B" w14:textId="77777777">
      <w:pPr>
        <w:overflowPunct w:val="0"/>
        <w:autoSpaceDE w:val="0"/>
        <w:autoSpaceDN w:val="0"/>
        <w:adjustRightInd w:val="0"/>
        <w:spacing w:before="80" w:after="8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 xml:space="preserve">If the application fails to identify material underwriting risks and mitigants, or has material processing or compliance deficiencies, HUD </w:t>
      </w:r>
      <w:r>
        <w:rPr>
          <w:rFonts w:ascii="Times New Roman" w:hAnsi="Times New Roman" w:eastAsia="Times New Roman" w:cs="Times New Roman"/>
          <w:sz w:val="24"/>
          <w:szCs w:val="20"/>
        </w:rPr>
        <w:t>has the option to</w:t>
      </w:r>
      <w:r w:rsidRPr="000023DB">
        <w:rPr>
          <w:rFonts w:ascii="Times New Roman" w:hAnsi="Times New Roman" w:eastAsia="Times New Roman" w:cs="Times New Roman"/>
          <w:sz w:val="24"/>
          <w:szCs w:val="20"/>
        </w:rPr>
        <w:t xml:space="preserve"> reject the application, re-underwrite it and approve with conditions, or return the application to the lender for modifications to address deficiencies.</w:t>
      </w:r>
    </w:p>
    <w:p w:rsidRPr="000023DB" w:rsidR="00A57102" w:rsidP="00A57102" w:rsidRDefault="00A57102" w14:paraId="7564401C" w14:textId="77777777">
      <w:pPr>
        <w:overflowPunct w:val="0"/>
        <w:autoSpaceDE w:val="0"/>
        <w:autoSpaceDN w:val="0"/>
        <w:adjustRightInd w:val="0"/>
        <w:spacing w:before="80" w:after="80"/>
        <w:jc w:val="both"/>
        <w:textAlignment w:val="baseline"/>
        <w:outlineLvl w:val="0"/>
        <w:rPr>
          <w:rFonts w:ascii="Times New Roman" w:hAnsi="Times New Roman" w:eastAsia="Times New Roman" w:cs="Times New Roman"/>
          <w:sz w:val="24"/>
          <w:szCs w:val="20"/>
        </w:rPr>
      </w:pPr>
      <w:r w:rsidRPr="000023DB">
        <w:rPr>
          <w:rFonts w:ascii="Times New Roman" w:hAnsi="Times New Roman" w:eastAsia="Times New Roman" w:cs="Times New Roman"/>
          <w:sz w:val="24"/>
          <w:szCs w:val="20"/>
        </w:rPr>
        <w:t>The responsibilities of MAP lender and HUD underwriters are addressed in Chapter 4 (Processing) and in this chapter.</w:t>
      </w:r>
    </w:p>
    <w:p w:rsidRPr="000023DB" w:rsidR="00A57102" w:rsidP="00A57102" w:rsidRDefault="00A57102" w14:paraId="7564401E" w14:textId="77777777">
      <w:pPr>
        <w:tabs>
          <w:tab w:val="left" w:pos="2880"/>
        </w:tabs>
        <w:overflowPunct w:val="0"/>
        <w:autoSpaceDE w:val="0"/>
        <w:autoSpaceDN w:val="0"/>
        <w:adjustRightInd w:val="0"/>
        <w:spacing w:before="80" w:after="80"/>
        <w:ind w:left="2880" w:hanging="2700"/>
        <w:textAlignment w:val="baseline"/>
        <w:outlineLvl w:val="0"/>
        <w:rPr>
          <w:rFonts w:ascii="Arial" w:hAnsi="Arial" w:eastAsia="Times New Roman" w:cs="Arial"/>
          <w:b/>
          <w:sz w:val="28"/>
          <w:szCs w:val="20"/>
        </w:rPr>
      </w:pPr>
    </w:p>
    <w:p w:rsidRPr="00BB3995" w:rsidR="00A57102" w:rsidP="00BB3995" w:rsidRDefault="00423FA3" w14:paraId="7564401F" w14:textId="20537C9C">
      <w:pPr>
        <w:overflowPunct w:val="0"/>
        <w:autoSpaceDE w:val="0"/>
        <w:autoSpaceDN w:val="0"/>
        <w:adjustRightInd w:val="0"/>
        <w:spacing w:before="80" w:after="80"/>
        <w:ind w:left="1440" w:hanging="1260"/>
        <w:textAlignment w:val="baseline"/>
        <w:outlineLvl w:val="0"/>
        <w:rPr>
          <w:rFonts w:ascii="Arial" w:hAnsi="Arial" w:eastAsia="Times New Roman" w:cs="Arial"/>
          <w:b/>
          <w:bCs/>
          <w:sz w:val="28"/>
          <w:szCs w:val="28"/>
        </w:rPr>
      </w:pPr>
      <w:r w:rsidRPr="00F776CF">
        <w:rPr>
          <w:rFonts w:ascii="Arial" w:hAnsi="Arial" w:eastAsia="Times New Roman" w:cs="Arial"/>
          <w:b/>
          <w:bCs/>
          <w:sz w:val="28"/>
          <w:szCs w:val="28"/>
        </w:rPr>
        <w:t xml:space="preserve">11.2 </w:t>
      </w:r>
      <w:r w:rsidRPr="00F776CF">
        <w:rPr>
          <w:rFonts w:ascii="Arial" w:hAnsi="Arial" w:eastAsia="Times New Roman" w:cs="Arial"/>
          <w:b/>
          <w:bCs/>
          <w:sz w:val="28"/>
          <w:szCs w:val="28"/>
        </w:rPr>
        <w:tab/>
      </w:r>
      <w:r w:rsidRPr="00F776CF" w:rsidR="00A57102">
        <w:rPr>
          <w:rFonts w:ascii="Arial" w:hAnsi="Arial" w:eastAsia="Times New Roman" w:cs="Arial"/>
          <w:b/>
          <w:bCs/>
          <w:sz w:val="28"/>
          <w:szCs w:val="28"/>
        </w:rPr>
        <w:t>Lender Underwriting</w:t>
      </w:r>
    </w:p>
    <w:p w:rsidRPr="000023DB" w:rsidR="00A57102" w:rsidP="00A57102" w:rsidRDefault="00A57102" w14:paraId="75644020" w14:textId="77777777">
      <w:pPr>
        <w:overflowPunct w:val="0"/>
        <w:autoSpaceDE w:val="0"/>
        <w:autoSpaceDN w:val="0"/>
        <w:adjustRightInd w:val="0"/>
        <w:spacing w:before="80" w:after="80"/>
        <w:ind w:left="360"/>
        <w:textAlignment w:val="baseline"/>
        <w:outlineLvl w:val="0"/>
        <w:rPr>
          <w:rFonts w:ascii="Times New Roman" w:hAnsi="Times New Roman" w:eastAsia="Times New Roman" w:cs="Times New Roman"/>
          <w:sz w:val="24"/>
          <w:szCs w:val="20"/>
        </w:rPr>
      </w:pPr>
    </w:p>
    <w:p w:rsidRPr="00866EC1" w:rsidR="00A57102" w:rsidP="00A57102" w:rsidRDefault="00A57102" w14:paraId="75644021" w14:textId="6303620C">
      <w:pPr>
        <w:pStyle w:val="ListParagraph"/>
        <w:numPr>
          <w:ilvl w:val="0"/>
          <w:numId w:val="17"/>
        </w:numPr>
        <w:spacing w:before="240" w:after="120"/>
        <w:ind w:left="360"/>
        <w:jc w:val="both"/>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The lender is responsible for assigning a MAP approved Underwriter for the Pre-application or Firm Commitment</w:t>
      </w:r>
      <w:r w:rsidR="00D5011D">
        <w:rPr>
          <w:rFonts w:ascii="Times New Roman" w:hAnsi="Times New Roman" w:eastAsia="Times New Roman" w:cs="Times New Roman"/>
          <w:sz w:val="24"/>
          <w:szCs w:val="24"/>
        </w:rPr>
        <w:t xml:space="preserve"> submission</w:t>
      </w:r>
      <w:r w:rsidRPr="00866EC1">
        <w:rPr>
          <w:rFonts w:ascii="Times New Roman" w:hAnsi="Times New Roman" w:eastAsia="Times New Roman" w:cs="Times New Roman"/>
          <w:sz w:val="24"/>
          <w:szCs w:val="24"/>
        </w:rPr>
        <w:t>. The MAP approved Underwriter is responsible for the selection and performance of the third</w:t>
      </w:r>
      <w:r w:rsidR="00D5011D">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 xml:space="preserve">party professionals (both the firms and individuals). The Construction Loan Administrator must be approved prior to the Firm Commitment stage if the closing and servicing lender has been identified, or as soon as identified. </w:t>
      </w:r>
    </w:p>
    <w:p w:rsidRPr="00866EC1" w:rsidR="00A57102" w:rsidP="00A57102" w:rsidRDefault="00A57102" w14:paraId="75644022" w14:textId="77777777">
      <w:pPr>
        <w:overflowPunct w:val="0"/>
        <w:autoSpaceDE w:val="0"/>
        <w:autoSpaceDN w:val="0"/>
        <w:adjustRightInd w:val="0"/>
        <w:spacing w:before="80" w:after="80" w:line="276" w:lineRule="auto"/>
        <w:ind w:left="720"/>
        <w:jc w:val="both"/>
        <w:textAlignment w:val="baseline"/>
        <w:outlineLvl w:val="0"/>
        <w:rPr>
          <w:rFonts w:ascii="Times New Roman" w:hAnsi="Times New Roman" w:eastAsia="Times New Roman" w:cs="Times New Roman"/>
          <w:sz w:val="24"/>
          <w:szCs w:val="24"/>
        </w:rPr>
      </w:pPr>
    </w:p>
    <w:p w:rsidRPr="00866EC1" w:rsidR="00A57102" w:rsidP="00A57102" w:rsidRDefault="00A57102" w14:paraId="75644023" w14:textId="13D554E2">
      <w:pPr>
        <w:ind w:left="360"/>
        <w:jc w:val="both"/>
        <w:rPr>
          <w:rFonts w:ascii="Times New Roman" w:hAnsi="Times New Roman" w:cs="Times New Roman"/>
          <w:sz w:val="24"/>
          <w:szCs w:val="24"/>
        </w:rPr>
      </w:pPr>
      <w:r w:rsidRPr="00866EC1">
        <w:rPr>
          <w:rFonts w:ascii="Times New Roman" w:hAnsi="Times New Roman" w:cs="Times New Roman"/>
          <w:sz w:val="24"/>
          <w:szCs w:val="24"/>
        </w:rPr>
        <w:t xml:space="preserve">The lender’s MAP </w:t>
      </w:r>
      <w:r w:rsidR="00125C81">
        <w:rPr>
          <w:rFonts w:ascii="Times New Roman" w:hAnsi="Times New Roman" w:cs="Times New Roman"/>
          <w:sz w:val="24"/>
          <w:szCs w:val="24"/>
        </w:rPr>
        <w:t>a</w:t>
      </w:r>
      <w:r w:rsidRPr="00866EC1">
        <w:rPr>
          <w:rFonts w:ascii="Times New Roman" w:hAnsi="Times New Roman" w:cs="Times New Roman"/>
          <w:sz w:val="24"/>
          <w:szCs w:val="24"/>
        </w:rPr>
        <w:t>pproved Underwriter is responsible for oversight and performance of the following tasks:</w:t>
      </w:r>
    </w:p>
    <w:p w:rsidRPr="00866EC1" w:rsidR="00A57102" w:rsidP="00A57102" w:rsidRDefault="00A57102" w14:paraId="75644024" w14:textId="77777777">
      <w:pPr>
        <w:ind w:left="360"/>
        <w:jc w:val="both"/>
        <w:rPr>
          <w:rFonts w:ascii="Times New Roman" w:hAnsi="Times New Roman" w:cs="Times New Roman"/>
          <w:sz w:val="24"/>
          <w:szCs w:val="24"/>
        </w:rPr>
      </w:pPr>
    </w:p>
    <w:p w:rsidRPr="00866EC1" w:rsidR="00A57102" w:rsidP="00A57102" w:rsidRDefault="00A57102" w14:paraId="75644025" w14:textId="7A261281">
      <w:pPr>
        <w:pStyle w:val="ListParagraph"/>
        <w:widowControl w:val="0"/>
        <w:numPr>
          <w:ilvl w:val="6"/>
          <w:numId w:val="1"/>
        </w:numPr>
        <w:overflowPunct w:val="0"/>
        <w:autoSpaceDE w:val="0"/>
        <w:autoSpaceDN w:val="0"/>
        <w:adjustRightInd w:val="0"/>
        <w:spacing w:before="80" w:line="276" w:lineRule="auto"/>
        <w:ind w:left="540"/>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Data collection</w:t>
      </w:r>
      <w:r w:rsidR="00B660CC">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 xml:space="preserve"> </w:t>
      </w:r>
    </w:p>
    <w:p w:rsidRPr="007C4C63" w:rsidR="00000210" w:rsidP="00000210" w:rsidRDefault="00A57102" w14:paraId="1B3F0B3C" w14:textId="72096EB1">
      <w:pPr>
        <w:numPr>
          <w:ilvl w:val="0"/>
          <w:numId w:val="19"/>
        </w:numPr>
        <w:tabs>
          <w:tab w:val="left" w:pos="3240"/>
        </w:tabs>
        <w:overflowPunct w:val="0"/>
        <w:autoSpaceDE w:val="0"/>
        <w:autoSpaceDN w:val="0"/>
        <w:adjustRightInd w:val="0"/>
        <w:spacing w:before="240" w:line="276" w:lineRule="auto"/>
        <w:jc w:val="both"/>
        <w:textAlignment w:val="baseline"/>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Due diligence, including selection and management of their third</w:t>
      </w:r>
      <w:r w:rsidR="00B660CC">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 xml:space="preserve">party consultants. </w:t>
      </w:r>
      <w:r w:rsidRPr="00000210" w:rsidR="00000210">
        <w:rPr>
          <w:rFonts w:ascii="Times New Roman" w:hAnsi="Times New Roman" w:eastAsia="Times New Roman" w:cs="Times New Roman"/>
          <w:sz w:val="24"/>
          <w:szCs w:val="24"/>
        </w:rPr>
        <w:t xml:space="preserve"> </w:t>
      </w:r>
      <w:r w:rsidRPr="007C4C63" w:rsidR="00000210">
        <w:rPr>
          <w:rFonts w:ascii="Times New Roman" w:hAnsi="Times New Roman" w:eastAsia="Times New Roman" w:cs="Times New Roman"/>
          <w:sz w:val="24"/>
          <w:szCs w:val="24"/>
        </w:rPr>
        <w:t>The MAP Lender is responsible for underwriting the loan.  This responsibility necessarily requires the lender’s oversight, acceptance and recommendation to HUD for approval of the conclusions and recommendations of the third</w:t>
      </w:r>
      <w:r w:rsidR="00C74CDB">
        <w:rPr>
          <w:rFonts w:ascii="Times New Roman" w:hAnsi="Times New Roman" w:eastAsia="Times New Roman" w:cs="Times New Roman"/>
          <w:sz w:val="24"/>
          <w:szCs w:val="24"/>
        </w:rPr>
        <w:t>-</w:t>
      </w:r>
      <w:r w:rsidRPr="007C4C63" w:rsidR="00000210">
        <w:rPr>
          <w:rFonts w:ascii="Times New Roman" w:hAnsi="Times New Roman" w:eastAsia="Times New Roman" w:cs="Times New Roman"/>
          <w:sz w:val="24"/>
          <w:szCs w:val="24"/>
        </w:rPr>
        <w:t>party reports, except as modified</w:t>
      </w:r>
      <w:r w:rsidR="003B3D7F">
        <w:rPr>
          <w:rFonts w:ascii="Times New Roman" w:hAnsi="Times New Roman" w:eastAsia="Times New Roman" w:cs="Times New Roman"/>
          <w:sz w:val="24"/>
          <w:szCs w:val="24"/>
        </w:rPr>
        <w:t xml:space="preserve"> by the lender</w:t>
      </w:r>
      <w:r w:rsidRPr="007C4C63" w:rsidR="00000210">
        <w:rPr>
          <w:rFonts w:ascii="Times New Roman" w:hAnsi="Times New Roman" w:eastAsia="Times New Roman" w:cs="Times New Roman"/>
          <w:sz w:val="24"/>
          <w:szCs w:val="24"/>
        </w:rPr>
        <w:t xml:space="preserve">, </w:t>
      </w:r>
      <w:r w:rsidR="0085013E">
        <w:rPr>
          <w:rFonts w:ascii="Times New Roman" w:hAnsi="Times New Roman" w:eastAsia="Times New Roman" w:cs="Times New Roman"/>
          <w:sz w:val="24"/>
          <w:szCs w:val="24"/>
        </w:rPr>
        <w:t xml:space="preserve">and as </w:t>
      </w:r>
      <w:r w:rsidRPr="007C4C63" w:rsidR="00000210">
        <w:rPr>
          <w:rFonts w:ascii="Times New Roman" w:hAnsi="Times New Roman" w:eastAsia="Times New Roman" w:cs="Times New Roman"/>
          <w:sz w:val="24"/>
          <w:szCs w:val="24"/>
        </w:rPr>
        <w:t xml:space="preserve">explained, and justified in </w:t>
      </w:r>
      <w:r w:rsidR="00E645F6">
        <w:rPr>
          <w:rFonts w:ascii="Times New Roman" w:hAnsi="Times New Roman" w:eastAsia="Times New Roman" w:cs="Times New Roman"/>
          <w:sz w:val="24"/>
          <w:szCs w:val="24"/>
        </w:rPr>
        <w:t xml:space="preserve">the lender’s </w:t>
      </w:r>
      <w:r w:rsidRPr="007C4C63" w:rsidR="00315255">
        <w:rPr>
          <w:rFonts w:ascii="Times New Roman" w:hAnsi="Times New Roman" w:eastAsia="Times New Roman" w:cs="Times New Roman"/>
          <w:sz w:val="24"/>
          <w:szCs w:val="24"/>
        </w:rPr>
        <w:t>underwriting</w:t>
      </w:r>
      <w:r w:rsidR="00315255">
        <w:rPr>
          <w:rFonts w:ascii="Times New Roman" w:hAnsi="Times New Roman" w:eastAsia="Times New Roman" w:cs="Times New Roman"/>
          <w:sz w:val="24"/>
          <w:szCs w:val="24"/>
        </w:rPr>
        <w:t>.</w:t>
      </w:r>
    </w:p>
    <w:p w:rsidRPr="00866EC1" w:rsidR="00A57102" w:rsidP="00A57102" w:rsidRDefault="00A57102" w14:paraId="75644027" w14:textId="656DD018">
      <w:pPr>
        <w:widowControl w:val="0"/>
        <w:numPr>
          <w:ilvl w:val="0"/>
          <w:numId w:val="19"/>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Loan </w:t>
      </w:r>
      <w:r w:rsidRPr="00866EC1" w:rsidR="00315255">
        <w:rPr>
          <w:rFonts w:ascii="Times New Roman" w:hAnsi="Times New Roman" w:eastAsia="Times New Roman" w:cs="Times New Roman"/>
          <w:sz w:val="24"/>
          <w:szCs w:val="24"/>
        </w:rPr>
        <w:t>Processing.</w:t>
      </w:r>
    </w:p>
    <w:p w:rsidRPr="00866EC1" w:rsidR="00A57102" w:rsidP="00A57102" w:rsidRDefault="00A57102" w14:paraId="75644028" w14:textId="3EF822EE">
      <w:pPr>
        <w:widowControl w:val="0"/>
        <w:numPr>
          <w:ilvl w:val="0"/>
          <w:numId w:val="19"/>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Mortgage Credit </w:t>
      </w:r>
      <w:r w:rsidRPr="00866EC1" w:rsidR="002118D9">
        <w:rPr>
          <w:rFonts w:ascii="Times New Roman" w:hAnsi="Times New Roman" w:eastAsia="Times New Roman" w:cs="Times New Roman"/>
          <w:sz w:val="24"/>
          <w:szCs w:val="24"/>
        </w:rPr>
        <w:t>review.</w:t>
      </w:r>
    </w:p>
    <w:p w:rsidRPr="00866EC1" w:rsidR="00A57102" w:rsidP="00A57102" w:rsidRDefault="002118D9" w14:paraId="75644029" w14:textId="061825EB">
      <w:pPr>
        <w:widowControl w:val="0"/>
        <w:numPr>
          <w:ilvl w:val="0"/>
          <w:numId w:val="19"/>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Underwriting.</w:t>
      </w:r>
    </w:p>
    <w:p w:rsidRPr="00866EC1" w:rsidR="00A57102" w:rsidP="00A57102" w:rsidRDefault="00A57102" w14:paraId="7564402A" w14:textId="77777777">
      <w:pPr>
        <w:widowControl w:val="0"/>
        <w:numPr>
          <w:ilvl w:val="0"/>
          <w:numId w:val="19"/>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Obtaining internal loan approval (from the lender’s loan committee or other process);</w:t>
      </w:r>
    </w:p>
    <w:p w:rsidRPr="00866EC1" w:rsidR="00A57102" w:rsidP="00A57102" w:rsidRDefault="00A57102" w14:paraId="7564402B" w14:textId="51F5EA37">
      <w:pPr>
        <w:widowControl w:val="0"/>
        <w:numPr>
          <w:ilvl w:val="0"/>
          <w:numId w:val="19"/>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Submission of the loan application to the appropriate Regional Center or Satellite Office and payment of the application </w:t>
      </w:r>
      <w:r w:rsidRPr="00866EC1" w:rsidR="002118D9">
        <w:rPr>
          <w:rFonts w:ascii="Times New Roman" w:hAnsi="Times New Roman" w:eastAsia="Times New Roman" w:cs="Times New Roman"/>
          <w:sz w:val="24"/>
          <w:szCs w:val="24"/>
        </w:rPr>
        <w:t>fee.</w:t>
      </w:r>
    </w:p>
    <w:p w:rsidRPr="00866EC1" w:rsidR="00A57102" w:rsidP="00A57102" w:rsidRDefault="00A57102" w14:paraId="7564402C" w14:textId="12F0A9A0">
      <w:pPr>
        <w:widowControl w:val="0"/>
        <w:numPr>
          <w:ilvl w:val="0"/>
          <w:numId w:val="19"/>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Responding to HUD deficiency letters and requests for </w:t>
      </w:r>
      <w:r w:rsidRPr="00866EC1" w:rsidR="002118D9">
        <w:rPr>
          <w:rFonts w:ascii="Times New Roman" w:hAnsi="Times New Roman" w:eastAsia="Times New Roman" w:cs="Times New Roman"/>
          <w:sz w:val="24"/>
          <w:szCs w:val="24"/>
        </w:rPr>
        <w:t>information.</w:t>
      </w:r>
    </w:p>
    <w:p w:rsidRPr="00866EC1" w:rsidR="00A57102" w:rsidP="00A57102" w:rsidRDefault="00A57102" w14:paraId="7564402D" w14:textId="014574BD">
      <w:pPr>
        <w:widowControl w:val="0"/>
        <w:numPr>
          <w:ilvl w:val="0"/>
          <w:numId w:val="19"/>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Coordinating with the </w:t>
      </w:r>
      <w:r w:rsidR="003807A1">
        <w:rPr>
          <w:rFonts w:ascii="Times New Roman" w:hAnsi="Times New Roman" w:eastAsia="Times New Roman" w:cs="Times New Roman"/>
          <w:sz w:val="24"/>
          <w:szCs w:val="24"/>
        </w:rPr>
        <w:t>borrower</w:t>
      </w:r>
      <w:r w:rsidRPr="00866EC1" w:rsidR="003807A1">
        <w:rPr>
          <w:rFonts w:ascii="Times New Roman" w:hAnsi="Times New Roman" w:eastAsia="Times New Roman" w:cs="Times New Roman"/>
          <w:sz w:val="24"/>
          <w:szCs w:val="24"/>
        </w:rPr>
        <w:t xml:space="preserve"> </w:t>
      </w:r>
      <w:r w:rsidRPr="00866EC1">
        <w:rPr>
          <w:rFonts w:ascii="Times New Roman" w:hAnsi="Times New Roman" w:eastAsia="Times New Roman" w:cs="Times New Roman"/>
          <w:sz w:val="24"/>
          <w:szCs w:val="24"/>
        </w:rPr>
        <w:t xml:space="preserve">and their counsel, and follow-up to get the loan to closing; </w:t>
      </w:r>
      <w:r w:rsidR="003807A1">
        <w:rPr>
          <w:rFonts w:ascii="Times New Roman" w:hAnsi="Times New Roman" w:eastAsia="Times New Roman" w:cs="Times New Roman"/>
          <w:sz w:val="24"/>
          <w:szCs w:val="24"/>
        </w:rPr>
        <w:t>and</w:t>
      </w:r>
    </w:p>
    <w:p w:rsidRPr="00866EC1" w:rsidR="00A57102" w:rsidP="00A57102" w:rsidRDefault="00A57102" w14:paraId="7564402E" w14:textId="77777777">
      <w:pPr>
        <w:widowControl w:val="0"/>
        <w:numPr>
          <w:ilvl w:val="0"/>
          <w:numId w:val="19"/>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Coordination with construction loan administration, cost certification, and servicing.</w:t>
      </w:r>
    </w:p>
    <w:p w:rsidRPr="00866EC1" w:rsidR="00A57102" w:rsidP="00A57102" w:rsidRDefault="00A57102" w14:paraId="7564402F" w14:textId="3E997D7B">
      <w:pPr>
        <w:pStyle w:val="ListParagraph"/>
        <w:numPr>
          <w:ilvl w:val="0"/>
          <w:numId w:val="17"/>
        </w:numPr>
        <w:tabs>
          <w:tab w:val="left" w:pos="3240"/>
        </w:tabs>
        <w:overflowPunct w:val="0"/>
        <w:autoSpaceDE w:val="0"/>
        <w:autoSpaceDN w:val="0"/>
        <w:adjustRightInd w:val="0"/>
        <w:spacing w:before="240" w:after="120"/>
        <w:ind w:left="360"/>
        <w:jc w:val="both"/>
        <w:textAlignment w:val="baseline"/>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lastRenderedPageBreak/>
        <w:t>Pre-application. The lender's underwriter must determine that the submission meets the requirements of this Guide and represents an acceptable risk to the insurance fund.  The pre-application submission to the field office must include a Standardized Underwriter Narrative together with any additional information and all narrative attachments, which provide:</w:t>
      </w:r>
    </w:p>
    <w:p w:rsidRPr="00866EC1" w:rsidR="00A57102" w:rsidP="00A57102" w:rsidRDefault="00A57102" w14:paraId="75644030" w14:textId="77777777">
      <w:pPr>
        <w:pStyle w:val="ListParagraph"/>
        <w:tabs>
          <w:tab w:val="left" w:pos="3240"/>
        </w:tabs>
        <w:overflowPunct w:val="0"/>
        <w:autoSpaceDE w:val="0"/>
        <w:autoSpaceDN w:val="0"/>
        <w:adjustRightInd w:val="0"/>
        <w:spacing w:before="240" w:after="120"/>
        <w:ind w:left="1530"/>
        <w:jc w:val="both"/>
        <w:textAlignment w:val="baseline"/>
        <w:outlineLvl w:val="1"/>
        <w:rPr>
          <w:rFonts w:ascii="Times New Roman" w:hAnsi="Times New Roman" w:eastAsia="Times New Roman" w:cs="Times New Roman"/>
          <w:sz w:val="24"/>
          <w:szCs w:val="24"/>
        </w:rPr>
      </w:pPr>
    </w:p>
    <w:p w:rsidRPr="00866EC1" w:rsidR="00A57102" w:rsidP="00A57102" w:rsidRDefault="00A57102" w14:paraId="75644031" w14:textId="7777777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1.</w:t>
      </w:r>
      <w:r w:rsidRPr="00866EC1">
        <w:rPr>
          <w:rFonts w:ascii="Times New Roman" w:hAnsi="Times New Roman" w:eastAsia="Times New Roman" w:cs="Times New Roman"/>
          <w:sz w:val="24"/>
          <w:szCs w:val="24"/>
        </w:rPr>
        <w:tab/>
        <w:t>A summary of the relevant data and quantitative analysis.</w:t>
      </w:r>
    </w:p>
    <w:p w:rsidRPr="00866EC1" w:rsidR="00A57102" w:rsidP="00A57102" w:rsidRDefault="00A57102" w14:paraId="75644032" w14:textId="2FC60E4E">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2.  </w:t>
      </w:r>
      <w:r w:rsidR="00237044">
        <w:rPr>
          <w:rFonts w:ascii="Times New Roman" w:hAnsi="Times New Roman" w:eastAsia="Times New Roman" w:cs="Times New Roman"/>
          <w:sz w:val="24"/>
          <w:szCs w:val="24"/>
        </w:rPr>
        <w:t xml:space="preserve"> </w:t>
      </w:r>
      <w:r w:rsidRPr="00866EC1">
        <w:rPr>
          <w:rFonts w:ascii="Times New Roman" w:hAnsi="Times New Roman" w:eastAsia="Times New Roman" w:cs="Times New Roman"/>
          <w:sz w:val="24"/>
          <w:szCs w:val="24"/>
        </w:rPr>
        <w:t>Strengths, weaknesses, risks and mitigants.</w:t>
      </w:r>
    </w:p>
    <w:p w:rsidRPr="00866EC1" w:rsidR="00A57102" w:rsidP="00A57102" w:rsidRDefault="00A57102" w14:paraId="75644033" w14:textId="5C1F8FFD">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3.  </w:t>
      </w:r>
      <w:r w:rsidR="00237044">
        <w:rPr>
          <w:rFonts w:ascii="Times New Roman" w:hAnsi="Times New Roman" w:eastAsia="Times New Roman" w:cs="Times New Roman"/>
          <w:sz w:val="24"/>
          <w:szCs w:val="24"/>
        </w:rPr>
        <w:t xml:space="preserve"> </w:t>
      </w:r>
      <w:r w:rsidRPr="00866EC1">
        <w:rPr>
          <w:rFonts w:ascii="Times New Roman" w:hAnsi="Times New Roman" w:eastAsia="Times New Roman" w:cs="Times New Roman"/>
          <w:sz w:val="24"/>
          <w:szCs w:val="24"/>
        </w:rPr>
        <w:t>A summary of programmatic eligibility and technical factors considered.</w:t>
      </w:r>
    </w:p>
    <w:p w:rsidRPr="00866EC1" w:rsidR="00A57102" w:rsidP="00A57102" w:rsidRDefault="00A57102" w14:paraId="75644034"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4.  A description of the proposed project and the surrounding market conditions, including demand, extent of competition, vacancy rates, market absorption, details about features of the proposal (e.g., zoning, unusual site conditions, environmental) which may present potential problems, and any other information that would be useful to analyze the proposal.  </w:t>
      </w:r>
    </w:p>
    <w:p w:rsidRPr="00866EC1" w:rsidR="00A57102" w:rsidP="00A57102" w:rsidRDefault="00A57102" w14:paraId="75644035"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5. </w:t>
      </w:r>
      <w:r w:rsidRPr="00866EC1">
        <w:rPr>
          <w:rFonts w:ascii="Times New Roman" w:hAnsi="Times New Roman" w:eastAsia="Times New Roman" w:cs="Times New Roman"/>
          <w:sz w:val="24"/>
          <w:szCs w:val="24"/>
        </w:rPr>
        <w:tab/>
        <w:t>A description of the individual or entity in control of the borrower</w:t>
      </w:r>
      <w:r w:rsidRPr="00866EC1" w:rsidDel="000643C4">
        <w:rPr>
          <w:rFonts w:ascii="Times New Roman" w:hAnsi="Times New Roman" w:eastAsia="Times New Roman" w:cs="Times New Roman"/>
          <w:sz w:val="24"/>
          <w:szCs w:val="24"/>
        </w:rPr>
        <w:t xml:space="preserve"> </w:t>
      </w:r>
      <w:r w:rsidRPr="00866EC1">
        <w:rPr>
          <w:rFonts w:ascii="Times New Roman" w:hAnsi="Times New Roman" w:eastAsia="Times New Roman" w:cs="Times New Roman"/>
          <w:sz w:val="24"/>
          <w:szCs w:val="24"/>
        </w:rPr>
        <w:t>(plus general contractor and management agent, if known), their qualifications, the identification of principals and a preliminary mortgage credit and creditworthiness review.</w:t>
      </w:r>
    </w:p>
    <w:p w:rsidRPr="00866EC1" w:rsidR="00A57102" w:rsidP="00A57102" w:rsidRDefault="00A57102" w14:paraId="75644036" w14:textId="0CBEB6D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6.</w:t>
      </w:r>
      <w:r w:rsidRPr="00866EC1">
        <w:rPr>
          <w:rFonts w:ascii="Times New Roman" w:hAnsi="Times New Roman" w:eastAsia="Times New Roman" w:cs="Times New Roman"/>
          <w:sz w:val="24"/>
          <w:szCs w:val="24"/>
        </w:rPr>
        <w:tab/>
        <w:t>Explanations for any differences between the underwriting conclusions and the third</w:t>
      </w:r>
      <w:r w:rsidR="00446AF7">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party due diligence.</w:t>
      </w:r>
    </w:p>
    <w:p w:rsidRPr="00866EC1" w:rsidR="00A57102" w:rsidP="00A57102" w:rsidRDefault="00A57102" w14:paraId="75644037" w14:textId="0B79114D">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7. A list of proposed in-house and third</w:t>
      </w:r>
      <w:r w:rsidR="00DA2E87">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party reviewers of the application and their qualifications.</w:t>
      </w:r>
    </w:p>
    <w:p w:rsidRPr="00866EC1" w:rsidR="00A57102" w:rsidP="00A57102" w:rsidRDefault="00A57102" w14:paraId="75644038" w14:textId="77777777">
      <w:pPr>
        <w:overflowPunct w:val="0"/>
        <w:autoSpaceDE w:val="0"/>
        <w:autoSpaceDN w:val="0"/>
        <w:adjustRightInd w:val="0"/>
        <w:spacing w:before="80" w:after="80"/>
        <w:jc w:val="both"/>
        <w:textAlignment w:val="baseline"/>
        <w:outlineLvl w:val="2"/>
        <w:rPr>
          <w:rFonts w:ascii="Times New Roman" w:hAnsi="Times New Roman" w:eastAsia="Times New Roman" w:cs="Times New Roman"/>
          <w:sz w:val="24"/>
          <w:szCs w:val="24"/>
        </w:rPr>
      </w:pPr>
    </w:p>
    <w:p w:rsidRPr="00866EC1" w:rsidR="00A57102" w:rsidP="00A57102" w:rsidRDefault="00A57102" w14:paraId="75644039" w14:textId="77777777">
      <w:p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Further details on the required content of the Standardized Underwriter’s Narrative and the materials to be included in the pre-application can be found in this Guide and appendices.</w:t>
      </w:r>
    </w:p>
    <w:p w:rsidRPr="00866EC1" w:rsidR="00A57102" w:rsidP="00A57102" w:rsidRDefault="00A57102" w14:paraId="7564403A" w14:textId="77777777">
      <w:pPr>
        <w:overflowPunct w:val="0"/>
        <w:autoSpaceDE w:val="0"/>
        <w:autoSpaceDN w:val="0"/>
        <w:adjustRightInd w:val="0"/>
        <w:spacing w:before="80" w:after="80"/>
        <w:jc w:val="both"/>
        <w:textAlignment w:val="baseline"/>
        <w:outlineLvl w:val="2"/>
        <w:rPr>
          <w:rFonts w:ascii="Times New Roman" w:hAnsi="Times New Roman" w:eastAsia="Times New Roman" w:cs="Times New Roman"/>
          <w:sz w:val="24"/>
          <w:szCs w:val="24"/>
        </w:rPr>
      </w:pPr>
    </w:p>
    <w:p w:rsidRPr="00866EC1" w:rsidR="00A57102" w:rsidP="00A57102" w:rsidRDefault="00A57102" w14:paraId="7564403B" w14:textId="58DE2B4F">
      <w:pPr>
        <w:pStyle w:val="ListParagraph"/>
        <w:widowControl w:val="0"/>
        <w:numPr>
          <w:ilvl w:val="0"/>
          <w:numId w:val="17"/>
        </w:numPr>
        <w:overflowPunct w:val="0"/>
        <w:autoSpaceDE w:val="0"/>
        <w:autoSpaceDN w:val="0"/>
        <w:adjustRightInd w:val="0"/>
        <w:spacing w:before="120" w:after="120"/>
        <w:ind w:left="360"/>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Firm Commitment Application:  The lender’s </w:t>
      </w:r>
      <w:r w:rsidR="00436AA7">
        <w:rPr>
          <w:rFonts w:ascii="Times New Roman" w:hAnsi="Times New Roman" w:eastAsia="Times New Roman" w:cs="Times New Roman"/>
          <w:sz w:val="24"/>
          <w:szCs w:val="24"/>
        </w:rPr>
        <w:t>MAP U</w:t>
      </w:r>
      <w:r w:rsidRPr="00866EC1">
        <w:rPr>
          <w:rFonts w:ascii="Times New Roman" w:hAnsi="Times New Roman" w:eastAsia="Times New Roman" w:cs="Times New Roman"/>
          <w:sz w:val="24"/>
          <w:szCs w:val="24"/>
        </w:rPr>
        <w:t>nderwriter must review the in-house and third</w:t>
      </w:r>
      <w:r w:rsidR="00436AA7">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 xml:space="preserve">party reports to ensure the processing of the loan is in accordance with the requirements of </w:t>
      </w:r>
      <w:r w:rsidR="00E176A3">
        <w:rPr>
          <w:rFonts w:ascii="Times New Roman" w:hAnsi="Times New Roman" w:eastAsia="Times New Roman" w:cs="Times New Roman"/>
          <w:sz w:val="24"/>
          <w:szCs w:val="24"/>
        </w:rPr>
        <w:t>HUD program and processing requirements</w:t>
      </w:r>
      <w:r w:rsidRPr="00866EC1">
        <w:rPr>
          <w:rFonts w:ascii="Times New Roman" w:hAnsi="Times New Roman" w:eastAsia="Times New Roman" w:cs="Times New Roman"/>
          <w:sz w:val="24"/>
          <w:szCs w:val="24"/>
        </w:rPr>
        <w:t xml:space="preserve"> and determine that the loan recommendation represents an acceptable risk and is financially sound. The </w:t>
      </w:r>
      <w:r w:rsidR="00AF0572">
        <w:rPr>
          <w:rFonts w:ascii="Times New Roman" w:hAnsi="Times New Roman" w:eastAsia="Times New Roman" w:cs="Times New Roman"/>
          <w:sz w:val="24"/>
          <w:szCs w:val="24"/>
        </w:rPr>
        <w:t>MAP U</w:t>
      </w:r>
      <w:r w:rsidRPr="00866EC1">
        <w:rPr>
          <w:rFonts w:ascii="Times New Roman" w:hAnsi="Times New Roman" w:eastAsia="Times New Roman" w:cs="Times New Roman"/>
          <w:sz w:val="24"/>
          <w:szCs w:val="24"/>
        </w:rPr>
        <w:t xml:space="preserve">nderwriter must document any changes made to the technical reports and must submit an updated, </w:t>
      </w:r>
      <w:r w:rsidRPr="00866EC1">
        <w:rPr>
          <w:rFonts w:ascii="Times New Roman" w:hAnsi="Times New Roman" w:eastAsia="Times New Roman" w:cs="Times New Roman"/>
          <w:sz w:val="24"/>
          <w:szCs w:val="24"/>
          <w:shd w:val="clear" w:color="auto" w:fill="FFFFFF"/>
        </w:rPr>
        <w:t>signed</w:t>
      </w:r>
      <w:r w:rsidRPr="00866EC1">
        <w:rPr>
          <w:rFonts w:ascii="Times New Roman" w:hAnsi="Times New Roman" w:eastAsia="Times New Roman" w:cs="Times New Roman"/>
          <w:sz w:val="24"/>
          <w:szCs w:val="24"/>
        </w:rPr>
        <w:t xml:space="preserve"> Standardized Underwriter’s Narrative describing all relevant aspects of the mortgage transaction including a full discussion of the following:</w:t>
      </w:r>
    </w:p>
    <w:p w:rsidRPr="00866EC1" w:rsidR="00A57102" w:rsidP="00A57102" w:rsidRDefault="00A57102" w14:paraId="7564403C" w14:textId="77777777">
      <w:pPr>
        <w:pStyle w:val="ListParagraph"/>
        <w:widowControl w:val="0"/>
        <w:overflowPunct w:val="0"/>
        <w:autoSpaceDE w:val="0"/>
        <w:autoSpaceDN w:val="0"/>
        <w:adjustRightInd w:val="0"/>
        <w:spacing w:before="120" w:after="120"/>
        <w:ind w:left="1530"/>
        <w:jc w:val="both"/>
        <w:textAlignment w:val="baseline"/>
        <w:rPr>
          <w:rFonts w:ascii="Times New Roman" w:hAnsi="Times New Roman" w:eastAsia="Times New Roman" w:cs="Times New Roman"/>
          <w:sz w:val="24"/>
          <w:szCs w:val="24"/>
        </w:rPr>
      </w:pPr>
    </w:p>
    <w:p w:rsidRPr="00866EC1" w:rsidR="00A57102" w:rsidP="00A57102" w:rsidRDefault="00A57102" w14:paraId="7564403D" w14:textId="5E3057B4">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1.</w:t>
      </w:r>
      <w:r w:rsidRPr="00866EC1">
        <w:rPr>
          <w:rFonts w:ascii="Times New Roman" w:hAnsi="Times New Roman" w:eastAsia="Times New Roman" w:cs="Times New Roman"/>
          <w:sz w:val="24"/>
          <w:szCs w:val="24"/>
        </w:rPr>
        <w:tab/>
        <w:t>Characteristics of the proposed mortgage loan that make it financially sound or an acceptable risk, with the reasons the lender recommends the loan.</w:t>
      </w:r>
    </w:p>
    <w:p w:rsidRPr="00866EC1" w:rsidR="00A57102" w:rsidP="00A57102" w:rsidRDefault="00A57102" w14:paraId="7564403E"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2.</w:t>
      </w:r>
      <w:r w:rsidRPr="00866EC1">
        <w:rPr>
          <w:rFonts w:ascii="Times New Roman" w:hAnsi="Times New Roman" w:eastAsia="Times New Roman" w:cs="Times New Roman"/>
          <w:sz w:val="24"/>
          <w:szCs w:val="24"/>
        </w:rPr>
        <w:tab/>
        <w:t xml:space="preserve">All significant risk factors and risk mitigants. </w:t>
      </w:r>
    </w:p>
    <w:p w:rsidRPr="00866EC1" w:rsidR="00A57102" w:rsidP="00A57102" w:rsidRDefault="00A57102" w14:paraId="7564403F"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3.</w:t>
      </w:r>
      <w:r w:rsidRPr="00866EC1">
        <w:rPr>
          <w:rFonts w:ascii="Times New Roman" w:hAnsi="Times New Roman" w:eastAsia="Times New Roman" w:cs="Times New Roman"/>
          <w:sz w:val="24"/>
          <w:szCs w:val="24"/>
        </w:rPr>
        <w:tab/>
        <w:t>Changes in the project from the pre-application stage including changes in sponsorship, proposed development team and lender reviewers.</w:t>
      </w:r>
    </w:p>
    <w:p w:rsidRPr="00866EC1" w:rsidR="00A57102" w:rsidP="00A57102" w:rsidRDefault="00A57102" w14:paraId="75644040"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4.</w:t>
      </w:r>
      <w:r w:rsidRPr="00866EC1">
        <w:rPr>
          <w:rFonts w:ascii="Times New Roman" w:hAnsi="Times New Roman" w:eastAsia="Times New Roman" w:cs="Times New Roman"/>
          <w:sz w:val="24"/>
          <w:szCs w:val="24"/>
        </w:rPr>
        <w:tab/>
        <w:t xml:space="preserve">Evaluation of the mortgage credit and financial capacity of the principals of the borrower and its ability to repay the loan. </w:t>
      </w:r>
    </w:p>
    <w:p w:rsidRPr="00866EC1" w:rsidR="00A57102" w:rsidP="00A57102" w:rsidRDefault="00A57102" w14:paraId="75644041"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5.</w:t>
      </w:r>
      <w:r w:rsidRPr="00866EC1">
        <w:rPr>
          <w:rFonts w:ascii="Times New Roman" w:hAnsi="Times New Roman" w:eastAsia="Times New Roman" w:cs="Times New Roman"/>
          <w:sz w:val="24"/>
          <w:szCs w:val="24"/>
        </w:rPr>
        <w:tab/>
        <w:t>Evaluation of the financial and technical capacity of the general contractor to build/rehabilitate the project.</w:t>
      </w:r>
    </w:p>
    <w:p w:rsidRPr="00866EC1" w:rsidR="00A57102" w:rsidP="00A57102" w:rsidRDefault="00A57102" w14:paraId="75644042" w14:textId="726CF84E">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6.</w:t>
      </w:r>
      <w:r w:rsidRPr="00866EC1">
        <w:rPr>
          <w:rFonts w:ascii="Times New Roman" w:hAnsi="Times New Roman" w:eastAsia="Times New Roman" w:cs="Times New Roman"/>
          <w:sz w:val="24"/>
          <w:szCs w:val="24"/>
        </w:rPr>
        <w:tab/>
        <w:t xml:space="preserve">Property financial analysis </w:t>
      </w:r>
      <w:r w:rsidR="00473F76">
        <w:rPr>
          <w:rFonts w:ascii="Times New Roman" w:hAnsi="Times New Roman" w:eastAsia="Times New Roman" w:cs="Times New Roman"/>
          <w:sz w:val="24"/>
          <w:szCs w:val="24"/>
        </w:rPr>
        <w:t xml:space="preserve">including </w:t>
      </w:r>
      <w:r w:rsidRPr="00866EC1">
        <w:rPr>
          <w:rFonts w:ascii="Times New Roman" w:hAnsi="Times New Roman" w:eastAsia="Times New Roman" w:cs="Times New Roman"/>
          <w:sz w:val="24"/>
          <w:szCs w:val="24"/>
        </w:rPr>
        <w:t>both actual operating history and projected trends.</w:t>
      </w:r>
    </w:p>
    <w:p w:rsidRPr="00866EC1" w:rsidR="00A57102" w:rsidP="00A57102" w:rsidRDefault="00A57102" w14:paraId="75644043"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7.</w:t>
      </w:r>
      <w:r w:rsidRPr="00866EC1">
        <w:rPr>
          <w:rFonts w:ascii="Times New Roman" w:hAnsi="Times New Roman" w:eastAsia="Times New Roman" w:cs="Times New Roman"/>
          <w:sz w:val="24"/>
          <w:szCs w:val="24"/>
        </w:rPr>
        <w:tab/>
        <w:t xml:space="preserve">Property physical description. </w:t>
      </w:r>
    </w:p>
    <w:p w:rsidRPr="00866EC1" w:rsidR="00A57102" w:rsidP="00A57102" w:rsidRDefault="00A57102" w14:paraId="75644044" w14:textId="597EBF8C">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8.</w:t>
      </w:r>
      <w:r w:rsidRPr="00866EC1">
        <w:rPr>
          <w:rFonts w:ascii="Times New Roman" w:hAnsi="Times New Roman" w:eastAsia="Times New Roman" w:cs="Times New Roman"/>
          <w:sz w:val="24"/>
          <w:szCs w:val="24"/>
        </w:rPr>
        <w:tab/>
        <w:t xml:space="preserve">History of borrower’s involvement including </w:t>
      </w:r>
      <w:r w:rsidR="00473F76">
        <w:rPr>
          <w:rFonts w:ascii="Times New Roman" w:hAnsi="Times New Roman" w:eastAsia="Times New Roman" w:cs="Times New Roman"/>
          <w:sz w:val="24"/>
          <w:szCs w:val="24"/>
        </w:rPr>
        <w:t>the borrower’s</w:t>
      </w:r>
      <w:r w:rsidRPr="00866EC1" w:rsidR="00473F76">
        <w:rPr>
          <w:rFonts w:ascii="Times New Roman" w:hAnsi="Times New Roman" w:eastAsia="Times New Roman" w:cs="Times New Roman"/>
          <w:sz w:val="24"/>
          <w:szCs w:val="24"/>
        </w:rPr>
        <w:t xml:space="preserve"> </w:t>
      </w:r>
      <w:r w:rsidRPr="00866EC1">
        <w:rPr>
          <w:rFonts w:ascii="Times New Roman" w:hAnsi="Times New Roman" w:eastAsia="Times New Roman" w:cs="Times New Roman"/>
          <w:sz w:val="24"/>
          <w:szCs w:val="24"/>
        </w:rPr>
        <w:t xml:space="preserve">equity investment in the property, and if applicable, any previous engagements to obtain FHA financing for the property. </w:t>
      </w:r>
    </w:p>
    <w:p w:rsidRPr="00866EC1" w:rsidR="00A57102" w:rsidP="00A57102" w:rsidRDefault="00A57102" w14:paraId="75644045" w14:textId="7777777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9.   Analysis of market, rents, expenses and estimated rent-up and operating deficit.</w:t>
      </w:r>
    </w:p>
    <w:p w:rsidR="00A57102" w:rsidP="00A57102" w:rsidRDefault="00A57102" w14:paraId="75644046"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10.</w:t>
      </w:r>
      <w:r w:rsidRPr="00866EC1">
        <w:rPr>
          <w:rFonts w:ascii="Times New Roman" w:hAnsi="Times New Roman" w:eastAsia="Times New Roman" w:cs="Times New Roman"/>
          <w:sz w:val="24"/>
          <w:szCs w:val="24"/>
        </w:rPr>
        <w:tab/>
        <w:t xml:space="preserve">Adequacy of the proposed Reserve for Replacement. </w:t>
      </w:r>
    </w:p>
    <w:p w:rsidRPr="00866EC1" w:rsidR="002C5F42" w:rsidP="00A57102" w:rsidRDefault="002C5F42" w14:paraId="2A3F45B1" w14:textId="74B6D42F">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  </w:t>
      </w:r>
      <w:r w:rsidR="00BA7C29">
        <w:rPr>
          <w:rFonts w:ascii="Times New Roman" w:hAnsi="Times New Roman" w:eastAsia="Times New Roman" w:cs="Times New Roman"/>
          <w:sz w:val="24"/>
          <w:szCs w:val="24"/>
        </w:rPr>
        <w:t>Summary of e</w:t>
      </w:r>
      <w:r w:rsidR="008A3D87">
        <w:rPr>
          <w:rFonts w:ascii="Times New Roman" w:hAnsi="Times New Roman" w:eastAsia="Times New Roman" w:cs="Times New Roman"/>
          <w:sz w:val="24"/>
          <w:szCs w:val="24"/>
        </w:rPr>
        <w:t>nvironmental conditions</w:t>
      </w:r>
      <w:r w:rsidR="00BA7C29">
        <w:rPr>
          <w:rFonts w:ascii="Times New Roman" w:hAnsi="Times New Roman" w:eastAsia="Times New Roman" w:cs="Times New Roman"/>
          <w:sz w:val="24"/>
          <w:szCs w:val="24"/>
        </w:rPr>
        <w:t xml:space="preserve">, including any </w:t>
      </w:r>
      <w:r w:rsidR="00284C3E">
        <w:rPr>
          <w:rFonts w:ascii="Times New Roman" w:hAnsi="Times New Roman" w:eastAsia="Times New Roman" w:cs="Times New Roman"/>
          <w:sz w:val="24"/>
          <w:szCs w:val="24"/>
        </w:rPr>
        <w:t xml:space="preserve">issues </w:t>
      </w:r>
      <w:r w:rsidR="00C416E6">
        <w:rPr>
          <w:rFonts w:ascii="Times New Roman" w:hAnsi="Times New Roman" w:eastAsia="Times New Roman" w:cs="Times New Roman"/>
          <w:sz w:val="24"/>
          <w:szCs w:val="24"/>
        </w:rPr>
        <w:t xml:space="preserve">or potential issues </w:t>
      </w:r>
      <w:r w:rsidR="00284C3E">
        <w:rPr>
          <w:rFonts w:ascii="Times New Roman" w:hAnsi="Times New Roman" w:eastAsia="Times New Roman" w:cs="Times New Roman"/>
          <w:sz w:val="24"/>
          <w:szCs w:val="24"/>
        </w:rPr>
        <w:t xml:space="preserve">and their </w:t>
      </w:r>
      <w:r w:rsidR="00C50D58">
        <w:rPr>
          <w:rFonts w:ascii="Times New Roman" w:hAnsi="Times New Roman" w:eastAsia="Times New Roman" w:cs="Times New Roman"/>
          <w:sz w:val="24"/>
          <w:szCs w:val="24"/>
        </w:rPr>
        <w:t>mitigants.</w:t>
      </w:r>
    </w:p>
    <w:p w:rsidRPr="00866EC1" w:rsidR="00A57102" w:rsidP="00A57102" w:rsidRDefault="00A57102" w14:paraId="75644047" w14:textId="1A5AA119">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1</w:t>
      </w:r>
      <w:r w:rsidR="00BB0F4E">
        <w:rPr>
          <w:rFonts w:ascii="Times New Roman" w:hAnsi="Times New Roman" w:eastAsia="Times New Roman" w:cs="Times New Roman"/>
          <w:sz w:val="24"/>
          <w:szCs w:val="24"/>
        </w:rPr>
        <w:t>2</w:t>
      </w:r>
      <w:r w:rsidRPr="00866EC1">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ab/>
        <w:t>Documentation of any changes the underwriter made to the</w:t>
      </w:r>
      <w:r w:rsidR="009B312B">
        <w:rPr>
          <w:rFonts w:ascii="Times New Roman" w:hAnsi="Times New Roman" w:eastAsia="Times New Roman" w:cs="Times New Roman"/>
          <w:sz w:val="24"/>
          <w:szCs w:val="24"/>
        </w:rPr>
        <w:t xml:space="preserve"> conclusions of the</w:t>
      </w:r>
      <w:r w:rsidRPr="00866EC1">
        <w:rPr>
          <w:rFonts w:ascii="Times New Roman" w:hAnsi="Times New Roman" w:eastAsia="Times New Roman" w:cs="Times New Roman"/>
          <w:sz w:val="24"/>
          <w:szCs w:val="24"/>
        </w:rPr>
        <w:t xml:space="preserve"> appraisal/technical reports with justification.</w:t>
      </w:r>
    </w:p>
    <w:p w:rsidRPr="00866EC1" w:rsidR="00A57102" w:rsidP="00A57102" w:rsidRDefault="00A57102" w14:paraId="75644048" w14:textId="37836D8F">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1</w:t>
      </w:r>
      <w:r w:rsidR="00BB0F4E">
        <w:rPr>
          <w:rFonts w:ascii="Times New Roman" w:hAnsi="Times New Roman" w:eastAsia="Times New Roman" w:cs="Times New Roman"/>
          <w:sz w:val="24"/>
          <w:szCs w:val="24"/>
        </w:rPr>
        <w:t>3</w:t>
      </w:r>
      <w:r w:rsidRPr="00866EC1">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ab/>
        <w:t xml:space="preserve">Requests for any waivers of </w:t>
      </w:r>
      <w:r w:rsidR="00675CFE">
        <w:rPr>
          <w:rFonts w:ascii="Times New Roman" w:hAnsi="Times New Roman" w:eastAsia="Times New Roman" w:cs="Times New Roman"/>
          <w:sz w:val="24"/>
          <w:szCs w:val="24"/>
        </w:rPr>
        <w:t>HUD program and processing</w:t>
      </w:r>
      <w:r w:rsidRPr="00866EC1" w:rsidR="00675CFE">
        <w:rPr>
          <w:rFonts w:ascii="Times New Roman" w:hAnsi="Times New Roman" w:eastAsia="Times New Roman" w:cs="Times New Roman"/>
          <w:sz w:val="24"/>
          <w:szCs w:val="24"/>
        </w:rPr>
        <w:t xml:space="preserve"> </w:t>
      </w:r>
      <w:r w:rsidRPr="00866EC1">
        <w:rPr>
          <w:rFonts w:ascii="Times New Roman" w:hAnsi="Times New Roman" w:eastAsia="Times New Roman" w:cs="Times New Roman"/>
          <w:sz w:val="24"/>
          <w:szCs w:val="24"/>
        </w:rPr>
        <w:t>requirements with supporting documentation and justification summary.</w:t>
      </w:r>
    </w:p>
    <w:p w:rsidR="00A11F33" w:rsidP="00A57102" w:rsidRDefault="00A57102" w14:paraId="2DEE0852" w14:textId="7E8A6EC6">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1</w:t>
      </w:r>
      <w:r w:rsidR="00BB0F4E">
        <w:rPr>
          <w:rFonts w:ascii="Times New Roman" w:hAnsi="Times New Roman" w:eastAsia="Times New Roman" w:cs="Times New Roman"/>
          <w:sz w:val="24"/>
          <w:szCs w:val="24"/>
        </w:rPr>
        <w:t>4</w:t>
      </w:r>
      <w:r w:rsidRPr="00866EC1">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ab/>
        <w:t>Certifications from the individual reviewers (see Section 11.2.H).</w:t>
      </w:r>
    </w:p>
    <w:p w:rsidRPr="00866EC1" w:rsidR="00A57102" w:rsidP="00A57102" w:rsidRDefault="003C6CDF" w14:paraId="75644049" w14:textId="7D653A9E">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9D618B">
        <w:rPr>
          <w:rFonts w:ascii="Times New Roman" w:hAnsi="Times New Roman" w:eastAsia="Times New Roman" w:cs="Times New Roman"/>
          <w:sz w:val="24"/>
          <w:szCs w:val="24"/>
        </w:rPr>
        <w:t>5</w:t>
      </w:r>
      <w:r>
        <w:rPr>
          <w:rFonts w:ascii="Times New Roman" w:hAnsi="Times New Roman" w:eastAsia="Times New Roman" w:cs="Times New Roman"/>
          <w:sz w:val="24"/>
          <w:szCs w:val="24"/>
        </w:rPr>
        <w:t>.</w:t>
      </w:r>
      <w:r w:rsidR="005C7000">
        <w:rPr>
          <w:rFonts w:ascii="Times New Roman" w:hAnsi="Times New Roman" w:eastAsia="Times New Roman" w:cs="Times New Roman"/>
          <w:sz w:val="24"/>
          <w:szCs w:val="24"/>
        </w:rPr>
        <w:t xml:space="preserve"> </w:t>
      </w:r>
      <w:r w:rsidR="00D0398F">
        <w:rPr>
          <w:rFonts w:ascii="Times New Roman" w:hAnsi="Times New Roman" w:eastAsia="Times New Roman" w:cs="Times New Roman"/>
          <w:sz w:val="24"/>
          <w:szCs w:val="24"/>
        </w:rPr>
        <w:t xml:space="preserve">Notify HUD of </w:t>
      </w:r>
      <w:r w:rsidR="00F27826">
        <w:rPr>
          <w:rFonts w:ascii="Times New Roman" w:hAnsi="Times New Roman" w:eastAsia="Times New Roman" w:cs="Times New Roman"/>
          <w:sz w:val="24"/>
          <w:szCs w:val="24"/>
        </w:rPr>
        <w:t xml:space="preserve">the rate lock and </w:t>
      </w:r>
      <w:r w:rsidR="00D0398F">
        <w:rPr>
          <w:rFonts w:ascii="Times New Roman" w:hAnsi="Times New Roman" w:eastAsia="Times New Roman" w:cs="Times New Roman"/>
          <w:sz w:val="24"/>
          <w:szCs w:val="24"/>
        </w:rPr>
        <w:t>a</w:t>
      </w:r>
      <w:r w:rsidR="00350EAE">
        <w:rPr>
          <w:rFonts w:ascii="Times New Roman" w:hAnsi="Times New Roman" w:eastAsia="Times New Roman" w:cs="Times New Roman"/>
          <w:sz w:val="24"/>
          <w:szCs w:val="24"/>
        </w:rPr>
        <w:t xml:space="preserve">llow </w:t>
      </w:r>
      <w:r w:rsidR="00021400">
        <w:rPr>
          <w:rFonts w:ascii="Times New Roman" w:hAnsi="Times New Roman" w:eastAsia="Times New Roman" w:cs="Times New Roman"/>
          <w:sz w:val="24"/>
          <w:szCs w:val="24"/>
        </w:rPr>
        <w:t xml:space="preserve">sufficient </w:t>
      </w:r>
      <w:r w:rsidR="00350EAE">
        <w:rPr>
          <w:rFonts w:ascii="Times New Roman" w:hAnsi="Times New Roman" w:eastAsia="Times New Roman" w:cs="Times New Roman"/>
          <w:sz w:val="24"/>
          <w:szCs w:val="24"/>
        </w:rPr>
        <w:t xml:space="preserve">time </w:t>
      </w:r>
      <w:r w:rsidR="00021400">
        <w:rPr>
          <w:rFonts w:ascii="Times New Roman" w:hAnsi="Times New Roman" w:eastAsia="Times New Roman" w:cs="Times New Roman"/>
          <w:sz w:val="24"/>
          <w:szCs w:val="24"/>
        </w:rPr>
        <w:t xml:space="preserve">to process any required amendment to the </w:t>
      </w:r>
      <w:r w:rsidR="00E143E5">
        <w:rPr>
          <w:rFonts w:ascii="Times New Roman" w:hAnsi="Times New Roman" w:eastAsia="Times New Roman" w:cs="Times New Roman"/>
          <w:sz w:val="24"/>
          <w:szCs w:val="24"/>
        </w:rPr>
        <w:t>F</w:t>
      </w:r>
      <w:r w:rsidR="00A11402">
        <w:rPr>
          <w:rFonts w:ascii="Times New Roman" w:hAnsi="Times New Roman" w:eastAsia="Times New Roman" w:cs="Times New Roman"/>
          <w:sz w:val="24"/>
          <w:szCs w:val="24"/>
        </w:rPr>
        <w:t xml:space="preserve">irm </w:t>
      </w:r>
      <w:r w:rsidR="00E143E5">
        <w:rPr>
          <w:rFonts w:ascii="Times New Roman" w:hAnsi="Times New Roman" w:eastAsia="Times New Roman" w:cs="Times New Roman"/>
          <w:sz w:val="24"/>
          <w:szCs w:val="24"/>
        </w:rPr>
        <w:t>C</w:t>
      </w:r>
      <w:r w:rsidR="00A11402">
        <w:rPr>
          <w:rFonts w:ascii="Times New Roman" w:hAnsi="Times New Roman" w:eastAsia="Times New Roman" w:cs="Times New Roman"/>
          <w:sz w:val="24"/>
          <w:szCs w:val="24"/>
        </w:rPr>
        <w:t>ommitment</w:t>
      </w:r>
      <w:r w:rsidR="00021400">
        <w:rPr>
          <w:rFonts w:ascii="Times New Roman" w:hAnsi="Times New Roman" w:eastAsia="Times New Roman" w:cs="Times New Roman"/>
          <w:sz w:val="24"/>
          <w:szCs w:val="24"/>
        </w:rPr>
        <w:t xml:space="preserve"> prior to  endorsement</w:t>
      </w:r>
      <w:r w:rsidR="00A11402">
        <w:rPr>
          <w:rFonts w:ascii="Times New Roman" w:hAnsi="Times New Roman" w:eastAsia="Times New Roman" w:cs="Times New Roman"/>
          <w:sz w:val="24"/>
          <w:szCs w:val="24"/>
        </w:rPr>
        <w:t>.</w:t>
      </w:r>
      <w:r w:rsidRPr="00866EC1" w:rsidR="00A57102">
        <w:rPr>
          <w:rFonts w:ascii="Times New Roman" w:hAnsi="Times New Roman" w:eastAsia="Times New Roman" w:cs="Times New Roman"/>
          <w:sz w:val="24"/>
          <w:szCs w:val="24"/>
        </w:rPr>
        <w:t xml:space="preserve">  </w:t>
      </w:r>
      <w:r w:rsidR="008042D9">
        <w:rPr>
          <w:rFonts w:ascii="Times New Roman" w:hAnsi="Times New Roman" w:eastAsia="Times New Roman" w:cs="Times New Roman"/>
          <w:sz w:val="24"/>
          <w:szCs w:val="24"/>
        </w:rPr>
        <w:t xml:space="preserve">If </w:t>
      </w:r>
      <w:r w:rsidR="00DC7554">
        <w:rPr>
          <w:rFonts w:ascii="Times New Roman" w:hAnsi="Times New Roman" w:eastAsia="Times New Roman" w:cs="Times New Roman"/>
          <w:sz w:val="24"/>
          <w:szCs w:val="24"/>
        </w:rPr>
        <w:t xml:space="preserve">the borrower and the lender </w:t>
      </w:r>
      <w:r w:rsidR="00C13655">
        <w:rPr>
          <w:rFonts w:ascii="Times New Roman" w:hAnsi="Times New Roman" w:eastAsia="Times New Roman" w:cs="Times New Roman"/>
          <w:sz w:val="24"/>
          <w:szCs w:val="24"/>
        </w:rPr>
        <w:t xml:space="preserve">choose to rate lock </w:t>
      </w:r>
      <w:r w:rsidR="00021400">
        <w:rPr>
          <w:rFonts w:ascii="Times New Roman" w:hAnsi="Times New Roman" w:eastAsia="Times New Roman" w:cs="Times New Roman"/>
          <w:sz w:val="24"/>
          <w:szCs w:val="24"/>
        </w:rPr>
        <w:t xml:space="preserve">prior to the submission </w:t>
      </w:r>
      <w:r w:rsidR="005260E9">
        <w:rPr>
          <w:rFonts w:ascii="Times New Roman" w:hAnsi="Times New Roman" w:eastAsia="Times New Roman" w:cs="Times New Roman"/>
          <w:sz w:val="24"/>
          <w:szCs w:val="24"/>
        </w:rPr>
        <w:t>of</w:t>
      </w:r>
      <w:r w:rsidR="00266B0C">
        <w:rPr>
          <w:rFonts w:ascii="Times New Roman" w:hAnsi="Times New Roman" w:eastAsia="Times New Roman" w:cs="Times New Roman"/>
          <w:sz w:val="24"/>
          <w:szCs w:val="24"/>
        </w:rPr>
        <w:t xml:space="preserve"> </w:t>
      </w:r>
      <w:r w:rsidR="00021400">
        <w:rPr>
          <w:rFonts w:ascii="Times New Roman" w:hAnsi="Times New Roman" w:eastAsia="Times New Roman" w:cs="Times New Roman"/>
          <w:sz w:val="24"/>
          <w:szCs w:val="24"/>
        </w:rPr>
        <w:t>draft closing documents to HUD</w:t>
      </w:r>
      <w:r w:rsidR="009E7B91">
        <w:rPr>
          <w:rFonts w:ascii="Times New Roman" w:hAnsi="Times New Roman" w:eastAsia="Times New Roman" w:cs="Times New Roman"/>
          <w:sz w:val="24"/>
          <w:szCs w:val="24"/>
        </w:rPr>
        <w:t>,</w:t>
      </w:r>
      <w:r w:rsidR="00021400">
        <w:rPr>
          <w:rFonts w:ascii="Times New Roman" w:hAnsi="Times New Roman" w:eastAsia="Times New Roman" w:cs="Times New Roman"/>
          <w:sz w:val="24"/>
          <w:szCs w:val="24"/>
        </w:rPr>
        <w:t xml:space="preserve"> they</w:t>
      </w:r>
      <w:r w:rsidR="009E7B91">
        <w:rPr>
          <w:rFonts w:ascii="Times New Roman" w:hAnsi="Times New Roman" w:eastAsia="Times New Roman" w:cs="Times New Roman"/>
          <w:sz w:val="24"/>
          <w:szCs w:val="24"/>
        </w:rPr>
        <w:t xml:space="preserve"> do so at their own risk.</w:t>
      </w:r>
      <w:r w:rsidR="000B4992">
        <w:rPr>
          <w:rFonts w:ascii="Times New Roman" w:hAnsi="Times New Roman" w:eastAsia="Times New Roman" w:cs="Times New Roman"/>
          <w:sz w:val="24"/>
          <w:szCs w:val="24"/>
        </w:rPr>
        <w:t xml:space="preserve">  As always, lenders and borrowers assume the risk of having to pay extension fees.</w:t>
      </w:r>
    </w:p>
    <w:p w:rsidRPr="00866EC1" w:rsidR="00A57102" w:rsidP="00A57102" w:rsidRDefault="00A57102" w14:paraId="7564404A" w14:textId="77777777">
      <w:pPr>
        <w:overflowPunct w:val="0"/>
        <w:autoSpaceDE w:val="0"/>
        <w:autoSpaceDN w:val="0"/>
        <w:adjustRightInd w:val="0"/>
        <w:spacing w:before="80" w:after="80"/>
        <w:jc w:val="both"/>
        <w:textAlignment w:val="baseline"/>
        <w:outlineLvl w:val="2"/>
        <w:rPr>
          <w:rFonts w:ascii="Times New Roman" w:hAnsi="Times New Roman" w:eastAsia="Times New Roman" w:cs="Times New Roman"/>
          <w:sz w:val="24"/>
          <w:szCs w:val="24"/>
        </w:rPr>
      </w:pPr>
    </w:p>
    <w:p w:rsidRPr="00866EC1" w:rsidR="00A57102" w:rsidP="00A57102" w:rsidRDefault="00A57102" w14:paraId="7564404B" w14:textId="77777777">
      <w:p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Further details on the required content of the Standardized Underwriter’s Narrative and the materials to be included in the Firm Commitment application can be found in this Guide and appendices.</w:t>
      </w:r>
    </w:p>
    <w:p w:rsidRPr="00866EC1" w:rsidR="00A57102" w:rsidP="00A57102" w:rsidRDefault="00A57102" w14:paraId="7564404C" w14:textId="77777777">
      <w:pPr>
        <w:overflowPunct w:val="0"/>
        <w:autoSpaceDE w:val="0"/>
        <w:autoSpaceDN w:val="0"/>
        <w:adjustRightInd w:val="0"/>
        <w:spacing w:before="80" w:after="80"/>
        <w:jc w:val="both"/>
        <w:textAlignment w:val="baseline"/>
        <w:outlineLvl w:val="2"/>
        <w:rPr>
          <w:rFonts w:ascii="Times New Roman" w:hAnsi="Times New Roman" w:eastAsia="Times New Roman" w:cs="Times New Roman"/>
          <w:sz w:val="24"/>
          <w:szCs w:val="24"/>
        </w:rPr>
      </w:pPr>
    </w:p>
    <w:p w:rsidRPr="00866EC1" w:rsidR="00A57102" w:rsidP="00A57102" w:rsidRDefault="00A57102" w14:paraId="7564404D" w14:textId="54652037">
      <w:pPr>
        <w:pStyle w:val="ListParagraph"/>
        <w:numPr>
          <w:ilvl w:val="0"/>
          <w:numId w:val="17"/>
        </w:num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The MAP Underwriter should perform the site visit for new construction properties and for existing properties an on-site lease audit and physical inspection representing a sample of each unit type.  Alternatively, an analyst, underwriter trainee, or different MAP approved underwriter </w:t>
      </w:r>
      <w:r w:rsidR="008C3346">
        <w:rPr>
          <w:rFonts w:ascii="Times New Roman" w:hAnsi="Times New Roman" w:eastAsia="Times New Roman" w:cs="Times New Roman"/>
          <w:sz w:val="24"/>
          <w:szCs w:val="24"/>
        </w:rPr>
        <w:t>of the lender</w:t>
      </w:r>
      <w:r w:rsidR="00E038BC">
        <w:rPr>
          <w:rFonts w:ascii="Times New Roman" w:hAnsi="Times New Roman" w:eastAsia="Times New Roman" w:cs="Times New Roman"/>
          <w:sz w:val="24"/>
          <w:szCs w:val="24"/>
        </w:rPr>
        <w:t xml:space="preserve"> </w:t>
      </w:r>
      <w:r w:rsidRPr="00866EC1">
        <w:rPr>
          <w:rFonts w:ascii="Times New Roman" w:hAnsi="Times New Roman" w:eastAsia="Times New Roman" w:cs="Times New Roman"/>
          <w:sz w:val="24"/>
          <w:szCs w:val="24"/>
        </w:rPr>
        <w:t xml:space="preserve">acting under the direction of the </w:t>
      </w:r>
      <w:r w:rsidR="00710A46">
        <w:rPr>
          <w:rFonts w:ascii="Times New Roman" w:hAnsi="Times New Roman" w:eastAsia="Times New Roman" w:cs="Times New Roman"/>
          <w:sz w:val="24"/>
          <w:szCs w:val="24"/>
        </w:rPr>
        <w:t>MAP U</w:t>
      </w:r>
      <w:r w:rsidRPr="00866EC1">
        <w:rPr>
          <w:rFonts w:ascii="Times New Roman" w:hAnsi="Times New Roman" w:eastAsia="Times New Roman" w:cs="Times New Roman"/>
          <w:sz w:val="24"/>
          <w:szCs w:val="24"/>
        </w:rPr>
        <w:t xml:space="preserve">nderwriter (i.e., one that does not report to the originator) may perform the site visit and physical inspection of the units. </w:t>
      </w:r>
      <w:r w:rsidRPr="00866EC1">
        <w:rPr>
          <w:rFonts w:ascii="Times New Roman" w:hAnsi="Times New Roman" w:eastAsia="Times New Roman" w:cs="Times New Roman"/>
          <w:color w:val="000000"/>
          <w:sz w:val="24"/>
          <w:szCs w:val="24"/>
        </w:rPr>
        <w:t xml:space="preserve">The underwriter or trainee who conducts the inspection must be identified in the narrative.  Typically, the leases that are audited will be the same as the units that are inspected, as follows:  </w:t>
      </w:r>
      <w:r w:rsidRPr="00866EC1">
        <w:rPr>
          <w:rFonts w:ascii="Times New Roman" w:hAnsi="Times New Roman" w:eastAsia="Times New Roman" w:cs="Times New Roman"/>
          <w:sz w:val="24"/>
          <w:szCs w:val="24"/>
        </w:rPr>
        <w:t xml:space="preserve"> </w:t>
      </w:r>
    </w:p>
    <w:p w:rsidRPr="00866EC1" w:rsidR="00A57102" w:rsidP="00A57102" w:rsidRDefault="00A57102" w14:paraId="7564404E" w14:textId="77777777">
      <w:pPr>
        <w:widowControl w:val="0"/>
        <w:numPr>
          <w:ilvl w:val="0"/>
          <w:numId w:val="5"/>
        </w:numPr>
        <w:overflowPunct w:val="0"/>
        <w:autoSpaceDE w:val="0"/>
        <w:autoSpaceDN w:val="0"/>
        <w:adjustRightInd w:val="0"/>
        <w:spacing w:before="120" w:after="120" w:line="276" w:lineRule="auto"/>
        <w:ind w:left="720"/>
        <w:jc w:val="both"/>
        <w:textAlignment w:val="baseline"/>
        <w:rPr>
          <w:rFonts w:ascii="Times New Roman" w:hAnsi="Times New Roman" w:eastAsia="Times New Roman" w:cs="Times New Roman"/>
          <w:color w:val="000000"/>
          <w:sz w:val="24"/>
          <w:szCs w:val="24"/>
        </w:rPr>
      </w:pPr>
      <w:r w:rsidRPr="00866EC1">
        <w:rPr>
          <w:rFonts w:ascii="Times New Roman" w:hAnsi="Times New Roman" w:eastAsia="Times New Roman" w:cs="Times New Roman"/>
          <w:color w:val="000000"/>
          <w:sz w:val="24"/>
          <w:szCs w:val="24"/>
        </w:rPr>
        <w:t>For projects 50 units or less:  Inspect at least 1 of each unit type, to include a representative sample of 10% of the units.</w:t>
      </w:r>
    </w:p>
    <w:p w:rsidRPr="00866EC1" w:rsidR="00A57102" w:rsidP="00A57102" w:rsidRDefault="00A57102" w14:paraId="7564404F" w14:textId="77777777">
      <w:pPr>
        <w:widowControl w:val="0"/>
        <w:numPr>
          <w:ilvl w:val="0"/>
          <w:numId w:val="5"/>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color w:val="000000"/>
          <w:sz w:val="24"/>
          <w:szCs w:val="24"/>
        </w:rPr>
      </w:pPr>
      <w:r w:rsidRPr="00866EC1">
        <w:rPr>
          <w:rFonts w:ascii="Times New Roman" w:hAnsi="Times New Roman" w:eastAsia="Times New Roman" w:cs="Times New Roman"/>
          <w:color w:val="000000"/>
          <w:sz w:val="24"/>
          <w:szCs w:val="24"/>
        </w:rPr>
        <w:t>For projects between 51 and 250 units:  Inspect at least 1 of each unit type, to include a representative sample of 10 units plus 5% of the total number of units greater than 50.</w:t>
      </w:r>
    </w:p>
    <w:p w:rsidRPr="00866EC1" w:rsidR="00A57102" w:rsidP="00A57102" w:rsidRDefault="00A57102" w14:paraId="75644050" w14:textId="77777777">
      <w:pPr>
        <w:widowControl w:val="0"/>
        <w:numPr>
          <w:ilvl w:val="0"/>
          <w:numId w:val="5"/>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color w:val="000000"/>
          <w:sz w:val="24"/>
          <w:szCs w:val="24"/>
        </w:rPr>
      </w:pPr>
      <w:r w:rsidRPr="00866EC1">
        <w:rPr>
          <w:rFonts w:ascii="Times New Roman" w:hAnsi="Times New Roman" w:eastAsia="Times New Roman" w:cs="Times New Roman"/>
          <w:color w:val="000000"/>
          <w:sz w:val="24"/>
          <w:szCs w:val="24"/>
        </w:rPr>
        <w:t>For projects greater than 250 units:  Inspect at least 1 of each unit type, to include a representative sample of 15 units, plus 2% of the total number of units greater than 250, for a maximum of 50 units.</w:t>
      </w:r>
    </w:p>
    <w:p w:rsidRPr="00866EC1" w:rsidR="00A57102" w:rsidP="00A57102" w:rsidRDefault="00A57102" w14:paraId="75644051" w14:textId="1B7AE7E4">
      <w:pPr>
        <w:widowControl w:val="0"/>
        <w:numPr>
          <w:ilvl w:val="0"/>
          <w:numId w:val="5"/>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color w:val="000000"/>
          <w:sz w:val="24"/>
          <w:szCs w:val="24"/>
        </w:rPr>
      </w:pPr>
      <w:r w:rsidRPr="00866EC1">
        <w:rPr>
          <w:rFonts w:ascii="Times New Roman" w:hAnsi="Times New Roman" w:eastAsia="Times New Roman" w:cs="Times New Roman"/>
          <w:color w:val="000000"/>
          <w:sz w:val="24"/>
          <w:szCs w:val="24"/>
        </w:rPr>
        <w:t>The terms of the leases must be compared to the rent roll, verifying the unit number, resident name, lease commencement date, expiration date, concessions, if any, and monthly rent</w:t>
      </w:r>
      <w:r w:rsidR="00E518FD">
        <w:rPr>
          <w:rFonts w:ascii="Times New Roman" w:hAnsi="Times New Roman" w:eastAsia="Times New Roman" w:cs="Times New Roman"/>
          <w:color w:val="000000"/>
          <w:sz w:val="24"/>
          <w:szCs w:val="24"/>
        </w:rPr>
        <w:t>.</w:t>
      </w:r>
      <w:r w:rsidR="00B34610">
        <w:rPr>
          <w:rFonts w:ascii="Times New Roman" w:hAnsi="Times New Roman" w:eastAsia="Times New Roman" w:cs="Times New Roman"/>
          <w:color w:val="000000"/>
          <w:sz w:val="24"/>
          <w:szCs w:val="24"/>
        </w:rPr>
        <w:t xml:space="preserve"> </w:t>
      </w:r>
      <w:r w:rsidR="00E518FD">
        <w:rPr>
          <w:rFonts w:ascii="Times New Roman" w:hAnsi="Times New Roman" w:eastAsia="Times New Roman" w:cs="Times New Roman"/>
          <w:color w:val="000000"/>
          <w:sz w:val="24"/>
          <w:szCs w:val="24"/>
        </w:rPr>
        <w:t>The underwriter</w:t>
      </w:r>
      <w:r w:rsidRPr="00866EC1">
        <w:rPr>
          <w:rFonts w:ascii="Times New Roman" w:hAnsi="Times New Roman" w:eastAsia="Times New Roman" w:cs="Times New Roman"/>
          <w:color w:val="000000"/>
          <w:sz w:val="24"/>
          <w:szCs w:val="24"/>
        </w:rPr>
        <w:t xml:space="preserve"> must confirm that this data is consistent with the assumptions used in the underwriting analysis.</w:t>
      </w:r>
    </w:p>
    <w:p w:rsidRPr="0064380F" w:rsidR="0064380F" w:rsidP="0064380F" w:rsidRDefault="00A57102" w14:paraId="3587AC73" w14:textId="11CAB125">
      <w:pPr>
        <w:widowControl w:val="0"/>
        <w:numPr>
          <w:ilvl w:val="0"/>
          <w:numId w:val="5"/>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color w:val="000000"/>
          <w:sz w:val="24"/>
          <w:szCs w:val="24"/>
        </w:rPr>
      </w:pPr>
      <w:r w:rsidRPr="00866EC1">
        <w:rPr>
          <w:rFonts w:ascii="Times New Roman" w:hAnsi="Times New Roman" w:eastAsia="Times New Roman" w:cs="Times New Roman"/>
          <w:color w:val="000000"/>
          <w:sz w:val="24"/>
          <w:szCs w:val="24"/>
        </w:rPr>
        <w:t xml:space="preserve">Any inconsistencies or conflicts between the leases, rent roll and the underwritten revenue assumptions must be fully investigated and explained.  The scope and results of the lease audit review must be discussed in the Underwriter’s Narrative.  The underwriter </w:t>
      </w:r>
      <w:r w:rsidR="0056256F">
        <w:rPr>
          <w:rFonts w:ascii="Times New Roman" w:hAnsi="Times New Roman" w:eastAsia="Times New Roman" w:cs="Times New Roman"/>
          <w:color w:val="000000"/>
          <w:sz w:val="24"/>
          <w:szCs w:val="24"/>
        </w:rPr>
        <w:t>is required to</w:t>
      </w:r>
      <w:r w:rsidRPr="00866EC1" w:rsidR="0056256F">
        <w:rPr>
          <w:rFonts w:ascii="Times New Roman" w:hAnsi="Times New Roman" w:eastAsia="Times New Roman" w:cs="Times New Roman"/>
          <w:color w:val="000000"/>
          <w:sz w:val="24"/>
          <w:szCs w:val="24"/>
        </w:rPr>
        <w:t xml:space="preserve"> </w:t>
      </w:r>
      <w:r w:rsidRPr="00866EC1">
        <w:rPr>
          <w:rFonts w:ascii="Times New Roman" w:hAnsi="Times New Roman" w:eastAsia="Times New Roman" w:cs="Times New Roman"/>
          <w:color w:val="000000"/>
          <w:sz w:val="24"/>
          <w:szCs w:val="24"/>
        </w:rPr>
        <w:t xml:space="preserve">retain a copy of the individual leases reviewed in </w:t>
      </w:r>
      <w:r w:rsidR="002A0BE4">
        <w:rPr>
          <w:rFonts w:ascii="Times New Roman" w:hAnsi="Times New Roman" w:eastAsia="Times New Roman" w:cs="Times New Roman"/>
          <w:color w:val="000000"/>
          <w:sz w:val="24"/>
          <w:szCs w:val="24"/>
        </w:rPr>
        <w:t>the underwriter’s</w:t>
      </w:r>
      <w:r w:rsidRPr="00866EC1" w:rsidR="002A0BE4">
        <w:rPr>
          <w:rFonts w:ascii="Times New Roman" w:hAnsi="Times New Roman" w:eastAsia="Times New Roman" w:cs="Times New Roman"/>
          <w:color w:val="000000"/>
          <w:sz w:val="24"/>
          <w:szCs w:val="24"/>
        </w:rPr>
        <w:t xml:space="preserve"> </w:t>
      </w:r>
      <w:r w:rsidRPr="00866EC1">
        <w:rPr>
          <w:rFonts w:ascii="Times New Roman" w:hAnsi="Times New Roman" w:eastAsia="Times New Roman" w:cs="Times New Roman"/>
          <w:color w:val="000000"/>
          <w:sz w:val="24"/>
          <w:szCs w:val="24"/>
        </w:rPr>
        <w:t>working papers, which may be subject to audit but should not be included in the Firm Commitment application submission.</w:t>
      </w:r>
      <w:r w:rsidR="0093150A">
        <w:rPr>
          <w:rFonts w:ascii="Times New Roman" w:hAnsi="Times New Roman" w:eastAsia="Times New Roman" w:cs="Times New Roman"/>
          <w:color w:val="000000"/>
          <w:sz w:val="24"/>
          <w:szCs w:val="24"/>
        </w:rPr>
        <w:t xml:space="preserve"> </w:t>
      </w:r>
      <w:r w:rsidRPr="006F2461" w:rsidR="006F2461">
        <w:rPr>
          <w:rFonts w:ascii="Times New Roman" w:hAnsi="Times New Roman" w:eastAsia="Times New Roman" w:cs="Times New Roman"/>
          <w:color w:val="000000"/>
          <w:sz w:val="24"/>
          <w:szCs w:val="24"/>
        </w:rPr>
        <w:t xml:space="preserve"> </w:t>
      </w:r>
      <w:r w:rsidRPr="007A151B" w:rsidR="006F2461">
        <w:rPr>
          <w:rFonts w:ascii="Times New Roman" w:hAnsi="Times New Roman" w:eastAsia="Times New Roman" w:cs="Times New Roman"/>
          <w:color w:val="000000"/>
          <w:sz w:val="24"/>
          <w:szCs w:val="24"/>
        </w:rPr>
        <w:t>Some lease files, especially for long-term residents</w:t>
      </w:r>
      <w:r w:rsidR="00C04FF5">
        <w:rPr>
          <w:rFonts w:ascii="Times New Roman" w:hAnsi="Times New Roman" w:eastAsia="Times New Roman" w:cs="Times New Roman"/>
          <w:color w:val="000000"/>
          <w:sz w:val="24"/>
          <w:szCs w:val="24"/>
        </w:rPr>
        <w:t>,</w:t>
      </w:r>
      <w:r w:rsidR="006F2461">
        <w:rPr>
          <w:rFonts w:ascii="Times New Roman" w:hAnsi="Times New Roman" w:eastAsia="Times New Roman" w:cs="Times New Roman"/>
          <w:color w:val="000000"/>
          <w:sz w:val="24"/>
          <w:szCs w:val="24"/>
        </w:rPr>
        <w:t xml:space="preserve"> </w:t>
      </w:r>
      <w:r w:rsidRPr="007A151B" w:rsidR="006F2461">
        <w:rPr>
          <w:rFonts w:ascii="Times New Roman" w:hAnsi="Times New Roman" w:eastAsia="Times New Roman" w:cs="Times New Roman"/>
          <w:color w:val="000000"/>
          <w:sz w:val="24"/>
          <w:szCs w:val="24"/>
        </w:rPr>
        <w:t>may be extensive</w:t>
      </w:r>
      <w:r w:rsidR="0068733E">
        <w:rPr>
          <w:rFonts w:ascii="Times New Roman" w:hAnsi="Times New Roman" w:eastAsia="Times New Roman" w:cs="Times New Roman"/>
          <w:color w:val="000000"/>
          <w:sz w:val="24"/>
          <w:szCs w:val="24"/>
        </w:rPr>
        <w:t xml:space="preserve">.  </w:t>
      </w:r>
      <w:r w:rsidR="00C542DB">
        <w:rPr>
          <w:rFonts w:ascii="Times New Roman" w:hAnsi="Times New Roman" w:eastAsia="Times New Roman" w:cs="Times New Roman"/>
          <w:color w:val="000000"/>
          <w:sz w:val="24"/>
          <w:szCs w:val="24"/>
        </w:rPr>
        <w:t>O</w:t>
      </w:r>
      <w:r w:rsidRPr="00C542DB" w:rsidR="00C542DB">
        <w:rPr>
          <w:rFonts w:ascii="Times New Roman" w:hAnsi="Times New Roman" w:eastAsia="Times New Roman" w:cs="Times New Roman"/>
          <w:color w:val="000000"/>
          <w:sz w:val="24"/>
          <w:szCs w:val="24"/>
        </w:rPr>
        <w:t>nly the most recent leases from the audit review should be retained. However, if irregularities exist in the leasing history (such as missing lease pages, unexplained modifications to lease terms or parties to the lease, for example),  the entire leasing history for the applicable unit should be retained by the lender,  and any irregularities  must be explained in the lender’s Underwriters Narrative that is submitted with the loan application.</w:t>
      </w:r>
      <w:r w:rsidDel="00C542DB" w:rsidR="00C542DB">
        <w:rPr>
          <w:rFonts w:ascii="Times New Roman" w:hAnsi="Times New Roman" w:eastAsia="Times New Roman" w:cs="Times New Roman"/>
          <w:color w:val="000000"/>
          <w:sz w:val="24"/>
          <w:szCs w:val="24"/>
        </w:rPr>
        <w:t xml:space="preserve"> </w:t>
      </w:r>
    </w:p>
    <w:p w:rsidR="00A57102" w:rsidP="00C542DB" w:rsidRDefault="00A57102" w14:paraId="75644053" w14:textId="51572E40">
      <w:pPr>
        <w:widowControl w:val="0"/>
        <w:numPr>
          <w:ilvl w:val="0"/>
          <w:numId w:val="5"/>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The </w:t>
      </w:r>
      <w:r w:rsidR="009A197B">
        <w:rPr>
          <w:rFonts w:ascii="Times New Roman" w:hAnsi="Times New Roman" w:eastAsia="Times New Roman" w:cs="Times New Roman"/>
          <w:sz w:val="24"/>
          <w:szCs w:val="24"/>
        </w:rPr>
        <w:t>MAP U</w:t>
      </w:r>
      <w:r w:rsidRPr="00866EC1">
        <w:rPr>
          <w:rFonts w:ascii="Times New Roman" w:hAnsi="Times New Roman" w:eastAsia="Times New Roman" w:cs="Times New Roman"/>
          <w:sz w:val="24"/>
          <w:szCs w:val="24"/>
        </w:rPr>
        <w:t>nderwriter is responsible for the review and reconciliation of the third</w:t>
      </w:r>
      <w:r w:rsidR="009A197B">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party reports and the results of the mortgage credit review and other due diligence.</w:t>
      </w:r>
    </w:p>
    <w:p w:rsidR="009A4C5E" w:rsidP="009A4C5E" w:rsidRDefault="009A4C5E" w14:paraId="189626DE" w14:textId="77777777">
      <w:pPr>
        <w:pStyle w:val="ListParagraph"/>
        <w:tabs>
          <w:tab w:val="left" w:pos="3240"/>
        </w:tabs>
        <w:overflowPunct w:val="0"/>
        <w:autoSpaceDE w:val="0"/>
        <w:autoSpaceDN w:val="0"/>
        <w:adjustRightInd w:val="0"/>
        <w:spacing w:before="240" w:after="120"/>
        <w:ind w:left="360"/>
        <w:jc w:val="both"/>
        <w:textAlignment w:val="baseline"/>
        <w:outlineLvl w:val="1"/>
        <w:rPr>
          <w:rFonts w:ascii="Times New Roman" w:hAnsi="Times New Roman" w:eastAsia="Times New Roman" w:cs="Times New Roman"/>
          <w:sz w:val="24"/>
          <w:szCs w:val="24"/>
        </w:rPr>
      </w:pPr>
    </w:p>
    <w:p w:rsidRPr="00866EC1" w:rsidR="00A57102" w:rsidP="00A57102" w:rsidRDefault="00A57102" w14:paraId="75644054" w14:textId="7BD7F705">
      <w:pPr>
        <w:pStyle w:val="ListParagraph"/>
        <w:numPr>
          <w:ilvl w:val="0"/>
          <w:numId w:val="17"/>
        </w:num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Lender</w:t>
      </w:r>
      <w:r w:rsidRPr="00866EC1">
        <w:rPr>
          <w:rFonts w:ascii="Times New Roman" w:hAnsi="Times New Roman" w:eastAsia="Times New Roman" w:cs="Times New Roman"/>
          <w:sz w:val="24"/>
          <w:szCs w:val="24"/>
          <w:shd w:val="clear" w:color="auto" w:fill="FFFFFF"/>
        </w:rPr>
        <w:t xml:space="preserve"> Due Diligence Certification:  With each Firm Commitment package, the lender must submit a letter signed by the MAP approved </w:t>
      </w:r>
      <w:r w:rsidR="009E5E0B">
        <w:rPr>
          <w:rFonts w:ascii="Times New Roman" w:hAnsi="Times New Roman" w:eastAsia="Times New Roman" w:cs="Times New Roman"/>
          <w:sz w:val="24"/>
          <w:szCs w:val="24"/>
          <w:shd w:val="clear" w:color="auto" w:fill="FFFFFF"/>
        </w:rPr>
        <w:t>U</w:t>
      </w:r>
      <w:r w:rsidRPr="00866EC1">
        <w:rPr>
          <w:rFonts w:ascii="Times New Roman" w:hAnsi="Times New Roman" w:eastAsia="Times New Roman" w:cs="Times New Roman"/>
          <w:sz w:val="24"/>
          <w:szCs w:val="24"/>
          <w:shd w:val="clear" w:color="auto" w:fill="FFFFFF"/>
        </w:rPr>
        <w:t>nderwriter which</w:t>
      </w:r>
      <w:r w:rsidRPr="00866EC1">
        <w:rPr>
          <w:rFonts w:ascii="Times New Roman" w:hAnsi="Times New Roman" w:eastAsia="Times New Roman" w:cs="Times New Roman"/>
          <w:sz w:val="24"/>
          <w:szCs w:val="24"/>
        </w:rPr>
        <w:t xml:space="preserve"> certifies that:</w:t>
      </w:r>
    </w:p>
    <w:p w:rsidRPr="00866EC1" w:rsidR="00A57102" w:rsidP="00A57102" w:rsidRDefault="00A57102" w14:paraId="75644055" w14:textId="77777777">
      <w:pPr>
        <w:pStyle w:val="ListParagraph"/>
        <w:overflowPunct w:val="0"/>
        <w:autoSpaceDE w:val="0"/>
        <w:autoSpaceDN w:val="0"/>
        <w:adjustRightInd w:val="0"/>
        <w:spacing w:before="80" w:after="80"/>
        <w:ind w:left="1530"/>
        <w:jc w:val="both"/>
        <w:textAlignment w:val="baseline"/>
        <w:outlineLvl w:val="2"/>
        <w:rPr>
          <w:rFonts w:ascii="Times New Roman" w:hAnsi="Times New Roman" w:eastAsia="Times New Roman" w:cs="Times New Roman"/>
          <w:sz w:val="24"/>
          <w:szCs w:val="24"/>
        </w:rPr>
      </w:pPr>
    </w:p>
    <w:p w:rsidRPr="00866EC1" w:rsidR="00A57102" w:rsidP="00A57102" w:rsidRDefault="00A57102" w14:paraId="75644056" w14:textId="34349293">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1.</w:t>
      </w:r>
      <w:r w:rsidRPr="00866EC1">
        <w:rPr>
          <w:rFonts w:ascii="Times New Roman" w:hAnsi="Times New Roman" w:eastAsia="Times New Roman" w:cs="Times New Roman"/>
          <w:sz w:val="24"/>
          <w:szCs w:val="24"/>
        </w:rPr>
        <w:tab/>
        <w:t>The lender has reviewed all in-house and third</w:t>
      </w:r>
      <w:r w:rsidR="00056613">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party forms/reports/</w:t>
      </w:r>
      <w:r w:rsidRPr="00866EC1" w:rsidR="00C50D58">
        <w:rPr>
          <w:rFonts w:ascii="Times New Roman" w:hAnsi="Times New Roman" w:eastAsia="Times New Roman" w:cs="Times New Roman"/>
          <w:sz w:val="24"/>
          <w:szCs w:val="24"/>
        </w:rPr>
        <w:t>reviews.</w:t>
      </w:r>
    </w:p>
    <w:p w:rsidRPr="00866EC1" w:rsidR="00A57102" w:rsidP="00A57102" w:rsidRDefault="00A57102" w14:paraId="75644057" w14:textId="350ECCAE">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shd w:val="pct12" w:color="auto" w:fill="auto"/>
        </w:rPr>
      </w:pPr>
      <w:r w:rsidRPr="00866EC1">
        <w:rPr>
          <w:rFonts w:ascii="Times New Roman" w:hAnsi="Times New Roman" w:eastAsia="Times New Roman" w:cs="Times New Roman"/>
          <w:sz w:val="24"/>
          <w:szCs w:val="24"/>
        </w:rPr>
        <w:t>2.</w:t>
      </w:r>
      <w:r w:rsidRPr="00866EC1">
        <w:rPr>
          <w:rFonts w:ascii="Times New Roman" w:hAnsi="Times New Roman" w:eastAsia="Times New Roman" w:cs="Times New Roman"/>
          <w:sz w:val="24"/>
          <w:szCs w:val="24"/>
        </w:rPr>
        <w:tab/>
        <w:t>The preparer of the forms/reports/reviews is qualified as required by this Guide and has all required insurance coverage(s</w:t>
      </w:r>
      <w:r w:rsidRPr="00866EC1" w:rsidR="00C50D58">
        <w:rPr>
          <w:rFonts w:ascii="Times New Roman" w:hAnsi="Times New Roman" w:eastAsia="Times New Roman" w:cs="Times New Roman"/>
          <w:sz w:val="24"/>
          <w:szCs w:val="24"/>
        </w:rPr>
        <w:t>).</w:t>
      </w:r>
    </w:p>
    <w:p w:rsidRPr="00866EC1" w:rsidR="00A57102" w:rsidP="00A57102" w:rsidRDefault="00A57102" w14:paraId="75644058" w14:textId="5D0DB42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3.</w:t>
      </w:r>
      <w:r w:rsidRPr="00866EC1">
        <w:rPr>
          <w:rFonts w:ascii="Times New Roman" w:hAnsi="Times New Roman" w:eastAsia="Times New Roman" w:cs="Times New Roman"/>
          <w:sz w:val="24"/>
          <w:szCs w:val="24"/>
        </w:rPr>
        <w:tab/>
        <w:t xml:space="preserve">The forms/reports/reviews were prepared in the manner required by the Guide </w:t>
      </w:r>
      <w:r w:rsidR="00101069">
        <w:rPr>
          <w:rFonts w:ascii="Times New Roman" w:hAnsi="Times New Roman" w:eastAsia="Times New Roman" w:cs="Times New Roman"/>
          <w:sz w:val="24"/>
          <w:szCs w:val="24"/>
        </w:rPr>
        <w:t xml:space="preserve">and </w:t>
      </w:r>
      <w:r w:rsidRPr="00866EC1">
        <w:rPr>
          <w:rFonts w:ascii="Times New Roman" w:hAnsi="Times New Roman" w:eastAsia="Times New Roman" w:cs="Times New Roman"/>
          <w:sz w:val="24"/>
          <w:szCs w:val="24"/>
        </w:rPr>
        <w:t xml:space="preserve">are complete and </w:t>
      </w:r>
      <w:r w:rsidRPr="00866EC1" w:rsidR="00C50D58">
        <w:rPr>
          <w:rFonts w:ascii="Times New Roman" w:hAnsi="Times New Roman" w:eastAsia="Times New Roman" w:cs="Times New Roman"/>
          <w:sz w:val="24"/>
          <w:szCs w:val="24"/>
        </w:rPr>
        <w:t>accurate.</w:t>
      </w:r>
      <w:r w:rsidRPr="00866EC1">
        <w:rPr>
          <w:rFonts w:ascii="Times New Roman" w:hAnsi="Times New Roman" w:eastAsia="Times New Roman" w:cs="Times New Roman"/>
          <w:sz w:val="24"/>
          <w:szCs w:val="24"/>
        </w:rPr>
        <w:t xml:space="preserve"> </w:t>
      </w:r>
    </w:p>
    <w:p w:rsidRPr="00866EC1" w:rsidR="00A57102" w:rsidP="00A57102" w:rsidRDefault="00A57102" w14:paraId="75644059" w14:textId="34646C6D">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4.   The </w:t>
      </w:r>
      <w:r w:rsidR="00603B08">
        <w:rPr>
          <w:rFonts w:ascii="Times New Roman" w:hAnsi="Times New Roman" w:eastAsia="Times New Roman" w:cs="Times New Roman"/>
          <w:sz w:val="24"/>
          <w:szCs w:val="24"/>
        </w:rPr>
        <w:t xml:space="preserve">lender has </w:t>
      </w:r>
      <w:r w:rsidRPr="00866EC1" w:rsidR="00BB3995">
        <w:rPr>
          <w:rFonts w:ascii="Times New Roman" w:hAnsi="Times New Roman" w:eastAsia="Times New Roman" w:cs="Times New Roman"/>
          <w:sz w:val="24"/>
          <w:szCs w:val="24"/>
        </w:rPr>
        <w:t>identif</w:t>
      </w:r>
      <w:r w:rsidR="00BB3995">
        <w:rPr>
          <w:rFonts w:ascii="Times New Roman" w:hAnsi="Times New Roman" w:eastAsia="Times New Roman" w:cs="Times New Roman"/>
          <w:sz w:val="24"/>
          <w:szCs w:val="24"/>
        </w:rPr>
        <w:t>ied</w:t>
      </w:r>
      <w:r w:rsidRPr="00866EC1">
        <w:rPr>
          <w:rFonts w:ascii="Times New Roman" w:hAnsi="Times New Roman" w:eastAsia="Times New Roman" w:cs="Times New Roman"/>
          <w:sz w:val="24"/>
          <w:szCs w:val="24"/>
        </w:rPr>
        <w:t xml:space="preserve"> </w:t>
      </w:r>
      <w:r w:rsidR="0012425B">
        <w:rPr>
          <w:rFonts w:ascii="Times New Roman" w:hAnsi="Times New Roman" w:eastAsia="Times New Roman" w:cs="Times New Roman"/>
          <w:sz w:val="24"/>
          <w:szCs w:val="24"/>
        </w:rPr>
        <w:t xml:space="preserve">all </w:t>
      </w:r>
      <w:r w:rsidRPr="00866EC1">
        <w:rPr>
          <w:rFonts w:ascii="Times New Roman" w:hAnsi="Times New Roman" w:eastAsia="Times New Roman" w:cs="Times New Roman"/>
          <w:sz w:val="24"/>
          <w:szCs w:val="24"/>
        </w:rPr>
        <w:t xml:space="preserve">staff and </w:t>
      </w:r>
      <w:r w:rsidR="00792D89">
        <w:rPr>
          <w:rFonts w:ascii="Times New Roman" w:hAnsi="Times New Roman" w:eastAsia="Times New Roman" w:cs="Times New Roman"/>
          <w:sz w:val="24"/>
          <w:szCs w:val="24"/>
        </w:rPr>
        <w:t>third</w:t>
      </w:r>
      <w:r w:rsidR="006F4894">
        <w:rPr>
          <w:rFonts w:ascii="Times New Roman" w:hAnsi="Times New Roman" w:eastAsia="Times New Roman" w:cs="Times New Roman"/>
          <w:sz w:val="24"/>
          <w:szCs w:val="24"/>
        </w:rPr>
        <w:t>-</w:t>
      </w:r>
      <w:r w:rsidR="00792D89">
        <w:rPr>
          <w:rFonts w:ascii="Times New Roman" w:hAnsi="Times New Roman" w:eastAsia="Times New Roman" w:cs="Times New Roman"/>
          <w:sz w:val="24"/>
          <w:szCs w:val="24"/>
        </w:rPr>
        <w:t xml:space="preserve">party </w:t>
      </w:r>
      <w:r w:rsidRPr="00866EC1">
        <w:rPr>
          <w:rFonts w:ascii="Times New Roman" w:hAnsi="Times New Roman" w:eastAsia="Times New Roman" w:cs="Times New Roman"/>
          <w:sz w:val="24"/>
          <w:szCs w:val="24"/>
        </w:rPr>
        <w:t xml:space="preserve">contractors who contributed to the underwriting presentation and their role; and </w:t>
      </w:r>
    </w:p>
    <w:p w:rsidRPr="00866EC1" w:rsidR="00A57102" w:rsidP="00A57102" w:rsidRDefault="00A57102" w14:paraId="7564405A" w14:textId="6B1EF8A2">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5.  The proposed loan represents an acceptable risk to the Department and is financially sound, based upon the lender's review and analysis, and that the application complies with all HUD </w:t>
      </w:r>
      <w:r w:rsidR="00CD0168">
        <w:rPr>
          <w:rFonts w:ascii="Times New Roman" w:hAnsi="Times New Roman" w:eastAsia="Times New Roman" w:cs="Times New Roman"/>
          <w:sz w:val="24"/>
          <w:szCs w:val="24"/>
        </w:rPr>
        <w:t>program and processing</w:t>
      </w:r>
      <w:r w:rsidRPr="00866EC1">
        <w:rPr>
          <w:rFonts w:ascii="Times New Roman" w:hAnsi="Times New Roman" w:eastAsia="Times New Roman" w:cs="Times New Roman"/>
          <w:sz w:val="24"/>
          <w:szCs w:val="24"/>
        </w:rPr>
        <w:t xml:space="preserve"> requirements.</w:t>
      </w:r>
    </w:p>
    <w:p w:rsidRPr="00866EC1" w:rsidR="00A57102" w:rsidP="00A57102" w:rsidRDefault="00A57102" w14:paraId="7564405B"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p>
    <w:p w:rsidRPr="00866EC1" w:rsidR="00A57102" w:rsidP="00A57102" w:rsidRDefault="00A57102" w14:paraId="7564405C" w14:textId="77777777">
      <w:p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The letter must include the following certification and language:</w:t>
      </w:r>
    </w:p>
    <w:p w:rsidRPr="00866EC1" w:rsidR="00A57102" w:rsidP="00A57102" w:rsidRDefault="00A57102" w14:paraId="7564405D" w14:textId="77777777">
      <w:p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p>
    <w:p w:rsidRPr="00866EC1" w:rsidR="00A57102" w:rsidP="00A57102" w:rsidRDefault="00A57102" w14:paraId="7564405E" w14:textId="349EC362">
      <w:p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I am </w:t>
      </w:r>
      <w:r w:rsidR="008538A8">
        <w:rPr>
          <w:rFonts w:ascii="Times New Roman" w:hAnsi="Times New Roman" w:eastAsia="Times New Roman" w:cs="Times New Roman"/>
          <w:sz w:val="24"/>
          <w:szCs w:val="24"/>
        </w:rPr>
        <w:t xml:space="preserve">an authorized agent of the lender and </w:t>
      </w:r>
      <w:r w:rsidRPr="00866EC1">
        <w:rPr>
          <w:rFonts w:ascii="Times New Roman" w:hAnsi="Times New Roman" w:eastAsia="Times New Roman" w:cs="Times New Roman"/>
          <w:sz w:val="24"/>
          <w:szCs w:val="24"/>
        </w:rPr>
        <w:t>employed full time by the MAP Lender</w:t>
      </w:r>
      <w:r w:rsidR="008538A8">
        <w:rPr>
          <w:rFonts w:ascii="Times New Roman" w:hAnsi="Times New Roman" w:eastAsia="Times New Roman" w:cs="Times New Roman"/>
          <w:sz w:val="24"/>
          <w:szCs w:val="24"/>
        </w:rPr>
        <w:t xml:space="preserve">.  I </w:t>
      </w:r>
      <w:r w:rsidRPr="00866EC1">
        <w:rPr>
          <w:rFonts w:ascii="Times New Roman" w:hAnsi="Times New Roman" w:eastAsia="Times New Roman" w:cs="Times New Roman"/>
          <w:sz w:val="24"/>
          <w:szCs w:val="24"/>
        </w:rPr>
        <w:t xml:space="preserve">have no side deals, agreements, or </w:t>
      </w:r>
      <w:r w:rsidR="0019253D">
        <w:rPr>
          <w:rFonts w:ascii="Times New Roman" w:hAnsi="Times New Roman" w:eastAsia="Times New Roman" w:cs="Times New Roman"/>
          <w:sz w:val="24"/>
          <w:szCs w:val="24"/>
        </w:rPr>
        <w:t xml:space="preserve">other </w:t>
      </w:r>
      <w:r w:rsidRPr="00866EC1">
        <w:rPr>
          <w:rFonts w:ascii="Times New Roman" w:hAnsi="Times New Roman" w:eastAsia="Times New Roman" w:cs="Times New Roman"/>
          <w:sz w:val="24"/>
          <w:szCs w:val="24"/>
        </w:rPr>
        <w:t>financial considerations in connection with this transaction</w:t>
      </w:r>
      <w:r w:rsidR="0019253D">
        <w:rPr>
          <w:rFonts w:ascii="Times New Roman" w:hAnsi="Times New Roman" w:eastAsia="Times New Roman" w:cs="Times New Roman"/>
          <w:sz w:val="24"/>
          <w:szCs w:val="24"/>
        </w:rPr>
        <w:t xml:space="preserve"> and will not enter into such arrangement in connection with this transaction</w:t>
      </w:r>
    </w:p>
    <w:p w:rsidRPr="00866EC1" w:rsidR="00A57102" w:rsidP="00A57102" w:rsidRDefault="00A57102" w14:paraId="7564405F" w14:textId="77777777">
      <w:pPr>
        <w:tabs>
          <w:tab w:val="left" w:pos="1080"/>
        </w:tabs>
        <w:overflowPunct w:val="0"/>
        <w:autoSpaceDE w:val="0"/>
        <w:autoSpaceDN w:val="0"/>
        <w:adjustRightInd w:val="0"/>
        <w:spacing w:before="80" w:after="80"/>
        <w:ind w:left="1080" w:hanging="360"/>
        <w:jc w:val="both"/>
        <w:textAlignment w:val="baseline"/>
        <w:outlineLvl w:val="2"/>
        <w:rPr>
          <w:rFonts w:ascii="Times New Roman" w:hAnsi="Times New Roman" w:eastAsia="Times New Roman" w:cs="Times New Roman"/>
          <w:sz w:val="24"/>
          <w:szCs w:val="24"/>
        </w:rPr>
      </w:pPr>
    </w:p>
    <w:p w:rsidRPr="00866EC1" w:rsidR="00A57102" w:rsidP="00A57102" w:rsidRDefault="00A57102" w14:paraId="75644060" w14:textId="0C5AD483">
      <w:pPr>
        <w:tabs>
          <w:tab w:val="left" w:pos="900"/>
          <w:tab w:val="left" w:pos="3240"/>
        </w:tabs>
        <w:overflowPunct w:val="0"/>
        <w:autoSpaceDE w:val="0"/>
        <w:autoSpaceDN w:val="0"/>
        <w:adjustRightInd w:val="0"/>
        <w:spacing w:before="240"/>
        <w:ind w:left="360" w:hanging="360"/>
        <w:jc w:val="both"/>
        <w:textAlignment w:val="baseline"/>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G. Third</w:t>
      </w:r>
      <w:r w:rsidR="00DD36F3">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party report Certifications. The following Certification must be included in the lender</w:t>
      </w:r>
      <w:r w:rsidR="006F64D4">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s third</w:t>
      </w:r>
      <w:r w:rsidR="006F64D4">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 xml:space="preserve">party reports: </w:t>
      </w:r>
    </w:p>
    <w:p w:rsidR="00A57102" w:rsidP="00A57102" w:rsidRDefault="00A57102" w14:paraId="75644061" w14:textId="766A3CEE">
      <w:pPr>
        <w:overflowPunct w:val="0"/>
        <w:autoSpaceDE w:val="0"/>
        <w:autoSpaceDN w:val="0"/>
        <w:adjustRightInd w:val="0"/>
        <w:spacing w:before="240"/>
        <w:ind w:left="360"/>
        <w:jc w:val="both"/>
        <w:textAlignment w:val="baseline"/>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I understand that my (appraisal, market study or architectural, cost, environmental, or other specialized report) will be used by _______ (name of MAP Lender) to document to the U.S. Department of Housing and Urban Development that the MAP Lender’s application for FHA multifamily mortgage insurance was prepared and reviewed in accordance with HUD requirements. </w:t>
      </w:r>
      <w:r w:rsidR="00EC5AA9">
        <w:rPr>
          <w:rFonts w:ascii="Times New Roman" w:hAnsi="Times New Roman" w:eastAsia="Times New Roman" w:cs="Times New Roman"/>
          <w:sz w:val="24"/>
          <w:szCs w:val="24"/>
        </w:rPr>
        <w:t xml:space="preserve">This report has been made, presented, and delivered for the purpose of influencing an official action of the FHA, and of the Commissioner, and may be relied upon by the Commissioner as a true statement of the facts contained therein.  </w:t>
      </w:r>
      <w:r w:rsidRPr="00866EC1">
        <w:rPr>
          <w:rFonts w:ascii="Times New Roman" w:hAnsi="Times New Roman" w:eastAsia="Times New Roman" w:cs="Times New Roman"/>
          <w:sz w:val="24"/>
          <w:szCs w:val="24"/>
        </w:rPr>
        <w:t xml:space="preserve">I certify that my review was in </w:t>
      </w:r>
      <w:r w:rsidR="00EC5AA9">
        <w:rPr>
          <w:rFonts w:ascii="Times New Roman" w:hAnsi="Times New Roman" w:eastAsia="Times New Roman" w:cs="Times New Roman"/>
          <w:sz w:val="24"/>
          <w:szCs w:val="24"/>
        </w:rPr>
        <w:t>compliance</w:t>
      </w:r>
      <w:r w:rsidRPr="00866EC1" w:rsidR="00EC5AA9">
        <w:rPr>
          <w:rFonts w:ascii="Times New Roman" w:hAnsi="Times New Roman" w:eastAsia="Times New Roman" w:cs="Times New Roman"/>
          <w:sz w:val="24"/>
          <w:szCs w:val="24"/>
        </w:rPr>
        <w:t xml:space="preserve"> </w:t>
      </w:r>
      <w:r w:rsidRPr="00866EC1">
        <w:rPr>
          <w:rFonts w:ascii="Times New Roman" w:hAnsi="Times New Roman" w:eastAsia="Times New Roman" w:cs="Times New Roman"/>
          <w:sz w:val="24"/>
          <w:szCs w:val="24"/>
        </w:rPr>
        <w:t xml:space="preserve">with HUD </w:t>
      </w:r>
      <w:r w:rsidR="00B00A1A">
        <w:rPr>
          <w:rFonts w:ascii="Times New Roman" w:hAnsi="Times New Roman" w:eastAsia="Times New Roman" w:cs="Times New Roman"/>
          <w:sz w:val="24"/>
          <w:szCs w:val="24"/>
        </w:rPr>
        <w:t xml:space="preserve">program and processing </w:t>
      </w:r>
      <w:r w:rsidRPr="00866EC1">
        <w:rPr>
          <w:rFonts w:ascii="Times New Roman" w:hAnsi="Times New Roman" w:eastAsia="Times New Roman" w:cs="Times New Roman"/>
          <w:sz w:val="24"/>
          <w:szCs w:val="24"/>
        </w:rPr>
        <w:t xml:space="preserve">requirements applicable on the date of my review and that I have no financial interest or family relationship with the officers, directors, </w:t>
      </w:r>
      <w:r w:rsidR="00CC3BF3">
        <w:rPr>
          <w:rFonts w:ascii="Times New Roman" w:hAnsi="Times New Roman" w:eastAsia="Times New Roman" w:cs="Times New Roman"/>
          <w:sz w:val="24"/>
          <w:szCs w:val="24"/>
        </w:rPr>
        <w:t>shareholders</w:t>
      </w:r>
      <w:r w:rsidRPr="00866EC1">
        <w:rPr>
          <w:rFonts w:ascii="Times New Roman" w:hAnsi="Times New Roman" w:eastAsia="Times New Roman" w:cs="Times New Roman"/>
          <w:sz w:val="24"/>
          <w:szCs w:val="24"/>
        </w:rPr>
        <w:t xml:space="preserve">, members or partners of the lender or affiliated entities, Borrower or affiliated entities, the general contractor, any subcontractors, the buyer or seller of the proposed property </w:t>
      </w:r>
      <w:r w:rsidR="00966E00">
        <w:rPr>
          <w:rFonts w:ascii="Times New Roman" w:hAnsi="Times New Roman" w:eastAsia="Times New Roman" w:cs="Times New Roman"/>
          <w:sz w:val="24"/>
          <w:szCs w:val="24"/>
        </w:rPr>
        <w:t xml:space="preserve">and that I have not </w:t>
      </w:r>
      <w:r w:rsidRPr="00866EC1">
        <w:rPr>
          <w:rFonts w:ascii="Times New Roman" w:hAnsi="Times New Roman" w:eastAsia="Times New Roman" w:cs="Times New Roman"/>
          <w:sz w:val="24"/>
          <w:szCs w:val="24"/>
        </w:rPr>
        <w:t>engage</w:t>
      </w:r>
      <w:r w:rsidR="00966E00">
        <w:rPr>
          <w:rFonts w:ascii="Times New Roman" w:hAnsi="Times New Roman" w:eastAsia="Times New Roman" w:cs="Times New Roman"/>
          <w:sz w:val="24"/>
          <w:szCs w:val="24"/>
        </w:rPr>
        <w:t>d</w:t>
      </w:r>
      <w:r w:rsidRPr="00866EC1">
        <w:rPr>
          <w:rFonts w:ascii="Times New Roman" w:hAnsi="Times New Roman" w:eastAsia="Times New Roman" w:cs="Times New Roman"/>
          <w:sz w:val="24"/>
          <w:szCs w:val="24"/>
        </w:rPr>
        <w:t xml:space="preserve"> in any business that might present a conflict of interest.</w:t>
      </w:r>
    </w:p>
    <w:p w:rsidRPr="00866EC1" w:rsidR="00117284" w:rsidP="00A57102" w:rsidRDefault="00117284" w14:paraId="7CBD4B83" w14:textId="77777777">
      <w:pPr>
        <w:overflowPunct w:val="0"/>
        <w:autoSpaceDE w:val="0"/>
        <w:autoSpaceDN w:val="0"/>
        <w:adjustRightInd w:val="0"/>
        <w:spacing w:before="240"/>
        <w:ind w:left="360"/>
        <w:jc w:val="both"/>
        <w:textAlignment w:val="baseline"/>
        <w:outlineLvl w:val="1"/>
        <w:rPr>
          <w:rFonts w:ascii="Times New Roman" w:hAnsi="Times New Roman" w:eastAsia="Times New Roman" w:cs="Times New Roman"/>
          <w:sz w:val="24"/>
          <w:szCs w:val="24"/>
        </w:rPr>
      </w:pPr>
    </w:p>
    <w:p w:rsidRPr="00866EC1" w:rsidR="00A57102" w:rsidP="00A57102" w:rsidRDefault="00A57102" w14:paraId="75644062" w14:textId="6AB23D23">
      <w:pPr>
        <w:tabs>
          <w:tab w:val="left" w:pos="3240"/>
        </w:tabs>
        <w:overflowPunct w:val="0"/>
        <w:autoSpaceDE w:val="0"/>
        <w:autoSpaceDN w:val="0"/>
        <w:adjustRightInd w:val="0"/>
        <w:spacing w:before="120"/>
        <w:ind w:left="360" w:hanging="360"/>
        <w:jc w:val="both"/>
        <w:textAlignment w:val="baseline"/>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H. Both the </w:t>
      </w:r>
      <w:r w:rsidR="00091B4F">
        <w:rPr>
          <w:rFonts w:ascii="Times New Roman" w:hAnsi="Times New Roman" w:eastAsia="Times New Roman" w:cs="Times New Roman"/>
          <w:sz w:val="24"/>
          <w:szCs w:val="24"/>
        </w:rPr>
        <w:t>MAP U</w:t>
      </w:r>
      <w:r w:rsidRPr="00866EC1">
        <w:rPr>
          <w:rFonts w:ascii="Times New Roman" w:hAnsi="Times New Roman" w:eastAsia="Times New Roman" w:cs="Times New Roman"/>
          <w:sz w:val="24"/>
          <w:szCs w:val="24"/>
        </w:rPr>
        <w:t>nderwriter and third</w:t>
      </w:r>
      <w:r w:rsidR="00091B4F">
        <w:rPr>
          <w:rFonts w:ascii="Times New Roman" w:hAnsi="Times New Roman" w:eastAsia="Times New Roman" w:cs="Times New Roman"/>
          <w:sz w:val="24"/>
          <w:szCs w:val="24"/>
        </w:rPr>
        <w:t>-</w:t>
      </w:r>
      <w:r w:rsidRPr="00866EC1">
        <w:rPr>
          <w:rFonts w:ascii="Times New Roman" w:hAnsi="Times New Roman" w:eastAsia="Times New Roman" w:cs="Times New Roman"/>
          <w:sz w:val="24"/>
          <w:szCs w:val="24"/>
        </w:rPr>
        <w:t xml:space="preserve">party certifications must contain the following warning language: </w:t>
      </w:r>
    </w:p>
    <w:p w:rsidRPr="00866EC1" w:rsidR="00A57102" w:rsidP="00A57102" w:rsidRDefault="00A57102" w14:paraId="75644063" w14:textId="52E06824">
      <w:pPr>
        <w:tabs>
          <w:tab w:val="left" w:pos="720"/>
          <w:tab w:val="left" w:pos="3240"/>
        </w:tabs>
        <w:overflowPunct w:val="0"/>
        <w:autoSpaceDE w:val="0"/>
        <w:autoSpaceDN w:val="0"/>
        <w:adjustRightInd w:val="0"/>
        <w:ind w:left="720" w:hanging="360"/>
        <w:jc w:val="both"/>
        <w:textAlignment w:val="baseline"/>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_______________________________________  </w:t>
      </w:r>
    </w:p>
    <w:p w:rsidRPr="00866EC1" w:rsidR="00A57102" w:rsidP="00A57102" w:rsidRDefault="00A57102" w14:paraId="75644064" w14:textId="060813A9">
      <w:pPr>
        <w:spacing w:after="480" w:line="276" w:lineRule="auto"/>
        <w:ind w:left="360"/>
        <w:jc w:val="both"/>
        <w:rPr>
          <w:rFonts w:ascii="Times New Roman" w:hAnsi="Times New Roman" w:cs="Times New Roman"/>
          <w:sz w:val="24"/>
          <w:szCs w:val="24"/>
        </w:rPr>
      </w:pPr>
      <w:r w:rsidRPr="00866EC1">
        <w:rPr>
          <w:rFonts w:ascii="Times New Roman" w:hAnsi="Times New Roman" w:cs="Times New Roman"/>
          <w:sz w:val="24"/>
          <w:szCs w:val="24"/>
        </w:rPr>
        <w:t xml:space="preserve">I hereby certify under penalty of perjury that all of the information I have provided on this form and in any accompanying documentation is true and accurate. I acknowledge that if I knowingly have made any false, fictitious, or fraudulent statement, representation, or certification on this form or on any accompanying documents, I may be subject to criminal, civil, and/or administrative sanctions, including fines, penalties, and/or imprisonment under applicable federal law, including but not limited to </w:t>
      </w:r>
      <w:r w:rsidRPr="00866EC1" w:rsidR="009C0421">
        <w:rPr>
          <w:rFonts w:ascii="Times New Roman" w:hAnsi="Times New Roman" w:cs="Times New Roman"/>
          <w:sz w:val="24"/>
          <w:szCs w:val="24"/>
        </w:rPr>
        <w:t>12 U.S.C. §§ 1708 and 1735f-14</w:t>
      </w:r>
      <w:r w:rsidR="009C0421">
        <w:rPr>
          <w:rFonts w:ascii="Times New Roman" w:hAnsi="Times New Roman" w:cs="Times New Roman"/>
          <w:sz w:val="24"/>
          <w:szCs w:val="24"/>
        </w:rPr>
        <w:t xml:space="preserve">, and </w:t>
      </w:r>
      <w:r w:rsidRPr="00866EC1" w:rsidR="009C0421">
        <w:rPr>
          <w:rFonts w:ascii="Times New Roman" w:hAnsi="Times New Roman" w:cs="Times New Roman"/>
          <w:sz w:val="24"/>
          <w:szCs w:val="24"/>
        </w:rPr>
        <w:t>1833a; 18 U.S.C. §§1001, 1006, 1010, 1012, and 1014; and 31 U.S.C. §§3729 and 3802</w:t>
      </w:r>
      <w:r w:rsidR="009C0421">
        <w:rPr>
          <w:rFonts w:ascii="Times New Roman" w:hAnsi="Times New Roman" w:cs="Times New Roman"/>
          <w:sz w:val="24"/>
          <w:szCs w:val="24"/>
        </w:rPr>
        <w:t>.</w:t>
      </w:r>
    </w:p>
    <w:p w:rsidR="00B901FB" w:rsidP="00A57102" w:rsidRDefault="00A57102" w14:paraId="47E44049" w14:textId="66375A86">
      <w:pPr>
        <w:overflowPunct w:val="0"/>
        <w:autoSpaceDE w:val="0"/>
        <w:autoSpaceDN w:val="0"/>
        <w:adjustRightInd w:val="0"/>
        <w:spacing w:before="240" w:after="480"/>
        <w:ind w:left="36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I.</w:t>
      </w:r>
      <w:r w:rsidRPr="00866EC1">
        <w:rPr>
          <w:rFonts w:ascii="Times New Roman" w:hAnsi="Times New Roman" w:eastAsia="Times New Roman" w:cs="Times New Roman"/>
          <w:sz w:val="24"/>
          <w:szCs w:val="24"/>
        </w:rPr>
        <w:tab/>
        <w:t xml:space="preserve">HUD Forms Submission.  The lender must submit a Standardized Underwriting Narrative, </w:t>
      </w:r>
      <w:r w:rsidR="00F31154">
        <w:rPr>
          <w:rFonts w:ascii="Times New Roman" w:hAnsi="Times New Roman" w:eastAsia="Times New Roman" w:cs="Times New Roman"/>
          <w:sz w:val="24"/>
          <w:szCs w:val="24"/>
        </w:rPr>
        <w:t xml:space="preserve">d </w:t>
      </w:r>
      <w:r w:rsidR="00683327">
        <w:rPr>
          <w:rFonts w:ascii="Times New Roman" w:hAnsi="Times New Roman" w:eastAsia="Times New Roman" w:cs="Times New Roman"/>
          <w:sz w:val="24"/>
          <w:szCs w:val="24"/>
        </w:rPr>
        <w:t xml:space="preserve"> </w:t>
      </w:r>
      <w:r w:rsidR="001522A3">
        <w:rPr>
          <w:rFonts w:ascii="Times New Roman" w:hAnsi="Times New Roman" w:eastAsia="Times New Roman" w:cs="Times New Roman"/>
          <w:sz w:val="24"/>
          <w:szCs w:val="24"/>
        </w:rPr>
        <w:t xml:space="preserve">and </w:t>
      </w:r>
      <w:r w:rsidR="00383119">
        <w:rPr>
          <w:rFonts w:ascii="Times New Roman" w:hAnsi="Times New Roman" w:cs="Times New Roman"/>
          <w:sz w:val="24"/>
          <w:szCs w:val="24"/>
        </w:rPr>
        <w:t>HUD-92013-C, LIHTC Summary Report</w:t>
      </w:r>
      <w:r w:rsidR="00383119">
        <w:rPr>
          <w:rFonts w:ascii="Times New Roman" w:hAnsi="Times New Roman" w:eastAsia="Times New Roman" w:cs="Times New Roman"/>
          <w:sz w:val="24"/>
          <w:szCs w:val="24"/>
        </w:rPr>
        <w:t xml:space="preserve"> </w:t>
      </w:r>
      <w:r w:rsidR="00683327">
        <w:rPr>
          <w:rFonts w:ascii="Times New Roman" w:hAnsi="Times New Roman" w:eastAsia="Times New Roman" w:cs="Times New Roman"/>
          <w:sz w:val="24"/>
          <w:szCs w:val="24"/>
        </w:rPr>
        <w:t>required only for applications with LIHTCs,</w:t>
      </w:r>
      <w:r w:rsidRPr="00866EC1">
        <w:rPr>
          <w:rFonts w:ascii="Times New Roman" w:hAnsi="Times New Roman" w:eastAsia="Times New Roman" w:cs="Times New Roman"/>
          <w:sz w:val="24"/>
          <w:szCs w:val="24"/>
        </w:rPr>
        <w:t xml:space="preserve"> .  The HUD-92264 and HUD-92264-A forms are </w:t>
      </w:r>
      <w:r w:rsidRPr="00866EC1" w:rsidR="00D311EC">
        <w:rPr>
          <w:rFonts w:ascii="Times New Roman" w:hAnsi="Times New Roman" w:eastAsia="Times New Roman" w:cs="Times New Roman"/>
          <w:sz w:val="24"/>
          <w:szCs w:val="24"/>
        </w:rPr>
        <w:t xml:space="preserve">still </w:t>
      </w:r>
      <w:r w:rsidR="00D311EC">
        <w:rPr>
          <w:rFonts w:ascii="Times New Roman" w:hAnsi="Times New Roman" w:eastAsia="Times New Roman" w:cs="Times New Roman"/>
          <w:sz w:val="24"/>
          <w:szCs w:val="24"/>
        </w:rPr>
        <w:t>required</w:t>
      </w:r>
      <w:r w:rsidR="00411F0C">
        <w:rPr>
          <w:rFonts w:ascii="Times New Roman" w:hAnsi="Times New Roman" w:eastAsia="Times New Roman" w:cs="Times New Roman"/>
          <w:sz w:val="24"/>
          <w:szCs w:val="24"/>
        </w:rPr>
        <w:t xml:space="preserve"> </w:t>
      </w:r>
      <w:r w:rsidR="00DD3ED0">
        <w:rPr>
          <w:rFonts w:ascii="Times New Roman" w:hAnsi="Times New Roman" w:eastAsia="Times New Roman" w:cs="Times New Roman"/>
          <w:sz w:val="24"/>
          <w:szCs w:val="24"/>
        </w:rPr>
        <w:t xml:space="preserve">to be submitted and signed by the lender and third parties preparing the </w:t>
      </w:r>
      <w:r w:rsidR="009806CD">
        <w:rPr>
          <w:rFonts w:ascii="Times New Roman" w:hAnsi="Times New Roman" w:eastAsia="Times New Roman" w:cs="Times New Roman"/>
          <w:sz w:val="24"/>
          <w:szCs w:val="24"/>
        </w:rPr>
        <w:t>documents.</w:t>
      </w:r>
      <w:r w:rsidRPr="00866EC1">
        <w:rPr>
          <w:rFonts w:ascii="Times New Roman" w:hAnsi="Times New Roman" w:eastAsia="Times New Roman" w:cs="Times New Roman"/>
          <w:sz w:val="24"/>
          <w:szCs w:val="24"/>
        </w:rPr>
        <w:t xml:space="preserve"> The lender must certify that all parties preparing forms, reports or reviews are qualified as required by the </w:t>
      </w:r>
      <w:r w:rsidR="00300DE5">
        <w:rPr>
          <w:rFonts w:ascii="Times New Roman" w:hAnsi="Times New Roman" w:eastAsia="Times New Roman" w:cs="Times New Roman"/>
          <w:sz w:val="24"/>
          <w:szCs w:val="24"/>
        </w:rPr>
        <w:t>HUD program and processing requirements.</w:t>
      </w:r>
    </w:p>
    <w:p w:rsidRPr="000023DB" w:rsidR="00A57102" w:rsidP="0050286F" w:rsidRDefault="00A57102" w14:paraId="75644069" w14:textId="77777777">
      <w:pPr>
        <w:pStyle w:val="MAPSubchapterheading"/>
        <w:ind w:left="1440" w:hanging="1440"/>
      </w:pPr>
      <w:r w:rsidRPr="000023DB">
        <w:t xml:space="preserve">11.3    </w:t>
      </w:r>
      <w:r>
        <w:tab/>
      </w:r>
      <w:r w:rsidRPr="000023DB">
        <w:t>HUD Regional Center or Satellite Office Underwriting Review</w:t>
      </w:r>
    </w:p>
    <w:p w:rsidRPr="000023DB" w:rsidR="00A57102" w:rsidP="00A57102" w:rsidRDefault="00A57102" w14:paraId="7564406A" w14:textId="77777777">
      <w:pPr>
        <w:numPr>
          <w:ilvl w:val="0"/>
          <w:numId w:val="12"/>
        </w:numPr>
        <w:overflowPunct w:val="0"/>
        <w:autoSpaceDE w:val="0"/>
        <w:autoSpaceDN w:val="0"/>
        <w:adjustRightInd w:val="0"/>
        <w:spacing w:before="240" w:after="80" w:line="276" w:lineRule="auto"/>
        <w:ind w:left="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Under the direction of the MF Regional Center Director </w:t>
      </w:r>
      <w:r>
        <w:rPr>
          <w:rFonts w:ascii="Times New Roman" w:hAnsi="Times New Roman" w:eastAsia="Times New Roman" w:cs="Times New Roman"/>
          <w:sz w:val="24"/>
          <w:szCs w:val="24"/>
        </w:rPr>
        <w:t xml:space="preserve">or </w:t>
      </w:r>
      <w:r w:rsidRPr="000023DB">
        <w:rPr>
          <w:rFonts w:ascii="Times New Roman" w:hAnsi="Times New Roman" w:eastAsia="Times New Roman" w:cs="Times New Roman"/>
          <w:sz w:val="24"/>
          <w:szCs w:val="24"/>
        </w:rPr>
        <w:t>other appropriate managers, the HUD underwriter is responsible for coordinating with technical support and other HUD staff, and the oversight and performance of the following tasks:</w:t>
      </w:r>
    </w:p>
    <w:p w:rsidR="00A57102" w:rsidP="00A57102" w:rsidRDefault="00A57102" w14:paraId="7564406B" w14:textId="43980D0E">
      <w:pPr>
        <w:pStyle w:val="ListParagraph"/>
        <w:numPr>
          <w:ilvl w:val="2"/>
          <w:numId w:val="17"/>
        </w:numPr>
        <w:overflowPunct w:val="0"/>
        <w:autoSpaceDE w:val="0"/>
        <w:autoSpaceDN w:val="0"/>
        <w:adjustRightInd w:val="0"/>
        <w:spacing w:before="240" w:after="80" w:line="276" w:lineRule="auto"/>
        <w:ind w:left="720" w:hanging="360"/>
        <w:jc w:val="both"/>
        <w:textAlignment w:val="baseline"/>
        <w:outlineLvl w:val="2"/>
        <w:rPr>
          <w:rFonts w:ascii="Times New Roman" w:hAnsi="Times New Roman" w:eastAsia="Times New Roman" w:cs="Times New Roman"/>
          <w:sz w:val="24"/>
          <w:szCs w:val="24"/>
        </w:rPr>
      </w:pPr>
      <w:r w:rsidRPr="00B60196">
        <w:rPr>
          <w:rFonts w:ascii="Times New Roman" w:hAnsi="Times New Roman" w:eastAsia="Times New Roman" w:cs="Times New Roman"/>
          <w:sz w:val="24"/>
          <w:szCs w:val="24"/>
        </w:rPr>
        <w:t xml:space="preserve">Conduct of Concept meetings and follow-up </w:t>
      </w:r>
      <w:r w:rsidRPr="00B60196" w:rsidR="00DE0359">
        <w:rPr>
          <w:rFonts w:ascii="Times New Roman" w:hAnsi="Times New Roman" w:eastAsia="Times New Roman" w:cs="Times New Roman"/>
          <w:sz w:val="24"/>
          <w:szCs w:val="24"/>
        </w:rPr>
        <w:t>communication.</w:t>
      </w:r>
    </w:p>
    <w:p w:rsidR="00A57102" w:rsidP="00A57102" w:rsidRDefault="00A57102" w14:paraId="7564406C" w14:textId="30823DE1">
      <w:pPr>
        <w:pStyle w:val="ListParagraph"/>
        <w:numPr>
          <w:ilvl w:val="2"/>
          <w:numId w:val="17"/>
        </w:numPr>
        <w:overflowPunct w:val="0"/>
        <w:autoSpaceDE w:val="0"/>
        <w:autoSpaceDN w:val="0"/>
        <w:adjustRightInd w:val="0"/>
        <w:spacing w:before="240" w:after="80" w:line="276" w:lineRule="auto"/>
        <w:ind w:left="720" w:hanging="360"/>
        <w:jc w:val="both"/>
        <w:textAlignment w:val="baseline"/>
        <w:outlineLvl w:val="2"/>
        <w:rPr>
          <w:rFonts w:ascii="Times New Roman" w:hAnsi="Times New Roman" w:eastAsia="Times New Roman" w:cs="Times New Roman"/>
          <w:sz w:val="24"/>
          <w:szCs w:val="24"/>
        </w:rPr>
      </w:pPr>
      <w:r w:rsidRPr="00B60196">
        <w:rPr>
          <w:rFonts w:ascii="Times New Roman" w:hAnsi="Times New Roman" w:eastAsia="Times New Roman" w:cs="Times New Roman"/>
          <w:sz w:val="24"/>
          <w:szCs w:val="24"/>
        </w:rPr>
        <w:t xml:space="preserve">Review of proposed MAP Lender and Underwriters and reporting to Asset Management and Counterparty Oversight Division </w:t>
      </w:r>
      <w:r w:rsidR="00AE37D9">
        <w:rPr>
          <w:rFonts w:ascii="Times New Roman" w:hAnsi="Times New Roman" w:eastAsia="Times New Roman" w:cs="Times New Roman"/>
          <w:sz w:val="24"/>
          <w:szCs w:val="24"/>
        </w:rPr>
        <w:t>of</w:t>
      </w:r>
      <w:r w:rsidRPr="00B60196" w:rsidR="00AE37D9">
        <w:rPr>
          <w:rFonts w:ascii="Times New Roman" w:hAnsi="Times New Roman" w:eastAsia="Times New Roman" w:cs="Times New Roman"/>
          <w:sz w:val="24"/>
          <w:szCs w:val="24"/>
        </w:rPr>
        <w:t xml:space="preserve"> </w:t>
      </w:r>
      <w:r w:rsidRPr="00B60196">
        <w:rPr>
          <w:rFonts w:ascii="Times New Roman" w:hAnsi="Times New Roman" w:eastAsia="Times New Roman" w:cs="Times New Roman"/>
          <w:sz w:val="24"/>
          <w:szCs w:val="24"/>
        </w:rPr>
        <w:t xml:space="preserve">any </w:t>
      </w:r>
      <w:r w:rsidRPr="00B60196" w:rsidR="00DE0359">
        <w:rPr>
          <w:rFonts w:ascii="Times New Roman" w:hAnsi="Times New Roman" w:eastAsia="Times New Roman" w:cs="Times New Roman"/>
          <w:sz w:val="24"/>
          <w:szCs w:val="24"/>
        </w:rPr>
        <w:t>concerns.</w:t>
      </w:r>
    </w:p>
    <w:p w:rsidR="00A57102" w:rsidP="00A57102" w:rsidRDefault="00A57102" w14:paraId="7564406D" w14:textId="24B9331F">
      <w:pPr>
        <w:pStyle w:val="ListParagraph"/>
        <w:numPr>
          <w:ilvl w:val="2"/>
          <w:numId w:val="17"/>
        </w:numPr>
        <w:overflowPunct w:val="0"/>
        <w:autoSpaceDE w:val="0"/>
        <w:autoSpaceDN w:val="0"/>
        <w:adjustRightInd w:val="0"/>
        <w:spacing w:before="240" w:after="80" w:line="276" w:lineRule="auto"/>
        <w:ind w:left="720" w:hanging="360"/>
        <w:jc w:val="both"/>
        <w:textAlignment w:val="baseline"/>
        <w:outlineLvl w:val="2"/>
        <w:rPr>
          <w:rFonts w:ascii="Times New Roman" w:hAnsi="Times New Roman" w:eastAsia="Times New Roman" w:cs="Times New Roman"/>
          <w:sz w:val="24"/>
          <w:szCs w:val="24"/>
        </w:rPr>
      </w:pPr>
      <w:r w:rsidRPr="00B60196">
        <w:rPr>
          <w:rFonts w:ascii="Times New Roman" w:hAnsi="Times New Roman" w:eastAsia="Times New Roman" w:cs="Times New Roman"/>
          <w:sz w:val="24"/>
          <w:szCs w:val="24"/>
        </w:rPr>
        <w:t xml:space="preserve">Working with the Workload Distribution Lead for the Regional Center and/or Satellite Office and other appropriate officials in managing workload assignments for new </w:t>
      </w:r>
      <w:r w:rsidRPr="00B60196" w:rsidR="00DE0359">
        <w:rPr>
          <w:rFonts w:ascii="Times New Roman" w:hAnsi="Times New Roman" w:eastAsia="Times New Roman" w:cs="Times New Roman"/>
          <w:sz w:val="24"/>
          <w:szCs w:val="24"/>
        </w:rPr>
        <w:t>applications.</w:t>
      </w:r>
    </w:p>
    <w:p w:rsidR="00A57102" w:rsidP="00A57102" w:rsidRDefault="00A57102" w14:paraId="7564406E" w14:textId="22CC6DDB">
      <w:pPr>
        <w:pStyle w:val="ListParagraph"/>
        <w:numPr>
          <w:ilvl w:val="2"/>
          <w:numId w:val="17"/>
        </w:numPr>
        <w:overflowPunct w:val="0"/>
        <w:autoSpaceDE w:val="0"/>
        <w:autoSpaceDN w:val="0"/>
        <w:adjustRightInd w:val="0"/>
        <w:spacing w:before="240" w:after="80" w:line="276" w:lineRule="auto"/>
        <w:ind w:left="720" w:hanging="360"/>
        <w:jc w:val="both"/>
        <w:textAlignment w:val="baseline"/>
        <w:outlineLvl w:val="2"/>
        <w:rPr>
          <w:rFonts w:ascii="Times New Roman" w:hAnsi="Times New Roman" w:eastAsia="Times New Roman" w:cs="Times New Roman"/>
          <w:sz w:val="24"/>
          <w:szCs w:val="24"/>
        </w:rPr>
      </w:pPr>
      <w:r w:rsidRPr="00B60196">
        <w:rPr>
          <w:rFonts w:ascii="Times New Roman" w:hAnsi="Times New Roman" w:eastAsia="Times New Roman" w:cs="Times New Roman"/>
          <w:sz w:val="24"/>
          <w:szCs w:val="24"/>
        </w:rPr>
        <w:t xml:space="preserve">Screening applications for completeness, and fiscal controls for new application </w:t>
      </w:r>
      <w:r w:rsidRPr="00B60196" w:rsidR="00DE0359">
        <w:rPr>
          <w:rFonts w:ascii="Times New Roman" w:hAnsi="Times New Roman" w:eastAsia="Times New Roman" w:cs="Times New Roman"/>
          <w:sz w:val="24"/>
          <w:szCs w:val="24"/>
        </w:rPr>
        <w:t>submissions.</w:t>
      </w:r>
    </w:p>
    <w:p w:rsidRPr="00B60196" w:rsidR="00A57102" w:rsidP="00A57102" w:rsidRDefault="00A57102" w14:paraId="7564406F" w14:textId="66F6D186">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sidRPr="00B60196">
        <w:rPr>
          <w:rFonts w:ascii="Times New Roman" w:hAnsi="Times New Roman" w:eastAsia="Times New Roman" w:cs="Times New Roman"/>
          <w:sz w:val="24"/>
          <w:szCs w:val="24"/>
        </w:rPr>
        <w:t xml:space="preserve">Conducting an “Early Warning System” screening to determine what level of underwriter and technical specialist review is required given the complexity and risk factors associated with the transaction, and specific risk issues in the </w:t>
      </w:r>
      <w:r w:rsidRPr="00B60196" w:rsidR="003A702A">
        <w:rPr>
          <w:rFonts w:ascii="Times New Roman" w:hAnsi="Times New Roman" w:eastAsia="Times New Roman" w:cs="Times New Roman"/>
          <w:sz w:val="24"/>
          <w:szCs w:val="24"/>
        </w:rPr>
        <w:t>transaction.</w:t>
      </w:r>
    </w:p>
    <w:p w:rsidRPr="00B60196" w:rsidR="00A57102" w:rsidP="00A57102" w:rsidRDefault="00A57102" w14:paraId="75644070" w14:textId="48A776F4">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sidRPr="00B60196">
        <w:rPr>
          <w:rFonts w:ascii="Times New Roman" w:hAnsi="Times New Roman" w:eastAsia="Times New Roman" w:cs="Times New Roman"/>
          <w:sz w:val="24"/>
          <w:szCs w:val="24"/>
        </w:rPr>
        <w:t>After screening or during the underwriting and technical review, the Regional Center or Satellite Office will advise the lender of deficiencies in the application</w:t>
      </w:r>
      <w:r w:rsidR="00AC5F6E">
        <w:rPr>
          <w:rFonts w:ascii="Times New Roman" w:hAnsi="Times New Roman" w:eastAsia="Times New Roman" w:cs="Times New Roman"/>
          <w:sz w:val="24"/>
          <w:szCs w:val="24"/>
        </w:rPr>
        <w:t>,</w:t>
      </w:r>
      <w:r w:rsidRPr="00B60196">
        <w:rPr>
          <w:rFonts w:ascii="Times New Roman" w:hAnsi="Times New Roman" w:eastAsia="Times New Roman" w:cs="Times New Roman"/>
          <w:sz w:val="24"/>
          <w:szCs w:val="24"/>
        </w:rPr>
        <w:t xml:space="preserve"> and the lender will have 5 business days to correct the defects or deficiencies.  If the defects/deficiencies cannot be corrected within the 5 business days, or such other time frame as the Regional Center Director determines as appropriate, HUD will reject the application.</w:t>
      </w:r>
    </w:p>
    <w:p w:rsidRPr="00B60196" w:rsidR="00A57102" w:rsidP="00A57102" w:rsidRDefault="00A57102" w14:paraId="75644071" w14:textId="55E05290">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sidRPr="00B60196">
        <w:rPr>
          <w:rFonts w:ascii="Times New Roman" w:hAnsi="Times New Roman" w:eastAsia="Times New Roman" w:cs="Times New Roman"/>
          <w:sz w:val="24"/>
          <w:szCs w:val="24"/>
        </w:rPr>
        <w:t xml:space="preserve">Acknowledging receipt of the application, management of the queue and estimating processing target </w:t>
      </w:r>
      <w:r w:rsidRPr="00B60196" w:rsidR="003A702A">
        <w:rPr>
          <w:rFonts w:ascii="Times New Roman" w:hAnsi="Times New Roman" w:eastAsia="Times New Roman" w:cs="Times New Roman"/>
          <w:sz w:val="24"/>
          <w:szCs w:val="24"/>
        </w:rPr>
        <w:t>dates.</w:t>
      </w:r>
    </w:p>
    <w:p w:rsidRPr="00B60196" w:rsidR="00A57102" w:rsidP="00A57102" w:rsidRDefault="00A57102" w14:paraId="75644072" w14:textId="5D3C788A">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sidRPr="00B60196">
        <w:rPr>
          <w:rFonts w:ascii="Times New Roman" w:hAnsi="Times New Roman" w:eastAsia="Times New Roman" w:cs="Times New Roman"/>
          <w:sz w:val="24"/>
          <w:szCs w:val="24"/>
        </w:rPr>
        <w:t xml:space="preserve">Advising the lender if there are deficiencies or additional information is </w:t>
      </w:r>
      <w:r w:rsidRPr="00B60196" w:rsidR="003A702A">
        <w:rPr>
          <w:rFonts w:ascii="Times New Roman" w:hAnsi="Times New Roman" w:eastAsia="Times New Roman" w:cs="Times New Roman"/>
          <w:sz w:val="24"/>
          <w:szCs w:val="24"/>
        </w:rPr>
        <w:t>needed.</w:t>
      </w:r>
    </w:p>
    <w:p w:rsidRPr="00B60196" w:rsidR="00A57102" w:rsidP="00A57102" w:rsidRDefault="00A57102" w14:paraId="75644073" w14:textId="573838AD">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sidRPr="00B60196">
        <w:rPr>
          <w:rFonts w:ascii="Times New Roman" w:hAnsi="Times New Roman" w:eastAsia="Times New Roman" w:cs="Times New Roman"/>
          <w:sz w:val="24"/>
          <w:szCs w:val="24"/>
        </w:rPr>
        <w:t>Performing technical reviews based on lender underwriting and third</w:t>
      </w:r>
      <w:r w:rsidR="00AC5F6E">
        <w:rPr>
          <w:rFonts w:ascii="Times New Roman" w:hAnsi="Times New Roman" w:eastAsia="Times New Roman" w:cs="Times New Roman"/>
          <w:sz w:val="24"/>
          <w:szCs w:val="24"/>
        </w:rPr>
        <w:t>-</w:t>
      </w:r>
      <w:r w:rsidRPr="00B60196">
        <w:rPr>
          <w:rFonts w:ascii="Times New Roman" w:hAnsi="Times New Roman" w:eastAsia="Times New Roman" w:cs="Times New Roman"/>
          <w:sz w:val="24"/>
          <w:szCs w:val="24"/>
        </w:rPr>
        <w:t xml:space="preserve">party </w:t>
      </w:r>
      <w:r w:rsidRPr="00B60196" w:rsidR="007F422D">
        <w:rPr>
          <w:rFonts w:ascii="Times New Roman" w:hAnsi="Times New Roman" w:eastAsia="Times New Roman" w:cs="Times New Roman"/>
          <w:sz w:val="24"/>
          <w:szCs w:val="24"/>
        </w:rPr>
        <w:t>reports or</w:t>
      </w:r>
      <w:r w:rsidRPr="00B60196">
        <w:rPr>
          <w:rFonts w:ascii="Times New Roman" w:hAnsi="Times New Roman" w:eastAsia="Times New Roman" w:cs="Times New Roman"/>
          <w:sz w:val="24"/>
          <w:szCs w:val="24"/>
        </w:rPr>
        <w:t xml:space="preserve"> arranging for technical specialist reviews for higher risk or complex transactions or functions that need specific technical analysis given the features of a particular </w:t>
      </w:r>
      <w:r w:rsidRPr="00B60196" w:rsidR="007F422D">
        <w:rPr>
          <w:rFonts w:ascii="Times New Roman" w:hAnsi="Times New Roman" w:eastAsia="Times New Roman" w:cs="Times New Roman"/>
          <w:sz w:val="24"/>
          <w:szCs w:val="24"/>
        </w:rPr>
        <w:t>transaction.</w:t>
      </w:r>
    </w:p>
    <w:p w:rsidRPr="00B60196" w:rsidR="00A57102" w:rsidP="00A57102" w:rsidRDefault="00A57102" w14:paraId="75644074" w14:textId="4F5C31CB">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sidRPr="00B60196">
        <w:rPr>
          <w:rFonts w:ascii="Times New Roman" w:hAnsi="Times New Roman" w:eastAsia="Times New Roman" w:cs="Times New Roman"/>
          <w:sz w:val="24"/>
          <w:szCs w:val="24"/>
        </w:rPr>
        <w:t xml:space="preserve"> Recommending transactions for loan approval (or rejection) </w:t>
      </w:r>
      <w:r w:rsidRPr="00B60196" w:rsidR="007F422D">
        <w:rPr>
          <w:rFonts w:ascii="Times New Roman" w:hAnsi="Times New Roman" w:eastAsia="Times New Roman" w:cs="Times New Roman"/>
          <w:sz w:val="24"/>
          <w:szCs w:val="24"/>
        </w:rPr>
        <w:t>decisions.</w:t>
      </w:r>
    </w:p>
    <w:p w:rsidRPr="00B60196" w:rsidR="00A57102" w:rsidP="00A57102" w:rsidRDefault="00A57102" w14:paraId="75644075" w14:textId="00F736C4">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sidRPr="00B60196">
        <w:rPr>
          <w:rFonts w:ascii="Times New Roman" w:hAnsi="Times New Roman" w:eastAsia="Times New Roman" w:cs="Times New Roman"/>
          <w:sz w:val="24"/>
          <w:szCs w:val="24"/>
        </w:rPr>
        <w:t xml:space="preserve">Preparing and issuing Pre-application Invitation letters and Firm </w:t>
      </w:r>
      <w:r w:rsidRPr="00B60196" w:rsidR="007F422D">
        <w:rPr>
          <w:rFonts w:ascii="Times New Roman" w:hAnsi="Times New Roman" w:eastAsia="Times New Roman" w:cs="Times New Roman"/>
          <w:sz w:val="24"/>
          <w:szCs w:val="24"/>
        </w:rPr>
        <w:t>Commitments.</w:t>
      </w:r>
    </w:p>
    <w:p w:rsidRPr="00B60196" w:rsidR="00A57102" w:rsidP="00A57102" w:rsidRDefault="00B23867" w14:paraId="75644076" w14:textId="455DE88B">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rPr>
        <w:t>Assisting the closing coordinator as needed in c</w:t>
      </w:r>
      <w:r w:rsidRPr="00B60196" w:rsidR="00A57102">
        <w:rPr>
          <w:rFonts w:ascii="Times New Roman" w:hAnsi="Times New Roman" w:eastAsia="Times New Roman" w:cs="Times New Roman"/>
          <w:sz w:val="24"/>
          <w:szCs w:val="24"/>
        </w:rPr>
        <w:t xml:space="preserve">oordinating the closing process with OGC, the lender, and borrower’s </w:t>
      </w:r>
      <w:r w:rsidRPr="00B60196" w:rsidR="007F422D">
        <w:rPr>
          <w:rFonts w:ascii="Times New Roman" w:hAnsi="Times New Roman" w:eastAsia="Times New Roman" w:cs="Times New Roman"/>
          <w:sz w:val="24"/>
          <w:szCs w:val="24"/>
        </w:rPr>
        <w:t>team.</w:t>
      </w:r>
    </w:p>
    <w:p w:rsidRPr="00B60196" w:rsidR="00A57102" w:rsidP="00A57102" w:rsidRDefault="00A57102" w14:paraId="75644077" w14:textId="51ABF98C">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sidRPr="00B60196">
        <w:rPr>
          <w:rFonts w:ascii="Times New Roman" w:hAnsi="Times New Roman" w:eastAsia="Times New Roman" w:cs="Times New Roman"/>
          <w:sz w:val="24"/>
          <w:szCs w:val="24"/>
        </w:rPr>
        <w:t>Coordinating with Asset Management in turnover of files, briefing about conditions of the Firm Commitment, and providing information necessary for Asset Management’s risk rating of the transaction</w:t>
      </w:r>
      <w:r w:rsidR="005D3B0B">
        <w:rPr>
          <w:rFonts w:ascii="Times New Roman" w:hAnsi="Times New Roman" w:eastAsia="Times New Roman" w:cs="Times New Roman"/>
          <w:sz w:val="24"/>
          <w:szCs w:val="24"/>
        </w:rPr>
        <w:t>; and</w:t>
      </w:r>
    </w:p>
    <w:p w:rsidRPr="00B60196" w:rsidR="00A57102" w:rsidP="00A57102" w:rsidRDefault="00A57102" w14:paraId="75644078" w14:textId="77777777">
      <w:pPr>
        <w:pStyle w:val="ListParagraph"/>
        <w:numPr>
          <w:ilvl w:val="2"/>
          <w:numId w:val="17"/>
        </w:num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shd w:val="clear" w:color="auto" w:fill="FFFFFF"/>
        </w:rPr>
      </w:pPr>
      <w:r w:rsidRPr="00B60196">
        <w:rPr>
          <w:rFonts w:ascii="Times New Roman" w:hAnsi="Times New Roman" w:eastAsia="Times New Roman" w:cs="Times New Roman"/>
          <w:sz w:val="24"/>
          <w:szCs w:val="24"/>
        </w:rPr>
        <w:t xml:space="preserve">Coordinating with Asset Management and/or HUD’s Departmental Enforcement Center (DEC) to ensure that any open DEC referrals with respect to the borrower or the proposed managing agent are resolved.  </w:t>
      </w:r>
    </w:p>
    <w:p w:rsidRPr="000023DB" w:rsidR="00A57102" w:rsidP="00A57102" w:rsidRDefault="00A57102" w14:paraId="75644079" w14:textId="77777777">
      <w:pPr>
        <w:widowControl w:val="0"/>
        <w:overflowPunct w:val="0"/>
        <w:autoSpaceDE w:val="0"/>
        <w:autoSpaceDN w:val="0"/>
        <w:adjustRightInd w:val="0"/>
        <w:spacing w:before="240" w:after="120"/>
        <w:ind w:left="360" w:hanging="36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w:t>
      </w:r>
      <w:r w:rsidRPr="000023DB">
        <w:rPr>
          <w:rFonts w:ascii="Times New Roman" w:hAnsi="Times New Roman" w:eastAsia="Times New Roman" w:cs="Times New Roman"/>
          <w:sz w:val="24"/>
          <w:szCs w:val="24"/>
        </w:rPr>
        <w:tab/>
        <w:t xml:space="preserve">Pre-application and Firm Commitment Processing. </w:t>
      </w:r>
    </w:p>
    <w:p w:rsidRPr="000023DB" w:rsidR="00A57102" w:rsidP="00A57102" w:rsidRDefault="00A57102" w14:paraId="7564407A" w14:textId="0ABCBE91">
      <w:pPr>
        <w:tabs>
          <w:tab w:val="left" w:pos="3240"/>
        </w:tabs>
        <w:overflowPunct w:val="0"/>
        <w:autoSpaceDE w:val="0"/>
        <w:autoSpaceDN w:val="0"/>
        <w:adjustRightInd w:val="0"/>
        <w:spacing w:before="240" w:after="120"/>
        <w:ind w:left="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color w:val="000000" w:themeColor="text1"/>
          <w:sz w:val="24"/>
          <w:szCs w:val="24"/>
        </w:rPr>
        <w:t xml:space="preserve">The HUD underwriter will conduct or arrange for the Pre-application or Firm Commitment review, including any required technical specialist reviews. </w:t>
      </w:r>
      <w:r w:rsidRPr="000023DB">
        <w:rPr>
          <w:rFonts w:ascii="Times New Roman" w:hAnsi="Times New Roman" w:eastAsia="Times New Roman" w:cs="Times New Roman"/>
          <w:sz w:val="24"/>
          <w:szCs w:val="24"/>
        </w:rPr>
        <w:t>The HUD underwriter will coordinate the technical reviews, resolve any inconsistencies and make a recommendation as to whether an application should be approved, modified or rejected</w:t>
      </w:r>
      <w:r>
        <w:rPr>
          <w:rFonts w:ascii="Times New Roman" w:hAnsi="Times New Roman" w:eastAsia="Times New Roman" w:cs="Times New Roman"/>
          <w:sz w:val="24"/>
          <w:szCs w:val="24"/>
        </w:rPr>
        <w:t xml:space="preserve">. </w:t>
      </w:r>
      <w:r w:rsidR="00BC625A">
        <w:rPr>
          <w:rFonts w:ascii="Times New Roman" w:hAnsi="Times New Roman" w:eastAsia="Times New Roman" w:cs="Times New Roman"/>
          <w:sz w:val="24"/>
          <w:szCs w:val="24"/>
        </w:rPr>
        <w:t>The HUD underwriter</w:t>
      </w:r>
      <w:r w:rsidRPr="000023DB" w:rsidR="00BC625A">
        <w:rPr>
          <w:rFonts w:ascii="Times New Roman" w:hAnsi="Times New Roman" w:eastAsia="Times New Roman" w:cs="Times New Roman"/>
          <w:sz w:val="24"/>
          <w:szCs w:val="24"/>
        </w:rPr>
        <w:t xml:space="preserve"> </w:t>
      </w:r>
      <w:r w:rsidRPr="000023DB">
        <w:rPr>
          <w:rFonts w:ascii="Times New Roman" w:hAnsi="Times New Roman" w:eastAsia="Times New Roman" w:cs="Times New Roman"/>
          <w:sz w:val="24"/>
          <w:szCs w:val="24"/>
        </w:rPr>
        <w:t xml:space="preserve">must document and justify any recommendation to approve a loan or to require conditions with which one or more technical reviewers </w:t>
      </w:r>
      <w:r w:rsidR="00F91C3C">
        <w:rPr>
          <w:rFonts w:ascii="Times New Roman" w:hAnsi="Times New Roman" w:eastAsia="Times New Roman" w:cs="Times New Roman"/>
          <w:sz w:val="24"/>
          <w:szCs w:val="24"/>
        </w:rPr>
        <w:t xml:space="preserve">does not </w:t>
      </w:r>
      <w:r w:rsidRPr="000023DB">
        <w:rPr>
          <w:rFonts w:ascii="Times New Roman" w:hAnsi="Times New Roman" w:eastAsia="Times New Roman" w:cs="Times New Roman"/>
          <w:sz w:val="24"/>
          <w:szCs w:val="24"/>
        </w:rPr>
        <w:t>concur.</w:t>
      </w:r>
    </w:p>
    <w:p w:rsidRPr="000023DB" w:rsidR="00A57102" w:rsidP="00A57102" w:rsidRDefault="00A57102" w14:paraId="7564407B" w14:textId="76ADA6F8">
      <w:pPr>
        <w:shd w:val="clear" w:color="auto" w:fill="FFFFFF"/>
        <w:spacing w:before="240" w:after="120" w:line="276" w:lineRule="auto"/>
        <w:ind w:left="360"/>
        <w:jc w:val="both"/>
        <w:rPr>
          <w:rFonts w:ascii="Times New Roman" w:hAnsi="Times New Roman" w:cs="Times New Roman"/>
          <w:color w:val="000000" w:themeColor="text1"/>
          <w:sz w:val="24"/>
        </w:rPr>
      </w:pPr>
      <w:r w:rsidRPr="000023DB">
        <w:rPr>
          <w:rFonts w:ascii="Times New Roman" w:hAnsi="Times New Roman" w:cs="Times New Roman"/>
          <w:color w:val="000000" w:themeColor="text1"/>
          <w:sz w:val="24"/>
        </w:rPr>
        <w:t xml:space="preserve">If a HUD technical review does not concur with the conclusions approved by the Regional Center or Satellite Office Director, </w:t>
      </w:r>
      <w:r w:rsidR="00F6213D">
        <w:rPr>
          <w:rFonts w:ascii="Times New Roman" w:hAnsi="Times New Roman" w:cs="Times New Roman"/>
          <w:color w:val="000000" w:themeColor="text1"/>
          <w:sz w:val="24"/>
        </w:rPr>
        <w:t>th</w:t>
      </w:r>
      <w:r w:rsidR="00280DB4">
        <w:rPr>
          <w:rFonts w:ascii="Times New Roman" w:hAnsi="Times New Roman" w:cs="Times New Roman"/>
          <w:color w:val="000000" w:themeColor="text1"/>
          <w:sz w:val="24"/>
        </w:rPr>
        <w:t>e</w:t>
      </w:r>
      <w:r w:rsidR="00F6213D">
        <w:rPr>
          <w:rFonts w:ascii="Times New Roman" w:hAnsi="Times New Roman" w:cs="Times New Roman"/>
          <w:color w:val="000000" w:themeColor="text1"/>
          <w:sz w:val="24"/>
        </w:rPr>
        <w:t xml:space="preserve"> technical revie</w:t>
      </w:r>
      <w:r w:rsidR="004414A8">
        <w:rPr>
          <w:rFonts w:ascii="Times New Roman" w:hAnsi="Times New Roman" w:cs="Times New Roman"/>
          <w:color w:val="000000" w:themeColor="text1"/>
          <w:sz w:val="24"/>
        </w:rPr>
        <w:t>wer</w:t>
      </w:r>
      <w:r w:rsidRPr="000023DB" w:rsidR="00F6213D">
        <w:rPr>
          <w:rFonts w:ascii="Times New Roman" w:hAnsi="Times New Roman" w:cs="Times New Roman"/>
          <w:color w:val="000000" w:themeColor="text1"/>
          <w:sz w:val="24"/>
        </w:rPr>
        <w:t xml:space="preserve"> </w:t>
      </w:r>
      <w:r w:rsidRPr="000023DB">
        <w:rPr>
          <w:rFonts w:ascii="Times New Roman" w:hAnsi="Times New Roman" w:cs="Times New Roman"/>
          <w:color w:val="000000" w:themeColor="text1"/>
          <w:sz w:val="24"/>
        </w:rPr>
        <w:t>may document the non-concurrence separately in the file. The HUD underwriter should address the non-concurrence and document how the issues were addressed in the loan approval decision.</w:t>
      </w:r>
    </w:p>
    <w:p w:rsidRPr="000023DB" w:rsidR="00A57102" w:rsidP="00A57102" w:rsidRDefault="00A57102" w14:paraId="7564407C" w14:textId="7EEB7299">
      <w:pPr>
        <w:shd w:val="clear" w:color="auto" w:fill="FFFFFF"/>
        <w:spacing w:before="240" w:after="120" w:line="276" w:lineRule="auto"/>
        <w:ind w:left="360"/>
        <w:jc w:val="both"/>
        <w:rPr>
          <w:rFonts w:ascii="Times New Roman" w:hAnsi="Times New Roman" w:cs="Times New Roman"/>
          <w:sz w:val="24"/>
        </w:rPr>
      </w:pPr>
      <w:r w:rsidRPr="000023DB">
        <w:rPr>
          <w:rFonts w:ascii="Times New Roman" w:hAnsi="Times New Roman" w:cs="Times New Roman"/>
          <w:sz w:val="24"/>
        </w:rPr>
        <w:t xml:space="preserve">Upon completion of the technical reviews and the environmental assessment, the HUD Underwriter </w:t>
      </w:r>
      <w:r w:rsidR="00A82FF8">
        <w:rPr>
          <w:rFonts w:ascii="Times New Roman" w:hAnsi="Times New Roman" w:cs="Times New Roman"/>
          <w:sz w:val="24"/>
        </w:rPr>
        <w:t xml:space="preserve">must </w:t>
      </w:r>
      <w:r w:rsidRPr="000023DB">
        <w:rPr>
          <w:rFonts w:ascii="Times New Roman" w:hAnsi="Times New Roman" w:cs="Times New Roman"/>
          <w:sz w:val="24"/>
        </w:rPr>
        <w:t xml:space="preserve">prepare a memorandum to the Regional Center or Satellite Office Director summarizing the individual reviews of the specialists, any proposed waivers of Guide requirements and the Team Leader’s overall recommendation.  </w:t>
      </w:r>
    </w:p>
    <w:p w:rsidRPr="000023DB" w:rsidR="00A57102" w:rsidP="00A57102" w:rsidRDefault="00A57102" w14:paraId="7564407D"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0023DB">
        <w:rPr>
          <w:rFonts w:ascii="Times New Roman" w:hAnsi="Times New Roman" w:eastAsia="Times New Roman" w:cs="Times New Roman"/>
          <w:sz w:val="24"/>
          <w:szCs w:val="24"/>
        </w:rPr>
        <w:t>.  Underwriting Recommendation</w:t>
      </w:r>
      <w:r>
        <w:rPr>
          <w:rFonts w:ascii="Times New Roman" w:hAnsi="Times New Roman" w:eastAsia="Times New Roman" w:cs="Times New Roman"/>
          <w:sz w:val="24"/>
          <w:szCs w:val="24"/>
        </w:rPr>
        <w:t>.</w:t>
      </w:r>
    </w:p>
    <w:p w:rsidRPr="000023DB" w:rsidR="00A57102" w:rsidP="00A57102" w:rsidRDefault="00A57102" w14:paraId="7564407E"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The memorandum recommending loan approval will be in the standard loan committee report or alternative format, and specifically address: </w:t>
      </w:r>
    </w:p>
    <w:p w:rsidRPr="000023DB" w:rsidR="00A57102" w:rsidP="00A57102" w:rsidRDefault="00A57102" w14:paraId="7564407F" w14:textId="10816009">
      <w:pPr>
        <w:numPr>
          <w:ilvl w:val="0"/>
          <w:numId w:val="2"/>
        </w:numPr>
        <w:overflowPunct w:val="0"/>
        <w:autoSpaceDE w:val="0"/>
        <w:autoSpaceDN w:val="0"/>
        <w:adjustRightInd w:val="0"/>
        <w:spacing w:before="80" w:after="80" w:line="276" w:lineRule="auto"/>
        <w:ind w:left="720"/>
        <w:jc w:val="both"/>
        <w:textAlignment w:val="baseline"/>
        <w:rPr>
          <w:rFonts w:ascii="Times New Roman" w:hAnsi="Times New Roman" w:cs="Times New Roman"/>
          <w:sz w:val="24"/>
        </w:rPr>
      </w:pPr>
      <w:r w:rsidRPr="000023DB">
        <w:rPr>
          <w:rFonts w:ascii="Times New Roman" w:hAnsi="Times New Roman" w:cs="Times New Roman"/>
          <w:sz w:val="24"/>
        </w:rPr>
        <w:t xml:space="preserve">The adequacy of the initial operating deficit for any new construction or substantial rehabilitation </w:t>
      </w:r>
      <w:r w:rsidRPr="000023DB" w:rsidR="00F70005">
        <w:rPr>
          <w:rFonts w:ascii="Times New Roman" w:hAnsi="Times New Roman" w:cs="Times New Roman"/>
          <w:sz w:val="24"/>
        </w:rPr>
        <w:t>loans.</w:t>
      </w:r>
    </w:p>
    <w:p w:rsidRPr="000023DB" w:rsidR="00A57102" w:rsidP="00A57102" w:rsidRDefault="00A57102" w14:paraId="75644080" w14:textId="1ED3894F">
      <w:pPr>
        <w:numPr>
          <w:ilvl w:val="0"/>
          <w:numId w:val="3"/>
        </w:numPr>
        <w:tabs>
          <w:tab w:val="left" w:pos="1080"/>
        </w:tabs>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The adequacy of the working capital escrow and construction contingency for any new construction or substantial rehabilitation </w:t>
      </w:r>
      <w:r w:rsidRPr="000023DB" w:rsidR="00F70005">
        <w:rPr>
          <w:rFonts w:ascii="Times New Roman" w:hAnsi="Times New Roman" w:eastAsia="Times New Roman" w:cs="Times New Roman"/>
          <w:sz w:val="24"/>
          <w:szCs w:val="24"/>
        </w:rPr>
        <w:t>loans.</w:t>
      </w:r>
    </w:p>
    <w:p w:rsidRPr="000023DB" w:rsidR="00A57102" w:rsidP="00A57102" w:rsidRDefault="00A57102" w14:paraId="75644081" w14:textId="33BA2936">
      <w:pPr>
        <w:numPr>
          <w:ilvl w:val="0"/>
          <w:numId w:val="3"/>
        </w:numPr>
        <w:tabs>
          <w:tab w:val="left" w:pos="1080"/>
        </w:tabs>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The adequacy of the initial deposit and ongoing </w:t>
      </w:r>
      <w:r>
        <w:rPr>
          <w:rFonts w:ascii="Times New Roman" w:hAnsi="Times New Roman" w:eastAsia="Times New Roman" w:cs="Times New Roman"/>
          <w:sz w:val="24"/>
          <w:szCs w:val="24"/>
        </w:rPr>
        <w:t xml:space="preserve">payments to the </w:t>
      </w:r>
      <w:r w:rsidRPr="000023DB">
        <w:rPr>
          <w:rFonts w:ascii="Times New Roman" w:hAnsi="Times New Roman" w:eastAsia="Times New Roman" w:cs="Times New Roman"/>
          <w:sz w:val="24"/>
          <w:szCs w:val="24"/>
        </w:rPr>
        <w:t xml:space="preserve">reserve for </w:t>
      </w:r>
      <w:r w:rsidRPr="000023DB" w:rsidR="00F70005">
        <w:rPr>
          <w:rFonts w:ascii="Times New Roman" w:hAnsi="Times New Roman" w:eastAsia="Times New Roman" w:cs="Times New Roman"/>
          <w:sz w:val="24"/>
          <w:szCs w:val="24"/>
        </w:rPr>
        <w:t>replacement.</w:t>
      </w:r>
      <w:r w:rsidRPr="000023DB">
        <w:rPr>
          <w:rFonts w:ascii="Times New Roman" w:hAnsi="Times New Roman" w:eastAsia="Times New Roman" w:cs="Times New Roman"/>
          <w:sz w:val="24"/>
          <w:szCs w:val="24"/>
        </w:rPr>
        <w:t xml:space="preserve"> </w:t>
      </w:r>
    </w:p>
    <w:p w:rsidRPr="000023DB" w:rsidR="00A57102" w:rsidP="00A57102" w:rsidRDefault="00A57102" w14:paraId="75644082" w14:textId="31C3FA1E">
      <w:pPr>
        <w:numPr>
          <w:ilvl w:val="0"/>
          <w:numId w:val="3"/>
        </w:numPr>
        <w:tabs>
          <w:tab w:val="left" w:pos="1080"/>
        </w:tabs>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A description </w:t>
      </w:r>
      <w:r w:rsidRPr="000023DB" w:rsidR="00F65825">
        <w:rPr>
          <w:rFonts w:ascii="Times New Roman" w:hAnsi="Times New Roman" w:eastAsia="Times New Roman" w:cs="Times New Roman"/>
          <w:sz w:val="24"/>
          <w:szCs w:val="24"/>
        </w:rPr>
        <w:t>of any</w:t>
      </w:r>
      <w:r w:rsidRPr="000023DB">
        <w:rPr>
          <w:rFonts w:ascii="Times New Roman" w:hAnsi="Times New Roman" w:eastAsia="Times New Roman" w:cs="Times New Roman"/>
          <w:sz w:val="24"/>
          <w:szCs w:val="24"/>
        </w:rPr>
        <w:t xml:space="preserve"> non-critical repairs to be performed after closing for Section 223(f) </w:t>
      </w:r>
      <w:r w:rsidRPr="000023DB" w:rsidR="00F70005">
        <w:rPr>
          <w:rFonts w:ascii="Times New Roman" w:hAnsi="Times New Roman" w:eastAsia="Times New Roman" w:cs="Times New Roman"/>
          <w:sz w:val="24"/>
          <w:szCs w:val="24"/>
        </w:rPr>
        <w:t>loans.</w:t>
      </w:r>
      <w:r w:rsidRPr="000023DB">
        <w:rPr>
          <w:rFonts w:ascii="Times New Roman" w:hAnsi="Times New Roman" w:eastAsia="Times New Roman" w:cs="Times New Roman"/>
          <w:sz w:val="24"/>
          <w:szCs w:val="24"/>
        </w:rPr>
        <w:t xml:space="preserve"> </w:t>
      </w:r>
    </w:p>
    <w:p w:rsidRPr="000023DB" w:rsidR="00A57102" w:rsidP="00A57102" w:rsidRDefault="00A57102" w14:paraId="75644083" w14:textId="1EBAD8AF">
      <w:pPr>
        <w:numPr>
          <w:ilvl w:val="0"/>
          <w:numId w:val="3"/>
        </w:numPr>
        <w:tabs>
          <w:tab w:val="left" w:pos="1080"/>
        </w:tabs>
        <w:overflowPunct w:val="0"/>
        <w:autoSpaceDE w:val="0"/>
        <w:autoSpaceDN w:val="0"/>
        <w:adjustRightInd w:val="0"/>
        <w:spacing w:before="80" w:after="80" w:line="276" w:lineRule="auto"/>
        <w:ind w:left="720"/>
        <w:jc w:val="both"/>
        <w:textAlignment w:val="baseline"/>
        <w:rPr>
          <w:rFonts w:ascii="Times New Roman" w:hAnsi="Times New Roman" w:cs="Times New Roman"/>
          <w:color w:val="000000" w:themeColor="text1"/>
          <w:sz w:val="24"/>
          <w:szCs w:val="24"/>
        </w:rPr>
      </w:pPr>
      <w:r w:rsidRPr="000023DB">
        <w:rPr>
          <w:rFonts w:ascii="Times New Roman" w:hAnsi="Times New Roman" w:cs="Times New Roman"/>
          <w:color w:val="000000" w:themeColor="text1"/>
          <w:sz w:val="24"/>
          <w:szCs w:val="24"/>
        </w:rPr>
        <w:t xml:space="preserve">In a tax credit transaction, the schedule of the equity contribution at closing and </w:t>
      </w:r>
      <w:r w:rsidRPr="000023DB" w:rsidR="00F65825">
        <w:rPr>
          <w:rFonts w:ascii="Times New Roman" w:hAnsi="Times New Roman" w:cs="Times New Roman"/>
          <w:color w:val="000000" w:themeColor="text1"/>
          <w:sz w:val="24"/>
          <w:szCs w:val="24"/>
        </w:rPr>
        <w:t>remainder during</w:t>
      </w:r>
      <w:r>
        <w:rPr>
          <w:rFonts w:ascii="Times New Roman" w:hAnsi="Times New Roman" w:cs="Times New Roman"/>
          <w:color w:val="000000" w:themeColor="text1"/>
          <w:sz w:val="24"/>
          <w:szCs w:val="24"/>
        </w:rPr>
        <w:t xml:space="preserve"> various stages of the</w:t>
      </w:r>
      <w:r w:rsidRPr="000023DB">
        <w:rPr>
          <w:rFonts w:ascii="Times New Roman" w:hAnsi="Times New Roman" w:cs="Times New Roman"/>
          <w:color w:val="000000" w:themeColor="text1"/>
          <w:sz w:val="24"/>
          <w:szCs w:val="24"/>
        </w:rPr>
        <w:t xml:space="preserve"> construction</w:t>
      </w:r>
      <w:r>
        <w:rPr>
          <w:rFonts w:ascii="Times New Roman" w:hAnsi="Times New Roman" w:cs="Times New Roman"/>
          <w:color w:val="000000" w:themeColor="text1"/>
          <w:sz w:val="24"/>
          <w:szCs w:val="24"/>
        </w:rPr>
        <w:t xml:space="preserve"> </w:t>
      </w:r>
      <w:r w:rsidR="00F70005">
        <w:rPr>
          <w:rFonts w:ascii="Times New Roman" w:hAnsi="Times New Roman" w:cs="Times New Roman"/>
          <w:color w:val="000000" w:themeColor="text1"/>
          <w:sz w:val="24"/>
          <w:szCs w:val="24"/>
        </w:rPr>
        <w:t>period</w:t>
      </w:r>
      <w:r w:rsidRPr="000023DB" w:rsidR="00F70005">
        <w:rPr>
          <w:rFonts w:ascii="Times New Roman" w:hAnsi="Times New Roman" w:cs="Times New Roman"/>
          <w:color w:val="000000" w:themeColor="text1"/>
          <w:sz w:val="24"/>
          <w:szCs w:val="24"/>
        </w:rPr>
        <w:t>.</w:t>
      </w:r>
    </w:p>
    <w:p w:rsidRPr="000023DB" w:rsidR="00A57102" w:rsidP="00A57102" w:rsidRDefault="00F65825" w14:paraId="75644084" w14:textId="71076F6F">
      <w:pPr>
        <w:numPr>
          <w:ilvl w:val="0"/>
          <w:numId w:val="3"/>
        </w:numPr>
        <w:tabs>
          <w:tab w:val="left" w:pos="1080"/>
        </w:tabs>
        <w:overflowPunct w:val="0"/>
        <w:autoSpaceDE w:val="0"/>
        <w:autoSpaceDN w:val="0"/>
        <w:adjustRightInd w:val="0"/>
        <w:spacing w:before="80" w:after="80" w:line="276" w:lineRule="auto"/>
        <w:ind w:left="720"/>
        <w:jc w:val="both"/>
        <w:textAlignment w:val="baseline"/>
        <w:rPr>
          <w:rFonts w:ascii="Times New Roman" w:hAnsi="Times New Roman" w:cs="Times New Roman"/>
          <w:color w:val="000000" w:themeColor="text1"/>
          <w:sz w:val="24"/>
          <w:szCs w:val="24"/>
        </w:rPr>
      </w:pPr>
      <w:r w:rsidRPr="000023DB">
        <w:rPr>
          <w:rFonts w:ascii="Times New Roman" w:hAnsi="Times New Roman" w:cs="Times New Roman"/>
          <w:color w:val="000000" w:themeColor="text1"/>
          <w:sz w:val="24"/>
          <w:szCs w:val="24"/>
        </w:rPr>
        <w:t>The architectural</w:t>
      </w:r>
      <w:r w:rsidRPr="000023DB" w:rsidR="00A57102">
        <w:rPr>
          <w:rFonts w:ascii="Times New Roman" w:hAnsi="Times New Roman" w:cs="Times New Roman"/>
          <w:color w:val="000000" w:themeColor="text1"/>
          <w:sz w:val="24"/>
          <w:szCs w:val="24"/>
        </w:rPr>
        <w:t xml:space="preserve"> drawings and specifications; and</w:t>
      </w:r>
    </w:p>
    <w:p w:rsidRPr="000023DB" w:rsidR="00A57102" w:rsidP="00A57102" w:rsidRDefault="00A57102" w14:paraId="75644085" w14:textId="77777777">
      <w:pPr>
        <w:numPr>
          <w:ilvl w:val="0"/>
          <w:numId w:val="3"/>
        </w:numPr>
        <w:tabs>
          <w:tab w:val="left" w:pos="1080"/>
        </w:tabs>
        <w:overflowPunct w:val="0"/>
        <w:autoSpaceDE w:val="0"/>
        <w:autoSpaceDN w:val="0"/>
        <w:adjustRightInd w:val="0"/>
        <w:spacing w:before="80" w:after="80" w:line="276" w:lineRule="auto"/>
        <w:ind w:left="720"/>
        <w:jc w:val="both"/>
        <w:textAlignment w:val="baseline"/>
        <w:rPr>
          <w:rFonts w:ascii="Times New Roman" w:hAnsi="Times New Roman" w:cs="Times New Roman"/>
          <w:color w:val="000000" w:themeColor="text1"/>
          <w:sz w:val="24"/>
          <w:szCs w:val="24"/>
        </w:rPr>
      </w:pPr>
      <w:r w:rsidRPr="000023DB">
        <w:rPr>
          <w:rFonts w:ascii="Times New Roman" w:hAnsi="Times New Roman" w:cs="Times New Roman"/>
          <w:color w:val="000000" w:themeColor="text1"/>
          <w:sz w:val="24"/>
          <w:szCs w:val="24"/>
        </w:rPr>
        <w:t>Any environmental conditions or other concerns.</w:t>
      </w:r>
    </w:p>
    <w:p w:rsidRPr="000023DB" w:rsidR="00A57102" w:rsidP="00A57102" w:rsidRDefault="00A57102" w14:paraId="75644086" w14:textId="61B60670">
      <w:pPr>
        <w:spacing w:before="120" w:after="120" w:line="276" w:lineRule="auto"/>
        <w:ind w:left="360"/>
        <w:jc w:val="both"/>
        <w:rPr>
          <w:rFonts w:ascii="Times New Roman" w:hAnsi="Times New Roman" w:cs="Times New Roman"/>
          <w:color w:val="000000" w:themeColor="text1"/>
          <w:sz w:val="24"/>
          <w:szCs w:val="24"/>
        </w:rPr>
      </w:pPr>
      <w:r w:rsidRPr="000023DB">
        <w:rPr>
          <w:rFonts w:ascii="Times New Roman" w:hAnsi="Times New Roman" w:cs="Times New Roman"/>
          <w:color w:val="000000" w:themeColor="text1"/>
          <w:sz w:val="24"/>
          <w:szCs w:val="24"/>
        </w:rPr>
        <w:t xml:space="preserve">Back-up documentation  necessary to prepare and  issue the Firm Commitment </w:t>
      </w:r>
      <w:r w:rsidR="00E9492F">
        <w:rPr>
          <w:rFonts w:ascii="Times New Roman" w:hAnsi="Times New Roman" w:cs="Times New Roman"/>
          <w:color w:val="000000" w:themeColor="text1"/>
          <w:sz w:val="24"/>
          <w:szCs w:val="24"/>
        </w:rPr>
        <w:t>must</w:t>
      </w:r>
      <w:r w:rsidRPr="000023DB" w:rsidR="00E9492F">
        <w:rPr>
          <w:rFonts w:ascii="Times New Roman" w:hAnsi="Times New Roman" w:cs="Times New Roman"/>
          <w:color w:val="000000" w:themeColor="text1"/>
          <w:sz w:val="24"/>
          <w:szCs w:val="24"/>
        </w:rPr>
        <w:t xml:space="preserve"> </w:t>
      </w:r>
      <w:r w:rsidRPr="000023DB">
        <w:rPr>
          <w:rFonts w:ascii="Times New Roman" w:hAnsi="Times New Roman" w:cs="Times New Roman"/>
          <w:color w:val="000000" w:themeColor="text1"/>
          <w:sz w:val="24"/>
          <w:szCs w:val="24"/>
        </w:rPr>
        <w:t xml:space="preserve">be attached or available, including  Previous Participation Certification from APPS, the technical staff reviews, the lender narrative summary, the lender’s technical reviews, Forms HUD-92264 and HUD-92264-A signed by the HUD reviewers and Team Leader. Where the HUD underwriter has rejected a conclusion by a technical </w:t>
      </w:r>
      <w:r w:rsidRPr="000023DB" w:rsidR="009A4C5E">
        <w:rPr>
          <w:rFonts w:ascii="Times New Roman" w:hAnsi="Times New Roman" w:cs="Times New Roman"/>
          <w:color w:val="000000" w:themeColor="text1"/>
          <w:sz w:val="24"/>
          <w:szCs w:val="24"/>
        </w:rPr>
        <w:t>reviewer or</w:t>
      </w:r>
      <w:r w:rsidRPr="000023DB">
        <w:rPr>
          <w:rFonts w:ascii="Times New Roman" w:hAnsi="Times New Roman" w:cs="Times New Roman"/>
          <w:color w:val="000000" w:themeColor="text1"/>
          <w:sz w:val="24"/>
          <w:szCs w:val="24"/>
        </w:rPr>
        <w:t xml:space="preserve"> has modified any technical recommendation by the lender or HUD reviewer, documentation and justification must be included in the memorandum.  </w:t>
      </w:r>
    </w:p>
    <w:p w:rsidR="00A57102" w:rsidP="00A57102" w:rsidRDefault="00A57102" w14:paraId="75644087" w14:textId="77777777">
      <w:pPr>
        <w:spacing w:before="120" w:after="120" w:line="276" w:lineRule="auto"/>
        <w:ind w:left="360"/>
        <w:jc w:val="both"/>
        <w:rPr>
          <w:rFonts w:ascii="Times New Roman" w:hAnsi="Times New Roman" w:cs="Times New Roman"/>
          <w:color w:val="000000" w:themeColor="text1"/>
          <w:sz w:val="24"/>
          <w:szCs w:val="24"/>
          <w:shd w:val="clear" w:color="auto" w:fill="FFFFFF"/>
        </w:rPr>
      </w:pPr>
      <w:r w:rsidRPr="000023DB">
        <w:rPr>
          <w:rFonts w:ascii="Times New Roman" w:hAnsi="Times New Roman" w:cs="Times New Roman"/>
          <w:color w:val="000000" w:themeColor="text1"/>
          <w:sz w:val="24"/>
          <w:szCs w:val="24"/>
          <w:shd w:val="clear" w:color="auto" w:fill="FFFFFF"/>
        </w:rPr>
        <w:t xml:space="preserve">HUD’s review appraisers have the option to modify appraisal conclusions internally or to return the application to the lender for revision of the appraisal. Should the HUD review appraiser choose to modify the appraised value, rent or expense conclusions internally, as per USPAP Standard 3, this opinion becomes its own appraisal whether it concurs with the opinion of value in the work under review or differs from the opinion of value.  </w:t>
      </w:r>
    </w:p>
    <w:p w:rsidRPr="000023DB" w:rsidR="00A57102" w:rsidP="00A57102" w:rsidRDefault="00A57102" w14:paraId="75644088" w14:textId="77777777">
      <w:pPr>
        <w:spacing w:before="120" w:after="120" w:line="276" w:lineRule="auto"/>
        <w:ind w:left="360"/>
        <w:jc w:val="both"/>
        <w:rPr>
          <w:rFonts w:ascii="Times New Roman" w:hAnsi="Times New Roman" w:cs="Times New Roman"/>
          <w:color w:val="000000" w:themeColor="text1"/>
          <w:sz w:val="24"/>
          <w:szCs w:val="24"/>
        </w:rPr>
      </w:pPr>
    </w:p>
    <w:p w:rsidRPr="00144762" w:rsidR="00A57102" w:rsidP="00A57102" w:rsidRDefault="00A57102" w14:paraId="75644089" w14:textId="77777777">
      <w:pPr>
        <w:pStyle w:val="ListParagraph"/>
        <w:widowControl w:val="0"/>
        <w:numPr>
          <w:ilvl w:val="0"/>
          <w:numId w:val="18"/>
        </w:numPr>
        <w:overflowPunct w:val="0"/>
        <w:autoSpaceDE w:val="0"/>
        <w:autoSpaceDN w:val="0"/>
        <w:adjustRightInd w:val="0"/>
        <w:spacing w:before="80" w:after="80" w:line="276" w:lineRule="auto"/>
        <w:ind w:left="360"/>
        <w:jc w:val="both"/>
        <w:textAlignment w:val="baseline"/>
        <w:rPr>
          <w:rFonts w:ascii="Times New Roman" w:hAnsi="Times New Roman" w:eastAsia="Times New Roman" w:cs="Times New Roman"/>
          <w:color w:val="000000" w:themeColor="text1"/>
          <w:sz w:val="24"/>
          <w:szCs w:val="24"/>
        </w:rPr>
      </w:pPr>
      <w:r w:rsidRPr="00144762">
        <w:rPr>
          <w:rFonts w:ascii="Times New Roman" w:hAnsi="Times New Roman" w:eastAsia="Times New Roman" w:cs="Times New Roman"/>
          <w:color w:val="000000" w:themeColor="text1"/>
          <w:sz w:val="24"/>
          <w:szCs w:val="24"/>
        </w:rPr>
        <w:t>Firm Commitment Issuance, Amendments, Reissuance, and Extensions.</w:t>
      </w:r>
    </w:p>
    <w:p w:rsidRPr="000023DB" w:rsidR="00A57102" w:rsidP="00A57102" w:rsidRDefault="00A57102" w14:paraId="7564408A"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color w:val="000000" w:themeColor="text1"/>
          <w:sz w:val="24"/>
          <w:szCs w:val="24"/>
        </w:rPr>
      </w:pPr>
    </w:p>
    <w:p w:rsidRPr="00B60196" w:rsidR="00A57102" w:rsidP="00A57102" w:rsidRDefault="00A57102" w14:paraId="7564408B" w14:textId="64EB6E1F">
      <w:pPr>
        <w:widowControl w:val="0"/>
        <w:numPr>
          <w:ilvl w:val="2"/>
          <w:numId w:val="18"/>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sz w:val="24"/>
          <w:szCs w:val="24"/>
        </w:rPr>
        <w:t xml:space="preserve">Upon issuance of a Firm Commitment, the HUD Underwriter </w:t>
      </w:r>
      <w:r w:rsidR="00E9492F">
        <w:rPr>
          <w:rFonts w:ascii="Times New Roman" w:hAnsi="Times New Roman" w:eastAsia="Times New Roman" w:cs="Times New Roman"/>
          <w:sz w:val="24"/>
          <w:szCs w:val="24"/>
        </w:rPr>
        <w:t>must</w:t>
      </w:r>
      <w:r w:rsidRPr="000023DB" w:rsidR="00E9492F">
        <w:rPr>
          <w:rFonts w:ascii="Times New Roman" w:hAnsi="Times New Roman" w:eastAsia="Times New Roman" w:cs="Times New Roman"/>
          <w:sz w:val="24"/>
          <w:szCs w:val="24"/>
        </w:rPr>
        <w:t xml:space="preserve"> </w:t>
      </w:r>
      <w:r w:rsidRPr="000023DB">
        <w:rPr>
          <w:rFonts w:ascii="Times New Roman" w:hAnsi="Times New Roman" w:eastAsia="Times New Roman" w:cs="Times New Roman"/>
          <w:sz w:val="24"/>
          <w:szCs w:val="24"/>
        </w:rPr>
        <w:t xml:space="preserve">provide such support as needed and requested to the closing coordinator to prepare for closing, and provide files, data, and information as needed by the Account Executive to facilitate Asset Management’s rating and servicing of the loan. </w:t>
      </w:r>
    </w:p>
    <w:p w:rsidR="00F65825" w:rsidP="00BB3995" w:rsidRDefault="00F65825" w14:paraId="5D219D1A" w14:textId="77777777">
      <w:pPr>
        <w:widowControl w:val="0"/>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color w:val="000000" w:themeColor="text1"/>
          <w:sz w:val="24"/>
          <w:szCs w:val="24"/>
        </w:rPr>
      </w:pPr>
    </w:p>
    <w:p w:rsidRPr="000023DB" w:rsidR="00A57102" w:rsidP="00A57102" w:rsidRDefault="00A57102" w14:paraId="7564408E" w14:textId="161FE904">
      <w:pPr>
        <w:widowControl w:val="0"/>
        <w:numPr>
          <w:ilvl w:val="2"/>
          <w:numId w:val="18"/>
        </w:numPr>
        <w:overflowPunct w:val="0"/>
        <w:autoSpaceDE w:val="0"/>
        <w:autoSpaceDN w:val="0"/>
        <w:adjustRightInd w:val="0"/>
        <w:spacing w:before="80" w:after="80" w:line="276" w:lineRule="auto"/>
        <w:ind w:left="720"/>
        <w:jc w:val="both"/>
        <w:textAlignment w:val="baseline"/>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 xml:space="preserve">Firm Commitments will be issued for a term of 60 calendar days. The lender has the option of requesting an extension of the Commitment to prepare for the Initial Endorsement submission. The </w:t>
      </w:r>
      <w:r w:rsidRPr="00BB3995">
        <w:rPr>
          <w:rFonts w:ascii="Times New Roman" w:hAnsi="Times New Roman" w:eastAsia="Times New Roman" w:cs="Times New Roman"/>
          <w:color w:val="000000" w:themeColor="text1"/>
          <w:sz w:val="24"/>
          <w:szCs w:val="24"/>
        </w:rPr>
        <w:t xml:space="preserve">Regional Center </w:t>
      </w:r>
      <w:r w:rsidRPr="00BB3995" w:rsidR="00A83F62">
        <w:rPr>
          <w:rFonts w:ascii="Times New Roman" w:hAnsi="Times New Roman" w:eastAsia="Times New Roman" w:cs="Times New Roman"/>
          <w:color w:val="000000" w:themeColor="text1"/>
          <w:sz w:val="24"/>
          <w:szCs w:val="24"/>
        </w:rPr>
        <w:t>Director</w:t>
      </w:r>
      <w:r w:rsidR="00A83F62">
        <w:rPr>
          <w:rFonts w:ascii="Times New Roman" w:hAnsi="Times New Roman" w:eastAsia="Times New Roman" w:cs="Times New Roman"/>
          <w:color w:val="000000" w:themeColor="text1"/>
          <w:sz w:val="24"/>
          <w:szCs w:val="24"/>
        </w:rPr>
        <w:t xml:space="preserve"> may</w:t>
      </w:r>
      <w:r w:rsidRPr="000023DB">
        <w:rPr>
          <w:rFonts w:ascii="Times New Roman" w:hAnsi="Times New Roman" w:eastAsia="Times New Roman" w:cs="Times New Roman"/>
          <w:color w:val="000000" w:themeColor="text1"/>
          <w:sz w:val="24"/>
          <w:szCs w:val="24"/>
        </w:rPr>
        <w:t xml:space="preserve"> grant one or more extensions</w:t>
      </w:r>
      <w:r w:rsidR="00F7295D">
        <w:rPr>
          <w:rFonts w:ascii="Times New Roman" w:hAnsi="Times New Roman" w:eastAsia="Times New Roman" w:cs="Times New Roman"/>
          <w:color w:val="000000" w:themeColor="text1"/>
          <w:sz w:val="24"/>
          <w:szCs w:val="24"/>
        </w:rPr>
        <w:t>,</w:t>
      </w:r>
      <w:r w:rsidRPr="000023DB">
        <w:rPr>
          <w:rFonts w:ascii="Times New Roman" w:hAnsi="Times New Roman" w:eastAsia="Times New Roman" w:cs="Times New Roman"/>
          <w:color w:val="000000" w:themeColor="text1"/>
          <w:sz w:val="24"/>
          <w:szCs w:val="24"/>
        </w:rPr>
        <w:t xml:space="preserve"> for up to a total of 120 calendar days</w:t>
      </w:r>
      <w:r w:rsidRPr="000643C4">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from the original expiration date</w:t>
      </w:r>
      <w:r w:rsidRPr="000023DB">
        <w:rPr>
          <w:rFonts w:ascii="Times New Roman" w:hAnsi="Times New Roman" w:eastAsia="Times New Roman" w:cs="Times New Roman"/>
          <w:color w:val="000000" w:themeColor="text1"/>
          <w:sz w:val="24"/>
          <w:szCs w:val="24"/>
        </w:rPr>
        <w:t xml:space="preserve">.  </w:t>
      </w:r>
      <w:r w:rsidR="00F10E59">
        <w:rPr>
          <w:rFonts w:ascii="Times New Roman" w:hAnsi="Times New Roman" w:eastAsia="Times New Roman" w:cs="Times New Roman"/>
          <w:color w:val="000000" w:themeColor="text1"/>
          <w:sz w:val="24"/>
          <w:szCs w:val="24"/>
        </w:rPr>
        <w:t xml:space="preserve">An additional </w:t>
      </w:r>
      <w:r w:rsidR="009A4C5E">
        <w:rPr>
          <w:rFonts w:ascii="Times New Roman" w:hAnsi="Times New Roman" w:eastAsia="Times New Roman" w:cs="Times New Roman"/>
          <w:color w:val="000000" w:themeColor="text1"/>
          <w:sz w:val="24"/>
          <w:szCs w:val="24"/>
        </w:rPr>
        <w:t>60-day</w:t>
      </w:r>
      <w:r w:rsidR="00A83F62">
        <w:rPr>
          <w:rFonts w:ascii="Times New Roman" w:hAnsi="Times New Roman" w:eastAsia="Times New Roman" w:cs="Times New Roman"/>
          <w:color w:val="000000" w:themeColor="text1"/>
          <w:sz w:val="24"/>
          <w:szCs w:val="24"/>
        </w:rPr>
        <w:t xml:space="preserve"> </w:t>
      </w:r>
      <w:r w:rsidRPr="000023DB" w:rsidR="00A83F62">
        <w:rPr>
          <w:rFonts w:ascii="Times New Roman" w:hAnsi="Times New Roman" w:eastAsia="Times New Roman" w:cs="Times New Roman"/>
          <w:color w:val="000000" w:themeColor="text1"/>
          <w:sz w:val="24"/>
          <w:szCs w:val="24"/>
        </w:rPr>
        <w:t>extension</w:t>
      </w:r>
      <w:r w:rsidR="005D601A">
        <w:rPr>
          <w:rFonts w:ascii="Times New Roman" w:hAnsi="Times New Roman" w:eastAsia="Times New Roman" w:cs="Times New Roman"/>
          <w:color w:val="000000" w:themeColor="text1"/>
          <w:sz w:val="24"/>
          <w:szCs w:val="24"/>
        </w:rPr>
        <w:t xml:space="preserve"> for good cause</w:t>
      </w:r>
      <w:r w:rsidR="00BE45AA">
        <w:rPr>
          <w:rFonts w:ascii="Times New Roman" w:hAnsi="Times New Roman" w:eastAsia="Times New Roman" w:cs="Times New Roman"/>
          <w:color w:val="000000" w:themeColor="text1"/>
          <w:sz w:val="24"/>
          <w:szCs w:val="24"/>
        </w:rPr>
        <w:t xml:space="preserve"> may</w:t>
      </w:r>
      <w:r w:rsidRPr="000023DB">
        <w:rPr>
          <w:rFonts w:ascii="Times New Roman" w:hAnsi="Times New Roman" w:eastAsia="Times New Roman" w:cs="Times New Roman"/>
          <w:color w:val="000000" w:themeColor="text1"/>
          <w:sz w:val="24"/>
          <w:szCs w:val="24"/>
        </w:rPr>
        <w:t xml:space="preserve"> be approved by the Director of Multifamily Production in HUD Headquarters</w:t>
      </w:r>
      <w:r w:rsidR="00BE45AA">
        <w:rPr>
          <w:rFonts w:ascii="Times New Roman" w:hAnsi="Times New Roman" w:eastAsia="Times New Roman" w:cs="Times New Roman"/>
          <w:color w:val="000000" w:themeColor="text1"/>
          <w:sz w:val="24"/>
          <w:szCs w:val="24"/>
        </w:rPr>
        <w:t>, after which a reopening fee will be required</w:t>
      </w:r>
      <w:r w:rsidRPr="000023DB">
        <w:rPr>
          <w:rFonts w:ascii="Times New Roman" w:hAnsi="Times New Roman" w:eastAsia="Times New Roman" w:cs="Times New Roman"/>
          <w:color w:val="000000" w:themeColor="text1"/>
          <w:sz w:val="24"/>
          <w:szCs w:val="24"/>
        </w:rPr>
        <w:t xml:space="preserve">.  </w:t>
      </w:r>
    </w:p>
    <w:p w:rsidRPr="000023DB" w:rsidR="00A57102" w:rsidP="00A57102" w:rsidRDefault="00A57102" w14:paraId="7564408F" w14:textId="77777777">
      <w:pPr>
        <w:shd w:val="clear" w:color="auto" w:fill="FFFFFF"/>
        <w:spacing w:after="200" w:line="276" w:lineRule="auto"/>
        <w:ind w:left="720"/>
        <w:jc w:val="both"/>
        <w:rPr>
          <w:rFonts w:ascii="Times New Roman" w:hAnsi="Times New Roman" w:cs="Times New Roman"/>
          <w:color w:val="000000" w:themeColor="text1"/>
          <w:sz w:val="24"/>
          <w:szCs w:val="24"/>
          <w:shd w:val="clear" w:color="auto" w:fill="FFFFFF"/>
        </w:rPr>
      </w:pPr>
      <w:r w:rsidRPr="000023DB">
        <w:rPr>
          <w:rFonts w:ascii="Times New Roman" w:hAnsi="Times New Roman" w:cs="Times New Roman"/>
          <w:color w:val="000000" w:themeColor="text1"/>
          <w:sz w:val="24"/>
          <w:szCs w:val="24"/>
        </w:rPr>
        <w:t>When the Regional Center Director</w:t>
      </w:r>
      <w:r>
        <w:rPr>
          <w:rFonts w:ascii="Times New Roman" w:hAnsi="Times New Roman" w:cs="Times New Roman"/>
          <w:color w:val="000000" w:themeColor="text1"/>
          <w:sz w:val="24"/>
          <w:szCs w:val="24"/>
        </w:rPr>
        <w:t xml:space="preserve"> </w:t>
      </w:r>
      <w:r w:rsidRPr="000023DB">
        <w:rPr>
          <w:rFonts w:ascii="Times New Roman" w:hAnsi="Times New Roman" w:cs="Times New Roman"/>
          <w:color w:val="000000" w:themeColor="text1"/>
          <w:sz w:val="24"/>
          <w:szCs w:val="24"/>
        </w:rPr>
        <w:t xml:space="preserve">determines that extenuating circumstances justify a limited extension of an outstanding Firm Commitment, </w:t>
      </w:r>
      <w:r w:rsidRPr="000023DB">
        <w:rPr>
          <w:rFonts w:ascii="Times New Roman" w:hAnsi="Times New Roman" w:cs="Times New Roman"/>
          <w:color w:val="000000" w:themeColor="text1"/>
          <w:sz w:val="24"/>
          <w:szCs w:val="24"/>
          <w:shd w:val="clear" w:color="auto" w:fill="FFFFFF"/>
        </w:rPr>
        <w:t>the lender must certify and Regional Center Director must concur that the documentation provided by the lender demonstrates that granting the extension will not likely change the underwriting data and assumptions on which the Firm Commitment was issued or undermine the feasibility of the project. Such factors include but are not limited to a change in the borrower’s or development team’s configuration or financial capacity, market, inflation or other factors impacting cost.  A change in the interest rate or other terms or conditions of the Firm Commitment may require reprocessing and amendment of the Firm Commitment.</w:t>
      </w:r>
    </w:p>
    <w:p w:rsidRPr="000023DB" w:rsidR="00A57102" w:rsidP="00A57102" w:rsidRDefault="00A57102" w14:paraId="75644090" w14:textId="4E2ED2F0">
      <w:pPr>
        <w:spacing w:after="200" w:line="276" w:lineRule="auto"/>
        <w:ind w:left="720"/>
        <w:jc w:val="both"/>
        <w:rPr>
          <w:rFonts w:ascii="Times New Roman" w:hAnsi="Times New Roman" w:cs="Times New Roman"/>
          <w:color w:val="000000" w:themeColor="text1"/>
          <w:sz w:val="24"/>
          <w:szCs w:val="24"/>
        </w:rPr>
      </w:pPr>
      <w:r w:rsidRPr="000023DB">
        <w:rPr>
          <w:rFonts w:ascii="Times New Roman" w:hAnsi="Times New Roman" w:cs="Times New Roman"/>
          <w:color w:val="000000" w:themeColor="text1"/>
          <w:sz w:val="24"/>
          <w:szCs w:val="24"/>
        </w:rPr>
        <w:t xml:space="preserve">If a Firm Commitment has been extended beyond 120 calendar days from its original date, the lender must provide </w:t>
      </w:r>
      <w:r w:rsidR="009A6558">
        <w:rPr>
          <w:rFonts w:ascii="Times New Roman" w:hAnsi="Times New Roman" w:cs="Times New Roman"/>
          <w:color w:val="000000" w:themeColor="text1"/>
          <w:sz w:val="24"/>
          <w:szCs w:val="24"/>
        </w:rPr>
        <w:t xml:space="preserve">an </w:t>
      </w:r>
      <w:r w:rsidRPr="000023DB">
        <w:rPr>
          <w:rFonts w:ascii="Times New Roman" w:hAnsi="Times New Roman" w:cs="Times New Roman"/>
          <w:color w:val="000000" w:themeColor="text1"/>
          <w:sz w:val="24"/>
          <w:szCs w:val="24"/>
        </w:rPr>
        <w:t xml:space="preserve">updated appraisal/market study, cost and mortgage credit, or other information as required by the Regional Center or </w:t>
      </w:r>
      <w:r>
        <w:rPr>
          <w:rFonts w:ascii="Times New Roman" w:hAnsi="Times New Roman" w:cs="Times New Roman"/>
          <w:color w:val="000000" w:themeColor="text1"/>
          <w:sz w:val="24"/>
          <w:szCs w:val="24"/>
        </w:rPr>
        <w:t>Satellite Office</w:t>
      </w:r>
      <w:r w:rsidRPr="000023DB">
        <w:rPr>
          <w:rFonts w:ascii="Times New Roman" w:hAnsi="Times New Roman" w:cs="Times New Roman"/>
          <w:color w:val="000000" w:themeColor="text1"/>
          <w:sz w:val="24"/>
          <w:szCs w:val="24"/>
        </w:rPr>
        <w:t xml:space="preserve"> for review prior to loan closing.</w:t>
      </w:r>
    </w:p>
    <w:p w:rsidRPr="000023DB" w:rsidR="00A57102" w:rsidP="00A57102" w:rsidRDefault="00A57102" w14:paraId="75644091" w14:textId="7CAD8B1C">
      <w:pPr>
        <w:numPr>
          <w:ilvl w:val="2"/>
          <w:numId w:val="18"/>
        </w:numPr>
        <w:tabs>
          <w:tab w:val="left" w:pos="3240"/>
        </w:tabs>
        <w:overflowPunct w:val="0"/>
        <w:autoSpaceDE w:val="0"/>
        <w:autoSpaceDN w:val="0"/>
        <w:adjustRightInd w:val="0"/>
        <w:spacing w:before="240" w:after="120" w:line="276" w:lineRule="auto"/>
        <w:ind w:left="720"/>
        <w:jc w:val="both"/>
        <w:textAlignment w:val="baseline"/>
        <w:outlineLvl w:val="1"/>
        <w:rPr>
          <w:rFonts w:ascii="Times New Roman" w:hAnsi="Times New Roman" w:eastAsia="Times New Roman" w:cs="Times New Roman"/>
          <w:color w:val="000000" w:themeColor="text1"/>
          <w:sz w:val="24"/>
          <w:szCs w:val="24"/>
          <w:shd w:val="pct12" w:color="auto" w:fill="auto"/>
        </w:rPr>
      </w:pPr>
      <w:r w:rsidRPr="000023DB">
        <w:rPr>
          <w:rFonts w:ascii="Times New Roman" w:hAnsi="Times New Roman" w:eastAsia="Times New Roman" w:cs="Times New Roman"/>
          <w:color w:val="000000"/>
          <w:sz w:val="24"/>
          <w:szCs w:val="24"/>
        </w:rPr>
        <w:t>Only the Regional Director, Production Division Director</w:t>
      </w:r>
      <w:r>
        <w:rPr>
          <w:rFonts w:ascii="Times New Roman" w:hAnsi="Times New Roman" w:eastAsia="Times New Roman" w:cs="Times New Roman"/>
          <w:color w:val="000000"/>
          <w:sz w:val="24"/>
          <w:szCs w:val="24"/>
        </w:rPr>
        <w:t xml:space="preserve">, </w:t>
      </w:r>
      <w:r w:rsidR="00211056">
        <w:rPr>
          <w:rFonts w:ascii="Times New Roman" w:hAnsi="Times New Roman" w:eastAsia="Times New Roman" w:cs="Times New Roman"/>
          <w:color w:val="000000"/>
          <w:sz w:val="24"/>
          <w:szCs w:val="24"/>
        </w:rPr>
        <w:t xml:space="preserve">and </w:t>
      </w:r>
      <w:r>
        <w:rPr>
          <w:rFonts w:ascii="Times New Roman" w:hAnsi="Times New Roman" w:eastAsia="Times New Roman" w:cs="Times New Roman"/>
          <w:color w:val="000000"/>
          <w:sz w:val="24"/>
          <w:szCs w:val="24"/>
        </w:rPr>
        <w:t xml:space="preserve">other officials formally designated to act in these capacities </w:t>
      </w:r>
      <w:r w:rsidRPr="000023DB">
        <w:rPr>
          <w:rFonts w:ascii="Times New Roman" w:hAnsi="Times New Roman" w:eastAsia="Times New Roman" w:cs="Times New Roman"/>
          <w:color w:val="000000"/>
          <w:sz w:val="24"/>
          <w:szCs w:val="24"/>
        </w:rPr>
        <w:t xml:space="preserve">are authorized to sign Firm Commitments </w:t>
      </w:r>
      <w:r w:rsidR="0097133F">
        <w:rPr>
          <w:rFonts w:ascii="Times New Roman" w:hAnsi="Times New Roman" w:eastAsia="Times New Roman" w:cs="Times New Roman"/>
          <w:color w:val="000000"/>
          <w:sz w:val="24"/>
          <w:szCs w:val="24"/>
        </w:rPr>
        <w:t>and/</w:t>
      </w:r>
      <w:r w:rsidRPr="000023DB">
        <w:rPr>
          <w:rFonts w:ascii="Times New Roman" w:hAnsi="Times New Roman" w:eastAsia="Times New Roman" w:cs="Times New Roman"/>
          <w:color w:val="000000"/>
          <w:sz w:val="24"/>
          <w:szCs w:val="24"/>
        </w:rPr>
        <w:t>or endorse Insured Mortgage Notes.</w:t>
      </w:r>
    </w:p>
    <w:p w:rsidRPr="000023DB" w:rsidR="00A57102" w:rsidP="00A57102" w:rsidRDefault="00A57102" w14:paraId="75644092" w14:textId="77777777">
      <w:pPr>
        <w:numPr>
          <w:ilvl w:val="2"/>
          <w:numId w:val="18"/>
        </w:numPr>
        <w:tabs>
          <w:tab w:val="left" w:pos="3240"/>
        </w:tabs>
        <w:overflowPunct w:val="0"/>
        <w:autoSpaceDE w:val="0"/>
        <w:autoSpaceDN w:val="0"/>
        <w:adjustRightInd w:val="0"/>
        <w:spacing w:before="80" w:after="80" w:line="276" w:lineRule="auto"/>
        <w:ind w:left="720"/>
        <w:jc w:val="both"/>
        <w:textAlignment w:val="baseline"/>
        <w:outlineLvl w:val="1"/>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The Department has limited flexibility to permit the resubmission of rejected applications.  In accordance with the procedures contained in HUD Handbook 4410.1 Rev-2, Project Fiscal Procedures will apply.</w:t>
      </w:r>
    </w:p>
    <w:p w:rsidR="00A57102" w:rsidP="00A57102" w:rsidRDefault="00A57102" w14:paraId="75644093" w14:textId="77777777">
      <w:pPr>
        <w:pStyle w:val="ListParagraph"/>
        <w:numPr>
          <w:ilvl w:val="2"/>
          <w:numId w:val="18"/>
        </w:numPr>
        <w:tabs>
          <w:tab w:val="left" w:pos="3240"/>
        </w:tabs>
        <w:overflowPunct w:val="0"/>
        <w:autoSpaceDE w:val="0"/>
        <w:autoSpaceDN w:val="0"/>
        <w:adjustRightInd w:val="0"/>
        <w:spacing w:before="240" w:after="120"/>
        <w:ind w:left="720"/>
        <w:jc w:val="both"/>
        <w:textAlignment w:val="baseline"/>
        <w:outlineLvl w:val="1"/>
        <w:rPr>
          <w:rFonts w:ascii="Times New Roman" w:hAnsi="Times New Roman" w:eastAsia="Times New Roman" w:cs="Times New Roman"/>
          <w:color w:val="000000" w:themeColor="text1"/>
          <w:sz w:val="24"/>
          <w:szCs w:val="24"/>
        </w:rPr>
      </w:pPr>
      <w:r w:rsidRPr="00A42447">
        <w:rPr>
          <w:rFonts w:ascii="Times New Roman" w:hAnsi="Times New Roman" w:eastAsia="Times New Roman" w:cs="Times New Roman"/>
          <w:color w:val="000000" w:themeColor="text1"/>
          <w:sz w:val="24"/>
          <w:szCs w:val="24"/>
        </w:rPr>
        <w:t>Amended Commitments.  An amended commitment bears the same date as the original commitment, followed by the date of the amendment, although the applicable regulations are those in effect on the original commitment issuance date.  Most underwriting changes, such as changes in mortgage amount and/or interest rate, will be incorporated in letter amendments to the commitment.</w:t>
      </w:r>
    </w:p>
    <w:p w:rsidRPr="00A42447" w:rsidR="00A57102" w:rsidP="00A57102" w:rsidRDefault="00A57102" w14:paraId="75644094" w14:textId="77777777">
      <w:pPr>
        <w:pStyle w:val="ListParagraph"/>
        <w:tabs>
          <w:tab w:val="left" w:pos="3240"/>
        </w:tabs>
        <w:overflowPunct w:val="0"/>
        <w:autoSpaceDE w:val="0"/>
        <w:autoSpaceDN w:val="0"/>
        <w:adjustRightInd w:val="0"/>
        <w:spacing w:before="240" w:after="120"/>
        <w:jc w:val="both"/>
        <w:textAlignment w:val="baseline"/>
        <w:outlineLvl w:val="1"/>
        <w:rPr>
          <w:rFonts w:ascii="Times New Roman" w:hAnsi="Times New Roman" w:eastAsia="Times New Roman" w:cs="Times New Roman"/>
          <w:color w:val="000000" w:themeColor="text1"/>
          <w:sz w:val="24"/>
          <w:szCs w:val="24"/>
        </w:rPr>
      </w:pPr>
    </w:p>
    <w:p w:rsidRPr="00A42447" w:rsidR="00A57102" w:rsidP="00A57102" w:rsidRDefault="0092149B" w14:paraId="75644095" w14:textId="2C7CFCB2">
      <w:pPr>
        <w:pStyle w:val="ListParagraph"/>
        <w:numPr>
          <w:ilvl w:val="2"/>
          <w:numId w:val="18"/>
        </w:numPr>
        <w:tabs>
          <w:tab w:val="left" w:pos="3240"/>
        </w:tabs>
        <w:overflowPunct w:val="0"/>
        <w:autoSpaceDE w:val="0"/>
        <w:autoSpaceDN w:val="0"/>
        <w:adjustRightInd w:val="0"/>
        <w:spacing w:before="240" w:after="120"/>
        <w:ind w:left="720"/>
        <w:jc w:val="both"/>
        <w:textAlignment w:val="baseline"/>
        <w:outlineLvl w:val="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Additional </w:t>
      </w:r>
      <w:r w:rsidR="00A57102">
        <w:rPr>
          <w:rFonts w:ascii="Times New Roman" w:hAnsi="Times New Roman" w:eastAsia="Times New Roman" w:cs="Times New Roman"/>
          <w:color w:val="000000" w:themeColor="text1"/>
          <w:sz w:val="24"/>
          <w:szCs w:val="24"/>
        </w:rPr>
        <w:t xml:space="preserve">Conditions.   </w:t>
      </w:r>
      <w:r>
        <w:rPr>
          <w:rFonts w:ascii="Times New Roman" w:hAnsi="Times New Roman" w:eastAsia="Times New Roman" w:cs="Times New Roman"/>
          <w:color w:val="000000" w:themeColor="text1"/>
          <w:sz w:val="24"/>
          <w:szCs w:val="24"/>
        </w:rPr>
        <w:t xml:space="preserve">Additional </w:t>
      </w:r>
      <w:r w:rsidR="00A57102">
        <w:rPr>
          <w:rFonts w:ascii="Times New Roman" w:hAnsi="Times New Roman" w:eastAsia="Times New Roman" w:cs="Times New Roman"/>
          <w:color w:val="000000" w:themeColor="text1"/>
          <w:sz w:val="24"/>
          <w:szCs w:val="24"/>
        </w:rPr>
        <w:t xml:space="preserve">Conditions are part of the Firm Commitment.  Changes to the specific terms of such </w:t>
      </w:r>
      <w:r w:rsidR="00A83F62">
        <w:rPr>
          <w:rFonts w:ascii="Times New Roman" w:hAnsi="Times New Roman" w:eastAsia="Times New Roman" w:cs="Times New Roman"/>
          <w:color w:val="000000" w:themeColor="text1"/>
          <w:sz w:val="24"/>
          <w:szCs w:val="24"/>
        </w:rPr>
        <w:t>conditions or</w:t>
      </w:r>
      <w:r w:rsidR="00A57102">
        <w:rPr>
          <w:rFonts w:ascii="Times New Roman" w:hAnsi="Times New Roman" w:eastAsia="Times New Roman" w:cs="Times New Roman"/>
          <w:color w:val="000000" w:themeColor="text1"/>
          <w:sz w:val="24"/>
          <w:szCs w:val="24"/>
        </w:rPr>
        <w:t xml:space="preserve"> allowing closings to proceed when conditions are not yet met, must be documented with a letter amendment to the Firm Commitment</w:t>
      </w:r>
      <w:r w:rsidR="002A3A07">
        <w:rPr>
          <w:rFonts w:ascii="Times New Roman" w:hAnsi="Times New Roman" w:eastAsia="Times New Roman" w:cs="Times New Roman"/>
          <w:color w:val="000000" w:themeColor="text1"/>
          <w:sz w:val="24"/>
          <w:szCs w:val="24"/>
        </w:rPr>
        <w:t>.</w:t>
      </w:r>
      <w:r w:rsidR="00A57102">
        <w:rPr>
          <w:rFonts w:ascii="Times New Roman" w:hAnsi="Times New Roman" w:eastAsia="Times New Roman" w:cs="Times New Roman"/>
          <w:color w:val="000000" w:themeColor="text1"/>
          <w:sz w:val="24"/>
          <w:szCs w:val="24"/>
        </w:rPr>
        <w:t xml:space="preserve"> </w:t>
      </w:r>
    </w:p>
    <w:p w:rsidRPr="000023DB" w:rsidR="00A57102" w:rsidP="00A57102" w:rsidRDefault="00A57102" w14:paraId="75644096" w14:textId="37B5F854">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E</w:t>
      </w:r>
      <w:r w:rsidRPr="000023DB">
        <w:rPr>
          <w:rFonts w:ascii="Times New Roman" w:hAnsi="Times New Roman" w:eastAsia="Times New Roman" w:cs="Times New Roman"/>
          <w:color w:val="000000" w:themeColor="text1"/>
          <w:sz w:val="24"/>
          <w:szCs w:val="24"/>
        </w:rPr>
        <w:t>.</w:t>
      </w:r>
      <w:r w:rsidRPr="000023DB">
        <w:rPr>
          <w:rFonts w:ascii="Times New Roman" w:hAnsi="Times New Roman" w:eastAsia="Times New Roman" w:cs="Times New Roman"/>
          <w:color w:val="000000" w:themeColor="text1"/>
          <w:sz w:val="24"/>
          <w:szCs w:val="24"/>
        </w:rPr>
        <w:tab/>
        <w:t xml:space="preserve">Reissued Commitments.  A reissued commitment will have its own date </w:t>
      </w:r>
      <w:r>
        <w:rPr>
          <w:rFonts w:ascii="Times New Roman" w:hAnsi="Times New Roman" w:eastAsia="Times New Roman" w:cs="Times New Roman"/>
          <w:color w:val="000000" w:themeColor="text1"/>
          <w:sz w:val="24"/>
          <w:szCs w:val="24"/>
        </w:rPr>
        <w:t xml:space="preserve">which will control what regulations apply and how long the commitment will remain in </w:t>
      </w:r>
      <w:r w:rsidR="00A83F62">
        <w:rPr>
          <w:rFonts w:ascii="Times New Roman" w:hAnsi="Times New Roman" w:eastAsia="Times New Roman" w:cs="Times New Roman"/>
          <w:color w:val="000000" w:themeColor="text1"/>
          <w:sz w:val="24"/>
          <w:szCs w:val="24"/>
        </w:rPr>
        <w:t>effect and</w:t>
      </w:r>
      <w:r w:rsidRPr="000023DB">
        <w:rPr>
          <w:rFonts w:ascii="Times New Roman" w:hAnsi="Times New Roman" w:eastAsia="Times New Roman" w:cs="Times New Roman"/>
          <w:color w:val="000000" w:themeColor="text1"/>
          <w:sz w:val="24"/>
          <w:szCs w:val="24"/>
        </w:rPr>
        <w:t xml:space="preserve"> will substitute for the originally issued commitment. A lender which accepts a reissued commitment will no longer have rights granted under the original, or a previously amended, commitment.  A re-issued commitment is required for:</w:t>
      </w:r>
    </w:p>
    <w:p w:rsidRPr="000023DB" w:rsidR="00A57102" w:rsidP="00A57102" w:rsidRDefault="00A57102" w14:paraId="75644097" w14:textId="442AE12C">
      <w:pPr>
        <w:numPr>
          <w:ilvl w:val="0"/>
          <w:numId w:val="4"/>
        </w:numPr>
        <w:tabs>
          <w:tab w:val="clear" w:pos="1080"/>
        </w:tabs>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 xml:space="preserve">Requests for reconsideration of an expired or terminated </w:t>
      </w:r>
      <w:r w:rsidRPr="000023DB" w:rsidR="00E27A49">
        <w:rPr>
          <w:rFonts w:ascii="Times New Roman" w:hAnsi="Times New Roman" w:eastAsia="Times New Roman" w:cs="Times New Roman"/>
          <w:color w:val="000000" w:themeColor="text1"/>
          <w:sz w:val="24"/>
          <w:szCs w:val="24"/>
        </w:rPr>
        <w:t>commitment.</w:t>
      </w:r>
    </w:p>
    <w:p w:rsidRPr="000023DB" w:rsidR="00A57102" w:rsidP="00A57102" w:rsidRDefault="00A57102" w14:paraId="75644098" w14:textId="5F6E55F9">
      <w:pPr>
        <w:numPr>
          <w:ilvl w:val="0"/>
          <w:numId w:val="4"/>
        </w:numPr>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 xml:space="preserve">Changes in project </w:t>
      </w:r>
      <w:r w:rsidRPr="000023DB" w:rsidR="00E27A49">
        <w:rPr>
          <w:rFonts w:ascii="Times New Roman" w:hAnsi="Times New Roman" w:eastAsia="Times New Roman" w:cs="Times New Roman"/>
          <w:color w:val="000000" w:themeColor="text1"/>
          <w:sz w:val="24"/>
          <w:szCs w:val="24"/>
        </w:rPr>
        <w:t>location.</w:t>
      </w:r>
    </w:p>
    <w:p w:rsidRPr="000023DB" w:rsidR="00A57102" w:rsidP="00A57102" w:rsidRDefault="00A57102" w14:paraId="75644099" w14:textId="77777777">
      <w:pPr>
        <w:numPr>
          <w:ilvl w:val="0"/>
          <w:numId w:val="4"/>
        </w:numPr>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Major changes in plans and specifications; and</w:t>
      </w:r>
    </w:p>
    <w:p w:rsidRPr="000023DB" w:rsidR="00A57102" w:rsidP="00A57102" w:rsidRDefault="00A57102" w14:paraId="7564409A" w14:textId="77777777">
      <w:pPr>
        <w:numPr>
          <w:ilvl w:val="0"/>
          <w:numId w:val="4"/>
        </w:numPr>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shd w:val="clear" w:color="auto" w:fill="FFFFFF"/>
        </w:rPr>
        <w:t>Reprocessing to reflect changes in the MIP</w:t>
      </w:r>
      <w:r w:rsidRPr="000023DB">
        <w:rPr>
          <w:rFonts w:ascii="Times New Roman" w:hAnsi="Times New Roman" w:eastAsia="Times New Roman" w:cs="Times New Roman"/>
          <w:color w:val="000000" w:themeColor="text1"/>
          <w:sz w:val="24"/>
          <w:szCs w:val="24"/>
        </w:rPr>
        <w:t>.</w:t>
      </w:r>
    </w:p>
    <w:p w:rsidRPr="000023DB" w:rsidR="00A57102" w:rsidP="00A57102" w:rsidRDefault="00A57102" w14:paraId="7564409B" w14:textId="77777777">
      <w:pPr>
        <w:tabs>
          <w:tab w:val="left" w:pos="99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F</w:t>
      </w:r>
      <w:r w:rsidRPr="000023DB">
        <w:rPr>
          <w:rFonts w:ascii="Times New Roman" w:hAnsi="Times New Roman" w:eastAsia="Times New Roman" w:cs="Times New Roman"/>
          <w:color w:val="000000" w:themeColor="text1"/>
          <w:sz w:val="24"/>
          <w:szCs w:val="24"/>
        </w:rPr>
        <w:t>.</w:t>
      </w:r>
      <w:r w:rsidRPr="000023DB">
        <w:rPr>
          <w:rFonts w:ascii="Times New Roman" w:hAnsi="Times New Roman" w:eastAsia="Times New Roman" w:cs="Times New Roman"/>
          <w:color w:val="000000" w:themeColor="text1"/>
          <w:sz w:val="24"/>
          <w:szCs w:val="24"/>
        </w:rPr>
        <w:tab/>
        <w:t xml:space="preserve">Waivers. </w:t>
      </w:r>
    </w:p>
    <w:p w:rsidRPr="00985D2A" w:rsidR="00A57102" w:rsidP="00A57102" w:rsidRDefault="00A57102" w14:paraId="7564409C" w14:textId="1434340C">
      <w:pPr>
        <w:pStyle w:val="ListParagraph"/>
        <w:numPr>
          <w:ilvl w:val="3"/>
          <w:numId w:val="20"/>
        </w:numPr>
        <w:tabs>
          <w:tab w:val="left" w:pos="-4860"/>
        </w:tabs>
        <w:overflowPunct w:val="0"/>
        <w:autoSpaceDE w:val="0"/>
        <w:autoSpaceDN w:val="0"/>
        <w:adjustRightInd w:val="0"/>
        <w:spacing w:before="240" w:after="120"/>
        <w:ind w:left="720"/>
        <w:jc w:val="both"/>
        <w:textAlignment w:val="baseline"/>
        <w:outlineLvl w:val="1"/>
        <w:rPr>
          <w:rFonts w:ascii="Times New Roman" w:hAnsi="Times New Roman" w:eastAsia="Times New Roman" w:cs="Times New Roman"/>
          <w:color w:val="000000" w:themeColor="text1"/>
          <w:sz w:val="24"/>
          <w:szCs w:val="24"/>
        </w:rPr>
      </w:pPr>
      <w:r w:rsidRPr="00985D2A">
        <w:rPr>
          <w:rFonts w:ascii="Times New Roman" w:hAnsi="Times New Roman" w:eastAsia="Times New Roman" w:cs="Times New Roman"/>
          <w:color w:val="000000" w:themeColor="text1"/>
          <w:sz w:val="24"/>
          <w:szCs w:val="24"/>
        </w:rPr>
        <w:t>Statutory requirements shall not be waived under any circumstance.  Regulations may only be waived by an Assistant Secretary (usually the FHA Commissioner for MAP loan issues other than environmental regulatory waivers)</w:t>
      </w:r>
      <w:r w:rsidR="00A75770">
        <w:rPr>
          <w:rFonts w:ascii="Times New Roman" w:hAnsi="Times New Roman" w:eastAsia="Times New Roman" w:cs="Times New Roman"/>
          <w:color w:val="000000" w:themeColor="text1"/>
          <w:sz w:val="24"/>
          <w:szCs w:val="24"/>
        </w:rPr>
        <w:t>.</w:t>
      </w:r>
      <w:r w:rsidRPr="00985D2A">
        <w:rPr>
          <w:rFonts w:ascii="Times New Roman" w:hAnsi="Times New Roman" w:eastAsia="Times New Roman" w:cs="Times New Roman"/>
          <w:color w:val="000000" w:themeColor="text1"/>
          <w:sz w:val="24"/>
          <w:szCs w:val="24"/>
        </w:rPr>
        <w:t xml:space="preserve"> </w:t>
      </w:r>
    </w:p>
    <w:p w:rsidRPr="00985D2A" w:rsidR="00A57102" w:rsidP="00A57102" w:rsidRDefault="00856A58" w14:paraId="7564409D" w14:textId="0BD32E56">
      <w:pPr>
        <w:pStyle w:val="ListParagraph"/>
        <w:numPr>
          <w:ilvl w:val="3"/>
          <w:numId w:val="20"/>
        </w:numPr>
        <w:tabs>
          <w:tab w:val="left" w:pos="-4860"/>
        </w:tabs>
        <w:overflowPunct w:val="0"/>
        <w:autoSpaceDE w:val="0"/>
        <w:autoSpaceDN w:val="0"/>
        <w:adjustRightInd w:val="0"/>
        <w:spacing w:before="240" w:after="120"/>
        <w:ind w:left="720"/>
        <w:jc w:val="both"/>
        <w:textAlignment w:val="baseline"/>
        <w:outlineLvl w:val="1"/>
        <w:rPr>
          <w:rFonts w:ascii="Times New Roman" w:hAnsi="Times New Roman" w:eastAsia="Times New Roman" w:cs="Times New Roman"/>
          <w:color w:val="000000" w:themeColor="text1"/>
          <w:sz w:val="24"/>
          <w:szCs w:val="24"/>
        </w:rPr>
      </w:pPr>
      <w:bookmarkStart w:name="_Hlk20824049" w:id="2"/>
      <w:r>
        <w:rPr>
          <w:rFonts w:ascii="Times New Roman" w:hAnsi="Times New Roman" w:eastAsia="Times New Roman" w:cs="Times New Roman"/>
          <w:color w:val="000000" w:themeColor="text1"/>
          <w:sz w:val="24"/>
          <w:szCs w:val="24"/>
        </w:rPr>
        <w:t>Requested w</w:t>
      </w:r>
      <w:r w:rsidRPr="00C45C36">
        <w:rPr>
          <w:rFonts w:ascii="Times New Roman" w:hAnsi="Times New Roman" w:eastAsia="Times New Roman" w:cs="Times New Roman"/>
          <w:color w:val="000000" w:themeColor="text1"/>
          <w:sz w:val="24"/>
          <w:szCs w:val="24"/>
        </w:rPr>
        <w:t xml:space="preserve">aivers </w:t>
      </w:r>
      <w:r>
        <w:rPr>
          <w:rFonts w:ascii="Times New Roman" w:hAnsi="Times New Roman" w:eastAsia="Times New Roman" w:cs="Times New Roman"/>
          <w:color w:val="000000" w:themeColor="text1"/>
          <w:sz w:val="24"/>
          <w:szCs w:val="24"/>
        </w:rPr>
        <w:t xml:space="preserve">of this Guide must be submitted for </w:t>
      </w:r>
      <w:r w:rsidRPr="00C45C36">
        <w:rPr>
          <w:rFonts w:ascii="Times New Roman" w:hAnsi="Times New Roman" w:eastAsia="Times New Roman" w:cs="Times New Roman"/>
          <w:color w:val="000000" w:themeColor="text1"/>
          <w:sz w:val="24"/>
          <w:szCs w:val="24"/>
        </w:rPr>
        <w:t xml:space="preserve">Regional Counsel </w:t>
      </w:r>
      <w:r>
        <w:rPr>
          <w:rFonts w:ascii="Times New Roman" w:hAnsi="Times New Roman" w:eastAsia="Times New Roman" w:cs="Times New Roman"/>
          <w:color w:val="000000" w:themeColor="text1"/>
          <w:sz w:val="24"/>
          <w:szCs w:val="24"/>
        </w:rPr>
        <w:t>review to ensure there is no</w:t>
      </w:r>
      <w:r w:rsidRPr="00C45C36">
        <w:rPr>
          <w:rFonts w:ascii="Times New Roman" w:hAnsi="Times New Roman" w:eastAsia="Times New Roman" w:cs="Times New Roman"/>
          <w:color w:val="000000" w:themeColor="text1"/>
          <w:sz w:val="24"/>
          <w:szCs w:val="24"/>
        </w:rPr>
        <w:t xml:space="preserve"> conflict with a statute or regulation. </w:t>
      </w:r>
      <w:bookmarkEnd w:id="2"/>
      <w:r w:rsidRPr="00985D2A" w:rsidR="00A57102">
        <w:rPr>
          <w:rFonts w:ascii="Times New Roman" w:hAnsi="Times New Roman" w:eastAsia="Times New Roman" w:cs="Times New Roman"/>
          <w:color w:val="000000" w:themeColor="text1"/>
          <w:sz w:val="24"/>
          <w:szCs w:val="24"/>
        </w:rPr>
        <w:t>The Regional Center Director may waive requirements of this Guide that are not statutory or regulatory except for the following matters which must be approved in HQ:</w:t>
      </w:r>
    </w:p>
    <w:p w:rsidRPr="000023DB" w:rsidR="00A57102" w:rsidP="00A57102" w:rsidRDefault="00A57102" w14:paraId="7564409E" w14:textId="77777777">
      <w:pPr>
        <w:tabs>
          <w:tab w:val="left" w:pos="-486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color w:val="000000" w:themeColor="text1"/>
          <w:sz w:val="24"/>
          <w:szCs w:val="24"/>
        </w:rPr>
      </w:pPr>
    </w:p>
    <w:p w:rsidRPr="000023DB" w:rsidR="00A57102" w:rsidP="00A57102" w:rsidRDefault="00A57102" w14:paraId="7564409F" w14:textId="3BDB1530">
      <w:pPr>
        <w:numPr>
          <w:ilvl w:val="0"/>
          <w:numId w:val="13"/>
        </w:numPr>
        <w:tabs>
          <w:tab w:val="clear" w:pos="1800"/>
        </w:tabs>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 xml:space="preserve">Debt coverage ratios for all </w:t>
      </w:r>
      <w:r w:rsidRPr="000023DB" w:rsidR="00E27A49">
        <w:rPr>
          <w:rFonts w:ascii="Times New Roman" w:hAnsi="Times New Roman" w:eastAsia="Times New Roman" w:cs="Times New Roman"/>
          <w:color w:val="000000" w:themeColor="text1"/>
          <w:sz w:val="24"/>
          <w:szCs w:val="24"/>
        </w:rPr>
        <w:t>programs.</w:t>
      </w:r>
    </w:p>
    <w:p w:rsidRPr="000023DB" w:rsidR="00A57102" w:rsidP="00A57102" w:rsidRDefault="00A57102" w14:paraId="756440A0" w14:textId="5207A2AA">
      <w:pPr>
        <w:numPr>
          <w:ilvl w:val="0"/>
          <w:numId w:val="13"/>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 xml:space="preserve">Loan to value ratios for Section 223(f) </w:t>
      </w:r>
      <w:r w:rsidRPr="000023DB" w:rsidR="00E27A49">
        <w:rPr>
          <w:rFonts w:ascii="Times New Roman" w:hAnsi="Times New Roman" w:eastAsia="Times New Roman" w:cs="Times New Roman"/>
          <w:color w:val="000000" w:themeColor="text1"/>
          <w:sz w:val="24"/>
          <w:szCs w:val="24"/>
        </w:rPr>
        <w:t>loans.</w:t>
      </w:r>
    </w:p>
    <w:p w:rsidRPr="000023DB" w:rsidR="00A57102" w:rsidP="00A57102" w:rsidRDefault="00A57102" w14:paraId="756440A1" w14:textId="128F6606">
      <w:pPr>
        <w:numPr>
          <w:ilvl w:val="0"/>
          <w:numId w:val="13"/>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 xml:space="preserve">Loan to cost ratios for the 221(d) and 220 </w:t>
      </w:r>
      <w:r w:rsidRPr="000023DB" w:rsidR="00E27A49">
        <w:rPr>
          <w:rFonts w:ascii="Times New Roman" w:hAnsi="Times New Roman" w:eastAsia="Times New Roman" w:cs="Times New Roman"/>
          <w:color w:val="000000" w:themeColor="text1"/>
          <w:sz w:val="24"/>
          <w:szCs w:val="24"/>
        </w:rPr>
        <w:t>programs.</w:t>
      </w:r>
      <w:r w:rsidRPr="000023DB">
        <w:rPr>
          <w:rFonts w:ascii="Times New Roman" w:hAnsi="Times New Roman" w:eastAsia="Times New Roman" w:cs="Times New Roman"/>
          <w:color w:val="000000" w:themeColor="text1"/>
          <w:sz w:val="24"/>
          <w:szCs w:val="24"/>
        </w:rPr>
        <w:t xml:space="preserve"> </w:t>
      </w:r>
    </w:p>
    <w:p w:rsidRPr="000023DB" w:rsidR="00A57102" w:rsidP="00A57102" w:rsidRDefault="00A57102" w14:paraId="756440A2" w14:textId="10EB6176">
      <w:pPr>
        <w:numPr>
          <w:ilvl w:val="0"/>
          <w:numId w:val="13"/>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 xml:space="preserve">Traditional Application Processing for MAP eligible </w:t>
      </w:r>
      <w:r w:rsidRPr="000023DB" w:rsidR="00E27A49">
        <w:rPr>
          <w:rFonts w:ascii="Times New Roman" w:hAnsi="Times New Roman" w:eastAsia="Times New Roman" w:cs="Times New Roman"/>
          <w:color w:val="000000" w:themeColor="text1"/>
          <w:sz w:val="24"/>
          <w:szCs w:val="24"/>
        </w:rPr>
        <w:t>transactions.</w:t>
      </w:r>
    </w:p>
    <w:p w:rsidRPr="000023DB" w:rsidR="00A57102" w:rsidP="00A57102" w:rsidRDefault="00A57102" w14:paraId="756440A3" w14:textId="7DC8D42D">
      <w:pPr>
        <w:numPr>
          <w:ilvl w:val="0"/>
          <w:numId w:val="13"/>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Substantive modifications to the Ground Lease addendum form (HUD-92070M</w:t>
      </w:r>
      <w:r w:rsidRPr="000023DB" w:rsidR="00E27A49">
        <w:rPr>
          <w:rFonts w:ascii="Times New Roman" w:hAnsi="Times New Roman" w:eastAsia="Times New Roman" w:cs="Times New Roman"/>
          <w:color w:val="000000" w:themeColor="text1"/>
          <w:sz w:val="24"/>
          <w:szCs w:val="24"/>
        </w:rPr>
        <w:t>).</w:t>
      </w:r>
    </w:p>
    <w:p w:rsidR="00A57102" w:rsidP="00A57102" w:rsidRDefault="00A57102" w14:paraId="756440A4" w14:textId="6680601D">
      <w:pPr>
        <w:numPr>
          <w:ilvl w:val="0"/>
          <w:numId w:val="13"/>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The requirement for a Single Asset Borrower Entity (see 24 CFR 200.5</w:t>
      </w:r>
      <w:r w:rsidRPr="000023DB" w:rsidR="00E27A49">
        <w:rPr>
          <w:rFonts w:ascii="Times New Roman" w:hAnsi="Times New Roman" w:eastAsia="Times New Roman" w:cs="Times New Roman"/>
          <w:color w:val="000000" w:themeColor="text1"/>
          <w:sz w:val="24"/>
          <w:szCs w:val="24"/>
        </w:rPr>
        <w:t>).</w:t>
      </w:r>
      <w:r w:rsidRPr="000023DB">
        <w:rPr>
          <w:rFonts w:ascii="Times New Roman" w:hAnsi="Times New Roman" w:eastAsia="Times New Roman" w:cs="Times New Roman"/>
          <w:color w:val="000000" w:themeColor="text1"/>
          <w:sz w:val="24"/>
          <w:szCs w:val="24"/>
        </w:rPr>
        <w:t xml:space="preserve"> </w:t>
      </w:r>
    </w:p>
    <w:p w:rsidRPr="000023DB" w:rsidR="00A57102" w:rsidP="00A57102" w:rsidRDefault="00A57102" w14:paraId="756440A5" w14:textId="294D3F33">
      <w:pPr>
        <w:numPr>
          <w:ilvl w:val="0"/>
          <w:numId w:val="13"/>
        </w:numPr>
        <w:overflowPunct w:val="0"/>
        <w:autoSpaceDE w:val="0"/>
        <w:autoSpaceDN w:val="0"/>
        <w:adjustRightInd w:val="0"/>
        <w:spacing w:before="12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cs="Times New Roman"/>
          <w:color w:val="000000" w:themeColor="text1"/>
          <w:sz w:val="24"/>
          <w:szCs w:val="24"/>
        </w:rPr>
        <w:t xml:space="preserve">The prohibition on a lender advancing fees for payment of discounts on behalf of the </w:t>
      </w:r>
      <w:r w:rsidRPr="000023DB" w:rsidR="00E27A49">
        <w:rPr>
          <w:rFonts w:ascii="Times New Roman" w:hAnsi="Times New Roman" w:cs="Times New Roman"/>
          <w:color w:val="000000" w:themeColor="text1"/>
          <w:sz w:val="24"/>
          <w:szCs w:val="24"/>
        </w:rPr>
        <w:t>Borrower.</w:t>
      </w:r>
      <w:r w:rsidRPr="000023DB">
        <w:rPr>
          <w:rFonts w:ascii="Times New Roman" w:hAnsi="Times New Roman" w:cs="Times New Roman"/>
          <w:color w:val="000000" w:themeColor="text1"/>
          <w:sz w:val="24"/>
          <w:szCs w:val="24"/>
        </w:rPr>
        <w:t xml:space="preserve"> </w:t>
      </w:r>
    </w:p>
    <w:p w:rsidRPr="000023DB" w:rsidR="00A57102" w:rsidP="00A57102" w:rsidRDefault="00A57102" w14:paraId="756440A6" w14:textId="60C20F6A">
      <w:pPr>
        <w:numPr>
          <w:ilvl w:val="0"/>
          <w:numId w:val="13"/>
        </w:numPr>
        <w:overflowPunct w:val="0"/>
        <w:autoSpaceDE w:val="0"/>
        <w:autoSpaceDN w:val="0"/>
        <w:adjustRightInd w:val="0"/>
        <w:spacing w:before="12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eastAsia="Times New Roman" w:cs="Times New Roman"/>
          <w:color w:val="000000" w:themeColor="text1"/>
          <w:sz w:val="24"/>
          <w:szCs w:val="24"/>
        </w:rPr>
        <w:t xml:space="preserve">Payment of broker or referral fees to any party with an identity of interest with the borrower or its </w:t>
      </w:r>
      <w:r w:rsidRPr="000023DB" w:rsidR="00E27A49">
        <w:rPr>
          <w:rFonts w:ascii="Times New Roman" w:hAnsi="Times New Roman" w:eastAsia="Times New Roman" w:cs="Times New Roman"/>
          <w:color w:val="000000" w:themeColor="text1"/>
          <w:sz w:val="24"/>
          <w:szCs w:val="24"/>
        </w:rPr>
        <w:t>affiliates.</w:t>
      </w:r>
      <w:r w:rsidRPr="000023DB">
        <w:rPr>
          <w:rFonts w:ascii="Times New Roman" w:hAnsi="Times New Roman" w:eastAsia="Times New Roman" w:cs="Times New Roman"/>
          <w:color w:val="000000" w:themeColor="text1"/>
          <w:sz w:val="24"/>
          <w:szCs w:val="24"/>
        </w:rPr>
        <w:t xml:space="preserve"> </w:t>
      </w:r>
    </w:p>
    <w:p w:rsidRPr="00A42447" w:rsidR="00A57102" w:rsidP="00A57102" w:rsidRDefault="00A57102" w14:paraId="756440A7" w14:textId="6735E75F">
      <w:pPr>
        <w:numPr>
          <w:ilvl w:val="0"/>
          <w:numId w:val="13"/>
        </w:numPr>
        <w:overflowPunct w:val="0"/>
        <w:autoSpaceDE w:val="0"/>
        <w:autoSpaceDN w:val="0"/>
        <w:adjustRightInd w:val="0"/>
        <w:spacing w:before="12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0023DB">
        <w:rPr>
          <w:rFonts w:ascii="Times New Roman" w:hAnsi="Times New Roman" w:cs="Times New Roman"/>
          <w:color w:val="000000" w:themeColor="text1"/>
          <w:sz w:val="24"/>
          <w:szCs w:val="24"/>
        </w:rPr>
        <w:t xml:space="preserve">Extensions of Firm Commitments beyond 180 days of issuance (original term of 60 days plus up to a </w:t>
      </w:r>
      <w:r w:rsidRPr="000023DB" w:rsidR="00A83F62">
        <w:rPr>
          <w:rFonts w:ascii="Times New Roman" w:hAnsi="Times New Roman" w:cs="Times New Roman"/>
          <w:color w:val="000000" w:themeColor="text1"/>
          <w:sz w:val="24"/>
          <w:szCs w:val="24"/>
        </w:rPr>
        <w:t>120-day</w:t>
      </w:r>
      <w:r w:rsidRPr="000023DB">
        <w:rPr>
          <w:rFonts w:ascii="Times New Roman" w:hAnsi="Times New Roman" w:cs="Times New Roman"/>
          <w:color w:val="000000" w:themeColor="text1"/>
          <w:sz w:val="24"/>
          <w:szCs w:val="24"/>
        </w:rPr>
        <w:t xml:space="preserve"> extension)</w:t>
      </w:r>
      <w:r>
        <w:rPr>
          <w:rFonts w:ascii="Times New Roman" w:hAnsi="Times New Roman" w:cs="Times New Roman"/>
          <w:color w:val="000000" w:themeColor="text1"/>
          <w:sz w:val="24"/>
          <w:szCs w:val="24"/>
        </w:rPr>
        <w:t xml:space="preserve">; </w:t>
      </w:r>
    </w:p>
    <w:p w:rsidRPr="00A42447" w:rsidR="00A57102" w:rsidP="00A57102" w:rsidRDefault="00A57102" w14:paraId="756440A8" w14:textId="60C8FB1F">
      <w:pPr>
        <w:numPr>
          <w:ilvl w:val="0"/>
          <w:numId w:val="13"/>
        </w:numPr>
        <w:overflowPunct w:val="0"/>
        <w:autoSpaceDE w:val="0"/>
        <w:autoSpaceDN w:val="0"/>
        <w:adjustRightInd w:val="0"/>
        <w:spacing w:before="12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sidRPr="00A42447">
        <w:rPr>
          <w:rFonts w:ascii="Times New Roman" w:hAnsi="Times New Roman" w:cs="Times New Roman"/>
          <w:color w:val="000000" w:themeColor="text1"/>
          <w:sz w:val="24"/>
          <w:szCs w:val="24"/>
        </w:rPr>
        <w:t xml:space="preserve">Approval of applications in which the Regional Environmental </w:t>
      </w:r>
      <w:r w:rsidRPr="00A42447" w:rsidR="005060EE">
        <w:rPr>
          <w:rFonts w:ascii="Times New Roman" w:hAnsi="Times New Roman" w:cs="Times New Roman"/>
          <w:color w:val="000000" w:themeColor="text1"/>
          <w:sz w:val="24"/>
          <w:szCs w:val="24"/>
        </w:rPr>
        <w:t xml:space="preserve">Officer </w:t>
      </w:r>
      <w:r w:rsidR="005060EE">
        <w:rPr>
          <w:rFonts w:ascii="Times New Roman" w:hAnsi="Times New Roman" w:cs="Times New Roman"/>
          <w:color w:val="000000" w:themeColor="text1"/>
          <w:sz w:val="24"/>
          <w:szCs w:val="24"/>
        </w:rPr>
        <w:t>recommends</w:t>
      </w:r>
      <w:r w:rsidR="00A60364">
        <w:rPr>
          <w:rFonts w:ascii="Times New Roman" w:hAnsi="Times New Roman" w:cs="Times New Roman"/>
          <w:color w:val="000000" w:themeColor="text1"/>
          <w:sz w:val="24"/>
          <w:szCs w:val="24"/>
        </w:rPr>
        <w:t xml:space="preserve"> dis</w:t>
      </w:r>
      <w:r w:rsidRPr="00A42447">
        <w:rPr>
          <w:rFonts w:ascii="Times New Roman" w:hAnsi="Times New Roman" w:cs="Times New Roman"/>
          <w:color w:val="000000" w:themeColor="text1"/>
          <w:sz w:val="24"/>
          <w:szCs w:val="24"/>
        </w:rPr>
        <w:t xml:space="preserve">approval of an FHA mortgage insurance application; </w:t>
      </w:r>
      <w:r w:rsidR="00E71B5B">
        <w:rPr>
          <w:rFonts w:ascii="Times New Roman" w:hAnsi="Times New Roman" w:cs="Times New Roman"/>
          <w:color w:val="000000" w:themeColor="text1"/>
          <w:sz w:val="24"/>
          <w:szCs w:val="24"/>
        </w:rPr>
        <w:t>and</w:t>
      </w:r>
    </w:p>
    <w:p w:rsidR="00BD59FB" w:rsidP="00BD59FB" w:rsidRDefault="00BD59FB" w14:paraId="326CF413" w14:textId="38945664">
      <w:pPr>
        <w:numPr>
          <w:ilvl w:val="0"/>
          <w:numId w:val="13"/>
        </w:numPr>
        <w:overflowPunct w:val="0"/>
        <w:autoSpaceDE w:val="0"/>
        <w:autoSpaceDN w:val="0"/>
        <w:adjustRightInd w:val="0"/>
        <w:spacing w:before="120" w:after="80" w:line="276" w:lineRule="auto"/>
        <w:ind w:left="1080"/>
        <w:jc w:val="both"/>
        <w:textAlignment w:val="baseline"/>
        <w:outlineLvl w:val="2"/>
        <w:rPr>
          <w:rFonts w:ascii="Times New Roman" w:hAnsi="Times New Roman" w:eastAsia="Times New Roman" w:cs="Times New Roman"/>
          <w:color w:val="000000" w:themeColor="text1"/>
          <w:sz w:val="24"/>
          <w:szCs w:val="24"/>
        </w:rPr>
      </w:pPr>
      <w:r>
        <w:rPr>
          <w:rFonts w:ascii="Times New Roman" w:hAnsi="Times New Roman" w:cs="Times New Roman"/>
          <w:color w:val="000000" w:themeColor="text1"/>
          <w:sz w:val="24"/>
          <w:szCs w:val="24"/>
        </w:rPr>
        <w:t xml:space="preserve">Waivers of Chapter 19 (Closing Guide) as well as any waiver of, or revision to, closing documents must be processed pursuant to the procedures in Section 19.2.01.  </w:t>
      </w:r>
    </w:p>
    <w:p w:rsidR="00E71B5B" w:rsidP="00A83F62" w:rsidRDefault="00E71B5B" w14:paraId="4AF859A7" w14:textId="77777777">
      <w:pPr>
        <w:overflowPunct w:val="0"/>
        <w:autoSpaceDE w:val="0"/>
        <w:autoSpaceDN w:val="0"/>
        <w:adjustRightInd w:val="0"/>
        <w:spacing w:before="120" w:after="80" w:line="276" w:lineRule="auto"/>
        <w:jc w:val="both"/>
        <w:textAlignment w:val="baseline"/>
        <w:outlineLvl w:val="2"/>
        <w:rPr>
          <w:rFonts w:ascii="Times New Roman" w:hAnsi="Times New Roman" w:eastAsia="Times New Roman" w:cs="Times New Roman"/>
          <w:color w:val="000000" w:themeColor="text1"/>
          <w:sz w:val="24"/>
          <w:szCs w:val="24"/>
        </w:rPr>
      </w:pPr>
    </w:p>
    <w:p w:rsidR="00A57102" w:rsidP="00A57102" w:rsidRDefault="00A57102" w14:paraId="756440AA" w14:textId="77777777">
      <w:pPr>
        <w:pStyle w:val="ListParagraph"/>
        <w:numPr>
          <w:ilvl w:val="3"/>
          <w:numId w:val="20"/>
        </w:numPr>
        <w:overflowPunct w:val="0"/>
        <w:autoSpaceDE w:val="0"/>
        <w:autoSpaceDN w:val="0"/>
        <w:adjustRightInd w:val="0"/>
        <w:spacing w:before="120" w:after="80" w:line="276" w:lineRule="auto"/>
        <w:ind w:left="720"/>
        <w:jc w:val="both"/>
        <w:textAlignment w:val="baseline"/>
        <w:outlineLvl w:val="2"/>
        <w:rPr>
          <w:rFonts w:ascii="Times New Roman" w:hAnsi="Times New Roman" w:eastAsia="Times New Roman" w:cs="Times New Roman"/>
          <w:color w:val="000000" w:themeColor="text1"/>
          <w:sz w:val="24"/>
          <w:szCs w:val="24"/>
        </w:rPr>
      </w:pPr>
      <w:r w:rsidRPr="00985D2A">
        <w:rPr>
          <w:rFonts w:ascii="Times New Roman" w:hAnsi="Times New Roman" w:eastAsia="Times New Roman" w:cs="Times New Roman"/>
          <w:color w:val="000000" w:themeColor="text1"/>
          <w:sz w:val="24"/>
          <w:szCs w:val="24"/>
          <w:shd w:val="clear" w:color="auto" w:fill="FFFFFF"/>
        </w:rPr>
        <w:t>The Regional Center Director will submit to the Director of the Office of Multifamily Housing Production all waiver requests requiring HQ approval as early as possible</w:t>
      </w:r>
      <w:r w:rsidRPr="00985D2A">
        <w:rPr>
          <w:rFonts w:ascii="Times New Roman" w:hAnsi="Times New Roman" w:eastAsia="Times New Roman" w:cs="Times New Roman"/>
          <w:color w:val="000000" w:themeColor="text1"/>
          <w:sz w:val="24"/>
          <w:szCs w:val="24"/>
        </w:rPr>
        <w:t>.  Requests for regulatory waivers will take longer to process since they require review and concurrence from the Office of General Counsel and the Deputy Assistant Secretary for Multifamily Housing, as well as the approval of the FHA Commissioner.  HQ will not consider waiver requests submitted directly by MAP Lenders.</w:t>
      </w:r>
    </w:p>
    <w:p w:rsidR="00A57102" w:rsidP="00A57102" w:rsidRDefault="00A57102" w14:paraId="756440AB" w14:textId="2DC319A3">
      <w:pPr>
        <w:pStyle w:val="ListParagraph"/>
        <w:numPr>
          <w:ilvl w:val="3"/>
          <w:numId w:val="20"/>
        </w:numPr>
        <w:overflowPunct w:val="0"/>
        <w:autoSpaceDE w:val="0"/>
        <w:autoSpaceDN w:val="0"/>
        <w:adjustRightInd w:val="0"/>
        <w:spacing w:before="120" w:after="80" w:line="276" w:lineRule="auto"/>
        <w:ind w:left="720"/>
        <w:jc w:val="both"/>
        <w:textAlignment w:val="baseline"/>
        <w:outlineLvl w:val="2"/>
        <w:rPr>
          <w:rFonts w:ascii="Times New Roman" w:hAnsi="Times New Roman" w:eastAsia="Times New Roman" w:cs="Times New Roman"/>
          <w:color w:val="000000" w:themeColor="text1"/>
          <w:sz w:val="24"/>
          <w:szCs w:val="24"/>
        </w:rPr>
      </w:pPr>
      <w:r w:rsidRPr="00985D2A">
        <w:rPr>
          <w:rFonts w:ascii="Times New Roman" w:hAnsi="Times New Roman" w:eastAsia="Times New Roman" w:cs="Times New Roman"/>
          <w:color w:val="000000" w:themeColor="text1"/>
          <w:sz w:val="24"/>
          <w:szCs w:val="24"/>
        </w:rPr>
        <w:t>Any waiver granted in connection with the proposed transaction must be documented in the field office docket and HQ docket, along with the lender’s request and field office request</w:t>
      </w:r>
      <w:r w:rsidR="000B4267">
        <w:rPr>
          <w:rFonts w:ascii="Times New Roman" w:hAnsi="Times New Roman" w:eastAsia="Times New Roman" w:cs="Times New Roman"/>
          <w:color w:val="000000" w:themeColor="text1"/>
          <w:sz w:val="24"/>
          <w:szCs w:val="24"/>
        </w:rPr>
        <w:t xml:space="preserve"> using Form HUD-2</w:t>
      </w:r>
      <w:r w:rsidR="007A6317">
        <w:rPr>
          <w:rFonts w:ascii="Times New Roman" w:hAnsi="Times New Roman" w:eastAsia="Times New Roman" w:cs="Times New Roman"/>
          <w:color w:val="000000" w:themeColor="text1"/>
          <w:sz w:val="24"/>
          <w:szCs w:val="24"/>
        </w:rPr>
        <w:t>, as further set forth in Section 1.4.E</w:t>
      </w:r>
      <w:r w:rsidRPr="00985D2A">
        <w:rPr>
          <w:rFonts w:ascii="Times New Roman" w:hAnsi="Times New Roman" w:eastAsia="Times New Roman" w:cs="Times New Roman"/>
          <w:color w:val="000000" w:themeColor="text1"/>
          <w:sz w:val="24"/>
          <w:szCs w:val="24"/>
        </w:rPr>
        <w:t xml:space="preserve">. Waivers granted by the Regional Center, along with supporting documentation, </w:t>
      </w:r>
      <w:r w:rsidR="007A6317">
        <w:rPr>
          <w:rFonts w:ascii="Times New Roman" w:hAnsi="Times New Roman" w:eastAsia="Times New Roman" w:cs="Times New Roman"/>
          <w:color w:val="000000" w:themeColor="text1"/>
          <w:sz w:val="24"/>
          <w:szCs w:val="24"/>
        </w:rPr>
        <w:t xml:space="preserve">must be submitted </w:t>
      </w:r>
      <w:r w:rsidRPr="00985D2A">
        <w:rPr>
          <w:rFonts w:ascii="Times New Roman" w:hAnsi="Times New Roman" w:eastAsia="Times New Roman" w:cs="Times New Roman"/>
          <w:color w:val="000000" w:themeColor="text1"/>
          <w:sz w:val="24"/>
          <w:szCs w:val="24"/>
        </w:rPr>
        <w:t>to the Office of Multifamily Housing Production to determine if changes to this Guide or the regulations are necessary.</w:t>
      </w:r>
    </w:p>
    <w:p w:rsidRPr="00E9097D" w:rsidR="00E9097D" w:rsidP="00E9097D" w:rsidRDefault="00E9097D" w14:paraId="374DF3F8" w14:textId="77777777">
      <w:pPr>
        <w:overflowPunct w:val="0"/>
        <w:autoSpaceDE w:val="0"/>
        <w:autoSpaceDN w:val="0"/>
        <w:adjustRightInd w:val="0"/>
        <w:spacing w:before="120" w:after="80" w:line="276" w:lineRule="auto"/>
        <w:jc w:val="both"/>
        <w:textAlignment w:val="baseline"/>
        <w:outlineLvl w:val="2"/>
        <w:rPr>
          <w:rFonts w:ascii="Times New Roman" w:hAnsi="Times New Roman" w:eastAsia="Times New Roman" w:cs="Times New Roman"/>
          <w:color w:val="000000" w:themeColor="text1"/>
          <w:sz w:val="24"/>
          <w:szCs w:val="24"/>
        </w:rPr>
      </w:pPr>
      <w:r w:rsidRPr="00E9097D">
        <w:rPr>
          <w:rFonts w:ascii="Times New Roman" w:hAnsi="Times New Roman" w:eastAsia="Times New Roman" w:cs="Times New Roman"/>
          <w:color w:val="000000" w:themeColor="text1"/>
          <w:sz w:val="24"/>
          <w:szCs w:val="24"/>
        </w:rPr>
        <w:t>G. Interest Rate Lock.</w:t>
      </w:r>
    </w:p>
    <w:p w:rsidRPr="00E9097D" w:rsidR="00E9097D" w:rsidP="00E9097D" w:rsidRDefault="00E9097D" w14:paraId="44954CA8" w14:textId="77777777">
      <w:pPr>
        <w:overflowPunct w:val="0"/>
        <w:autoSpaceDE w:val="0"/>
        <w:autoSpaceDN w:val="0"/>
        <w:adjustRightInd w:val="0"/>
        <w:spacing w:before="120" w:after="80" w:line="276" w:lineRule="auto"/>
        <w:jc w:val="both"/>
        <w:textAlignment w:val="baseline"/>
        <w:outlineLvl w:val="2"/>
        <w:rPr>
          <w:rFonts w:ascii="Times New Roman" w:hAnsi="Times New Roman" w:eastAsia="Times New Roman" w:cs="Times New Roman"/>
          <w:color w:val="000000" w:themeColor="text1"/>
          <w:sz w:val="24"/>
          <w:szCs w:val="24"/>
        </w:rPr>
      </w:pPr>
      <w:r w:rsidRPr="00E9097D">
        <w:rPr>
          <w:rFonts w:ascii="Times New Roman" w:hAnsi="Times New Roman" w:eastAsia="Times New Roman" w:cs="Times New Roman"/>
          <w:color w:val="000000" w:themeColor="text1"/>
          <w:sz w:val="24"/>
          <w:szCs w:val="24"/>
        </w:rPr>
        <w:t>The lender must notify HUD of interest rate lock (e.g. Ginnie Mae investor trade agreement) to allow sufficient time to process any amendments to the Firm Commitment.  While the lender may elect to lock rate after receipt of a commitment to insure, lenders and borrowers assume all risk of fees due (e.g. investor extension or delivery fees) associated with the timing of transaction closing and mortgage-backed security pooling or issuance.</w:t>
      </w:r>
    </w:p>
    <w:p w:rsidRPr="00A01FF0" w:rsidR="00A01FF0" w:rsidP="00A01FF0" w:rsidRDefault="00A01FF0" w14:paraId="1D25FA83" w14:textId="77777777">
      <w:pPr>
        <w:overflowPunct w:val="0"/>
        <w:autoSpaceDE w:val="0"/>
        <w:autoSpaceDN w:val="0"/>
        <w:adjustRightInd w:val="0"/>
        <w:spacing w:before="120" w:after="80" w:line="276" w:lineRule="auto"/>
        <w:jc w:val="both"/>
        <w:textAlignment w:val="baseline"/>
        <w:outlineLvl w:val="2"/>
        <w:rPr>
          <w:rFonts w:ascii="Times New Roman" w:hAnsi="Times New Roman" w:eastAsia="Times New Roman" w:cs="Times New Roman"/>
          <w:color w:val="000000" w:themeColor="text1"/>
          <w:sz w:val="24"/>
          <w:szCs w:val="24"/>
        </w:rPr>
      </w:pPr>
    </w:p>
    <w:p w:rsidRPr="000023DB" w:rsidR="00A57102" w:rsidP="00A57102" w:rsidRDefault="00A57102" w14:paraId="756440AC" w14:textId="77777777">
      <w:pPr>
        <w:tabs>
          <w:tab w:val="left" w:pos="2880"/>
        </w:tabs>
        <w:overflowPunct w:val="0"/>
        <w:autoSpaceDE w:val="0"/>
        <w:autoSpaceDN w:val="0"/>
        <w:adjustRightInd w:val="0"/>
        <w:spacing w:before="80" w:after="80"/>
        <w:ind w:left="2880" w:hanging="2700"/>
        <w:textAlignment w:val="baseline"/>
        <w:outlineLvl w:val="0"/>
        <w:rPr>
          <w:rFonts w:ascii="Arial" w:hAnsi="Arial" w:eastAsia="Times New Roman" w:cs="Arial"/>
          <w:b/>
          <w:sz w:val="28"/>
          <w:szCs w:val="20"/>
        </w:rPr>
      </w:pPr>
    </w:p>
    <w:p w:rsidRPr="000023DB" w:rsidR="00A57102" w:rsidP="00A57102" w:rsidRDefault="00A57102" w14:paraId="756440AD" w14:textId="159B93DA">
      <w:pPr>
        <w:numPr>
          <w:ilvl w:val="1"/>
          <w:numId w:val="14"/>
        </w:num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0023DB">
        <w:rPr>
          <w:rFonts w:ascii="Arial" w:hAnsi="Arial" w:eastAsia="Times New Roman" w:cs="Arial"/>
          <w:b/>
          <w:sz w:val="28"/>
          <w:szCs w:val="20"/>
        </w:rPr>
        <w:t>Program Closing Provisions</w:t>
      </w:r>
    </w:p>
    <w:p w:rsidRPr="000023DB" w:rsidR="00A57102" w:rsidP="00A57102" w:rsidRDefault="00541D3B" w14:paraId="756440AE" w14:textId="65FD03A7">
      <w:pPr>
        <w:widowControl w:val="0"/>
        <w:overflowPunct w:val="0"/>
        <w:autoSpaceDE w:val="0"/>
        <w:autoSpaceDN w:val="0"/>
        <w:adjustRightInd w:val="0"/>
        <w:spacing w:before="80" w:after="12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Chapter 19 (</w:t>
      </w:r>
      <w:r w:rsidRPr="000023DB" w:rsidR="00A57102">
        <w:rPr>
          <w:rFonts w:ascii="Times New Roman" w:hAnsi="Times New Roman" w:eastAsia="Times New Roman" w:cs="Times New Roman"/>
          <w:sz w:val="24"/>
          <w:szCs w:val="24"/>
        </w:rPr>
        <w:t>Closing Guide</w:t>
      </w:r>
      <w:r>
        <w:rPr>
          <w:rFonts w:ascii="Times New Roman" w:hAnsi="Times New Roman" w:eastAsia="Times New Roman" w:cs="Times New Roman"/>
          <w:sz w:val="24"/>
          <w:szCs w:val="24"/>
        </w:rPr>
        <w:t>)</w:t>
      </w:r>
      <w:r w:rsidRPr="000023DB" w:rsidR="00A57102">
        <w:rPr>
          <w:rFonts w:ascii="Times New Roman" w:hAnsi="Times New Roman" w:eastAsia="Times New Roman" w:cs="Times New Roman"/>
          <w:sz w:val="24"/>
          <w:szCs w:val="24"/>
        </w:rPr>
        <w:t xml:space="preserve"> addresses various program closing provisions and procedures that the lender must be aware of to prepare for initial closing, final closing and initial/final closing events. The HUD underwriter’s responsibilities </w:t>
      </w:r>
      <w:r w:rsidR="00291801">
        <w:rPr>
          <w:rFonts w:ascii="Times New Roman" w:hAnsi="Times New Roman" w:eastAsia="Times New Roman" w:cs="Times New Roman"/>
          <w:sz w:val="24"/>
          <w:szCs w:val="24"/>
        </w:rPr>
        <w:t xml:space="preserve">(or Closing Coordinator, as applicable) </w:t>
      </w:r>
      <w:r w:rsidRPr="000023DB" w:rsidR="00A57102">
        <w:rPr>
          <w:rFonts w:ascii="Times New Roman" w:hAnsi="Times New Roman" w:eastAsia="Times New Roman" w:cs="Times New Roman"/>
          <w:sz w:val="24"/>
          <w:szCs w:val="24"/>
        </w:rPr>
        <w:t>include:</w:t>
      </w:r>
    </w:p>
    <w:p w:rsidRPr="000023DB" w:rsidR="00A57102" w:rsidP="00A57102" w:rsidRDefault="00A57102" w14:paraId="756440AF" w14:textId="62A691E9">
      <w:pPr>
        <w:widowControl w:val="0"/>
        <w:numPr>
          <w:ilvl w:val="0"/>
          <w:numId w:val="15"/>
        </w:numPr>
        <w:overflowPunct w:val="0"/>
        <w:autoSpaceDE w:val="0"/>
        <w:autoSpaceDN w:val="0"/>
        <w:adjustRightInd w:val="0"/>
        <w:spacing w:before="80" w:after="120" w:line="276" w:lineRule="auto"/>
        <w:ind w:left="36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Ensuring </w:t>
      </w:r>
      <w:r>
        <w:rPr>
          <w:rFonts w:ascii="Times New Roman" w:hAnsi="Times New Roman" w:eastAsia="Times New Roman" w:cs="Times New Roman"/>
          <w:sz w:val="24"/>
          <w:szCs w:val="24"/>
        </w:rPr>
        <w:t xml:space="preserve">all </w:t>
      </w:r>
      <w:r w:rsidRPr="000023DB">
        <w:rPr>
          <w:rFonts w:ascii="Times New Roman" w:hAnsi="Times New Roman" w:eastAsia="Times New Roman" w:cs="Times New Roman"/>
          <w:sz w:val="24"/>
          <w:szCs w:val="24"/>
        </w:rPr>
        <w:t xml:space="preserve">Special Conditions to the Commitment have been </w:t>
      </w:r>
      <w:r>
        <w:rPr>
          <w:rFonts w:ascii="Times New Roman" w:hAnsi="Times New Roman" w:eastAsia="Times New Roman" w:cs="Times New Roman"/>
          <w:sz w:val="24"/>
          <w:szCs w:val="24"/>
        </w:rPr>
        <w:t xml:space="preserve">individually addressed and </w:t>
      </w:r>
      <w:r w:rsidRPr="000023DB">
        <w:rPr>
          <w:rFonts w:ascii="Times New Roman" w:hAnsi="Times New Roman" w:eastAsia="Times New Roman" w:cs="Times New Roman"/>
          <w:sz w:val="24"/>
          <w:szCs w:val="24"/>
        </w:rPr>
        <w:t>satisfied</w:t>
      </w:r>
      <w:r>
        <w:rPr>
          <w:rFonts w:ascii="Times New Roman" w:hAnsi="Times New Roman" w:eastAsia="Times New Roman" w:cs="Times New Roman"/>
          <w:sz w:val="24"/>
          <w:szCs w:val="24"/>
        </w:rPr>
        <w:t xml:space="preserve">, including the resolution of any open DEC referrals, prior to or in tandem with </w:t>
      </w:r>
      <w:r w:rsidR="008F6AB2">
        <w:rPr>
          <w:rFonts w:ascii="Times New Roman" w:hAnsi="Times New Roman" w:eastAsia="Times New Roman" w:cs="Times New Roman"/>
          <w:sz w:val="24"/>
          <w:szCs w:val="24"/>
        </w:rPr>
        <w:t>closing</w:t>
      </w:r>
      <w:r w:rsidRPr="000023DB" w:rsidR="008F6AB2">
        <w:rPr>
          <w:rFonts w:ascii="Times New Roman" w:hAnsi="Times New Roman" w:eastAsia="Times New Roman" w:cs="Times New Roman"/>
          <w:sz w:val="24"/>
          <w:szCs w:val="24"/>
        </w:rPr>
        <w:t>.</w:t>
      </w:r>
    </w:p>
    <w:p w:rsidRPr="000023DB" w:rsidR="00A57102" w:rsidP="00A57102" w:rsidRDefault="00A57102" w14:paraId="756440B0" w14:textId="41A53501">
      <w:pPr>
        <w:widowControl w:val="0"/>
        <w:numPr>
          <w:ilvl w:val="0"/>
          <w:numId w:val="15"/>
        </w:numPr>
        <w:overflowPunct w:val="0"/>
        <w:autoSpaceDE w:val="0"/>
        <w:autoSpaceDN w:val="0"/>
        <w:adjustRightInd w:val="0"/>
        <w:spacing w:before="80" w:after="120" w:line="276" w:lineRule="auto"/>
        <w:ind w:left="36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Reprocessing and amending Firm Commitments as necessary and appropriate</w:t>
      </w:r>
      <w:r w:rsidR="00FF0E4D">
        <w:rPr>
          <w:rFonts w:ascii="Times New Roman" w:hAnsi="Times New Roman" w:eastAsia="Times New Roman" w:cs="Times New Roman"/>
          <w:sz w:val="24"/>
          <w:szCs w:val="24"/>
        </w:rPr>
        <w:t xml:space="preserve"> [</w:t>
      </w:r>
      <w:r w:rsidR="007B0AF2">
        <w:rPr>
          <w:rFonts w:ascii="Times New Roman" w:hAnsi="Times New Roman" w:eastAsia="Times New Roman" w:cs="Times New Roman"/>
          <w:sz w:val="24"/>
          <w:szCs w:val="24"/>
        </w:rPr>
        <w:t>Cross reference</w:t>
      </w:r>
      <w:r w:rsidR="00637B0E">
        <w:rPr>
          <w:rFonts w:ascii="Times New Roman" w:hAnsi="Times New Roman" w:eastAsia="Times New Roman" w:cs="Times New Roman"/>
          <w:sz w:val="24"/>
          <w:szCs w:val="24"/>
        </w:rPr>
        <w:t>s:</w:t>
      </w:r>
      <w:r w:rsidR="007B0AF2">
        <w:rPr>
          <w:rFonts w:ascii="Times New Roman" w:hAnsi="Times New Roman" w:eastAsia="Times New Roman" w:cs="Times New Roman"/>
          <w:sz w:val="24"/>
          <w:szCs w:val="24"/>
        </w:rPr>
        <w:t xml:space="preserve"> </w:t>
      </w:r>
      <w:r w:rsidRPr="00C5062D" w:rsidR="00C5062D">
        <w:rPr>
          <w:rFonts w:ascii="Times New Roman" w:hAnsi="Times New Roman" w:eastAsia="Times New Roman" w:cs="Times New Roman"/>
          <w:sz w:val="24"/>
          <w:szCs w:val="24"/>
        </w:rPr>
        <w:t xml:space="preserve">FHA Closing Guide Section </w:t>
      </w:r>
      <w:r w:rsidR="0058513E">
        <w:rPr>
          <w:rFonts w:ascii="Times New Roman" w:hAnsi="Times New Roman" w:eastAsia="Times New Roman" w:cs="Times New Roman"/>
          <w:sz w:val="24"/>
          <w:szCs w:val="24"/>
        </w:rPr>
        <w:t>19</w:t>
      </w:r>
      <w:r w:rsidR="00D93D8D">
        <w:rPr>
          <w:rFonts w:ascii="Times New Roman" w:hAnsi="Times New Roman" w:eastAsia="Times New Roman" w:cs="Times New Roman"/>
          <w:sz w:val="24"/>
          <w:szCs w:val="24"/>
        </w:rPr>
        <w:t>.1.02</w:t>
      </w:r>
      <w:r w:rsidR="00637B0E">
        <w:rPr>
          <w:rFonts w:ascii="Times New Roman" w:hAnsi="Times New Roman" w:eastAsia="Times New Roman" w:cs="Times New Roman"/>
          <w:sz w:val="24"/>
          <w:szCs w:val="24"/>
        </w:rPr>
        <w:t xml:space="preserve"> and </w:t>
      </w:r>
      <w:r w:rsidR="00EB44BA">
        <w:rPr>
          <w:rFonts w:ascii="Times New Roman" w:hAnsi="Times New Roman" w:eastAsia="Times New Roman" w:cs="Times New Roman"/>
          <w:sz w:val="24"/>
          <w:szCs w:val="24"/>
        </w:rPr>
        <w:t>Regulat</w:t>
      </w:r>
      <w:r w:rsidR="003D41F7">
        <w:rPr>
          <w:rFonts w:ascii="Times New Roman" w:hAnsi="Times New Roman" w:eastAsia="Times New Roman" w:cs="Times New Roman"/>
          <w:sz w:val="24"/>
          <w:szCs w:val="24"/>
        </w:rPr>
        <w:t>ion</w:t>
      </w:r>
      <w:r w:rsidR="00EB44BA">
        <w:rPr>
          <w:rFonts w:ascii="Times New Roman" w:hAnsi="Times New Roman" w:eastAsia="Times New Roman" w:cs="Times New Roman"/>
          <w:sz w:val="24"/>
          <w:szCs w:val="24"/>
        </w:rPr>
        <w:t xml:space="preserve">s </w:t>
      </w:r>
      <w:r w:rsidRPr="00EB44BA" w:rsidR="00EB44BA">
        <w:rPr>
          <w:rFonts w:ascii="Times New Roman" w:hAnsi="Times New Roman" w:eastAsia="Times New Roman" w:cs="Times New Roman"/>
          <w:sz w:val="24"/>
          <w:szCs w:val="24"/>
        </w:rPr>
        <w:t>24 CFR</w:t>
      </w:r>
      <w:r w:rsidR="001612A8">
        <w:rPr>
          <w:rFonts w:ascii="Times New Roman" w:hAnsi="Times New Roman" w:eastAsia="Times New Roman" w:cs="Times New Roman"/>
          <w:sz w:val="24"/>
          <w:szCs w:val="24"/>
        </w:rPr>
        <w:t xml:space="preserve"> </w:t>
      </w:r>
      <w:r w:rsidRPr="00EB44BA" w:rsidR="00EB44BA">
        <w:rPr>
          <w:rFonts w:ascii="Times New Roman" w:hAnsi="Times New Roman" w:eastAsia="Times New Roman" w:cs="Times New Roman"/>
          <w:sz w:val="24"/>
          <w:szCs w:val="24"/>
        </w:rPr>
        <w:t>200.46</w:t>
      </w:r>
      <w:r w:rsidR="00D803C1">
        <w:rPr>
          <w:rFonts w:ascii="Times New Roman" w:hAnsi="Times New Roman" w:eastAsia="Times New Roman" w:cs="Times New Roman"/>
          <w:sz w:val="24"/>
          <w:szCs w:val="24"/>
        </w:rPr>
        <w:t xml:space="preserve"> for </w:t>
      </w:r>
      <w:r w:rsidRPr="00EB44BA" w:rsidR="00D803C1">
        <w:rPr>
          <w:rFonts w:ascii="Times New Roman" w:hAnsi="Times New Roman" w:eastAsia="Times New Roman" w:cs="Times New Roman"/>
          <w:sz w:val="24"/>
          <w:szCs w:val="24"/>
        </w:rPr>
        <w:t>Commitment Issuance</w:t>
      </w:r>
      <w:r w:rsidRPr="00EB44BA" w:rsidR="00EB44BA">
        <w:rPr>
          <w:rFonts w:ascii="Times New Roman" w:hAnsi="Times New Roman" w:eastAsia="Times New Roman" w:cs="Times New Roman"/>
          <w:sz w:val="24"/>
          <w:szCs w:val="24"/>
        </w:rPr>
        <w:t xml:space="preserve"> &amp; 200.47</w:t>
      </w:r>
      <w:r w:rsidR="00D803C1">
        <w:rPr>
          <w:rFonts w:ascii="Times New Roman" w:hAnsi="Times New Roman" w:eastAsia="Times New Roman" w:cs="Times New Roman"/>
          <w:sz w:val="24"/>
          <w:szCs w:val="24"/>
        </w:rPr>
        <w:t xml:space="preserve"> for </w:t>
      </w:r>
      <w:r w:rsidRPr="00EB44BA" w:rsidR="00D803C1">
        <w:rPr>
          <w:rFonts w:ascii="Times New Roman" w:hAnsi="Times New Roman" w:eastAsia="Times New Roman" w:cs="Times New Roman"/>
          <w:sz w:val="24"/>
          <w:szCs w:val="24"/>
        </w:rPr>
        <w:t>Firm Commitment</w:t>
      </w:r>
      <w:r w:rsidR="008F6AB2">
        <w:rPr>
          <w:rFonts w:ascii="Times New Roman" w:hAnsi="Times New Roman" w:eastAsia="Times New Roman" w:cs="Times New Roman"/>
          <w:sz w:val="24"/>
          <w:szCs w:val="24"/>
        </w:rPr>
        <w:t>]</w:t>
      </w:r>
      <w:r w:rsidRPr="000023DB" w:rsidR="008F6AB2">
        <w:rPr>
          <w:rFonts w:ascii="Times New Roman" w:hAnsi="Times New Roman" w:eastAsia="Times New Roman" w:cs="Times New Roman"/>
          <w:sz w:val="24"/>
          <w:szCs w:val="24"/>
        </w:rPr>
        <w:t>.</w:t>
      </w:r>
    </w:p>
    <w:p w:rsidRPr="000023DB" w:rsidR="00A57102" w:rsidP="00A57102" w:rsidRDefault="00A57102" w14:paraId="756440B1" w14:textId="69188B68">
      <w:pPr>
        <w:widowControl w:val="0"/>
        <w:numPr>
          <w:ilvl w:val="0"/>
          <w:numId w:val="15"/>
        </w:numPr>
        <w:overflowPunct w:val="0"/>
        <w:autoSpaceDE w:val="0"/>
        <w:autoSpaceDN w:val="0"/>
        <w:adjustRightInd w:val="0"/>
        <w:spacing w:before="80" w:after="120" w:line="276" w:lineRule="auto"/>
        <w:ind w:left="36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Extending or Re-issuing Firm Commitments</w:t>
      </w:r>
      <w:r w:rsidR="00DE5169">
        <w:rPr>
          <w:rFonts w:ascii="Times New Roman" w:hAnsi="Times New Roman" w:eastAsia="Times New Roman" w:cs="Times New Roman"/>
          <w:sz w:val="24"/>
          <w:szCs w:val="24"/>
        </w:rPr>
        <w:t xml:space="preserve"> [</w:t>
      </w:r>
      <w:r w:rsidR="00387A4E">
        <w:rPr>
          <w:rFonts w:ascii="Times New Roman" w:hAnsi="Times New Roman" w:eastAsia="Times New Roman" w:cs="Times New Roman"/>
          <w:sz w:val="24"/>
          <w:szCs w:val="24"/>
        </w:rPr>
        <w:t>Note</w:t>
      </w:r>
      <w:r w:rsidR="00CE402F">
        <w:rPr>
          <w:rFonts w:ascii="Times New Roman" w:hAnsi="Times New Roman" w:eastAsia="Times New Roman" w:cs="Times New Roman"/>
          <w:sz w:val="24"/>
          <w:szCs w:val="24"/>
        </w:rPr>
        <w:t>:</w:t>
      </w:r>
      <w:r w:rsidR="00387A4E">
        <w:rPr>
          <w:rFonts w:ascii="Times New Roman" w:hAnsi="Times New Roman" w:eastAsia="Times New Roman" w:cs="Times New Roman"/>
          <w:sz w:val="24"/>
          <w:szCs w:val="24"/>
        </w:rPr>
        <w:t xml:space="preserve"> </w:t>
      </w:r>
      <w:r w:rsidR="00CE402F">
        <w:rPr>
          <w:rFonts w:ascii="Times New Roman" w:hAnsi="Times New Roman" w:eastAsia="Times New Roman" w:cs="Times New Roman"/>
          <w:sz w:val="24"/>
          <w:szCs w:val="24"/>
        </w:rPr>
        <w:t xml:space="preserve"> </w:t>
      </w:r>
      <w:r w:rsidR="008F6AB2">
        <w:rPr>
          <w:rFonts w:ascii="Times New Roman" w:hAnsi="Times New Roman" w:eastAsia="Times New Roman" w:cs="Times New Roman"/>
          <w:sz w:val="24"/>
          <w:szCs w:val="24"/>
        </w:rPr>
        <w:t>The</w:t>
      </w:r>
      <w:r w:rsidR="00A932FE">
        <w:rPr>
          <w:rFonts w:ascii="Times New Roman" w:hAnsi="Times New Roman" w:eastAsia="Times New Roman" w:cs="Times New Roman"/>
          <w:sz w:val="24"/>
          <w:szCs w:val="24"/>
        </w:rPr>
        <w:t xml:space="preserve"> Reopening fee for </w:t>
      </w:r>
      <w:r w:rsidR="00AA2BB3">
        <w:rPr>
          <w:rFonts w:ascii="Times New Roman" w:hAnsi="Times New Roman" w:eastAsia="Times New Roman" w:cs="Times New Roman"/>
          <w:sz w:val="24"/>
          <w:szCs w:val="24"/>
        </w:rPr>
        <w:t xml:space="preserve">an </w:t>
      </w:r>
      <w:r w:rsidR="00A932FE">
        <w:rPr>
          <w:rFonts w:ascii="Times New Roman" w:hAnsi="Times New Roman" w:eastAsia="Times New Roman" w:cs="Times New Roman"/>
          <w:sz w:val="24"/>
          <w:szCs w:val="24"/>
        </w:rPr>
        <w:t>expired</w:t>
      </w:r>
      <w:r w:rsidR="00AA2BB3">
        <w:rPr>
          <w:rFonts w:ascii="Times New Roman" w:hAnsi="Times New Roman" w:eastAsia="Times New Roman" w:cs="Times New Roman"/>
          <w:sz w:val="24"/>
          <w:szCs w:val="24"/>
        </w:rPr>
        <w:t xml:space="preserve"> </w:t>
      </w:r>
      <w:r w:rsidRPr="00AA2BB3" w:rsidR="00AA2BB3">
        <w:rPr>
          <w:rFonts w:ascii="Times New Roman" w:hAnsi="Times New Roman" w:eastAsia="Times New Roman" w:cs="Times New Roman"/>
          <w:sz w:val="24"/>
          <w:szCs w:val="24"/>
        </w:rPr>
        <w:t>firm commitment is $0.50 per thousand</w:t>
      </w:r>
      <w:r w:rsidR="009E696D">
        <w:rPr>
          <w:rFonts w:ascii="Times New Roman" w:hAnsi="Times New Roman" w:eastAsia="Times New Roman" w:cs="Times New Roman"/>
          <w:sz w:val="24"/>
          <w:szCs w:val="24"/>
        </w:rPr>
        <w:t xml:space="preserve"> (Regulations </w:t>
      </w:r>
      <w:r w:rsidRPr="00EB44BA" w:rsidR="009E696D">
        <w:rPr>
          <w:rFonts w:ascii="Times New Roman" w:hAnsi="Times New Roman" w:eastAsia="Times New Roman" w:cs="Times New Roman"/>
          <w:sz w:val="24"/>
          <w:szCs w:val="24"/>
        </w:rPr>
        <w:t xml:space="preserve">24 CFR </w:t>
      </w:r>
      <w:r w:rsidR="009E696D">
        <w:rPr>
          <w:rFonts w:ascii="Times New Roman" w:hAnsi="Times New Roman" w:eastAsia="Times New Roman" w:cs="Times New Roman"/>
          <w:sz w:val="24"/>
          <w:szCs w:val="24"/>
        </w:rPr>
        <w:t>200.40(g)</w:t>
      </w:r>
      <w:r w:rsidR="008F6AB2">
        <w:rPr>
          <w:rFonts w:ascii="Times New Roman" w:hAnsi="Times New Roman" w:eastAsia="Times New Roman" w:cs="Times New Roman"/>
          <w:sz w:val="24"/>
          <w:szCs w:val="24"/>
        </w:rPr>
        <w:t>); Cross</w:t>
      </w:r>
      <w:r w:rsidR="00DE5169">
        <w:rPr>
          <w:rFonts w:ascii="Times New Roman" w:hAnsi="Times New Roman" w:eastAsia="Times New Roman" w:cs="Times New Roman"/>
          <w:sz w:val="24"/>
          <w:szCs w:val="24"/>
        </w:rPr>
        <w:t xml:space="preserve"> references: </w:t>
      </w:r>
      <w:r w:rsidR="00E52E50">
        <w:rPr>
          <w:rFonts w:ascii="Times New Roman" w:hAnsi="Times New Roman" w:eastAsia="Times New Roman" w:cs="Times New Roman"/>
          <w:sz w:val="24"/>
          <w:szCs w:val="24"/>
        </w:rPr>
        <w:t xml:space="preserve">24 CFR </w:t>
      </w:r>
      <w:r w:rsidRPr="00EB44BA" w:rsidR="00FF0AEE">
        <w:rPr>
          <w:rFonts w:ascii="Times New Roman" w:hAnsi="Times New Roman" w:eastAsia="Times New Roman" w:cs="Times New Roman"/>
          <w:sz w:val="24"/>
          <w:szCs w:val="24"/>
        </w:rPr>
        <w:t>200.4</w:t>
      </w:r>
      <w:r w:rsidR="00FF0AEE">
        <w:rPr>
          <w:rFonts w:ascii="Times New Roman" w:hAnsi="Times New Roman" w:eastAsia="Times New Roman" w:cs="Times New Roman"/>
          <w:sz w:val="24"/>
          <w:szCs w:val="24"/>
        </w:rPr>
        <w:t xml:space="preserve">6 and </w:t>
      </w:r>
      <w:r w:rsidRPr="00EB44BA" w:rsidR="00FF0AEE">
        <w:rPr>
          <w:rFonts w:ascii="Times New Roman" w:hAnsi="Times New Roman" w:eastAsia="Times New Roman" w:cs="Times New Roman"/>
          <w:sz w:val="24"/>
          <w:szCs w:val="24"/>
        </w:rPr>
        <w:t>200.47</w:t>
      </w:r>
      <w:r w:rsidR="00642F79">
        <w:rPr>
          <w:rFonts w:ascii="Times New Roman" w:hAnsi="Times New Roman" w:eastAsia="Times New Roman" w:cs="Times New Roman"/>
          <w:sz w:val="24"/>
          <w:szCs w:val="24"/>
        </w:rPr>
        <w:t>]</w:t>
      </w:r>
      <w:r w:rsidRPr="000023DB">
        <w:rPr>
          <w:rFonts w:ascii="Times New Roman" w:hAnsi="Times New Roman" w:eastAsia="Times New Roman" w:cs="Times New Roman"/>
          <w:sz w:val="24"/>
          <w:szCs w:val="24"/>
        </w:rPr>
        <w:t xml:space="preserve">; </w:t>
      </w:r>
    </w:p>
    <w:p w:rsidRPr="000023DB" w:rsidR="00A57102" w:rsidP="00A57102" w:rsidRDefault="00A57102" w14:paraId="756440B2" w14:textId="432848FC">
      <w:pPr>
        <w:widowControl w:val="0"/>
        <w:numPr>
          <w:ilvl w:val="0"/>
          <w:numId w:val="15"/>
        </w:numPr>
        <w:overflowPunct w:val="0"/>
        <w:autoSpaceDE w:val="0"/>
        <w:autoSpaceDN w:val="0"/>
        <w:adjustRightInd w:val="0"/>
        <w:spacing w:before="80" w:after="120" w:line="276" w:lineRule="auto"/>
        <w:ind w:left="36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Coordinating with Asset Management staff to ensure the orderly transition from Production to Servicing</w:t>
      </w:r>
      <w:r w:rsidR="00D252F9">
        <w:rPr>
          <w:rFonts w:ascii="Times New Roman" w:hAnsi="Times New Roman" w:eastAsia="Times New Roman" w:cs="Times New Roman"/>
          <w:sz w:val="24"/>
          <w:szCs w:val="24"/>
        </w:rPr>
        <w:t>; and</w:t>
      </w:r>
    </w:p>
    <w:p w:rsidRPr="000023DB" w:rsidR="00A57102" w:rsidP="00A57102" w:rsidRDefault="00A57102" w14:paraId="756440B3" w14:textId="7B84BBB8">
      <w:pPr>
        <w:widowControl w:val="0"/>
        <w:numPr>
          <w:ilvl w:val="0"/>
          <w:numId w:val="15"/>
        </w:numPr>
        <w:overflowPunct w:val="0"/>
        <w:autoSpaceDE w:val="0"/>
        <w:autoSpaceDN w:val="0"/>
        <w:adjustRightInd w:val="0"/>
        <w:spacing w:before="80" w:after="120" w:line="276" w:lineRule="auto"/>
        <w:ind w:left="36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Coordinating the closing schedule with OGC, the lender, and borrower</w:t>
      </w:r>
      <w:r w:rsidR="00D252F9">
        <w:rPr>
          <w:rFonts w:ascii="Times New Roman" w:hAnsi="Times New Roman" w:eastAsia="Times New Roman" w:cs="Times New Roman"/>
          <w:sz w:val="24"/>
          <w:szCs w:val="24"/>
        </w:rPr>
        <w:t>.</w:t>
      </w:r>
    </w:p>
    <w:p w:rsidRPr="000023DB" w:rsidR="00A57102" w:rsidP="00A57102" w:rsidRDefault="00A57102" w14:paraId="756440B4" w14:textId="77777777">
      <w:pPr>
        <w:spacing w:after="120" w:line="276" w:lineRule="auto"/>
        <w:ind w:left="720"/>
      </w:pPr>
    </w:p>
    <w:p w:rsidRPr="00144762" w:rsidR="00A57102" w:rsidP="00A57102" w:rsidRDefault="00A57102" w14:paraId="756440B5" w14:textId="77777777">
      <w:pPr>
        <w:pStyle w:val="ListParagraph"/>
        <w:numPr>
          <w:ilvl w:val="1"/>
          <w:numId w:val="14"/>
        </w:numPr>
        <w:overflowPunct w:val="0"/>
        <w:autoSpaceDE w:val="0"/>
        <w:autoSpaceDN w:val="0"/>
        <w:adjustRightInd w:val="0"/>
        <w:spacing w:before="80" w:after="120"/>
        <w:ind w:left="1454" w:hanging="1267"/>
        <w:textAlignment w:val="baseline"/>
        <w:outlineLvl w:val="0"/>
        <w:rPr>
          <w:rFonts w:ascii="Arial" w:hAnsi="Arial" w:eastAsia="Times New Roman" w:cs="Arial"/>
          <w:b/>
          <w:sz w:val="28"/>
          <w:szCs w:val="20"/>
        </w:rPr>
      </w:pPr>
      <w:r w:rsidRPr="00144762">
        <w:rPr>
          <w:rFonts w:ascii="Arial" w:hAnsi="Arial" w:eastAsia="Times New Roman" w:cs="Arial"/>
          <w:b/>
          <w:sz w:val="28"/>
          <w:szCs w:val="20"/>
        </w:rPr>
        <w:t>Loan Fees</w:t>
      </w:r>
    </w:p>
    <w:p w:rsidRPr="000023DB" w:rsidR="00A57102" w:rsidP="00A57102" w:rsidRDefault="00A57102" w14:paraId="756440B6" w14:textId="77777777">
      <w:pPr>
        <w:numPr>
          <w:ilvl w:val="2"/>
          <w:numId w:val="6"/>
        </w:numPr>
        <w:spacing w:before="240" w:after="120" w:line="276" w:lineRule="auto"/>
        <w:ind w:left="360"/>
        <w:contextualSpacing/>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Loan Fees.  Lenders may charge loan origination and placement fees, both of which are mortgageable, and the combination of which cannot exceed 3.5% of the mortgage amount (or 5.5% for tax-exempt bond financing) for Section 223(f) refinancing transactions and new construction or substantial rehabilitation transactions. The maximum fees for Section 223(a)(7) loans is 2% for loans greater than $2 million, and up to $40,000 for loan amounts less than $2 million.  In addition to loan origination and placement fees, lenders may realize trade profit (also known as marketing gain) on the sale of G</w:t>
      </w:r>
      <w:r>
        <w:rPr>
          <w:rFonts w:ascii="Times New Roman" w:hAnsi="Times New Roman" w:eastAsia="Times New Roman" w:cs="Times New Roman"/>
          <w:sz w:val="24"/>
          <w:szCs w:val="24"/>
        </w:rPr>
        <w:t>innie Mae</w:t>
      </w:r>
      <w:r w:rsidRPr="000023DB">
        <w:rPr>
          <w:rFonts w:ascii="Times New Roman" w:hAnsi="Times New Roman" w:eastAsia="Times New Roman" w:cs="Times New Roman"/>
          <w:sz w:val="24"/>
          <w:szCs w:val="24"/>
        </w:rPr>
        <w:t xml:space="preserve"> or other mortgage backed securities.</w:t>
      </w:r>
    </w:p>
    <w:p w:rsidRPr="000023DB" w:rsidR="00A57102" w:rsidP="00A57102" w:rsidRDefault="00A57102" w14:paraId="756440B7" w14:textId="77777777">
      <w:pPr>
        <w:spacing w:before="240" w:after="120"/>
        <w:ind w:left="720"/>
        <w:contextualSpacing/>
        <w:jc w:val="both"/>
        <w:rPr>
          <w:rFonts w:ascii="Times New Roman" w:hAnsi="Times New Roman" w:eastAsia="Times New Roman" w:cs="Times New Roman"/>
          <w:sz w:val="24"/>
          <w:szCs w:val="24"/>
        </w:rPr>
      </w:pPr>
    </w:p>
    <w:p w:rsidR="00A57102" w:rsidP="00A57102" w:rsidRDefault="00A57102" w14:paraId="756440BB" w14:textId="77777777">
      <w:pPr>
        <w:widowControl w:val="0"/>
        <w:overflowPunct w:val="0"/>
        <w:autoSpaceDE w:val="0"/>
        <w:autoSpaceDN w:val="0"/>
        <w:adjustRightInd w:val="0"/>
        <w:spacing w:before="240" w:after="120"/>
        <w:ind w:left="360"/>
        <w:contextualSpacing/>
        <w:jc w:val="both"/>
        <w:textAlignment w:val="baseline"/>
        <w:rPr>
          <w:rFonts w:ascii="Times New Roman" w:hAnsi="Times New Roman" w:eastAsia="Times New Roman" w:cs="Times New Roman"/>
          <w:sz w:val="24"/>
          <w:szCs w:val="24"/>
        </w:rPr>
      </w:pPr>
    </w:p>
    <w:p w:rsidRPr="000023DB" w:rsidR="00D70806" w:rsidP="00D70806" w:rsidRDefault="00D70806" w14:paraId="3C265934" w14:textId="3207F794">
      <w:pPr>
        <w:widowControl w:val="0"/>
        <w:overflowPunct w:val="0"/>
        <w:autoSpaceDE w:val="0"/>
        <w:autoSpaceDN w:val="0"/>
        <w:adjustRightInd w:val="0"/>
        <w:spacing w:before="240" w:after="120" w:line="276" w:lineRule="auto"/>
        <w:ind w:left="360"/>
        <w:contextualSpacing/>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Lenders are required to report loan fees earned that exceed five percent (5%) of the insured loan amount on each FHA-insured loan over $2,000,000 endorsed during the lender’s fiscal year period covered in its audited financial statements. Loan fees include:  (a) origination and placement fees as permitted by this Guide, plus (b) trade profit, trade premium or marketing gain earned on the sale of the G</w:t>
      </w:r>
      <w:r>
        <w:rPr>
          <w:rFonts w:ascii="Times New Roman" w:hAnsi="Times New Roman" w:eastAsia="Times New Roman" w:cs="Times New Roman"/>
          <w:sz w:val="24"/>
          <w:szCs w:val="24"/>
        </w:rPr>
        <w:t>innie Mae</w:t>
      </w:r>
      <w:r w:rsidRPr="000023DB">
        <w:rPr>
          <w:rFonts w:ascii="Times New Roman" w:hAnsi="Times New Roman" w:eastAsia="Times New Roman" w:cs="Times New Roman"/>
          <w:sz w:val="24"/>
          <w:szCs w:val="24"/>
        </w:rPr>
        <w:t xml:space="preserve"> security at a value above par, even if the security sale is delayed until after endorsement, minus (c) loan fees applied by the lender to its legal expenses incurred in connection with loan closing.  This reporting is confidential and is not subject to release under the Freedom of Information </w:t>
      </w:r>
      <w:r w:rsidRPr="000023DB" w:rsidR="005060EE">
        <w:rPr>
          <w:rFonts w:ascii="Times New Roman" w:hAnsi="Times New Roman" w:eastAsia="Times New Roman" w:cs="Times New Roman"/>
          <w:sz w:val="24"/>
          <w:szCs w:val="24"/>
        </w:rPr>
        <w:t>Act but</w:t>
      </w:r>
      <w:r w:rsidRPr="000023DB">
        <w:rPr>
          <w:rFonts w:ascii="Times New Roman" w:hAnsi="Times New Roman" w:eastAsia="Times New Roman" w:cs="Times New Roman"/>
          <w:sz w:val="24"/>
          <w:szCs w:val="24"/>
        </w:rPr>
        <w:t xml:space="preserve"> will be examined by HUD in evaluating counterparty risk as part of the lender monitoring responsibility. </w:t>
      </w:r>
    </w:p>
    <w:p w:rsidRPr="000023DB" w:rsidR="00D70806" w:rsidP="00D70806" w:rsidRDefault="00D70806" w14:paraId="2638E461" w14:textId="77777777">
      <w:pPr>
        <w:widowControl w:val="0"/>
        <w:overflowPunct w:val="0"/>
        <w:autoSpaceDE w:val="0"/>
        <w:autoSpaceDN w:val="0"/>
        <w:adjustRightInd w:val="0"/>
        <w:spacing w:before="240" w:after="120" w:line="276" w:lineRule="auto"/>
        <w:ind w:left="720"/>
        <w:contextualSpacing/>
        <w:jc w:val="both"/>
        <w:textAlignment w:val="baseline"/>
        <w:rPr>
          <w:rFonts w:ascii="Times New Roman" w:hAnsi="Times New Roman" w:eastAsia="Times New Roman" w:cs="Times New Roman"/>
          <w:sz w:val="24"/>
          <w:szCs w:val="24"/>
        </w:rPr>
      </w:pPr>
    </w:p>
    <w:p w:rsidR="00D70806" w:rsidP="00D70806" w:rsidRDefault="00D70806" w14:paraId="6F9E1176" w14:textId="77777777">
      <w:pPr>
        <w:widowControl w:val="0"/>
        <w:overflowPunct w:val="0"/>
        <w:autoSpaceDE w:val="0"/>
        <w:autoSpaceDN w:val="0"/>
        <w:adjustRightInd w:val="0"/>
        <w:spacing w:before="240" w:after="120" w:line="276" w:lineRule="auto"/>
        <w:ind w:left="360"/>
        <w:contextualSpacing/>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The loan fees on a particular transaction that exceed 5% must be reported by both the originating lender and closing lender when the loan is assigned for closing and fees are split between the two entities. Trade profit fees used to pay prepayment penalties on behalf of a borrower in a Section 223(a)(7) transaction are not net out of the loan fees in calculating whether or not the loan fees exceeded 5%. </w:t>
      </w:r>
    </w:p>
    <w:p w:rsidR="00D70806" w:rsidP="00A57102" w:rsidRDefault="00D70806" w14:paraId="1B4188B5" w14:textId="77777777">
      <w:pPr>
        <w:widowControl w:val="0"/>
        <w:overflowPunct w:val="0"/>
        <w:autoSpaceDE w:val="0"/>
        <w:autoSpaceDN w:val="0"/>
        <w:adjustRightInd w:val="0"/>
        <w:spacing w:before="240" w:after="120"/>
        <w:ind w:left="360"/>
        <w:contextualSpacing/>
        <w:jc w:val="both"/>
        <w:textAlignment w:val="baseline"/>
        <w:rPr>
          <w:rFonts w:ascii="Times New Roman" w:hAnsi="Times New Roman" w:eastAsia="Times New Roman" w:cs="Times New Roman"/>
          <w:sz w:val="24"/>
          <w:szCs w:val="24"/>
        </w:rPr>
      </w:pPr>
    </w:p>
    <w:p w:rsidRPr="000023DB" w:rsidR="00A57102" w:rsidP="00A57102" w:rsidRDefault="00A57102" w14:paraId="756440BC" w14:textId="65944E92">
      <w:pPr>
        <w:numPr>
          <w:ilvl w:val="2"/>
          <w:numId w:val="6"/>
        </w:numPr>
        <w:spacing w:before="240" w:after="120" w:line="276" w:lineRule="auto"/>
        <w:ind w:left="36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Loan fees are earned as follows:</w:t>
      </w:r>
    </w:p>
    <w:p w:rsidRPr="000023DB" w:rsidR="00A57102" w:rsidP="00A57102" w:rsidRDefault="00A57102" w14:paraId="756440BD" w14:textId="77777777">
      <w:pPr>
        <w:numPr>
          <w:ilvl w:val="0"/>
          <w:numId w:val="7"/>
        </w:numPr>
        <w:spacing w:before="80" w:after="80" w:line="276" w:lineRule="auto"/>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Construction loan fees are earned at initial closing, except to the extent that the loan documents defer a portion to a later date.  Construction loan extension fees are not earned until the time such extensions are granted.</w:t>
      </w:r>
    </w:p>
    <w:p w:rsidRPr="000023DB" w:rsidR="00A57102" w:rsidP="00A57102" w:rsidRDefault="00A57102" w14:paraId="756440BE" w14:textId="77777777">
      <w:pPr>
        <w:numPr>
          <w:ilvl w:val="0"/>
          <w:numId w:val="7"/>
        </w:numPr>
        <w:spacing w:before="80" w:after="80" w:line="276" w:lineRule="auto"/>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Permanent loan fees and permanent loan extension fees, to the extent a separate permanent loan is anticipated, are earned at final closing.</w:t>
      </w:r>
    </w:p>
    <w:p w:rsidRPr="00CA66B1" w:rsidR="00A57102" w:rsidP="00A57102" w:rsidRDefault="00A57102" w14:paraId="756440BF" w14:textId="77777777">
      <w:pPr>
        <w:numPr>
          <w:ilvl w:val="0"/>
          <w:numId w:val="7"/>
        </w:numPr>
        <w:spacing w:before="80" w:after="80" w:line="276" w:lineRule="auto"/>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Construction/Permanent loan fees (for construction loans anticipated</w:t>
      </w:r>
      <w:r>
        <w:rPr>
          <w:rFonts w:ascii="Times New Roman" w:hAnsi="Times New Roman" w:eastAsia="Times New Roman" w:cs="Times New Roman"/>
          <w:sz w:val="24"/>
          <w:szCs w:val="24"/>
        </w:rPr>
        <w:t xml:space="preserve"> to</w:t>
      </w:r>
      <w:r w:rsidRPr="000023DB">
        <w:rPr>
          <w:rFonts w:ascii="Times New Roman" w:hAnsi="Times New Roman" w:eastAsia="Times New Roman" w:cs="Times New Roman"/>
          <w:sz w:val="24"/>
          <w:szCs w:val="24"/>
        </w:rPr>
        <w:t xml:space="preserve"> convert to permanent loans) are earned at initial closing, except to the extent that the loan documents defer a portion to a later date.</w:t>
      </w:r>
    </w:p>
    <w:p w:rsidRPr="000023DB" w:rsidR="00A57102" w:rsidP="00A57102" w:rsidRDefault="00A57102" w14:paraId="756440C0" w14:textId="77777777">
      <w:pPr>
        <w:numPr>
          <w:ilvl w:val="2"/>
          <w:numId w:val="6"/>
        </w:numPr>
        <w:spacing w:before="240" w:after="120" w:line="276" w:lineRule="auto"/>
        <w:ind w:left="36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Deferred Fee Collection.  Section 8.15.D.4 sets forth provisions for the deferred collection of fees in connection with tax-exempt bond financing.</w:t>
      </w:r>
    </w:p>
    <w:p w:rsidRPr="000023DB" w:rsidR="00A57102" w:rsidP="00A57102" w:rsidRDefault="00A57102" w14:paraId="756440C1" w14:textId="77777777">
      <w:pPr>
        <w:numPr>
          <w:ilvl w:val="2"/>
          <w:numId w:val="6"/>
        </w:numPr>
        <w:spacing w:before="240" w:after="120" w:line="276" w:lineRule="auto"/>
        <w:ind w:left="36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Broker’s Fees.</w:t>
      </w:r>
    </w:p>
    <w:p w:rsidRPr="000023DB" w:rsidR="00A57102" w:rsidP="00A57102" w:rsidRDefault="00A57102" w14:paraId="756440C2" w14:textId="77777777">
      <w:pPr>
        <w:numPr>
          <w:ilvl w:val="3"/>
          <w:numId w:val="6"/>
        </w:numPr>
        <w:spacing w:before="80" w:after="80" w:line="276" w:lineRule="auto"/>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Fees to mortgage brokers are allowed so long as they are disclosed in the Underwriting Narrative and form HUD-92434M (or HUD-92455M, as appropriate), there is no identity of interest between the mortgage broker or its affiliates, </w:t>
      </w:r>
      <w:r>
        <w:rPr>
          <w:rFonts w:ascii="Times New Roman" w:hAnsi="Times New Roman" w:eastAsia="Times New Roman" w:cs="Times New Roman"/>
          <w:sz w:val="24"/>
          <w:szCs w:val="24"/>
        </w:rPr>
        <w:t xml:space="preserve">or the lender and its affiliates, </w:t>
      </w:r>
      <w:r w:rsidRPr="000023DB">
        <w:rPr>
          <w:rFonts w:ascii="Times New Roman" w:hAnsi="Times New Roman" w:eastAsia="Times New Roman" w:cs="Times New Roman"/>
          <w:sz w:val="24"/>
          <w:szCs w:val="24"/>
        </w:rPr>
        <w:t xml:space="preserve">and the borrower or its affiliates, and the broker is actively engaged in the business of mortgage loan origination.  </w:t>
      </w:r>
    </w:p>
    <w:p w:rsidRPr="000023DB" w:rsidR="00A57102" w:rsidP="00A57102" w:rsidRDefault="00A57102" w14:paraId="756440C3" w14:textId="77777777">
      <w:pPr>
        <w:spacing w:before="80" w:after="80"/>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Referral fees to other parties, such as consultants, management agents, or entities or individuals with any identity of interest with the borrower or its affiliates are prohibited.</w:t>
      </w:r>
    </w:p>
    <w:p w:rsidRPr="000023DB" w:rsidR="00A57102" w:rsidP="00A57102" w:rsidRDefault="00A57102" w14:paraId="756440C4" w14:textId="399FCE88">
      <w:pPr>
        <w:numPr>
          <w:ilvl w:val="3"/>
          <w:numId w:val="6"/>
        </w:numPr>
        <w:spacing w:before="80" w:after="80" w:line="276" w:lineRule="auto"/>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Lender or affiliates of lenders may not pay anything of value directly or indirectly to any person or entity in connection with an insured transaction if the person or entity has received any other compensation from borrower, seller, builder or any other person for services related to the transaction, or related to the purchase or sale of the mortgaged property, except as approved by the Director of Multifamily Production in HUD Headquarters.  See 24 CFR 202.5(l).</w:t>
      </w:r>
      <w:r w:rsidR="004669EE">
        <w:rPr>
          <w:rFonts w:ascii="Times New Roman" w:hAnsi="Times New Roman" w:eastAsia="Times New Roman" w:cs="Times New Roman"/>
          <w:sz w:val="24"/>
          <w:szCs w:val="24"/>
        </w:rPr>
        <w:t xml:space="preserve">  Refer also to Section 2.4 of the MAP Guide.</w:t>
      </w:r>
    </w:p>
    <w:p w:rsidR="00A57102" w:rsidP="00A57102" w:rsidRDefault="00A57102" w14:paraId="756440C5" w14:textId="77777777">
      <w:pPr>
        <w:tabs>
          <w:tab w:val="left" w:pos="2880"/>
        </w:tabs>
        <w:overflowPunct w:val="0"/>
        <w:autoSpaceDE w:val="0"/>
        <w:autoSpaceDN w:val="0"/>
        <w:adjustRightInd w:val="0"/>
        <w:spacing w:before="80" w:after="80"/>
        <w:ind w:left="2880" w:hanging="2700"/>
        <w:jc w:val="both"/>
        <w:textAlignment w:val="baseline"/>
        <w:outlineLvl w:val="0"/>
        <w:rPr>
          <w:rFonts w:ascii="Arial" w:hAnsi="Arial" w:eastAsia="Times New Roman" w:cs="Arial"/>
          <w:b/>
          <w:sz w:val="28"/>
          <w:szCs w:val="20"/>
        </w:rPr>
      </w:pPr>
    </w:p>
    <w:p w:rsidRPr="000023DB" w:rsidR="00A57102" w:rsidP="00A57102" w:rsidRDefault="00A57102" w14:paraId="756440C6" w14:textId="77777777">
      <w:pPr>
        <w:overflowPunct w:val="0"/>
        <w:autoSpaceDE w:val="0"/>
        <w:autoSpaceDN w:val="0"/>
        <w:adjustRightInd w:val="0"/>
        <w:spacing w:before="80" w:after="80"/>
        <w:ind w:left="1440" w:hanging="1260"/>
        <w:textAlignment w:val="baseline"/>
        <w:outlineLvl w:val="0"/>
        <w:rPr>
          <w:rFonts w:ascii="Arial" w:hAnsi="Arial" w:eastAsia="Times New Roman" w:cs="Arial"/>
          <w:b/>
          <w:sz w:val="28"/>
          <w:szCs w:val="20"/>
        </w:rPr>
      </w:pPr>
      <w:r w:rsidRPr="000023DB">
        <w:rPr>
          <w:rFonts w:ascii="Arial" w:hAnsi="Arial" w:eastAsia="Times New Roman" w:cs="Arial"/>
          <w:b/>
          <w:sz w:val="28"/>
          <w:szCs w:val="20"/>
        </w:rPr>
        <w:t>11.6</w:t>
      </w:r>
      <w:r w:rsidRPr="000023DB">
        <w:rPr>
          <w:rFonts w:ascii="Arial" w:hAnsi="Arial" w:eastAsia="Times New Roman" w:cs="Arial"/>
          <w:b/>
          <w:sz w:val="28"/>
          <w:szCs w:val="20"/>
        </w:rPr>
        <w:tab/>
        <w:t>Title Matters</w:t>
      </w:r>
    </w:p>
    <w:p w:rsidRPr="000023DB" w:rsidR="00A57102" w:rsidP="00A57102" w:rsidRDefault="00A57102" w14:paraId="756440C7" w14:textId="0E6BE8C1">
      <w:pPr>
        <w:widowControl w:val="0"/>
        <w:overflowPunct w:val="0"/>
        <w:autoSpaceDE w:val="0"/>
        <w:autoSpaceDN w:val="0"/>
        <w:adjustRightInd w:val="0"/>
        <w:spacing w:before="240" w:after="120"/>
        <w:ind w:left="36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A.</w:t>
      </w:r>
      <w:r w:rsidRPr="000023DB">
        <w:rPr>
          <w:rFonts w:ascii="Times New Roman" w:hAnsi="Times New Roman" w:eastAsia="Times New Roman" w:cs="Times New Roman"/>
          <w:sz w:val="24"/>
          <w:szCs w:val="24"/>
        </w:rPr>
        <w:tab/>
        <w:t>As noted in the Application Checklist, a preliminary title</w:t>
      </w:r>
      <w:r w:rsidR="0087469A">
        <w:rPr>
          <w:rFonts w:ascii="Times New Roman" w:hAnsi="Times New Roman" w:eastAsia="Times New Roman" w:cs="Times New Roman"/>
          <w:sz w:val="24"/>
          <w:szCs w:val="24"/>
        </w:rPr>
        <w:t xml:space="preserve"> commitment or report</w:t>
      </w:r>
      <w:r w:rsidRPr="000023DB">
        <w:rPr>
          <w:rFonts w:ascii="Times New Roman" w:hAnsi="Times New Roman" w:eastAsia="Times New Roman" w:cs="Times New Roman"/>
          <w:sz w:val="24"/>
          <w:szCs w:val="24"/>
        </w:rPr>
        <w:t xml:space="preserve"> should be reviewed as part of the </w:t>
      </w:r>
      <w:r>
        <w:rPr>
          <w:rFonts w:ascii="Times New Roman" w:hAnsi="Times New Roman" w:eastAsia="Times New Roman" w:cs="Times New Roman"/>
          <w:sz w:val="24"/>
          <w:szCs w:val="24"/>
        </w:rPr>
        <w:t>Firm Commitment</w:t>
      </w:r>
      <w:r w:rsidRPr="000023DB">
        <w:rPr>
          <w:rFonts w:ascii="Times New Roman" w:hAnsi="Times New Roman" w:eastAsia="Times New Roman" w:cs="Times New Roman"/>
          <w:sz w:val="24"/>
          <w:szCs w:val="24"/>
        </w:rPr>
        <w:t xml:space="preserve"> processing. It is used to validate existing indebtedness, ensure correct legal description of the parcel(s) to be mortgaged, and the adequacy of title with respect to matters such as liens, easements, </w:t>
      </w:r>
      <w:r>
        <w:rPr>
          <w:rFonts w:ascii="Times New Roman" w:hAnsi="Times New Roman" w:eastAsia="Times New Roman" w:cs="Times New Roman"/>
          <w:sz w:val="24"/>
          <w:szCs w:val="24"/>
        </w:rPr>
        <w:t xml:space="preserve">restrictions </w:t>
      </w:r>
      <w:r w:rsidRPr="000023DB">
        <w:rPr>
          <w:rFonts w:ascii="Times New Roman" w:hAnsi="Times New Roman" w:eastAsia="Times New Roman" w:cs="Times New Roman"/>
          <w:sz w:val="24"/>
          <w:szCs w:val="24"/>
        </w:rPr>
        <w:t xml:space="preserve">and </w:t>
      </w:r>
      <w:r>
        <w:rPr>
          <w:rFonts w:ascii="Times New Roman" w:hAnsi="Times New Roman" w:eastAsia="Times New Roman" w:cs="Times New Roman"/>
          <w:sz w:val="24"/>
          <w:szCs w:val="24"/>
        </w:rPr>
        <w:t xml:space="preserve">other </w:t>
      </w:r>
      <w:r w:rsidRPr="000023DB">
        <w:rPr>
          <w:rFonts w:ascii="Times New Roman" w:hAnsi="Times New Roman" w:eastAsia="Times New Roman" w:cs="Times New Roman"/>
          <w:sz w:val="24"/>
          <w:szCs w:val="24"/>
        </w:rPr>
        <w:t xml:space="preserve">exceptions.  Please see </w:t>
      </w:r>
      <w:r w:rsidR="00931534">
        <w:rPr>
          <w:rFonts w:ascii="Times New Roman" w:hAnsi="Times New Roman" w:eastAsia="Times New Roman" w:cs="Times New Roman"/>
          <w:sz w:val="24"/>
          <w:szCs w:val="24"/>
        </w:rPr>
        <w:t>Chapter 19 (</w:t>
      </w:r>
      <w:r w:rsidRPr="000023DB">
        <w:rPr>
          <w:rFonts w:ascii="Times New Roman" w:hAnsi="Times New Roman" w:eastAsia="Times New Roman" w:cs="Times New Roman"/>
          <w:sz w:val="24"/>
          <w:szCs w:val="24"/>
        </w:rPr>
        <w:t>Closing Guide</w:t>
      </w:r>
      <w:r w:rsidR="00601913">
        <w:rPr>
          <w:rFonts w:ascii="Times New Roman" w:hAnsi="Times New Roman" w:eastAsia="Times New Roman" w:cs="Times New Roman"/>
          <w:sz w:val="24"/>
          <w:szCs w:val="24"/>
        </w:rPr>
        <w:t>)</w:t>
      </w:r>
      <w:r w:rsidRPr="000023DB">
        <w:rPr>
          <w:rFonts w:ascii="Times New Roman" w:hAnsi="Times New Roman" w:eastAsia="Times New Roman" w:cs="Times New Roman"/>
          <w:sz w:val="24"/>
          <w:szCs w:val="24"/>
        </w:rPr>
        <w:t xml:space="preserve"> for additional requirements related to title</w:t>
      </w:r>
      <w:r>
        <w:rPr>
          <w:rFonts w:ascii="Times New Roman" w:hAnsi="Times New Roman" w:eastAsia="Times New Roman" w:cs="Times New Roman"/>
          <w:sz w:val="24"/>
          <w:szCs w:val="24"/>
        </w:rPr>
        <w:t xml:space="preserve"> and survey</w:t>
      </w:r>
      <w:r w:rsidRPr="000023DB">
        <w:rPr>
          <w:rFonts w:ascii="Times New Roman" w:hAnsi="Times New Roman" w:eastAsia="Times New Roman" w:cs="Times New Roman"/>
          <w:sz w:val="24"/>
          <w:szCs w:val="24"/>
        </w:rPr>
        <w:t xml:space="preserve"> matters.</w:t>
      </w:r>
    </w:p>
    <w:p w:rsidRPr="000023DB" w:rsidR="00A57102" w:rsidP="00A57102" w:rsidRDefault="00A57102" w14:paraId="756440C8" w14:textId="77777777">
      <w:pPr>
        <w:widowControl w:val="0"/>
        <w:overflowPunct w:val="0"/>
        <w:autoSpaceDE w:val="0"/>
        <w:autoSpaceDN w:val="0"/>
        <w:adjustRightInd w:val="0"/>
        <w:spacing w:before="240" w:after="120"/>
        <w:ind w:left="360" w:hanging="360"/>
        <w:jc w:val="both"/>
        <w:textAlignment w:val="baseline"/>
        <w:outlineLvl w:val="2"/>
        <w:rPr>
          <w:rFonts w:ascii="Times New Roman" w:hAnsi="Times New Roman" w:eastAsia="Times New Roman" w:cs="Times New Roman"/>
          <w:b/>
          <w:sz w:val="24"/>
          <w:szCs w:val="24"/>
        </w:rPr>
      </w:pPr>
      <w:r w:rsidRPr="000023DB">
        <w:rPr>
          <w:rFonts w:ascii="Times New Roman" w:hAnsi="Times New Roman" w:eastAsia="Times New Roman" w:cs="Times New Roman"/>
          <w:sz w:val="24"/>
          <w:szCs w:val="24"/>
        </w:rPr>
        <w:t>B.   Air Rights and Other Shared Interest Projects</w:t>
      </w:r>
      <w:r>
        <w:rPr>
          <w:rFonts w:ascii="Times New Roman" w:hAnsi="Times New Roman" w:eastAsia="Times New Roman" w:cs="Times New Roman"/>
          <w:sz w:val="24"/>
          <w:szCs w:val="24"/>
        </w:rPr>
        <w:t>.</w:t>
      </w:r>
      <w:r w:rsidRPr="000023DB">
        <w:rPr>
          <w:rFonts w:ascii="Times New Roman" w:hAnsi="Times New Roman" w:eastAsia="Times New Roman" w:cs="Times New Roman"/>
          <w:sz w:val="24"/>
          <w:szCs w:val="24"/>
        </w:rPr>
        <w:t xml:space="preserve"> </w:t>
      </w:r>
    </w:p>
    <w:p w:rsidRPr="000023DB" w:rsidR="00A57102" w:rsidP="00A57102" w:rsidRDefault="00A57102" w14:paraId="756440C9" w14:textId="0D3A0D65">
      <w:pPr>
        <w:widowControl w:val="0"/>
        <w:overflowPunct w:val="0"/>
        <w:autoSpaceDE w:val="0"/>
        <w:autoSpaceDN w:val="0"/>
        <w:adjustRightInd w:val="0"/>
        <w:spacing w:before="80" w:after="80"/>
        <w:ind w:left="720" w:hanging="360"/>
        <w:jc w:val="both"/>
        <w:textAlignment w:val="baseline"/>
        <w:outlineLvl w:val="3"/>
        <w:rPr>
          <w:rFonts w:ascii="Times New Roman" w:hAnsi="Times New Roman" w:eastAsia="Times New Roman" w:cs="Times New Roman"/>
          <w:b/>
          <w:i/>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 xml:space="preserve">A </w:t>
      </w:r>
      <w:r w:rsidRPr="000023DB" w:rsidR="00A83F62">
        <w:rPr>
          <w:rFonts w:ascii="Times New Roman" w:hAnsi="Times New Roman" w:eastAsia="Times New Roman" w:cs="Times New Roman"/>
          <w:sz w:val="24"/>
          <w:szCs w:val="24"/>
        </w:rPr>
        <w:t>three-dimensional</w:t>
      </w:r>
      <w:r w:rsidRPr="000023DB">
        <w:rPr>
          <w:rFonts w:ascii="Times New Roman" w:hAnsi="Times New Roman" w:eastAsia="Times New Roman" w:cs="Times New Roman"/>
          <w:sz w:val="24"/>
          <w:szCs w:val="24"/>
        </w:rPr>
        <w:t xml:space="preserve"> air rights map for air rights projects is required.  The existence of adequate vertical ways to the ground for required services, e.g., utility and fire suppression lines, chimneys, trash chutes, elevators and emergency exit stairs must be verified.  In addition, there must be an acceptable discharge to a public way from all building egresses, including emergency exits, and services, e.g., trash removal.</w:t>
      </w:r>
    </w:p>
    <w:p w:rsidRPr="00A42447" w:rsidR="00A57102" w:rsidP="00A57102" w:rsidRDefault="00A57102" w14:paraId="756440CA" w14:textId="77777777">
      <w:pPr>
        <w:widowControl w:val="0"/>
        <w:overflowPunct w:val="0"/>
        <w:autoSpaceDE w:val="0"/>
        <w:autoSpaceDN w:val="0"/>
        <w:adjustRightInd w:val="0"/>
        <w:spacing w:before="80" w:after="80"/>
        <w:ind w:left="72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Maintenance, joint use, easement and other agreements may be required.  In cases where common facilities exist between the insured parcel and an adjacent parcel, borrower must provide for recordation of an agreement for the common use land and facilities, e.g., common drives, common lobbies, elevators, walkways, utility roads, parking structures, recreation facilities, storm water management facilities (retention ponds detention ponds, swales and culverts) or other air rights project common facilities.  The agreement must grant rights to the HUD project site and its residents to use the common facilities.  If the HUD project is subject to property/homeowner association documents such as with a cooperative, these documents may provide for maintenance, access and cost sharing</w:t>
      </w:r>
      <w:r>
        <w:rPr>
          <w:rFonts w:ascii="Times New Roman" w:hAnsi="Times New Roman" w:eastAsia="Times New Roman" w:cs="Times New Roman"/>
          <w:sz w:val="24"/>
          <w:szCs w:val="24"/>
        </w:rPr>
        <w:t>, which must be determined acceptable to HUD prior to or as a condition of the Firm Commitment</w:t>
      </w:r>
      <w:r w:rsidRPr="000023DB">
        <w:rPr>
          <w:rFonts w:ascii="Times New Roman" w:hAnsi="Times New Roman" w:eastAsia="Times New Roman" w:cs="Times New Roman"/>
          <w:sz w:val="24"/>
          <w:szCs w:val="24"/>
        </w:rPr>
        <w:t>.</w:t>
      </w:r>
    </w:p>
    <w:p w:rsidR="00A57102" w:rsidP="00A57102" w:rsidRDefault="00A57102" w14:paraId="756440CB" w14:textId="05BCC655">
      <w:pPr>
        <w:widowControl w:val="0"/>
        <w:overflowPunct w:val="0"/>
        <w:autoSpaceDE w:val="0"/>
        <w:autoSpaceDN w:val="0"/>
        <w:adjustRightInd w:val="0"/>
        <w:spacing w:before="80" w:after="80"/>
        <w:ind w:left="72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3.</w:t>
      </w:r>
      <w:r w:rsidRPr="000023DB">
        <w:rPr>
          <w:rFonts w:ascii="Times New Roman" w:hAnsi="Times New Roman" w:eastAsia="Times New Roman" w:cs="Times New Roman"/>
          <w:sz w:val="24"/>
          <w:szCs w:val="24"/>
        </w:rPr>
        <w:tab/>
      </w:r>
      <w:r>
        <w:rPr>
          <w:rFonts w:ascii="Times New Roman" w:hAnsi="Times New Roman" w:eastAsia="Times New Roman" w:cs="Times New Roman"/>
          <w:sz w:val="24"/>
          <w:szCs w:val="24"/>
        </w:rPr>
        <w:t>If the air rights parcel i</w:t>
      </w:r>
      <w:r w:rsidR="009D23E8">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on a leasehold, it </w:t>
      </w:r>
      <w:r w:rsidR="009D23E8">
        <w:rPr>
          <w:rFonts w:ascii="Times New Roman" w:hAnsi="Times New Roman" w:eastAsia="Times New Roman" w:cs="Times New Roman"/>
          <w:sz w:val="24"/>
          <w:szCs w:val="24"/>
        </w:rPr>
        <w:t>must</w:t>
      </w:r>
      <w:r>
        <w:rPr>
          <w:rFonts w:ascii="Times New Roman" w:hAnsi="Times New Roman" w:eastAsia="Times New Roman" w:cs="Times New Roman"/>
          <w:sz w:val="24"/>
          <w:szCs w:val="24"/>
        </w:rPr>
        <w:t xml:space="preserve"> include the </w:t>
      </w:r>
      <w:r w:rsidRPr="000023DB">
        <w:rPr>
          <w:rFonts w:ascii="Times New Roman" w:hAnsi="Times New Roman" w:eastAsia="Times New Roman" w:cs="Times New Roman"/>
          <w:color w:val="000000" w:themeColor="text1"/>
          <w:sz w:val="24"/>
          <w:szCs w:val="24"/>
        </w:rPr>
        <w:t>Ground Lease addendum form (HUD-92070M)</w:t>
      </w:r>
      <w:r>
        <w:rPr>
          <w:rFonts w:ascii="Times New Roman" w:hAnsi="Times New Roman" w:eastAsia="Times New Roman" w:cs="Times New Roman"/>
          <w:color w:val="000000" w:themeColor="text1"/>
          <w:sz w:val="24"/>
          <w:szCs w:val="24"/>
        </w:rPr>
        <w:t xml:space="preserve"> with minimal modifications to reflect an air rights lease. </w:t>
      </w:r>
    </w:p>
    <w:p w:rsidRPr="000023DB" w:rsidR="00A57102" w:rsidP="00A57102" w:rsidRDefault="00A57102" w14:paraId="756440CC" w14:textId="77777777">
      <w:pPr>
        <w:widowControl w:val="0"/>
        <w:overflowPunct w:val="0"/>
        <w:autoSpaceDE w:val="0"/>
        <w:autoSpaceDN w:val="0"/>
        <w:adjustRightInd w:val="0"/>
        <w:spacing w:before="80" w:after="80"/>
        <w:ind w:left="720" w:hanging="360"/>
        <w:jc w:val="both"/>
        <w:textAlignment w:val="baseline"/>
        <w:outlineLvl w:val="3"/>
        <w:rPr>
          <w:rFonts w:ascii="Times New Roman" w:hAnsi="Times New Roman" w:eastAsia="Times New Roman" w:cs="Times New Roman"/>
          <w:b/>
          <w:i/>
          <w:sz w:val="24"/>
          <w:szCs w:val="24"/>
        </w:rPr>
      </w:pPr>
      <w:r>
        <w:rPr>
          <w:rFonts w:ascii="Times New Roman" w:hAnsi="Times New Roman" w:eastAsia="Times New Roman" w:cs="Times New Roman"/>
          <w:sz w:val="24"/>
          <w:szCs w:val="24"/>
        </w:rPr>
        <w:t xml:space="preserve">4.   </w:t>
      </w:r>
      <w:r w:rsidRPr="000023DB">
        <w:rPr>
          <w:rFonts w:ascii="Times New Roman" w:hAnsi="Times New Roman" w:eastAsia="Times New Roman" w:cs="Times New Roman"/>
          <w:sz w:val="24"/>
          <w:szCs w:val="24"/>
        </w:rPr>
        <w:t xml:space="preserve">The Regional Center </w:t>
      </w:r>
      <w:r>
        <w:rPr>
          <w:rFonts w:ascii="Times New Roman" w:hAnsi="Times New Roman" w:eastAsia="Times New Roman" w:cs="Times New Roman"/>
          <w:sz w:val="24"/>
          <w:szCs w:val="24"/>
        </w:rPr>
        <w:t xml:space="preserve">or Satellite Office </w:t>
      </w:r>
      <w:r w:rsidRPr="000023DB">
        <w:rPr>
          <w:rFonts w:ascii="Times New Roman" w:hAnsi="Times New Roman" w:eastAsia="Times New Roman" w:cs="Times New Roman"/>
          <w:sz w:val="24"/>
          <w:szCs w:val="24"/>
        </w:rPr>
        <w:t>Director must:</w:t>
      </w:r>
    </w:p>
    <w:p w:rsidRPr="000023DB" w:rsidR="00A57102" w:rsidP="00A57102" w:rsidRDefault="00A57102" w14:paraId="756440CD" w14:textId="77777777">
      <w:pPr>
        <w:widowControl w:val="0"/>
        <w:overflowPunct w:val="0"/>
        <w:autoSpaceDE w:val="0"/>
        <w:autoSpaceDN w:val="0"/>
        <w:adjustRightInd w:val="0"/>
        <w:spacing w:before="80" w:after="80"/>
        <w:ind w:left="1080" w:hanging="360"/>
        <w:jc w:val="both"/>
        <w:textAlignment w:val="baseline"/>
        <w:outlineLvl w:val="4"/>
        <w:rPr>
          <w:rFonts w:ascii="Times New Roman" w:hAnsi="Times New Roman" w:eastAsia="Times New Roman" w:cs="Times New Roman"/>
          <w:bCs/>
          <w:iCs/>
          <w:color w:val="000000" w:themeColor="text1"/>
          <w:sz w:val="24"/>
          <w:szCs w:val="24"/>
        </w:rPr>
      </w:pPr>
      <w:r w:rsidRPr="000023DB">
        <w:rPr>
          <w:rFonts w:ascii="Times New Roman" w:hAnsi="Times New Roman" w:eastAsia="Times New Roman" w:cs="Times New Roman"/>
          <w:bCs/>
          <w:iCs/>
          <w:sz w:val="24"/>
          <w:szCs w:val="24"/>
        </w:rPr>
        <w:t>a.</w:t>
      </w:r>
      <w:r w:rsidRPr="000023DB">
        <w:rPr>
          <w:rFonts w:ascii="Times New Roman" w:hAnsi="Times New Roman" w:eastAsia="Times New Roman" w:cs="Times New Roman"/>
          <w:bCs/>
          <w:iCs/>
          <w:sz w:val="24"/>
          <w:szCs w:val="24"/>
        </w:rPr>
        <w:tab/>
        <w:t xml:space="preserve">Assure that the integrity and maintenance of air rights platform foundations and other structural members are defined as the air rights </w:t>
      </w:r>
      <w:r w:rsidRPr="000023DB">
        <w:rPr>
          <w:rFonts w:ascii="Times New Roman" w:hAnsi="Times New Roman" w:eastAsia="Times New Roman" w:cs="Times New Roman"/>
          <w:bCs/>
          <w:iCs/>
          <w:color w:val="000000" w:themeColor="text1"/>
          <w:sz w:val="24"/>
          <w:szCs w:val="24"/>
        </w:rPr>
        <w:t>provider's responsibility.</w:t>
      </w:r>
    </w:p>
    <w:p w:rsidRPr="000023DB" w:rsidR="00A57102" w:rsidP="00A57102" w:rsidRDefault="00A57102" w14:paraId="756440CE" w14:textId="77777777">
      <w:pPr>
        <w:widowControl w:val="0"/>
        <w:overflowPunct w:val="0"/>
        <w:autoSpaceDE w:val="0"/>
        <w:autoSpaceDN w:val="0"/>
        <w:adjustRightInd w:val="0"/>
        <w:spacing w:before="80" w:after="80"/>
        <w:ind w:left="1080" w:hanging="360"/>
        <w:jc w:val="both"/>
        <w:textAlignment w:val="baseline"/>
        <w:outlineLvl w:val="4"/>
        <w:rPr>
          <w:rFonts w:ascii="Times New Roman" w:hAnsi="Times New Roman" w:eastAsia="Times New Roman" w:cs="Times New Roman"/>
          <w:bCs/>
          <w:iCs/>
          <w:color w:val="000000" w:themeColor="text1"/>
          <w:sz w:val="24"/>
          <w:szCs w:val="24"/>
        </w:rPr>
      </w:pPr>
      <w:r>
        <w:rPr>
          <w:rFonts w:ascii="Times New Roman" w:hAnsi="Times New Roman" w:eastAsia="Times New Roman" w:cs="Times New Roman"/>
          <w:bCs/>
          <w:iCs/>
          <w:color w:val="000000" w:themeColor="text1"/>
          <w:sz w:val="24"/>
          <w:szCs w:val="24"/>
        </w:rPr>
        <w:t>b</w:t>
      </w:r>
      <w:r w:rsidRPr="000023DB">
        <w:rPr>
          <w:rFonts w:ascii="Times New Roman" w:hAnsi="Times New Roman" w:eastAsia="Times New Roman" w:cs="Times New Roman"/>
          <w:bCs/>
          <w:iCs/>
          <w:color w:val="000000" w:themeColor="text1"/>
          <w:sz w:val="24"/>
          <w:szCs w:val="24"/>
        </w:rPr>
        <w:t>.</w:t>
      </w:r>
      <w:r w:rsidRPr="000023DB">
        <w:rPr>
          <w:rFonts w:ascii="Times New Roman" w:hAnsi="Times New Roman" w:eastAsia="Times New Roman" w:cs="Times New Roman"/>
          <w:bCs/>
          <w:iCs/>
          <w:color w:val="000000" w:themeColor="text1"/>
          <w:sz w:val="24"/>
          <w:szCs w:val="24"/>
        </w:rPr>
        <w:tab/>
        <w:t>Verify that shared maintenance/operating costs are equitable and that enforcement rights protect the project interests.</w:t>
      </w:r>
    </w:p>
    <w:p w:rsidRPr="000023DB" w:rsidR="00A57102" w:rsidP="00A57102" w:rsidRDefault="00A57102" w14:paraId="756440CF" w14:textId="77777777">
      <w:pPr>
        <w:spacing w:after="480" w:line="276" w:lineRule="auto"/>
        <w:ind w:left="1080" w:hanging="360"/>
        <w:jc w:val="both"/>
        <w:rPr>
          <w:rFonts w:ascii="Times New Roman" w:hAnsi="Times New Roman" w:cs="Times New Roman"/>
          <w:color w:val="000000" w:themeColor="text1"/>
          <w:sz w:val="24"/>
          <w:szCs w:val="24"/>
        </w:rPr>
      </w:pPr>
      <w:r w:rsidRPr="000023DB">
        <w:rPr>
          <w:rFonts w:ascii="Times New Roman" w:hAnsi="Times New Roman" w:cs="Times New Roman"/>
          <w:color w:val="000000" w:themeColor="text1"/>
          <w:sz w:val="24"/>
          <w:szCs w:val="24"/>
        </w:rPr>
        <w:t>c.</w:t>
      </w:r>
      <w:r w:rsidRPr="000023DB">
        <w:rPr>
          <w:rFonts w:ascii="Times New Roman" w:hAnsi="Times New Roman" w:cs="Times New Roman"/>
          <w:color w:val="000000" w:themeColor="text1"/>
          <w:sz w:val="24"/>
          <w:szCs w:val="24"/>
        </w:rPr>
        <w:tab/>
        <w:t>Require easements, cross easements or other documents to provide the HUD project and its residents the right to use the common facilities.</w:t>
      </w:r>
    </w:p>
    <w:p w:rsidRPr="000023DB" w:rsidR="00A57102" w:rsidP="00A57102" w:rsidRDefault="00A57102" w14:paraId="756440D0" w14:textId="77777777">
      <w:pPr>
        <w:overflowPunct w:val="0"/>
        <w:autoSpaceDE w:val="0"/>
        <w:autoSpaceDN w:val="0"/>
        <w:adjustRightInd w:val="0"/>
        <w:spacing w:before="80" w:after="80"/>
        <w:ind w:left="1440" w:hanging="1260"/>
        <w:textAlignment w:val="baseline"/>
        <w:outlineLvl w:val="0"/>
        <w:rPr>
          <w:rFonts w:ascii="Arial" w:hAnsi="Arial" w:eastAsia="Times New Roman" w:cs="Arial"/>
          <w:b/>
          <w:sz w:val="28"/>
          <w:szCs w:val="20"/>
        </w:rPr>
      </w:pPr>
      <w:r w:rsidRPr="000023DB">
        <w:rPr>
          <w:rFonts w:ascii="Arial" w:hAnsi="Arial" w:eastAsia="Times New Roman" w:cs="Arial"/>
          <w:b/>
          <w:sz w:val="28"/>
          <w:szCs w:val="20"/>
        </w:rPr>
        <w:t>11.</w:t>
      </w:r>
      <w:r>
        <w:rPr>
          <w:rFonts w:ascii="Arial" w:hAnsi="Arial" w:eastAsia="Times New Roman" w:cs="Arial"/>
          <w:b/>
          <w:sz w:val="28"/>
          <w:szCs w:val="20"/>
        </w:rPr>
        <w:t>7</w:t>
      </w:r>
      <w:r w:rsidRPr="000023DB">
        <w:rPr>
          <w:rFonts w:ascii="Arial" w:hAnsi="Arial" w:eastAsia="Times New Roman" w:cs="Arial"/>
          <w:b/>
          <w:sz w:val="28"/>
          <w:szCs w:val="20"/>
        </w:rPr>
        <w:tab/>
        <w:t>Borrower Entity’s Organizational Documents</w:t>
      </w:r>
    </w:p>
    <w:p w:rsidRPr="000023DB" w:rsidR="00A57102" w:rsidP="00A57102" w:rsidRDefault="00A57102" w14:paraId="756440D1" w14:textId="77777777">
      <w:pPr>
        <w:autoSpaceDE w:val="0"/>
        <w:autoSpaceDN w:val="0"/>
        <w:adjustRightInd w:val="0"/>
        <w:spacing w:before="240" w:after="120"/>
        <w:ind w:left="360" w:hanging="360"/>
        <w:jc w:val="both"/>
        <w:rPr>
          <w:rFonts w:ascii="Times New Roman" w:hAnsi="Times New Roman" w:eastAsia="Times New Roman" w:cs="Times New Roman"/>
          <w:sz w:val="24"/>
          <w:szCs w:val="24"/>
          <w:u w:val="single"/>
        </w:rPr>
      </w:pPr>
      <w:r w:rsidRPr="000023DB">
        <w:rPr>
          <w:rFonts w:ascii="Times New Roman" w:hAnsi="Times New Roman" w:eastAsia="Times New Roman" w:cs="Times New Roman"/>
          <w:sz w:val="24"/>
          <w:szCs w:val="24"/>
        </w:rPr>
        <w:t>A.</w:t>
      </w:r>
      <w:r w:rsidRPr="000023DB">
        <w:rPr>
          <w:rFonts w:ascii="Times New Roman" w:hAnsi="Times New Roman" w:eastAsia="Times New Roman" w:cs="Times New Roman"/>
          <w:sz w:val="24"/>
          <w:szCs w:val="24"/>
        </w:rPr>
        <w:tab/>
        <w:t>Borrower Entity’s Organizational Documents</w:t>
      </w:r>
    </w:p>
    <w:p w:rsidRPr="000023DB" w:rsidR="00A57102" w:rsidP="00A83F62" w:rsidRDefault="00A57102" w14:paraId="756440D2" w14:textId="18B26E79">
      <w:pPr>
        <w:widowControl w:val="0"/>
        <w:numPr>
          <w:ilvl w:val="0"/>
          <w:numId w:val="8"/>
        </w:numPr>
        <w:overflowPunct w:val="0"/>
        <w:autoSpaceDE w:val="0"/>
        <w:autoSpaceDN w:val="0"/>
        <w:adjustRightInd w:val="0"/>
        <w:spacing w:before="80" w:after="80" w:line="276" w:lineRule="auto"/>
        <w:ind w:left="720"/>
        <w:jc w:val="both"/>
        <w:textAlignment w:val="baseline"/>
        <w:outlineLvl w:val="1"/>
        <w:rPr>
          <w:rFonts w:ascii="Times New Roman" w:hAnsi="Times New Roman" w:eastAsia="Times New Roman" w:cs="Times New Roman"/>
          <w:color w:val="000000"/>
          <w:sz w:val="24"/>
          <w:szCs w:val="24"/>
        </w:rPr>
      </w:pPr>
      <w:r w:rsidRPr="002D04A1">
        <w:rPr>
          <w:rFonts w:ascii="Times New Roman" w:hAnsi="Times New Roman" w:eastAsia="Times New Roman" w:cs="Times New Roman"/>
          <w:color w:val="000000"/>
          <w:sz w:val="24"/>
          <w:szCs w:val="24"/>
        </w:rPr>
        <w:t xml:space="preserve">General.  Draft (or final) organizational documents should be reviewed as part of the creditworthiness analysis during </w:t>
      </w:r>
      <w:r w:rsidRPr="00C31FB0">
        <w:rPr>
          <w:rFonts w:ascii="Times New Roman" w:hAnsi="Times New Roman" w:eastAsia="Times New Roman" w:cs="Times New Roman"/>
          <w:color w:val="000000"/>
          <w:sz w:val="24"/>
          <w:szCs w:val="24"/>
        </w:rPr>
        <w:t xml:space="preserve">Firm Commitment underwriting.  Organizational documents for the borrower entity </w:t>
      </w:r>
      <w:r w:rsidRPr="002D04A1" w:rsidR="009D680A">
        <w:rPr>
          <w:rFonts w:ascii="Times New Roman" w:hAnsi="Times New Roman" w:eastAsia="Times New Roman" w:cs="Times New Roman"/>
          <w:color w:val="000000"/>
          <w:sz w:val="24"/>
          <w:szCs w:val="24"/>
        </w:rPr>
        <w:t>must</w:t>
      </w:r>
      <w:r w:rsidRPr="002D04A1">
        <w:rPr>
          <w:rFonts w:ascii="Times New Roman" w:hAnsi="Times New Roman" w:eastAsia="Times New Roman" w:cs="Times New Roman"/>
          <w:color w:val="000000"/>
          <w:sz w:val="24"/>
          <w:szCs w:val="24"/>
        </w:rPr>
        <w:t xml:space="preserve"> be submitted at closing.  The specific documents required for each type of borrower entity are set forth in </w:t>
      </w:r>
      <w:r w:rsidRPr="002D04A1" w:rsidR="0038413A">
        <w:rPr>
          <w:rFonts w:ascii="Times New Roman" w:hAnsi="Times New Roman" w:eastAsia="Times New Roman" w:cs="Times New Roman"/>
          <w:color w:val="000000"/>
          <w:sz w:val="24"/>
          <w:szCs w:val="24"/>
        </w:rPr>
        <w:t>Chapter 19 (</w:t>
      </w:r>
      <w:r w:rsidRPr="002D04A1">
        <w:rPr>
          <w:rFonts w:ascii="Times New Roman" w:hAnsi="Times New Roman" w:eastAsia="Times New Roman" w:cs="Times New Roman"/>
          <w:color w:val="000000"/>
          <w:sz w:val="24"/>
          <w:szCs w:val="24"/>
        </w:rPr>
        <w:t>Closing Guide</w:t>
      </w:r>
      <w:r w:rsidRPr="002D04A1" w:rsidR="004376AA">
        <w:rPr>
          <w:rFonts w:ascii="Times New Roman" w:hAnsi="Times New Roman" w:eastAsia="Times New Roman" w:cs="Times New Roman"/>
          <w:color w:val="000000"/>
          <w:sz w:val="24"/>
          <w:szCs w:val="24"/>
        </w:rPr>
        <w:t>)</w:t>
      </w:r>
      <w:r w:rsidRPr="002D04A1">
        <w:rPr>
          <w:rFonts w:ascii="Times New Roman" w:hAnsi="Times New Roman" w:eastAsia="Times New Roman" w:cs="Times New Roman"/>
          <w:color w:val="000000"/>
          <w:sz w:val="24"/>
          <w:szCs w:val="24"/>
        </w:rPr>
        <w:t xml:space="preserve">.  These requirements apply to all types of closings including initial, initial/final, and final endorsements.  </w:t>
      </w:r>
    </w:p>
    <w:p w:rsidR="00657B51" w:rsidP="00A57102" w:rsidRDefault="00A57102" w14:paraId="1DD5F82F" w14:textId="77777777">
      <w:pPr>
        <w:overflowPunct w:val="0"/>
        <w:autoSpaceDE w:val="0"/>
        <w:autoSpaceDN w:val="0"/>
        <w:adjustRightInd w:val="0"/>
        <w:spacing w:before="80" w:after="80"/>
        <w:ind w:left="1440" w:hanging="1260"/>
        <w:textAlignment w:val="baseline"/>
        <w:outlineLvl w:val="0"/>
        <w:rPr>
          <w:rFonts w:ascii="Times New Roman" w:hAnsi="Times New Roman" w:eastAsia="Times New Roman" w:cs="Times New Roman"/>
          <w:color w:val="000000"/>
          <w:sz w:val="24"/>
          <w:szCs w:val="24"/>
        </w:rPr>
      </w:pPr>
      <w:r w:rsidRPr="002D04A1">
        <w:rPr>
          <w:rFonts w:ascii="Times New Roman" w:hAnsi="Times New Roman" w:eastAsia="Times New Roman" w:cs="Times New Roman"/>
          <w:sz w:val="24"/>
          <w:szCs w:val="24"/>
        </w:rPr>
        <w:t>2.</w:t>
      </w:r>
      <w:r w:rsidRPr="002D04A1">
        <w:rPr>
          <w:rFonts w:ascii="Times New Roman" w:hAnsi="Times New Roman" w:eastAsia="Times New Roman" w:cs="Times New Roman"/>
          <w:sz w:val="24"/>
          <w:szCs w:val="24"/>
        </w:rPr>
        <w:tab/>
        <w:t xml:space="preserve">Terms.  The documents must </w:t>
      </w:r>
      <w:r w:rsidRPr="00C31FB0">
        <w:rPr>
          <w:rFonts w:ascii="Times New Roman" w:hAnsi="Times New Roman" w:eastAsia="Times New Roman" w:cs="Times New Roman"/>
          <w:sz w:val="24"/>
          <w:szCs w:val="24"/>
        </w:rPr>
        <w:t xml:space="preserve">include the required language found in </w:t>
      </w:r>
      <w:r w:rsidR="00C51710">
        <w:rPr>
          <w:rFonts w:ascii="Times New Roman" w:hAnsi="Times New Roman" w:eastAsia="Times New Roman" w:cs="Times New Roman"/>
          <w:sz w:val="24"/>
          <w:szCs w:val="24"/>
        </w:rPr>
        <w:t>Chapter 19 (</w:t>
      </w:r>
      <w:r w:rsidRPr="00C31FB0">
        <w:rPr>
          <w:rFonts w:ascii="Times New Roman" w:hAnsi="Times New Roman" w:eastAsia="Times New Roman" w:cs="Times New Roman"/>
          <w:color w:val="000000"/>
          <w:sz w:val="24"/>
          <w:szCs w:val="24"/>
        </w:rPr>
        <w:t>Closing Guide</w:t>
      </w:r>
      <w:r w:rsidR="00DD5CE2">
        <w:rPr>
          <w:rFonts w:ascii="Times New Roman" w:hAnsi="Times New Roman" w:eastAsia="Times New Roman" w:cs="Times New Roman"/>
          <w:color w:val="000000"/>
          <w:sz w:val="24"/>
          <w:szCs w:val="24"/>
        </w:rPr>
        <w:t>.</w:t>
      </w:r>
    </w:p>
    <w:p w:rsidR="00657B51" w:rsidP="00A57102" w:rsidRDefault="00657B51" w14:paraId="28963866" w14:textId="77777777">
      <w:pPr>
        <w:overflowPunct w:val="0"/>
        <w:autoSpaceDE w:val="0"/>
        <w:autoSpaceDN w:val="0"/>
        <w:adjustRightInd w:val="0"/>
        <w:spacing w:before="80" w:after="80"/>
        <w:ind w:left="1440" w:hanging="1260"/>
        <w:textAlignment w:val="baseline"/>
        <w:outlineLvl w:val="0"/>
        <w:rPr>
          <w:rFonts w:ascii="Arial" w:hAnsi="Arial" w:eastAsia="Times New Roman" w:cs="Arial"/>
          <w:b/>
          <w:sz w:val="28"/>
          <w:szCs w:val="20"/>
        </w:rPr>
      </w:pPr>
    </w:p>
    <w:p w:rsidRPr="000023DB" w:rsidR="00A57102" w:rsidP="00A57102" w:rsidRDefault="00A57102" w14:paraId="756440D8" w14:textId="1E7278EF">
      <w:pPr>
        <w:overflowPunct w:val="0"/>
        <w:autoSpaceDE w:val="0"/>
        <w:autoSpaceDN w:val="0"/>
        <w:adjustRightInd w:val="0"/>
        <w:spacing w:before="80" w:after="80"/>
        <w:ind w:left="1440" w:hanging="1260"/>
        <w:textAlignment w:val="baseline"/>
        <w:outlineLvl w:val="0"/>
        <w:rPr>
          <w:rFonts w:ascii="Arial" w:hAnsi="Arial" w:eastAsia="Times New Roman" w:cs="Arial"/>
          <w:b/>
          <w:sz w:val="28"/>
          <w:szCs w:val="20"/>
        </w:rPr>
      </w:pPr>
      <w:r w:rsidRPr="000023DB">
        <w:rPr>
          <w:rFonts w:ascii="Arial" w:hAnsi="Arial" w:eastAsia="Times New Roman" w:cs="Arial"/>
          <w:b/>
          <w:sz w:val="28"/>
          <w:szCs w:val="20"/>
        </w:rPr>
        <w:t>11.</w:t>
      </w:r>
      <w:r w:rsidR="004A0C87">
        <w:rPr>
          <w:rFonts w:ascii="Arial" w:hAnsi="Arial" w:eastAsia="Times New Roman" w:cs="Arial"/>
          <w:b/>
          <w:sz w:val="28"/>
          <w:szCs w:val="20"/>
        </w:rPr>
        <w:t>8</w:t>
      </w:r>
      <w:r w:rsidRPr="000023DB" w:rsidR="004A0C87">
        <w:rPr>
          <w:rFonts w:ascii="Arial" w:hAnsi="Arial" w:eastAsia="Times New Roman" w:cs="Arial"/>
          <w:b/>
          <w:sz w:val="28"/>
          <w:szCs w:val="20"/>
        </w:rPr>
        <w:t xml:space="preserve"> </w:t>
      </w:r>
      <w:r w:rsidRPr="000023DB" w:rsidR="004A0C87">
        <w:rPr>
          <w:rFonts w:ascii="Arial" w:hAnsi="Arial" w:eastAsia="Times New Roman" w:cs="Arial"/>
          <w:b/>
          <w:sz w:val="28"/>
          <w:szCs w:val="20"/>
        </w:rPr>
        <w:tab/>
      </w:r>
      <w:r w:rsidRPr="000023DB">
        <w:rPr>
          <w:rFonts w:ascii="Arial" w:hAnsi="Arial" w:eastAsia="Times New Roman" w:cs="Arial"/>
          <w:b/>
          <w:sz w:val="28"/>
          <w:szCs w:val="20"/>
        </w:rPr>
        <w:t>Note</w:t>
      </w:r>
    </w:p>
    <w:p w:rsidRPr="000023DB" w:rsidR="00A57102" w:rsidP="00A57102" w:rsidRDefault="00A57102" w14:paraId="756440D9" w14:textId="77777777">
      <w:pPr>
        <w:widowControl w:val="0"/>
        <w:overflowPunct w:val="0"/>
        <w:autoSpaceDE w:val="0"/>
        <w:autoSpaceDN w:val="0"/>
        <w:adjustRightInd w:val="0"/>
        <w:spacing w:before="240" w:after="120"/>
        <w:ind w:left="360" w:hanging="360"/>
        <w:jc w:val="both"/>
        <w:textAlignment w:val="baseline"/>
        <w:outlineLvl w:val="2"/>
        <w:rPr>
          <w:rFonts w:ascii="Times New Roman" w:hAnsi="Times New Roman" w:eastAsia="Times New Roman" w:cs="Times New Roman"/>
          <w:b/>
          <w:sz w:val="24"/>
          <w:szCs w:val="24"/>
        </w:rPr>
      </w:pPr>
      <w:r w:rsidRPr="000023DB">
        <w:rPr>
          <w:rFonts w:ascii="Times Roman" w:hAnsi="Times Roman" w:eastAsia="Times New Roman" w:cs="Arial"/>
          <w:szCs w:val="24"/>
        </w:rPr>
        <w:t>A.</w:t>
      </w:r>
      <w:r w:rsidRPr="000023DB">
        <w:rPr>
          <w:rFonts w:ascii="Times Roman" w:hAnsi="Times Roman" w:eastAsia="Times New Roman" w:cs="Arial"/>
          <w:szCs w:val="24"/>
        </w:rPr>
        <w:tab/>
      </w:r>
      <w:r w:rsidRPr="000023DB">
        <w:rPr>
          <w:rFonts w:ascii="Times New Roman" w:hAnsi="Times New Roman" w:eastAsia="Times New Roman" w:cs="Times New Roman"/>
          <w:sz w:val="24"/>
          <w:szCs w:val="24"/>
        </w:rPr>
        <w:t xml:space="preserve">Term.  The term must be the same as specified in the </w:t>
      </w:r>
      <w:r>
        <w:rPr>
          <w:rFonts w:ascii="Times New Roman" w:hAnsi="Times New Roman" w:eastAsia="Times New Roman" w:cs="Times New Roman"/>
          <w:sz w:val="24"/>
          <w:szCs w:val="24"/>
        </w:rPr>
        <w:t>Firm Commitment</w:t>
      </w:r>
      <w:r w:rsidRPr="000023DB">
        <w:rPr>
          <w:rFonts w:ascii="Times New Roman" w:hAnsi="Times New Roman" w:eastAsia="Times New Roman" w:cs="Times New Roman"/>
          <w:sz w:val="24"/>
          <w:szCs w:val="24"/>
        </w:rPr>
        <w:t xml:space="preserve">, which must be within the maximum terms allowed by the program and not less than 10 years. </w:t>
      </w:r>
    </w:p>
    <w:p w:rsidRPr="000023DB" w:rsidR="00A57102" w:rsidP="00A57102" w:rsidRDefault="00A57102" w14:paraId="756440DA" w14:textId="77777777">
      <w:pPr>
        <w:widowControl w:val="0"/>
        <w:overflowPunct w:val="0"/>
        <w:autoSpaceDE w:val="0"/>
        <w:autoSpaceDN w:val="0"/>
        <w:adjustRightInd w:val="0"/>
        <w:spacing w:before="80" w:after="80"/>
        <w:ind w:left="720" w:hanging="360"/>
        <w:jc w:val="both"/>
        <w:textAlignment w:val="baseline"/>
        <w:outlineLvl w:val="3"/>
        <w:rPr>
          <w:rFonts w:ascii="Times New Roman" w:hAnsi="Times New Roman" w:eastAsia="Times New Roman" w:cs="Times New Roman"/>
          <w:b/>
          <w:i/>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Generally, for most new construction or substantial rehabilitation rental projects, the term, calculated from the date of completion of construction, may not exceed the lesser of 40 years or 75% of the project's remaining economic life.</w:t>
      </w:r>
    </w:p>
    <w:p w:rsidRPr="000023DB" w:rsidR="00A57102" w:rsidP="00A57102" w:rsidRDefault="00A57102" w14:paraId="756440DB" w14:textId="77777777">
      <w:pPr>
        <w:widowControl w:val="0"/>
        <w:overflowPunct w:val="0"/>
        <w:autoSpaceDE w:val="0"/>
        <w:autoSpaceDN w:val="0"/>
        <w:adjustRightInd w:val="0"/>
        <w:spacing w:before="80" w:after="80"/>
        <w:ind w:left="720" w:hanging="374"/>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For existing projects (insured under Section 207 pursuant to Section 223(f)), the term must be not less than 10 years, and may not exceed the lesser of:</w:t>
      </w:r>
    </w:p>
    <w:p w:rsidRPr="000023DB" w:rsidR="00A57102" w:rsidP="00A57102" w:rsidRDefault="00A57102" w14:paraId="756440DC" w14:textId="77777777">
      <w:pPr>
        <w:widowControl w:val="0"/>
        <w:overflowPunct w:val="0"/>
        <w:autoSpaceDE w:val="0"/>
        <w:autoSpaceDN w:val="0"/>
        <w:adjustRightInd w:val="0"/>
        <w:spacing w:before="80" w:after="80"/>
        <w:ind w:left="1080" w:hanging="360"/>
        <w:jc w:val="both"/>
        <w:textAlignment w:val="baseline"/>
        <w:outlineLvl w:val="4"/>
        <w:rPr>
          <w:rFonts w:ascii="Times New Roman" w:hAnsi="Times New Roman" w:eastAsia="Times New Roman" w:cs="Times New Roman"/>
          <w:bCs/>
          <w:iCs/>
          <w:sz w:val="24"/>
          <w:szCs w:val="24"/>
        </w:rPr>
      </w:pPr>
      <w:r w:rsidRPr="000023DB">
        <w:rPr>
          <w:rFonts w:ascii="Times New Roman" w:hAnsi="Times New Roman" w:eastAsia="Times New Roman" w:cs="Times New Roman"/>
          <w:bCs/>
          <w:iCs/>
          <w:sz w:val="24"/>
          <w:szCs w:val="24"/>
        </w:rPr>
        <w:t>a.</w:t>
      </w:r>
      <w:r w:rsidRPr="000023DB">
        <w:rPr>
          <w:rFonts w:ascii="Times New Roman" w:hAnsi="Times New Roman" w:eastAsia="Times New Roman" w:cs="Times New Roman"/>
          <w:bCs/>
          <w:iCs/>
          <w:sz w:val="24"/>
          <w:szCs w:val="24"/>
        </w:rPr>
        <w:tab/>
        <w:t>35 years, or</w:t>
      </w:r>
    </w:p>
    <w:p w:rsidRPr="000023DB" w:rsidR="00A57102" w:rsidP="00A57102" w:rsidRDefault="00A57102" w14:paraId="756440DD" w14:textId="77777777">
      <w:pPr>
        <w:widowControl w:val="0"/>
        <w:overflowPunct w:val="0"/>
        <w:autoSpaceDE w:val="0"/>
        <w:autoSpaceDN w:val="0"/>
        <w:adjustRightInd w:val="0"/>
        <w:spacing w:before="80" w:after="80"/>
        <w:ind w:left="1080" w:hanging="360"/>
        <w:jc w:val="both"/>
        <w:textAlignment w:val="baseline"/>
        <w:outlineLvl w:val="4"/>
        <w:rPr>
          <w:rFonts w:ascii="Times New Roman" w:hAnsi="Times New Roman" w:eastAsia="Times New Roman" w:cs="Times New Roman"/>
          <w:bCs/>
          <w:iCs/>
          <w:sz w:val="24"/>
          <w:szCs w:val="24"/>
        </w:rPr>
      </w:pPr>
      <w:r w:rsidRPr="000023DB">
        <w:rPr>
          <w:rFonts w:ascii="Times New Roman" w:hAnsi="Times New Roman" w:eastAsia="Times New Roman" w:cs="Times New Roman"/>
          <w:bCs/>
          <w:iCs/>
          <w:sz w:val="24"/>
          <w:szCs w:val="24"/>
        </w:rPr>
        <w:t>b.</w:t>
      </w:r>
      <w:r w:rsidRPr="000023DB">
        <w:rPr>
          <w:rFonts w:ascii="Times New Roman" w:hAnsi="Times New Roman" w:eastAsia="Times New Roman" w:cs="Times New Roman"/>
          <w:bCs/>
          <w:iCs/>
          <w:sz w:val="24"/>
          <w:szCs w:val="24"/>
        </w:rPr>
        <w:tab/>
        <w:t>75% of the estimated remaining economic life of the physical improvements.</w:t>
      </w:r>
    </w:p>
    <w:p w:rsidRPr="000023DB" w:rsidR="00A57102" w:rsidP="00A57102" w:rsidRDefault="00A57102" w14:paraId="756440DE" w14:textId="1044C78A">
      <w:pPr>
        <w:widowControl w:val="0"/>
        <w:overflowPunct w:val="0"/>
        <w:autoSpaceDE w:val="0"/>
        <w:autoSpaceDN w:val="0"/>
        <w:adjustRightInd w:val="0"/>
        <w:spacing w:before="80" w:after="80"/>
        <w:ind w:left="720" w:hanging="360"/>
        <w:jc w:val="both"/>
        <w:textAlignment w:val="baseline"/>
        <w:outlineLvl w:val="4"/>
        <w:rPr>
          <w:rFonts w:ascii="Times New Roman" w:hAnsi="Times New Roman" w:eastAsia="Times New Roman" w:cs="Times New Roman"/>
          <w:bCs/>
          <w:iCs/>
          <w:sz w:val="24"/>
          <w:szCs w:val="24"/>
        </w:rPr>
      </w:pPr>
      <w:r w:rsidRPr="000023DB">
        <w:rPr>
          <w:rFonts w:ascii="Times New Roman" w:hAnsi="Times New Roman" w:eastAsia="Times New Roman" w:cs="Times New Roman"/>
          <w:bCs/>
          <w:iCs/>
          <w:sz w:val="24"/>
          <w:szCs w:val="24"/>
        </w:rPr>
        <w:t>3.</w:t>
      </w:r>
      <w:r w:rsidRPr="000023DB">
        <w:rPr>
          <w:rFonts w:ascii="Times New Roman" w:hAnsi="Times New Roman" w:eastAsia="Times New Roman" w:cs="Times New Roman"/>
          <w:bCs/>
          <w:iCs/>
          <w:sz w:val="24"/>
          <w:szCs w:val="24"/>
        </w:rPr>
        <w:tab/>
        <w:t xml:space="preserve">For 223(a)(7) projects, the term of the mortgage is </w:t>
      </w:r>
      <w:r w:rsidR="008F5AB1">
        <w:rPr>
          <w:rFonts w:ascii="Times New Roman" w:hAnsi="Times New Roman" w:eastAsia="Times New Roman" w:cs="Times New Roman"/>
          <w:bCs/>
          <w:iCs/>
          <w:sz w:val="24"/>
          <w:szCs w:val="24"/>
        </w:rPr>
        <w:t xml:space="preserve">statutorily </w:t>
      </w:r>
      <w:r w:rsidRPr="000023DB">
        <w:rPr>
          <w:rFonts w:ascii="Times New Roman" w:hAnsi="Times New Roman" w:eastAsia="Times New Roman" w:cs="Times New Roman"/>
          <w:bCs/>
          <w:iCs/>
          <w:sz w:val="24"/>
          <w:szCs w:val="24"/>
        </w:rPr>
        <w:t>limited to 12 years beyond the remaining term of the existing mortgage (excluding any previous Section 223(a)(7) loan) so long as the PCNA and underwriting determine that the loan term is no more than 75% of the remaining useful life of the property.</w:t>
      </w:r>
    </w:p>
    <w:p w:rsidRPr="000023DB" w:rsidR="00A57102" w:rsidP="00A57102" w:rsidRDefault="00A57102" w14:paraId="756440DF" w14:textId="77777777">
      <w:pPr>
        <w:widowControl w:val="0"/>
        <w:overflowPunct w:val="0"/>
        <w:autoSpaceDE w:val="0"/>
        <w:autoSpaceDN w:val="0"/>
        <w:adjustRightInd w:val="0"/>
        <w:spacing w:before="240" w:after="120"/>
        <w:ind w:left="36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w:t>
      </w:r>
      <w:r w:rsidRPr="000023DB">
        <w:rPr>
          <w:rFonts w:ascii="Times New Roman" w:hAnsi="Times New Roman" w:eastAsia="Times New Roman" w:cs="Times New Roman"/>
          <w:sz w:val="24"/>
          <w:szCs w:val="24"/>
        </w:rPr>
        <w:tab/>
        <w:t>Prepayment Provisions.  Generally, prepayment lockout and/or penalty structures that</w:t>
      </w:r>
      <w:r>
        <w:rPr>
          <w:rFonts w:ascii="Times New Roman" w:hAnsi="Times New Roman" w:eastAsia="Times New Roman" w:cs="Times New Roman"/>
          <w:sz w:val="24"/>
          <w:szCs w:val="24"/>
        </w:rPr>
        <w:t xml:space="preserve"> are commercially reasonable and consistent with industry practice, that</w:t>
      </w:r>
      <w:r w:rsidRPr="000023DB">
        <w:rPr>
          <w:rFonts w:ascii="Times New Roman" w:hAnsi="Times New Roman" w:eastAsia="Times New Roman" w:cs="Times New Roman"/>
          <w:sz w:val="24"/>
          <w:szCs w:val="24"/>
        </w:rPr>
        <w:t xml:space="preserve"> expire after 10 years and are no more than 10% during any of the first 10 years, and no more than 1% thereafter are acceptable, so long as the interest rate is commercially reasonable at the time of the rate lock.  </w:t>
      </w:r>
    </w:p>
    <w:p w:rsidRPr="000023DB" w:rsidR="00A57102" w:rsidP="00A57102" w:rsidRDefault="00A57102" w14:paraId="756440E0" w14:textId="77777777">
      <w:pPr>
        <w:widowControl w:val="0"/>
        <w:overflowPunct w:val="0"/>
        <w:autoSpaceDE w:val="0"/>
        <w:autoSpaceDN w:val="0"/>
        <w:adjustRightInd w:val="0"/>
        <w:spacing w:before="240" w:after="120"/>
        <w:ind w:left="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The following additional conditions and terms apply:</w:t>
      </w:r>
    </w:p>
    <w:p w:rsidRPr="000023DB" w:rsidR="00A57102" w:rsidP="00A57102" w:rsidRDefault="00A57102" w14:paraId="756440E1" w14:textId="77777777">
      <w:pPr>
        <w:widowControl w:val="0"/>
        <w:overflowPunct w:val="0"/>
        <w:autoSpaceDE w:val="0"/>
        <w:autoSpaceDN w:val="0"/>
        <w:adjustRightInd w:val="0"/>
        <w:spacing w:before="80" w:after="80"/>
        <w:ind w:left="72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Market rate properties.</w:t>
      </w:r>
    </w:p>
    <w:p w:rsidRPr="000023DB" w:rsidR="00A57102" w:rsidP="00A57102" w:rsidRDefault="00A57102" w14:paraId="756440E2" w14:textId="77777777">
      <w:pPr>
        <w:widowControl w:val="0"/>
        <w:overflowPunct w:val="0"/>
        <w:autoSpaceDE w:val="0"/>
        <w:autoSpaceDN w:val="0"/>
        <w:adjustRightInd w:val="0"/>
        <w:spacing w:before="80" w:after="80"/>
        <w:ind w:left="1080" w:hanging="360"/>
        <w:jc w:val="both"/>
        <w:textAlignment w:val="baseline"/>
        <w:outlineLvl w:val="4"/>
        <w:rPr>
          <w:rFonts w:ascii="Times New Roman" w:hAnsi="Times New Roman" w:eastAsia="Times New Roman" w:cs="Times New Roman"/>
          <w:bCs/>
          <w:iCs/>
          <w:sz w:val="24"/>
          <w:szCs w:val="24"/>
        </w:rPr>
      </w:pPr>
      <w:r w:rsidRPr="000023DB">
        <w:rPr>
          <w:rFonts w:ascii="Times New Roman" w:hAnsi="Times New Roman" w:eastAsia="Times New Roman" w:cs="Times New Roman"/>
          <w:bCs/>
          <w:iCs/>
          <w:sz w:val="24"/>
          <w:szCs w:val="24"/>
        </w:rPr>
        <w:t>a.</w:t>
      </w:r>
      <w:r w:rsidRPr="000023DB">
        <w:rPr>
          <w:rFonts w:ascii="Times New Roman" w:hAnsi="Times New Roman" w:eastAsia="Times New Roman" w:cs="Times New Roman"/>
          <w:bCs/>
          <w:iCs/>
          <w:sz w:val="24"/>
          <w:szCs w:val="24"/>
        </w:rPr>
        <w:tab/>
        <w:t>Prepayment must be permitted in whole or in part so long as 30 days advance written notice is given to lender of intent to prepay, except for Section 223(f) loans</w:t>
      </w:r>
      <w:r>
        <w:rPr>
          <w:rFonts w:ascii="Times New Roman" w:hAnsi="Times New Roman" w:eastAsia="Times New Roman" w:cs="Times New Roman"/>
          <w:bCs/>
          <w:iCs/>
          <w:sz w:val="24"/>
          <w:szCs w:val="24"/>
        </w:rPr>
        <w:t xml:space="preserve"> (subject to statutory five year prepayment lockout)</w:t>
      </w:r>
      <w:r w:rsidRPr="000023DB">
        <w:rPr>
          <w:rFonts w:ascii="Times New Roman" w:hAnsi="Times New Roman" w:eastAsia="Times New Roman" w:cs="Times New Roman"/>
          <w:bCs/>
          <w:iCs/>
          <w:sz w:val="24"/>
          <w:szCs w:val="24"/>
        </w:rPr>
        <w:t>, which must meet certain conditions and receive HUD approval if the property will be converted to a use other than rental housing</w:t>
      </w:r>
      <w:r>
        <w:rPr>
          <w:rFonts w:ascii="Times New Roman" w:hAnsi="Times New Roman" w:eastAsia="Times New Roman" w:cs="Times New Roman"/>
          <w:bCs/>
          <w:iCs/>
          <w:sz w:val="24"/>
          <w:szCs w:val="24"/>
        </w:rPr>
        <w:t>, in order to prepay within the five year prepayment lockout</w:t>
      </w:r>
      <w:r w:rsidRPr="000023DB">
        <w:rPr>
          <w:rFonts w:ascii="Times New Roman" w:hAnsi="Times New Roman" w:eastAsia="Times New Roman" w:cs="Times New Roman"/>
          <w:bCs/>
          <w:iCs/>
          <w:sz w:val="24"/>
          <w:szCs w:val="24"/>
        </w:rPr>
        <w:t>.</w:t>
      </w:r>
    </w:p>
    <w:p w:rsidRPr="000023DB" w:rsidR="00A57102" w:rsidP="00A57102" w:rsidRDefault="00A57102" w14:paraId="756440E3" w14:textId="77777777">
      <w:pPr>
        <w:widowControl w:val="0"/>
        <w:overflowPunct w:val="0"/>
        <w:autoSpaceDE w:val="0"/>
        <w:autoSpaceDN w:val="0"/>
        <w:adjustRightInd w:val="0"/>
        <w:spacing w:before="80" w:after="80"/>
        <w:ind w:left="1080" w:hanging="360"/>
        <w:jc w:val="both"/>
        <w:textAlignment w:val="baseline"/>
        <w:outlineLvl w:val="4"/>
        <w:rPr>
          <w:rFonts w:ascii="Times New Roman" w:hAnsi="Times New Roman" w:eastAsia="Times New Roman" w:cs="Times New Roman"/>
          <w:bCs/>
          <w:iCs/>
          <w:sz w:val="24"/>
          <w:szCs w:val="24"/>
        </w:rPr>
      </w:pPr>
      <w:r w:rsidRPr="000023DB">
        <w:rPr>
          <w:rFonts w:ascii="Times New Roman" w:hAnsi="Times New Roman" w:eastAsia="Times New Roman" w:cs="Times New Roman"/>
          <w:bCs/>
          <w:iCs/>
          <w:sz w:val="24"/>
          <w:szCs w:val="24"/>
        </w:rPr>
        <w:t>b.</w:t>
      </w:r>
      <w:r w:rsidRPr="000023DB">
        <w:rPr>
          <w:rFonts w:ascii="Times New Roman" w:hAnsi="Times New Roman" w:eastAsia="Times New Roman" w:cs="Times New Roman"/>
          <w:bCs/>
          <w:iCs/>
          <w:sz w:val="24"/>
          <w:szCs w:val="24"/>
        </w:rPr>
        <w:tab/>
        <w:t>Prepayments must be permitted for up to 15% of the original principal amount in any one calendar year without a prepayment charge.  Prepayments exceeding 15% may be subject to a reasonable charge agreed to by borrower and lender and included in the Mortgage.</w:t>
      </w:r>
    </w:p>
    <w:p w:rsidRPr="000023DB" w:rsidR="00A57102" w:rsidP="00A57102" w:rsidRDefault="00A57102" w14:paraId="756440E4" w14:textId="77777777">
      <w:pPr>
        <w:spacing w:after="200" w:line="276" w:lineRule="auto"/>
        <w:ind w:left="1080" w:hanging="360"/>
        <w:jc w:val="both"/>
        <w:rPr>
          <w:rFonts w:ascii="Times New Roman" w:hAnsi="Times New Roman" w:cs="Times New Roman"/>
          <w:sz w:val="24"/>
          <w:szCs w:val="24"/>
        </w:rPr>
      </w:pPr>
      <w:r w:rsidRPr="000023DB">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0023DB">
        <w:rPr>
          <w:rFonts w:ascii="Times New Roman" w:hAnsi="Times New Roman" w:cs="Times New Roman"/>
          <w:sz w:val="24"/>
          <w:szCs w:val="24"/>
        </w:rPr>
        <w:t>Notwithstanding the borrower’s right to prepay, a HUD 9807 must be processed in order for HUD to release the recorded Regulatory Agreement.</w:t>
      </w:r>
    </w:p>
    <w:p w:rsidRPr="000023DB" w:rsidR="00A57102" w:rsidP="00A57102" w:rsidRDefault="00A57102" w14:paraId="756440E5" w14:textId="77777777">
      <w:pPr>
        <w:widowControl w:val="0"/>
        <w:overflowPunct w:val="0"/>
        <w:autoSpaceDE w:val="0"/>
        <w:autoSpaceDN w:val="0"/>
        <w:adjustRightInd w:val="0"/>
        <w:spacing w:before="80" w:after="80"/>
        <w:ind w:left="72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Affordable or subsidized properties.</w:t>
      </w:r>
    </w:p>
    <w:p w:rsidRPr="000023DB" w:rsidR="00A57102" w:rsidP="00A57102" w:rsidRDefault="00A57102" w14:paraId="756440E6" w14:textId="77777777">
      <w:pPr>
        <w:widowControl w:val="0"/>
        <w:overflowPunct w:val="0"/>
        <w:autoSpaceDE w:val="0"/>
        <w:autoSpaceDN w:val="0"/>
        <w:adjustRightInd w:val="0"/>
        <w:spacing w:before="80" w:after="80"/>
        <w:ind w:left="1080" w:hanging="360"/>
        <w:jc w:val="both"/>
        <w:textAlignment w:val="baseline"/>
        <w:outlineLvl w:val="4"/>
        <w:rPr>
          <w:rFonts w:ascii="Times New Roman" w:hAnsi="Times New Roman" w:eastAsia="Times New Roman" w:cs="Times New Roman"/>
          <w:bCs/>
          <w:iCs/>
          <w:sz w:val="24"/>
          <w:szCs w:val="24"/>
        </w:rPr>
      </w:pPr>
      <w:r w:rsidRPr="000023DB">
        <w:rPr>
          <w:rFonts w:ascii="Times New Roman" w:hAnsi="Times New Roman" w:eastAsia="Times New Roman" w:cs="Times New Roman"/>
          <w:bCs/>
          <w:iCs/>
          <w:sz w:val="24"/>
          <w:szCs w:val="24"/>
        </w:rPr>
        <w:t>a.</w:t>
      </w:r>
      <w:r w:rsidRPr="000023DB">
        <w:rPr>
          <w:rFonts w:ascii="Times New Roman" w:hAnsi="Times New Roman" w:eastAsia="Times New Roman" w:cs="Times New Roman"/>
          <w:bCs/>
          <w:iCs/>
          <w:sz w:val="24"/>
          <w:szCs w:val="24"/>
        </w:rPr>
        <w:tab/>
        <w:t xml:space="preserve">FHA insured projects which are, or formerly were, affordable or subsidized and are subject to a Use Agreement, Regulatory Agreement, or similar restrictive covenants require prior written consent of HUD to prepay the mortgage debt. </w:t>
      </w:r>
    </w:p>
    <w:p w:rsidR="00A57102" w:rsidP="00A57102" w:rsidRDefault="00A57102" w14:paraId="756440E7" w14:textId="19BAA60E">
      <w:pPr>
        <w:widowControl w:val="0"/>
        <w:overflowPunct w:val="0"/>
        <w:autoSpaceDE w:val="0"/>
        <w:autoSpaceDN w:val="0"/>
        <w:adjustRightInd w:val="0"/>
        <w:ind w:left="1080" w:hanging="360"/>
        <w:jc w:val="both"/>
        <w:textAlignment w:val="baseline"/>
        <w:outlineLvl w:val="4"/>
        <w:rPr>
          <w:rFonts w:ascii="Times New Roman" w:hAnsi="Times New Roman" w:eastAsia="Times New Roman" w:cs="Times New Roman"/>
          <w:bCs/>
          <w:iCs/>
          <w:sz w:val="24"/>
          <w:szCs w:val="24"/>
        </w:rPr>
      </w:pPr>
      <w:r w:rsidRPr="000023DB">
        <w:rPr>
          <w:rFonts w:ascii="Times New Roman" w:hAnsi="Times New Roman" w:eastAsia="Times New Roman" w:cs="Times New Roman"/>
          <w:bCs/>
          <w:iCs/>
          <w:sz w:val="24"/>
          <w:szCs w:val="24"/>
        </w:rPr>
        <w:t>b.</w:t>
      </w:r>
      <w:r w:rsidRPr="000023DB">
        <w:rPr>
          <w:rFonts w:ascii="Times New Roman" w:hAnsi="Times New Roman" w:eastAsia="Times New Roman" w:cs="Times New Roman"/>
          <w:bCs/>
          <w:iCs/>
          <w:sz w:val="24"/>
          <w:szCs w:val="24"/>
        </w:rPr>
        <w:tab/>
        <w:t xml:space="preserve">HUD may approve partial prepayments to reduce succeeding monthly payments over the remaining portion of the original mortgage </w:t>
      </w:r>
      <w:r w:rsidRPr="000023DB" w:rsidR="005060EE">
        <w:rPr>
          <w:rFonts w:ascii="Times New Roman" w:hAnsi="Times New Roman" w:eastAsia="Times New Roman" w:cs="Times New Roman"/>
          <w:bCs/>
          <w:iCs/>
          <w:sz w:val="24"/>
          <w:szCs w:val="24"/>
        </w:rPr>
        <w:t>term or</w:t>
      </w:r>
      <w:r w:rsidRPr="000023DB">
        <w:rPr>
          <w:rFonts w:ascii="Times New Roman" w:hAnsi="Times New Roman" w:eastAsia="Times New Roman" w:cs="Times New Roman"/>
          <w:bCs/>
          <w:iCs/>
          <w:sz w:val="24"/>
          <w:szCs w:val="24"/>
        </w:rPr>
        <w:t xml:space="preserve"> may also approve partial prepayments made after 30 days written notice.  Prepayments exceeding 15% of the original principal amount may be subject to a reasonable charge on such excess as agreed to by borrower and lender and included in the Mortgage.</w:t>
      </w:r>
    </w:p>
    <w:p w:rsidRPr="00BB4DD3" w:rsidR="00A57102" w:rsidP="00A57102" w:rsidRDefault="00A57102" w14:paraId="756440E8" w14:textId="77777777">
      <w:pPr>
        <w:widowControl w:val="0"/>
        <w:overflowPunct w:val="0"/>
        <w:autoSpaceDE w:val="0"/>
        <w:autoSpaceDN w:val="0"/>
        <w:adjustRightInd w:val="0"/>
        <w:ind w:left="1440" w:hanging="360"/>
        <w:jc w:val="both"/>
        <w:textAlignment w:val="baseline"/>
        <w:outlineLvl w:val="4"/>
        <w:rPr>
          <w:rFonts w:ascii="Times New Roman" w:hAnsi="Times New Roman" w:eastAsia="Times New Roman" w:cs="Times New Roman"/>
          <w:bCs/>
          <w:iCs/>
          <w:sz w:val="24"/>
          <w:szCs w:val="24"/>
        </w:rPr>
      </w:pPr>
    </w:p>
    <w:p w:rsidRPr="007479D2" w:rsidR="00A57102" w:rsidP="00A57102" w:rsidRDefault="00A57102" w14:paraId="756440E9" w14:textId="7F882E14">
      <w:pPr>
        <w:pStyle w:val="ListParagraph"/>
        <w:widowControl w:val="0"/>
        <w:numPr>
          <w:ilvl w:val="3"/>
          <w:numId w:val="6"/>
        </w:numPr>
        <w:overflowPunct w:val="0"/>
        <w:autoSpaceDE w:val="0"/>
        <w:autoSpaceDN w:val="0"/>
        <w:adjustRightInd w:val="0"/>
        <w:ind w:left="720"/>
        <w:jc w:val="both"/>
        <w:textAlignment w:val="baseline"/>
        <w:outlineLvl w:val="4"/>
        <w:rPr>
          <w:rFonts w:ascii="Times New Roman" w:hAnsi="Times New Roman" w:eastAsia="Times New Roman" w:cs="Times New Roman"/>
          <w:bCs/>
          <w:iCs/>
          <w:sz w:val="24"/>
          <w:szCs w:val="24"/>
        </w:rPr>
      </w:pPr>
      <w:r w:rsidRPr="007479D2">
        <w:rPr>
          <w:rFonts w:ascii="Times New Roman" w:hAnsi="Times New Roman" w:cs="Times New Roman"/>
          <w:iCs/>
          <w:sz w:val="24"/>
          <w:szCs w:val="24"/>
        </w:rPr>
        <w:t xml:space="preserve">Prepayment of </w:t>
      </w:r>
      <w:r w:rsidRPr="007479D2" w:rsidR="005060EE">
        <w:rPr>
          <w:rFonts w:ascii="Times New Roman" w:hAnsi="Times New Roman" w:cs="Times New Roman"/>
          <w:iCs/>
          <w:sz w:val="24"/>
          <w:szCs w:val="24"/>
        </w:rPr>
        <w:t>bond financed</w:t>
      </w:r>
      <w:r w:rsidRPr="007479D2">
        <w:rPr>
          <w:rFonts w:ascii="Times New Roman" w:hAnsi="Times New Roman" w:cs="Times New Roman"/>
          <w:iCs/>
          <w:sz w:val="24"/>
          <w:szCs w:val="24"/>
        </w:rPr>
        <w:t xml:space="preserve"> or Ginnie Mae securitized mortgages.</w:t>
      </w:r>
      <w:r w:rsidRPr="007479D2">
        <w:rPr>
          <w:rFonts w:ascii="Times New Roman" w:hAnsi="Times New Roman" w:cs="Times New Roman"/>
          <w:sz w:val="24"/>
          <w:szCs w:val="24"/>
        </w:rPr>
        <w:t xml:space="preserve"> Where the mortgage is given to secure Ginnie Mae mortgage-backed securities or a loan made by a lender that has obtained the funds for the loan by the issuance and sale of bonds or bond anticipation notes, or both, the mortgage may contain a prepayment restriction and prepayment penalty charge acceptable to the Commissioner as to term, amount, and conditions.</w:t>
      </w:r>
    </w:p>
    <w:p w:rsidRPr="000023DB" w:rsidR="00A57102" w:rsidP="00A57102" w:rsidRDefault="00A57102" w14:paraId="756440EA" w14:textId="77777777">
      <w:pPr>
        <w:widowControl w:val="0"/>
        <w:overflowPunct w:val="0"/>
        <w:autoSpaceDE w:val="0"/>
        <w:autoSpaceDN w:val="0"/>
        <w:adjustRightInd w:val="0"/>
        <w:spacing w:before="240" w:after="120"/>
        <w:ind w:left="360" w:hanging="360"/>
        <w:jc w:val="both"/>
        <w:textAlignment w:val="baseline"/>
        <w:outlineLvl w:val="2"/>
        <w:rPr>
          <w:rFonts w:ascii="Times New Roman" w:hAnsi="Times New Roman" w:eastAsia="Times New Roman" w:cs="Times New Roman"/>
          <w:b/>
          <w:sz w:val="24"/>
          <w:szCs w:val="24"/>
        </w:rPr>
      </w:pPr>
      <w:r w:rsidRPr="000023DB">
        <w:rPr>
          <w:rFonts w:ascii="Times New Roman" w:hAnsi="Times New Roman" w:eastAsia="Times New Roman" w:cs="Times New Roman"/>
          <w:sz w:val="24"/>
          <w:szCs w:val="24"/>
        </w:rPr>
        <w:t>C.</w:t>
      </w:r>
      <w:r w:rsidRPr="000023DB">
        <w:rPr>
          <w:rFonts w:ascii="Times New Roman" w:hAnsi="Times New Roman" w:eastAsia="Times New Roman" w:cs="Times New Roman"/>
          <w:sz w:val="24"/>
          <w:szCs w:val="24"/>
        </w:rPr>
        <w:tab/>
        <w:t>Conditions for Including Lockouts and/or Penalties.  Compliance with the following conditions is required when prepayment lockouts and/or penalties are permitted.</w:t>
      </w:r>
    </w:p>
    <w:p w:rsidRPr="000023DB" w:rsidR="00A57102" w:rsidP="00A57102" w:rsidRDefault="00A57102" w14:paraId="756440EB" w14:textId="287A9670">
      <w:pPr>
        <w:spacing w:before="80" w:after="80"/>
        <w:ind w:left="720" w:hanging="360"/>
        <w:jc w:val="both"/>
        <w:rPr>
          <w:rFonts w:ascii="Times New Roman" w:hAnsi="Times New Roman" w:eastAsia="Courier New" w:cs="Times New Roman"/>
          <w:iCs/>
          <w:sz w:val="24"/>
          <w:szCs w:val="24"/>
        </w:rPr>
      </w:pPr>
      <w:r w:rsidRPr="000023DB">
        <w:rPr>
          <w:rFonts w:ascii="Times Roman" w:hAnsi="Times Roman" w:eastAsia="Courier New" w:cs="Arial"/>
          <w:sz w:val="24"/>
          <w:szCs w:val="24"/>
        </w:rPr>
        <w:t>1.</w:t>
      </w:r>
      <w:r w:rsidRPr="000023DB">
        <w:rPr>
          <w:rFonts w:ascii="Times Roman" w:hAnsi="Times Roman" w:eastAsia="Courier New" w:cs="Arial"/>
          <w:iCs/>
          <w:sz w:val="24"/>
          <w:szCs w:val="24"/>
        </w:rPr>
        <w:tab/>
      </w:r>
      <w:r w:rsidRPr="000023DB">
        <w:rPr>
          <w:rFonts w:ascii="Times New Roman" w:hAnsi="Times New Roman" w:eastAsia="Courier New" w:cs="Times New Roman"/>
          <w:iCs/>
          <w:sz w:val="24"/>
          <w:szCs w:val="24"/>
        </w:rPr>
        <w:t xml:space="preserve">Lender’s Certificate and Request for Endorsement.  </w:t>
      </w:r>
      <w:r w:rsidRPr="000023DB">
        <w:rPr>
          <w:rFonts w:ascii="Times New Roman" w:hAnsi="Times New Roman" w:eastAsia="Courier New" w:cs="Times New Roman"/>
          <w:sz w:val="24"/>
          <w:szCs w:val="24"/>
        </w:rPr>
        <w:t>The Lender’s Certificate, Form HUD-92434M and the Request for Endorsement, Form HUD-92455M,</w:t>
      </w:r>
      <w:r w:rsidRPr="000023DB">
        <w:rPr>
          <w:rFonts w:ascii="Times New Roman" w:hAnsi="Times New Roman" w:eastAsia="Courier New" w:cs="Times New Roman"/>
          <w:iCs/>
          <w:sz w:val="24"/>
          <w:szCs w:val="24"/>
        </w:rPr>
        <w:t xml:space="preserve"> requires the lender to certify that in the event of a default during the term of the prepayment lockout and/or penalty (i.e., prior to the date on which prepayment may be made with a penalty of one percent or less), it will comply with Program Obligations.  The Lender, in order to comply, must:</w:t>
      </w:r>
    </w:p>
    <w:p w:rsidRPr="000023DB" w:rsidR="00A57102" w:rsidP="00A57102" w:rsidRDefault="00A57102" w14:paraId="756440EC" w14:textId="7E346AD3">
      <w:pPr>
        <w:numPr>
          <w:ilvl w:val="1"/>
          <w:numId w:val="10"/>
        </w:numPr>
        <w:spacing w:before="80" w:after="80" w:line="276" w:lineRule="auto"/>
        <w:ind w:left="1080"/>
        <w:jc w:val="both"/>
        <w:rPr>
          <w:rFonts w:ascii="Times New Roman" w:hAnsi="Times New Roman" w:eastAsia="Courier New" w:cs="Times New Roman"/>
          <w:iCs/>
          <w:sz w:val="24"/>
          <w:szCs w:val="24"/>
        </w:rPr>
      </w:pPr>
      <w:r w:rsidRPr="000023DB">
        <w:rPr>
          <w:rFonts w:ascii="Times New Roman" w:hAnsi="Times New Roman" w:eastAsia="Courier New" w:cs="Times New Roman"/>
          <w:iCs/>
          <w:sz w:val="24"/>
          <w:szCs w:val="24"/>
        </w:rPr>
        <w:t xml:space="preserve">Request a </w:t>
      </w:r>
      <w:r w:rsidR="00A57BAD">
        <w:rPr>
          <w:rFonts w:ascii="Times New Roman" w:hAnsi="Times New Roman" w:eastAsia="Courier New" w:cs="Times New Roman"/>
          <w:iCs/>
          <w:sz w:val="24"/>
          <w:szCs w:val="24"/>
        </w:rPr>
        <w:t>90-day</w:t>
      </w:r>
      <w:r w:rsidRPr="000023DB">
        <w:rPr>
          <w:rFonts w:ascii="Times New Roman" w:hAnsi="Times New Roman" w:eastAsia="Courier New" w:cs="Times New Roman"/>
          <w:iCs/>
          <w:sz w:val="24"/>
          <w:szCs w:val="24"/>
        </w:rPr>
        <w:t xml:space="preserve"> extension of the deadline prescribed by 24 C.F.R. Section 207.258</w:t>
      </w:r>
      <w:r>
        <w:rPr>
          <w:rFonts w:ascii="Times New Roman" w:hAnsi="Times New Roman" w:eastAsia="Courier New" w:cs="Times New Roman"/>
          <w:iCs/>
          <w:sz w:val="24"/>
          <w:szCs w:val="24"/>
        </w:rPr>
        <w:t>(a)(2)</w:t>
      </w:r>
      <w:r w:rsidRPr="000023DB">
        <w:rPr>
          <w:rFonts w:ascii="Times New Roman" w:hAnsi="Times New Roman" w:eastAsia="Courier New" w:cs="Times New Roman"/>
          <w:iCs/>
          <w:sz w:val="24"/>
          <w:szCs w:val="24"/>
        </w:rPr>
        <w:t xml:space="preserve"> for filing a notice of its intention to file an insurance claim and its election to assign the </w:t>
      </w:r>
      <w:r w:rsidRPr="000023DB" w:rsidR="004A0C87">
        <w:rPr>
          <w:rFonts w:ascii="Times New Roman" w:hAnsi="Times New Roman" w:eastAsia="Courier New" w:cs="Times New Roman"/>
          <w:iCs/>
          <w:sz w:val="24"/>
          <w:szCs w:val="24"/>
        </w:rPr>
        <w:t>mortgage.</w:t>
      </w:r>
    </w:p>
    <w:p w:rsidRPr="000023DB" w:rsidR="00A57102" w:rsidP="00A57102" w:rsidRDefault="00A57102" w14:paraId="756440ED" w14:textId="78434EAF">
      <w:pPr>
        <w:numPr>
          <w:ilvl w:val="1"/>
          <w:numId w:val="10"/>
        </w:numPr>
        <w:spacing w:before="80" w:after="80" w:line="276" w:lineRule="auto"/>
        <w:ind w:left="1080"/>
        <w:jc w:val="both"/>
        <w:rPr>
          <w:rFonts w:ascii="Times New Roman" w:hAnsi="Times New Roman" w:eastAsia="Courier New" w:cs="Times New Roman"/>
          <w:iCs/>
          <w:sz w:val="24"/>
          <w:szCs w:val="24"/>
        </w:rPr>
      </w:pPr>
      <w:r w:rsidRPr="000023DB">
        <w:rPr>
          <w:rFonts w:ascii="Times New Roman" w:hAnsi="Times New Roman" w:eastAsia="Courier New" w:cs="Times New Roman"/>
          <w:iCs/>
          <w:sz w:val="24"/>
          <w:szCs w:val="24"/>
        </w:rPr>
        <w:t xml:space="preserve">Assist the Borrower to arrange refinancing to cure the default and avert an insurance claim if HUD grants the requested (or shorter) extension of the notice filing </w:t>
      </w:r>
      <w:r w:rsidRPr="000023DB" w:rsidR="004A0C87">
        <w:rPr>
          <w:rFonts w:ascii="Times New Roman" w:hAnsi="Times New Roman" w:eastAsia="Courier New" w:cs="Times New Roman"/>
          <w:iCs/>
          <w:sz w:val="24"/>
          <w:szCs w:val="24"/>
        </w:rPr>
        <w:t>deadline.</w:t>
      </w:r>
    </w:p>
    <w:p w:rsidRPr="000023DB" w:rsidR="00A57102" w:rsidP="00A57102" w:rsidRDefault="00A57102" w14:paraId="756440EE" w14:textId="1823D014">
      <w:pPr>
        <w:numPr>
          <w:ilvl w:val="1"/>
          <w:numId w:val="10"/>
        </w:numPr>
        <w:spacing w:before="80" w:after="80" w:line="276" w:lineRule="auto"/>
        <w:ind w:left="1080"/>
        <w:jc w:val="both"/>
        <w:rPr>
          <w:rFonts w:ascii="Times New Roman" w:hAnsi="Times New Roman" w:eastAsia="Courier New" w:cs="Times New Roman"/>
          <w:iCs/>
          <w:sz w:val="24"/>
          <w:szCs w:val="24"/>
        </w:rPr>
      </w:pPr>
      <w:r w:rsidRPr="000023DB">
        <w:rPr>
          <w:rFonts w:ascii="Times New Roman" w:hAnsi="Times New Roman" w:eastAsia="Courier New" w:cs="Times New Roman"/>
          <w:iCs/>
          <w:sz w:val="24"/>
          <w:szCs w:val="24"/>
        </w:rPr>
        <w:t xml:space="preserve">Report to HUD at least monthly on any progress in arranging a </w:t>
      </w:r>
      <w:r w:rsidRPr="000023DB" w:rsidR="004A0C87">
        <w:rPr>
          <w:rFonts w:ascii="Times New Roman" w:hAnsi="Times New Roman" w:eastAsia="Courier New" w:cs="Times New Roman"/>
          <w:iCs/>
          <w:sz w:val="24"/>
          <w:szCs w:val="24"/>
        </w:rPr>
        <w:t>refinancing.</w:t>
      </w:r>
    </w:p>
    <w:p w:rsidRPr="000023DB" w:rsidR="00A57102" w:rsidP="00A57102" w:rsidRDefault="00A57102" w14:paraId="756440EF" w14:textId="5972DF22">
      <w:pPr>
        <w:numPr>
          <w:ilvl w:val="1"/>
          <w:numId w:val="10"/>
        </w:numPr>
        <w:spacing w:before="80" w:after="80" w:line="276" w:lineRule="auto"/>
        <w:ind w:left="1080"/>
        <w:jc w:val="both"/>
        <w:rPr>
          <w:rFonts w:ascii="Times New Roman" w:hAnsi="Times New Roman" w:eastAsia="Courier New" w:cs="Times New Roman"/>
          <w:iCs/>
          <w:sz w:val="24"/>
          <w:szCs w:val="24"/>
        </w:rPr>
      </w:pPr>
      <w:r w:rsidRPr="000023DB">
        <w:rPr>
          <w:rFonts w:ascii="Times New Roman" w:hAnsi="Times New Roman" w:eastAsia="Courier New" w:cs="Times New Roman"/>
          <w:iCs/>
          <w:sz w:val="24"/>
          <w:szCs w:val="24"/>
        </w:rPr>
        <w:t xml:space="preserve">Otherwise cooperate with HUD in taking reasonable steps to avoid an insurance </w:t>
      </w:r>
      <w:r w:rsidRPr="000023DB" w:rsidR="004A0C87">
        <w:rPr>
          <w:rFonts w:ascii="Times New Roman" w:hAnsi="Times New Roman" w:eastAsia="Courier New" w:cs="Times New Roman"/>
          <w:iCs/>
          <w:sz w:val="24"/>
          <w:szCs w:val="24"/>
        </w:rPr>
        <w:t>claim.</w:t>
      </w:r>
    </w:p>
    <w:p w:rsidRPr="000023DB" w:rsidR="00A57102" w:rsidP="00A57102" w:rsidRDefault="00A57102" w14:paraId="756440F0" w14:textId="77777777">
      <w:pPr>
        <w:numPr>
          <w:ilvl w:val="1"/>
          <w:numId w:val="10"/>
        </w:numPr>
        <w:spacing w:before="80" w:after="80" w:line="276" w:lineRule="auto"/>
        <w:ind w:left="1080"/>
        <w:jc w:val="both"/>
        <w:rPr>
          <w:rFonts w:ascii="Times New Roman" w:hAnsi="Times New Roman" w:eastAsia="Courier New" w:cs="Times New Roman"/>
          <w:iCs/>
          <w:sz w:val="24"/>
          <w:szCs w:val="24"/>
        </w:rPr>
      </w:pPr>
      <w:r w:rsidRPr="000023DB">
        <w:rPr>
          <w:rFonts w:ascii="Times New Roman" w:hAnsi="Times New Roman" w:eastAsia="Courier New" w:cs="Times New Roman"/>
          <w:iCs/>
          <w:sz w:val="24"/>
          <w:szCs w:val="24"/>
        </w:rPr>
        <w:t>Require any successors or assigns to certify in writing that they agree to be bound by these conditions for the remainder of the term of the prepayment lockout and/or penalty period; and</w:t>
      </w:r>
    </w:p>
    <w:p w:rsidRPr="000023DB" w:rsidR="00A57102" w:rsidP="00A57102" w:rsidRDefault="00A57102" w14:paraId="756440F1" w14:textId="77777777">
      <w:pPr>
        <w:widowControl w:val="0"/>
        <w:overflowPunct w:val="0"/>
        <w:autoSpaceDE w:val="0"/>
        <w:autoSpaceDN w:val="0"/>
        <w:adjustRightInd w:val="0"/>
        <w:spacing w:before="80" w:after="80"/>
        <w:ind w:left="1080" w:hanging="360"/>
        <w:jc w:val="both"/>
        <w:textAlignment w:val="baseline"/>
        <w:outlineLvl w:val="2"/>
        <w:rPr>
          <w:rFonts w:ascii="Times New Roman" w:hAnsi="Times New Roman" w:eastAsia="Times New Roman" w:cs="Times New Roman"/>
          <w:b/>
          <w:sz w:val="24"/>
          <w:szCs w:val="24"/>
        </w:rPr>
      </w:pPr>
      <w:r w:rsidRPr="000023DB">
        <w:rPr>
          <w:rFonts w:ascii="Times New Roman" w:hAnsi="Times New Roman" w:eastAsia="Times New Roman" w:cs="Times New Roman"/>
          <w:iCs/>
          <w:sz w:val="24"/>
          <w:szCs w:val="24"/>
        </w:rPr>
        <w:t>f.</w:t>
      </w:r>
      <w:r w:rsidRPr="000023DB">
        <w:rPr>
          <w:rFonts w:ascii="Times New Roman" w:hAnsi="Times New Roman" w:eastAsia="Times New Roman" w:cs="Times New Roman"/>
          <w:iCs/>
          <w:sz w:val="24"/>
          <w:szCs w:val="24"/>
        </w:rPr>
        <w:tab/>
        <w:t>Notify HUD of the delinquency where a payment is not received by the 16th day of the month in which it is due.</w:t>
      </w:r>
      <w:r>
        <w:rPr>
          <w:rFonts w:ascii="Times New Roman" w:hAnsi="Times New Roman" w:eastAsia="Times New Roman" w:cs="Times New Roman"/>
          <w:iCs/>
          <w:sz w:val="24"/>
          <w:szCs w:val="24"/>
        </w:rPr>
        <w:t xml:space="preserve">  </w:t>
      </w:r>
    </w:p>
    <w:p w:rsidRPr="000023DB" w:rsidR="00A57102" w:rsidP="00A57102" w:rsidRDefault="00A57102" w14:paraId="756440F2" w14:textId="77777777">
      <w:pPr>
        <w:widowControl w:val="0"/>
        <w:overflowPunct w:val="0"/>
        <w:autoSpaceDE w:val="0"/>
        <w:autoSpaceDN w:val="0"/>
        <w:adjustRightInd w:val="0"/>
        <w:spacing w:before="240" w:after="120"/>
        <w:ind w:left="360" w:hanging="360"/>
        <w:jc w:val="both"/>
        <w:textAlignment w:val="baseline"/>
        <w:outlineLvl w:val="2"/>
        <w:rPr>
          <w:rFonts w:ascii="Times New Roman" w:hAnsi="Times New Roman" w:eastAsia="Times New Roman" w:cs="Times New Roman"/>
          <w:b/>
          <w:sz w:val="24"/>
          <w:szCs w:val="24"/>
        </w:rPr>
      </w:pPr>
      <w:r w:rsidRPr="000023DB">
        <w:rPr>
          <w:rFonts w:ascii="Times New Roman" w:hAnsi="Times New Roman" w:eastAsia="Times New Roman" w:cs="Times New Roman"/>
          <w:sz w:val="24"/>
          <w:szCs w:val="24"/>
        </w:rPr>
        <w:t>D.</w:t>
      </w:r>
      <w:r w:rsidRPr="000023DB">
        <w:rPr>
          <w:rFonts w:ascii="Times New Roman" w:hAnsi="Times New Roman" w:eastAsia="Times New Roman" w:cs="Times New Roman"/>
          <w:sz w:val="24"/>
          <w:szCs w:val="24"/>
        </w:rPr>
        <w:tab/>
        <w:t>Late Charge Provisions.  Lender may collect a late charge for the cost of handling delinquent payments, subject to the following:</w:t>
      </w:r>
    </w:p>
    <w:p w:rsidRPr="00A57BAD" w:rsidR="00A57102" w:rsidP="00BB3995" w:rsidRDefault="00A57102" w14:paraId="756440F4" w14:textId="62317DAC">
      <w:pPr>
        <w:widowControl w:val="0"/>
        <w:numPr>
          <w:ilvl w:val="0"/>
          <w:numId w:val="9"/>
        </w:numPr>
        <w:autoSpaceDE w:val="0"/>
        <w:autoSpaceDN w:val="0"/>
        <w:adjustRightInd w:val="0"/>
        <w:spacing w:before="80" w:after="80" w:line="276" w:lineRule="auto"/>
        <w:ind w:left="720" w:hanging="378"/>
        <w:jc w:val="both"/>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Charges must not exceed two cents per dollar of unpaid principal and interest that is more than 10 days in arrears.</w:t>
      </w:r>
      <w:r w:rsidRPr="00A57BAD" w:rsidR="00A57BAD">
        <w:rPr>
          <w:rFonts w:ascii="Times New Roman" w:hAnsi="Times New Roman" w:eastAsia="Times New Roman" w:cs="Times New Roman"/>
          <w:sz w:val="24"/>
          <w:szCs w:val="24"/>
        </w:rPr>
        <w:t xml:space="preserve"> </w:t>
      </w:r>
      <w:r w:rsidR="005060EE">
        <w:rPr>
          <w:rFonts w:ascii="Times New Roman" w:hAnsi="Times New Roman" w:eastAsia="Times New Roman" w:cs="Times New Roman"/>
          <w:sz w:val="24"/>
          <w:szCs w:val="24"/>
        </w:rPr>
        <w:t xml:space="preserve"> </w:t>
      </w:r>
      <w:r w:rsidRPr="00A57BAD">
        <w:rPr>
          <w:rFonts w:ascii="Times New Roman" w:hAnsi="Times New Roman" w:eastAsia="Times New Roman" w:cs="Times New Roman"/>
          <w:sz w:val="24"/>
          <w:szCs w:val="24"/>
        </w:rPr>
        <w:t>Late charges must be separately charged to and collected from borrower and cannot be deducted from any total monthly mortgage payment, or collected from any reserve escrow, residual receipts funds, or from any interest accruals thereto.</w:t>
      </w:r>
    </w:p>
    <w:p w:rsidRPr="000023DB" w:rsidR="00A57102" w:rsidP="00A57102" w:rsidRDefault="00A57102" w14:paraId="756440F5" w14:textId="20FE61B0">
      <w:pPr>
        <w:numPr>
          <w:ilvl w:val="2"/>
          <w:numId w:val="6"/>
        </w:numPr>
        <w:spacing w:after="120" w:line="276" w:lineRule="auto"/>
        <w:ind w:left="36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Where obligations pursuant to tax-exempt bond financing </w:t>
      </w:r>
      <w:r w:rsidRPr="000023DB" w:rsidR="005060EE">
        <w:rPr>
          <w:rFonts w:ascii="Times New Roman" w:hAnsi="Times New Roman" w:eastAsia="Times New Roman" w:cs="Times New Roman"/>
          <w:sz w:val="24"/>
          <w:szCs w:val="24"/>
        </w:rPr>
        <w:t>or Ginnie</w:t>
      </w:r>
      <w:r>
        <w:rPr>
          <w:rFonts w:ascii="Times New Roman" w:hAnsi="Times New Roman" w:eastAsia="Times New Roman" w:cs="Times New Roman"/>
          <w:sz w:val="24"/>
          <w:szCs w:val="24"/>
        </w:rPr>
        <w:t xml:space="preserve"> Mae</w:t>
      </w:r>
      <w:r w:rsidRPr="000023DB">
        <w:rPr>
          <w:rFonts w:ascii="Times New Roman" w:hAnsi="Times New Roman" w:eastAsia="Times New Roman" w:cs="Times New Roman"/>
          <w:sz w:val="24"/>
          <w:szCs w:val="24"/>
        </w:rPr>
        <w:t xml:space="preserve"> involvement do not impose restrictions independent of the lender’s restrictions, HUD may consider exercising an override of prepayment lockout and/or premium provisions imposed by the lender if:</w:t>
      </w:r>
    </w:p>
    <w:p w:rsidRPr="000023DB" w:rsidR="00A57102" w:rsidP="00A57102" w:rsidRDefault="00A57102" w14:paraId="756440F6" w14:textId="1864FBFF">
      <w:pPr>
        <w:numPr>
          <w:ilvl w:val="1"/>
          <w:numId w:val="16"/>
        </w:numPr>
        <w:spacing w:after="120" w:line="276" w:lineRule="auto"/>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Borrower has defaulted on the insured loan and HUD has received notice as required by the </w:t>
      </w:r>
      <w:r w:rsidRPr="000023DB" w:rsidR="00F82131">
        <w:rPr>
          <w:rFonts w:ascii="Times New Roman" w:hAnsi="Times New Roman" w:eastAsia="Times New Roman" w:cs="Times New Roman"/>
          <w:sz w:val="24"/>
          <w:szCs w:val="24"/>
        </w:rPr>
        <w:t>regulations.</w:t>
      </w:r>
      <w:r w:rsidRPr="000023DB">
        <w:rPr>
          <w:rFonts w:ascii="Times New Roman" w:hAnsi="Times New Roman" w:eastAsia="Times New Roman" w:cs="Times New Roman"/>
          <w:sz w:val="24"/>
          <w:szCs w:val="24"/>
        </w:rPr>
        <w:t xml:space="preserve"> </w:t>
      </w:r>
    </w:p>
    <w:p w:rsidRPr="000023DB" w:rsidR="00A57102" w:rsidP="00A57102" w:rsidRDefault="00A57102" w14:paraId="756440F7" w14:textId="77777777">
      <w:pPr>
        <w:numPr>
          <w:ilvl w:val="1"/>
          <w:numId w:val="16"/>
        </w:numPr>
        <w:spacing w:after="120" w:line="276" w:lineRule="auto"/>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HUD determines that the project has been experiencing a net income deficiency, which has not been caused solely by management inadequacy or lack of owner interest, and which is of such a magnitude that the borrower is currently unable to make required debt service payments on the insured loan, pay all project operating expenses and fund all required HUD reserves; </w:t>
      </w:r>
    </w:p>
    <w:p w:rsidRPr="000023DB" w:rsidR="00A57102" w:rsidP="00A57102" w:rsidRDefault="00A57102" w14:paraId="756440F8" w14:textId="77777777">
      <w:pPr>
        <w:numPr>
          <w:ilvl w:val="1"/>
          <w:numId w:val="16"/>
        </w:numPr>
        <w:spacing w:after="120" w:line="276" w:lineRule="auto"/>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HUD finds there is a reasonable likelihood that the Borrower can arrange to refinance the defaulted loan at a lower interest rate or otherwise reduce the debt service payments through partial prepayment; and </w:t>
      </w:r>
    </w:p>
    <w:p w:rsidRPr="000023DB" w:rsidR="00A57102" w:rsidP="00A57102" w:rsidRDefault="00A57102" w14:paraId="756440F9" w14:textId="77777777">
      <w:pPr>
        <w:numPr>
          <w:ilvl w:val="1"/>
          <w:numId w:val="16"/>
        </w:numPr>
        <w:spacing w:after="120" w:line="276" w:lineRule="auto"/>
        <w:ind w:left="720"/>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HUD determines that refinancing the defaulted loan at a lower rate or partial prepayment is necessary to restore the project to a financially viable condition and to avoid a full insurance claim.</w:t>
      </w:r>
    </w:p>
    <w:p w:rsidR="00705C43" w:rsidRDefault="00705C43" w14:paraId="756440FA" w14:textId="77777777"/>
    <w:sectPr w:rsidR="00705C43" w:rsidSect="00F776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4703B" w14:textId="77777777" w:rsidR="00F57CD2" w:rsidRDefault="00F57CD2" w:rsidP="005C3464">
      <w:r>
        <w:separator/>
      </w:r>
    </w:p>
  </w:endnote>
  <w:endnote w:type="continuationSeparator" w:id="0">
    <w:p w14:paraId="22D352F9" w14:textId="77777777" w:rsidR="00F57CD2" w:rsidRDefault="00F57CD2" w:rsidP="005C3464">
      <w:r>
        <w:continuationSeparator/>
      </w:r>
    </w:p>
  </w:endnote>
  <w:endnote w:type="continuationNotice" w:id="1">
    <w:p w14:paraId="772E22D9" w14:textId="77777777" w:rsidR="00F57CD2" w:rsidRDefault="00F57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66EB4" w14:textId="77777777" w:rsidR="005F52E2" w:rsidRDefault="005F5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49C2" w14:textId="24694DE5" w:rsidR="005C3464" w:rsidRPr="005F52E2" w:rsidRDefault="005F52E2" w:rsidP="005F52E2">
    <w:pPr>
      <w:pStyle w:val="Footer"/>
      <w:rPr>
        <w:rFonts w:ascii="Times New Roman" w:hAnsi="Times New Roman" w:cs="Times New Roman"/>
      </w:rPr>
    </w:pPr>
    <w:r w:rsidRPr="005F52E2">
      <w:rPr>
        <w:rFonts w:ascii="Times New Roman" w:hAnsi="Times New Roman" w:cs="Times New Roman"/>
      </w:rPr>
      <w:t xml:space="preserve">2020 MAP Guide Chapter 11 </w:t>
    </w:r>
    <w:r w:rsidRPr="005F52E2">
      <w:rPr>
        <w:rFonts w:ascii="Times New Roman" w:hAnsi="Times New Roman" w:cs="Times New Roman"/>
      </w:rPr>
      <w:tab/>
    </w:r>
    <w:r>
      <w:rPr>
        <w:rFonts w:ascii="Times New Roman" w:hAnsi="Times New Roman" w:cs="Times New Roman"/>
      </w:rPr>
      <w:t>OMB Clean Version</w:t>
    </w:r>
    <w:r w:rsidRPr="005F52E2">
      <w:rPr>
        <w:rFonts w:ascii="Times New Roman" w:hAnsi="Times New Roman" w:cs="Times New Roman"/>
      </w:rPr>
      <w:ptab w:relativeTo="margin" w:alignment="right" w:leader="none"/>
    </w:r>
    <w:r w:rsidRPr="005F52E2">
      <w:rPr>
        <w:rFonts w:ascii="Times New Roman" w:hAnsi="Times New Roman" w:cs="Times New Roman"/>
      </w:rPr>
      <w:t xml:space="preserve"> p </w:t>
    </w:r>
    <w:r w:rsidRPr="005F52E2">
      <w:rPr>
        <w:rFonts w:ascii="Times New Roman" w:hAnsi="Times New Roman" w:cs="Times New Roman"/>
      </w:rPr>
      <w:fldChar w:fldCharType="begin"/>
    </w:r>
    <w:r w:rsidRPr="005F52E2">
      <w:rPr>
        <w:rFonts w:ascii="Times New Roman" w:hAnsi="Times New Roman" w:cs="Times New Roman"/>
      </w:rPr>
      <w:instrText xml:space="preserve"> PAGE  \* Arabic  \* MERGEFORMAT </w:instrText>
    </w:r>
    <w:r w:rsidRPr="005F52E2">
      <w:rPr>
        <w:rFonts w:ascii="Times New Roman" w:hAnsi="Times New Roman" w:cs="Times New Roman"/>
      </w:rPr>
      <w:fldChar w:fldCharType="separate"/>
    </w:r>
    <w:r w:rsidR="00737B38">
      <w:rPr>
        <w:rFonts w:ascii="Times New Roman" w:hAnsi="Times New Roman" w:cs="Times New Roman"/>
        <w:noProof/>
      </w:rPr>
      <w:t>9</w:t>
    </w:r>
    <w:r w:rsidRPr="005F52E2">
      <w:rPr>
        <w:rFonts w:ascii="Times New Roman" w:hAnsi="Times New Roman" w:cs="Times New Roman"/>
      </w:rPr>
      <w:fldChar w:fldCharType="end"/>
    </w:r>
    <w:r w:rsidRPr="005F52E2">
      <w:rPr>
        <w:rFonts w:ascii="Times New Roman" w:hAnsi="Times New Roman" w:cs="Times New Roman"/>
      </w:rPr>
      <w:t xml:space="preserve"> of </w:t>
    </w:r>
    <w:r w:rsidRPr="005F52E2">
      <w:rPr>
        <w:rFonts w:ascii="Times New Roman" w:hAnsi="Times New Roman" w:cs="Times New Roman"/>
      </w:rPr>
      <w:fldChar w:fldCharType="begin"/>
    </w:r>
    <w:r w:rsidRPr="005F52E2">
      <w:rPr>
        <w:rFonts w:ascii="Times New Roman" w:hAnsi="Times New Roman" w:cs="Times New Roman"/>
      </w:rPr>
      <w:instrText xml:space="preserve"> NUMPAGES  \* Arabic  \* MERGEFORMAT </w:instrText>
    </w:r>
    <w:r w:rsidRPr="005F52E2">
      <w:rPr>
        <w:rFonts w:ascii="Times New Roman" w:hAnsi="Times New Roman" w:cs="Times New Roman"/>
      </w:rPr>
      <w:fldChar w:fldCharType="separate"/>
    </w:r>
    <w:r w:rsidR="00737B38">
      <w:rPr>
        <w:rFonts w:ascii="Times New Roman" w:hAnsi="Times New Roman" w:cs="Times New Roman"/>
        <w:noProof/>
      </w:rPr>
      <w:t>16</w:t>
    </w:r>
    <w:r w:rsidRPr="005F52E2">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88CD" w14:textId="77777777" w:rsidR="005F52E2" w:rsidRDefault="005F5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9A83C" w14:textId="77777777" w:rsidR="00F57CD2" w:rsidRDefault="00F57CD2" w:rsidP="005C3464">
      <w:r>
        <w:separator/>
      </w:r>
    </w:p>
  </w:footnote>
  <w:footnote w:type="continuationSeparator" w:id="0">
    <w:p w14:paraId="7D351A91" w14:textId="77777777" w:rsidR="00F57CD2" w:rsidRDefault="00F57CD2" w:rsidP="005C3464">
      <w:r>
        <w:continuationSeparator/>
      </w:r>
    </w:p>
  </w:footnote>
  <w:footnote w:type="continuationNotice" w:id="1">
    <w:p w14:paraId="09342F81" w14:textId="77777777" w:rsidR="00F57CD2" w:rsidRDefault="00F57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A032" w14:textId="77777777" w:rsidR="005F52E2" w:rsidRDefault="005F5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87BB" w14:textId="2836EA41" w:rsidR="00E803B5" w:rsidRDefault="00D61E9E">
    <w:pPr>
      <w:pStyle w:val="Header"/>
    </w:pPr>
    <w:r>
      <w:t>OMB Review Ready</w:t>
    </w:r>
  </w:p>
  <w:p w14:paraId="761C697E" w14:textId="1E03B99B" w:rsidR="00DF1F4A" w:rsidRDefault="00DF1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40732" w14:textId="77777777" w:rsidR="005F52E2" w:rsidRDefault="005F5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1EC"/>
    <w:multiLevelType w:val="hybridMultilevel"/>
    <w:tmpl w:val="DB82A64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283BA6"/>
    <w:multiLevelType w:val="hybridMultilevel"/>
    <w:tmpl w:val="00680D12"/>
    <w:lvl w:ilvl="0" w:tplc="EEE2F83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2D6BE0"/>
    <w:multiLevelType w:val="hybridMultilevel"/>
    <w:tmpl w:val="8D405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1084B"/>
    <w:multiLevelType w:val="multilevel"/>
    <w:tmpl w:val="A950122A"/>
    <w:lvl w:ilvl="0">
      <w:start w:val="11"/>
      <w:numFmt w:val="decimal"/>
      <w:lvlText w:val="%1"/>
      <w:lvlJc w:val="left"/>
      <w:pPr>
        <w:ind w:left="570" w:hanging="570"/>
      </w:pPr>
      <w:rPr>
        <w:rFonts w:hint="default"/>
      </w:rPr>
    </w:lvl>
    <w:lvl w:ilvl="1">
      <w:start w:val="4"/>
      <w:numFmt w:val="decimal"/>
      <w:lvlText w:val="%1.%2"/>
      <w:lvlJc w:val="left"/>
      <w:pPr>
        <w:ind w:left="750" w:hanging="57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CA28C89"/>
    <w:multiLevelType w:val="hybridMultilevel"/>
    <w:tmpl w:val="14BF019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F517AF"/>
    <w:multiLevelType w:val="multilevel"/>
    <w:tmpl w:val="DE982406"/>
    <w:lvl w:ilvl="0">
      <w:start w:val="1"/>
      <w:numFmt w:val="decimal"/>
      <w:lvlText w:val="%1."/>
      <w:legacy w:legacy="1" w:legacySpace="0" w:legacyIndent="360"/>
      <w:lvlJc w:val="left"/>
      <w:pPr>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16417F36"/>
    <w:multiLevelType w:val="hybridMultilevel"/>
    <w:tmpl w:val="1DD82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0B40DA"/>
    <w:multiLevelType w:val="hybridMultilevel"/>
    <w:tmpl w:val="307C715E"/>
    <w:lvl w:ilvl="0" w:tplc="263C40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F2B3A"/>
    <w:multiLevelType w:val="multilevel"/>
    <w:tmpl w:val="25AC982E"/>
    <w:lvl w:ilvl="0">
      <w:start w:val="4"/>
      <w:numFmt w:val="upperLetter"/>
      <w:lvlText w:val="%1."/>
      <w:lvlJc w:val="left"/>
      <w:pPr>
        <w:ind w:left="720" w:hanging="360"/>
      </w:pPr>
      <w:rPr>
        <w:rFonts w:ascii="Times New Roman" w:hAnsi="Times New Roman" w:hint="default"/>
        <w:b w:val="0"/>
        <w:i w:val="0"/>
        <w:sz w:val="24"/>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CB5D59"/>
    <w:multiLevelType w:val="hybridMultilevel"/>
    <w:tmpl w:val="59E4E112"/>
    <w:lvl w:ilvl="0" w:tplc="01BA8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260384"/>
    <w:multiLevelType w:val="hybridMultilevel"/>
    <w:tmpl w:val="C79EAC62"/>
    <w:lvl w:ilvl="0" w:tplc="E6282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EB41DD"/>
    <w:multiLevelType w:val="hybridMultilevel"/>
    <w:tmpl w:val="2D2078DE"/>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0F">
      <w:start w:val="1"/>
      <w:numFmt w:val="decimal"/>
      <w:lvlText w:val="%3."/>
      <w:lvlJc w:val="lef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62CF742A"/>
    <w:multiLevelType w:val="multilevel"/>
    <w:tmpl w:val="5744291C"/>
    <w:lvl w:ilvl="0">
      <w:start w:val="1"/>
      <w:numFmt w:val="decimal"/>
      <w:lvlText w:val="%1."/>
      <w:lvlJc w:val="left"/>
      <w:pPr>
        <w:ind w:left="720" w:hanging="360"/>
      </w:pPr>
      <w:rPr>
        <w:rFonts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Times New Roman" w:eastAsia="Times New Roman" w:hAnsi="Times New Roman" w:cs="Times New Roman"/>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8E61FD4"/>
    <w:multiLevelType w:val="hybridMultilevel"/>
    <w:tmpl w:val="948A1A3C"/>
    <w:lvl w:ilvl="0" w:tplc="0144F702">
      <w:start w:val="1"/>
      <w:numFmt w:val="decimal"/>
      <w:lvlText w:val="%1."/>
      <w:lvlJc w:val="left"/>
      <w:pPr>
        <w:ind w:left="2160" w:hanging="1440"/>
      </w:pPr>
      <w:rPr>
        <w:rFonts w:hint="default"/>
      </w:rPr>
    </w:lvl>
    <w:lvl w:ilvl="1" w:tplc="B02293C8">
      <w:start w:val="1"/>
      <w:numFmt w:val="decimal"/>
      <w:lvlText w:val="%2."/>
      <w:lvlJc w:val="left"/>
      <w:pPr>
        <w:ind w:left="1800" w:hanging="360"/>
      </w:pPr>
      <w:rPr>
        <w:rFonts w:hint="default"/>
        <w:color w:val="auto"/>
      </w:rPr>
    </w:lvl>
    <w:lvl w:ilvl="2" w:tplc="404C0A08">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133A8A"/>
    <w:multiLevelType w:val="hybridMultilevel"/>
    <w:tmpl w:val="C750BD68"/>
    <w:lvl w:ilvl="0" w:tplc="6086593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1E3034"/>
    <w:multiLevelType w:val="hybridMultilevel"/>
    <w:tmpl w:val="0F580CBC"/>
    <w:lvl w:ilvl="0" w:tplc="0144F702">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404C0A08">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EA639E0">
      <w:start w:val="3"/>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C803AD"/>
    <w:multiLevelType w:val="hybridMultilevel"/>
    <w:tmpl w:val="864459EC"/>
    <w:lvl w:ilvl="0" w:tplc="FE9C60EC">
      <w:start w:val="1"/>
      <w:numFmt w:val="lowerLetter"/>
      <w:lvlText w:val="%1."/>
      <w:lvlJc w:val="left"/>
      <w:pPr>
        <w:ind w:left="2520" w:hanging="360"/>
      </w:pPr>
    </w:lvl>
    <w:lvl w:ilvl="1" w:tplc="246A8438">
      <w:start w:val="1"/>
      <w:numFmt w:val="lowerLetter"/>
      <w:lvlText w:val="%2."/>
      <w:lvlJc w:val="left"/>
      <w:pPr>
        <w:ind w:left="252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0792C92"/>
    <w:multiLevelType w:val="hybridMultilevel"/>
    <w:tmpl w:val="3C58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C352B7"/>
    <w:multiLevelType w:val="hybridMultilevel"/>
    <w:tmpl w:val="15D4EE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5"/>
    <w:lvlOverride w:ilvl="0">
      <w:lvl w:ilvl="0">
        <w:start w:val="2"/>
        <w:numFmt w:val="decimal"/>
        <w:lvlText w:val="%1."/>
        <w:legacy w:legacy="1" w:legacySpace="0" w:legacyIndent="360"/>
        <w:lvlJc w:val="left"/>
        <w:pPr>
          <w:ind w:left="1080" w:hanging="360"/>
        </w:pPr>
      </w:lvl>
    </w:lvlOverride>
  </w:num>
  <w:num w:numId="4">
    <w:abstractNumId w:val="14"/>
  </w:num>
  <w:num w:numId="5">
    <w:abstractNumId w:val="6"/>
  </w:num>
  <w:num w:numId="6">
    <w:abstractNumId w:val="15"/>
  </w:num>
  <w:num w:numId="7">
    <w:abstractNumId w:val="0"/>
  </w:num>
  <w:num w:numId="8">
    <w:abstractNumId w:val="10"/>
  </w:num>
  <w:num w:numId="9">
    <w:abstractNumId w:val="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1"/>
  </w:num>
  <w:num w:numId="14">
    <w:abstractNumId w:val="3"/>
  </w:num>
  <w:num w:numId="15">
    <w:abstractNumId w:val="7"/>
  </w:num>
  <w:num w:numId="16">
    <w:abstractNumId w:val="13"/>
  </w:num>
  <w:num w:numId="17">
    <w:abstractNumId w:val="11"/>
  </w:num>
  <w:num w:numId="18">
    <w:abstractNumId w:val="8"/>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02"/>
    <w:rsid w:val="00000210"/>
    <w:rsid w:val="000016C7"/>
    <w:rsid w:val="00011591"/>
    <w:rsid w:val="00011DB2"/>
    <w:rsid w:val="00021400"/>
    <w:rsid w:val="00027232"/>
    <w:rsid w:val="00037D74"/>
    <w:rsid w:val="00037F6C"/>
    <w:rsid w:val="0004059D"/>
    <w:rsid w:val="00045110"/>
    <w:rsid w:val="00045680"/>
    <w:rsid w:val="00045878"/>
    <w:rsid w:val="00050A06"/>
    <w:rsid w:val="00056613"/>
    <w:rsid w:val="0008531C"/>
    <w:rsid w:val="00087680"/>
    <w:rsid w:val="000902B3"/>
    <w:rsid w:val="00091B4F"/>
    <w:rsid w:val="00096787"/>
    <w:rsid w:val="000B4267"/>
    <w:rsid w:val="000B4992"/>
    <w:rsid w:val="000B4B99"/>
    <w:rsid w:val="000C49FE"/>
    <w:rsid w:val="000C7B22"/>
    <w:rsid w:val="000D5467"/>
    <w:rsid w:val="000D7A52"/>
    <w:rsid w:val="000E4C14"/>
    <w:rsid w:val="000E5703"/>
    <w:rsid w:val="000F15EF"/>
    <w:rsid w:val="00101069"/>
    <w:rsid w:val="00113E12"/>
    <w:rsid w:val="00117284"/>
    <w:rsid w:val="00120336"/>
    <w:rsid w:val="0012425B"/>
    <w:rsid w:val="00125C81"/>
    <w:rsid w:val="0012723D"/>
    <w:rsid w:val="001319AF"/>
    <w:rsid w:val="00133044"/>
    <w:rsid w:val="001408F0"/>
    <w:rsid w:val="00143FD2"/>
    <w:rsid w:val="00145DE9"/>
    <w:rsid w:val="00151967"/>
    <w:rsid w:val="001522A3"/>
    <w:rsid w:val="00157A9E"/>
    <w:rsid w:val="001603BB"/>
    <w:rsid w:val="001612A8"/>
    <w:rsid w:val="00161546"/>
    <w:rsid w:val="00176E23"/>
    <w:rsid w:val="00182674"/>
    <w:rsid w:val="0019253D"/>
    <w:rsid w:val="001A63E4"/>
    <w:rsid w:val="001A7A69"/>
    <w:rsid w:val="001B3268"/>
    <w:rsid w:val="001C5318"/>
    <w:rsid w:val="001C7985"/>
    <w:rsid w:val="001D4C48"/>
    <w:rsid w:val="001E79B6"/>
    <w:rsid w:val="001F207D"/>
    <w:rsid w:val="00200B61"/>
    <w:rsid w:val="00211056"/>
    <w:rsid w:val="002118D9"/>
    <w:rsid w:val="0021505D"/>
    <w:rsid w:val="002161B3"/>
    <w:rsid w:val="00216E14"/>
    <w:rsid w:val="00232255"/>
    <w:rsid w:val="00237044"/>
    <w:rsid w:val="00240055"/>
    <w:rsid w:val="00260947"/>
    <w:rsid w:val="00263DB6"/>
    <w:rsid w:val="00266B0C"/>
    <w:rsid w:val="00276DD8"/>
    <w:rsid w:val="0027743E"/>
    <w:rsid w:val="00280681"/>
    <w:rsid w:val="00280DB4"/>
    <w:rsid w:val="00284928"/>
    <w:rsid w:val="00284C3E"/>
    <w:rsid w:val="00291801"/>
    <w:rsid w:val="00291ADE"/>
    <w:rsid w:val="00295555"/>
    <w:rsid w:val="002A0BE4"/>
    <w:rsid w:val="002A368E"/>
    <w:rsid w:val="002A3A07"/>
    <w:rsid w:val="002A4B21"/>
    <w:rsid w:val="002B24F2"/>
    <w:rsid w:val="002B6549"/>
    <w:rsid w:val="002B790E"/>
    <w:rsid w:val="002C48B8"/>
    <w:rsid w:val="002C5F42"/>
    <w:rsid w:val="002D04A1"/>
    <w:rsid w:val="002F6800"/>
    <w:rsid w:val="00300DE5"/>
    <w:rsid w:val="0030138A"/>
    <w:rsid w:val="00302622"/>
    <w:rsid w:val="00303BD7"/>
    <w:rsid w:val="00303E7F"/>
    <w:rsid w:val="003135E1"/>
    <w:rsid w:val="00315255"/>
    <w:rsid w:val="00331A71"/>
    <w:rsid w:val="003359BB"/>
    <w:rsid w:val="003405A1"/>
    <w:rsid w:val="00347106"/>
    <w:rsid w:val="00350257"/>
    <w:rsid w:val="00350EAE"/>
    <w:rsid w:val="00354A45"/>
    <w:rsid w:val="0035636C"/>
    <w:rsid w:val="003609CB"/>
    <w:rsid w:val="00361021"/>
    <w:rsid w:val="00361D8F"/>
    <w:rsid w:val="0036648E"/>
    <w:rsid w:val="00371003"/>
    <w:rsid w:val="00373044"/>
    <w:rsid w:val="003807A1"/>
    <w:rsid w:val="00383119"/>
    <w:rsid w:val="0038413A"/>
    <w:rsid w:val="003858F6"/>
    <w:rsid w:val="00387A4E"/>
    <w:rsid w:val="003926DD"/>
    <w:rsid w:val="003A0C11"/>
    <w:rsid w:val="003A702A"/>
    <w:rsid w:val="003A74E2"/>
    <w:rsid w:val="003A78FF"/>
    <w:rsid w:val="003B3D7F"/>
    <w:rsid w:val="003B7A51"/>
    <w:rsid w:val="003C080B"/>
    <w:rsid w:val="003C2F25"/>
    <w:rsid w:val="003C375A"/>
    <w:rsid w:val="003C41ED"/>
    <w:rsid w:val="003C6620"/>
    <w:rsid w:val="003C6CDF"/>
    <w:rsid w:val="003C747A"/>
    <w:rsid w:val="003D2622"/>
    <w:rsid w:val="003D4048"/>
    <w:rsid w:val="003D41F7"/>
    <w:rsid w:val="003E7439"/>
    <w:rsid w:val="003F0B5A"/>
    <w:rsid w:val="003F4EC0"/>
    <w:rsid w:val="003F76C9"/>
    <w:rsid w:val="00411F0C"/>
    <w:rsid w:val="00415344"/>
    <w:rsid w:val="004239CB"/>
    <w:rsid w:val="00423FA3"/>
    <w:rsid w:val="0042410C"/>
    <w:rsid w:val="00431AA2"/>
    <w:rsid w:val="00436AA7"/>
    <w:rsid w:val="004376AA"/>
    <w:rsid w:val="00440CAB"/>
    <w:rsid w:val="004414A8"/>
    <w:rsid w:val="00441CB2"/>
    <w:rsid w:val="00446AF7"/>
    <w:rsid w:val="004544B8"/>
    <w:rsid w:val="00455087"/>
    <w:rsid w:val="00455D19"/>
    <w:rsid w:val="004669EE"/>
    <w:rsid w:val="00473F76"/>
    <w:rsid w:val="0047415E"/>
    <w:rsid w:val="00491EEE"/>
    <w:rsid w:val="0049688C"/>
    <w:rsid w:val="004A0C87"/>
    <w:rsid w:val="004A10EF"/>
    <w:rsid w:val="004A7CE5"/>
    <w:rsid w:val="004B25CE"/>
    <w:rsid w:val="004C22E7"/>
    <w:rsid w:val="004C5349"/>
    <w:rsid w:val="004D2300"/>
    <w:rsid w:val="004D6CF9"/>
    <w:rsid w:val="004D72D5"/>
    <w:rsid w:val="004E1F0C"/>
    <w:rsid w:val="004E2EFB"/>
    <w:rsid w:val="004E36F2"/>
    <w:rsid w:val="005003C0"/>
    <w:rsid w:val="0050286F"/>
    <w:rsid w:val="00502A6E"/>
    <w:rsid w:val="00504287"/>
    <w:rsid w:val="005060EE"/>
    <w:rsid w:val="005260E9"/>
    <w:rsid w:val="00534F64"/>
    <w:rsid w:val="005410D7"/>
    <w:rsid w:val="00541D3B"/>
    <w:rsid w:val="00542CB6"/>
    <w:rsid w:val="005445E2"/>
    <w:rsid w:val="00545359"/>
    <w:rsid w:val="005547E4"/>
    <w:rsid w:val="005623B6"/>
    <w:rsid w:val="0056256F"/>
    <w:rsid w:val="005751BC"/>
    <w:rsid w:val="00576729"/>
    <w:rsid w:val="0058513E"/>
    <w:rsid w:val="00585CA2"/>
    <w:rsid w:val="00586412"/>
    <w:rsid w:val="005941C9"/>
    <w:rsid w:val="005A4D50"/>
    <w:rsid w:val="005B28E0"/>
    <w:rsid w:val="005B3F6D"/>
    <w:rsid w:val="005C3464"/>
    <w:rsid w:val="005C7000"/>
    <w:rsid w:val="005D3B0B"/>
    <w:rsid w:val="005D601A"/>
    <w:rsid w:val="005E364A"/>
    <w:rsid w:val="005E74A6"/>
    <w:rsid w:val="005F52E2"/>
    <w:rsid w:val="005F5476"/>
    <w:rsid w:val="00601913"/>
    <w:rsid w:val="006034BE"/>
    <w:rsid w:val="00603B08"/>
    <w:rsid w:val="006277BE"/>
    <w:rsid w:val="00632BBE"/>
    <w:rsid w:val="00637B0E"/>
    <w:rsid w:val="00642A60"/>
    <w:rsid w:val="00642F79"/>
    <w:rsid w:val="00643249"/>
    <w:rsid w:val="0064380F"/>
    <w:rsid w:val="00652082"/>
    <w:rsid w:val="00653C41"/>
    <w:rsid w:val="00657B51"/>
    <w:rsid w:val="00665566"/>
    <w:rsid w:val="00675CFE"/>
    <w:rsid w:val="00683327"/>
    <w:rsid w:val="006847F6"/>
    <w:rsid w:val="0068733E"/>
    <w:rsid w:val="006956B0"/>
    <w:rsid w:val="006960E4"/>
    <w:rsid w:val="006A47F7"/>
    <w:rsid w:val="006B01E5"/>
    <w:rsid w:val="006B3627"/>
    <w:rsid w:val="006B3A31"/>
    <w:rsid w:val="006B3E64"/>
    <w:rsid w:val="006B6BC3"/>
    <w:rsid w:val="006C6820"/>
    <w:rsid w:val="006E0760"/>
    <w:rsid w:val="006E28CB"/>
    <w:rsid w:val="006F2461"/>
    <w:rsid w:val="006F4894"/>
    <w:rsid w:val="006F64D4"/>
    <w:rsid w:val="00704A87"/>
    <w:rsid w:val="00705C43"/>
    <w:rsid w:val="00710A46"/>
    <w:rsid w:val="00723F56"/>
    <w:rsid w:val="0073479C"/>
    <w:rsid w:val="00737B38"/>
    <w:rsid w:val="00743F4D"/>
    <w:rsid w:val="00744742"/>
    <w:rsid w:val="00745398"/>
    <w:rsid w:val="007455ED"/>
    <w:rsid w:val="00750035"/>
    <w:rsid w:val="00751AF7"/>
    <w:rsid w:val="00764BE6"/>
    <w:rsid w:val="00765FEE"/>
    <w:rsid w:val="00775759"/>
    <w:rsid w:val="00787C76"/>
    <w:rsid w:val="00792D89"/>
    <w:rsid w:val="00793ED6"/>
    <w:rsid w:val="007A6317"/>
    <w:rsid w:val="007B0507"/>
    <w:rsid w:val="007B0AF2"/>
    <w:rsid w:val="007B10C7"/>
    <w:rsid w:val="007C68D3"/>
    <w:rsid w:val="007D30A3"/>
    <w:rsid w:val="007E1A6D"/>
    <w:rsid w:val="007E501C"/>
    <w:rsid w:val="007E7F87"/>
    <w:rsid w:val="007F422D"/>
    <w:rsid w:val="008042D9"/>
    <w:rsid w:val="00813DAA"/>
    <w:rsid w:val="008232ED"/>
    <w:rsid w:val="00846B8D"/>
    <w:rsid w:val="0085013E"/>
    <w:rsid w:val="008538A8"/>
    <w:rsid w:val="00855E07"/>
    <w:rsid w:val="00856A58"/>
    <w:rsid w:val="0086067D"/>
    <w:rsid w:val="00864CE0"/>
    <w:rsid w:val="0087469A"/>
    <w:rsid w:val="00880594"/>
    <w:rsid w:val="008860AA"/>
    <w:rsid w:val="00892014"/>
    <w:rsid w:val="008965EF"/>
    <w:rsid w:val="008A3D87"/>
    <w:rsid w:val="008A409D"/>
    <w:rsid w:val="008B1545"/>
    <w:rsid w:val="008B1F93"/>
    <w:rsid w:val="008B719D"/>
    <w:rsid w:val="008B7F2F"/>
    <w:rsid w:val="008C3346"/>
    <w:rsid w:val="008D48E1"/>
    <w:rsid w:val="008D73AE"/>
    <w:rsid w:val="008F5362"/>
    <w:rsid w:val="008F5AB1"/>
    <w:rsid w:val="008F6AB2"/>
    <w:rsid w:val="009074F7"/>
    <w:rsid w:val="0091021E"/>
    <w:rsid w:val="00916DE2"/>
    <w:rsid w:val="0092149B"/>
    <w:rsid w:val="00922576"/>
    <w:rsid w:val="00926879"/>
    <w:rsid w:val="0093150A"/>
    <w:rsid w:val="00931534"/>
    <w:rsid w:val="00936A6A"/>
    <w:rsid w:val="00940BBC"/>
    <w:rsid w:val="00940E56"/>
    <w:rsid w:val="009423A0"/>
    <w:rsid w:val="0094532A"/>
    <w:rsid w:val="009472B7"/>
    <w:rsid w:val="0095075A"/>
    <w:rsid w:val="0095505E"/>
    <w:rsid w:val="0095691F"/>
    <w:rsid w:val="00966E00"/>
    <w:rsid w:val="0097133F"/>
    <w:rsid w:val="009806CD"/>
    <w:rsid w:val="00997A47"/>
    <w:rsid w:val="009A0F1F"/>
    <w:rsid w:val="009A197B"/>
    <w:rsid w:val="009A4C5E"/>
    <w:rsid w:val="009A6558"/>
    <w:rsid w:val="009B242B"/>
    <w:rsid w:val="009B303B"/>
    <w:rsid w:val="009B312B"/>
    <w:rsid w:val="009B67A0"/>
    <w:rsid w:val="009C0421"/>
    <w:rsid w:val="009C7D9F"/>
    <w:rsid w:val="009D23E8"/>
    <w:rsid w:val="009D618B"/>
    <w:rsid w:val="009D680A"/>
    <w:rsid w:val="009D72E0"/>
    <w:rsid w:val="009E39B8"/>
    <w:rsid w:val="009E5E0B"/>
    <w:rsid w:val="009E696D"/>
    <w:rsid w:val="009E7B91"/>
    <w:rsid w:val="009F52A5"/>
    <w:rsid w:val="00A00D67"/>
    <w:rsid w:val="00A01FF0"/>
    <w:rsid w:val="00A02C1F"/>
    <w:rsid w:val="00A03216"/>
    <w:rsid w:val="00A05C60"/>
    <w:rsid w:val="00A11402"/>
    <w:rsid w:val="00A11F33"/>
    <w:rsid w:val="00A3083E"/>
    <w:rsid w:val="00A351CC"/>
    <w:rsid w:val="00A57102"/>
    <w:rsid w:val="00A57BAD"/>
    <w:rsid w:val="00A60364"/>
    <w:rsid w:val="00A71B9D"/>
    <w:rsid w:val="00A73323"/>
    <w:rsid w:val="00A75770"/>
    <w:rsid w:val="00A76498"/>
    <w:rsid w:val="00A8050F"/>
    <w:rsid w:val="00A82FF8"/>
    <w:rsid w:val="00A83F62"/>
    <w:rsid w:val="00A932FE"/>
    <w:rsid w:val="00A9633F"/>
    <w:rsid w:val="00AA2BB3"/>
    <w:rsid w:val="00AA42D0"/>
    <w:rsid w:val="00AA5BCF"/>
    <w:rsid w:val="00AB5C52"/>
    <w:rsid w:val="00AC5F6E"/>
    <w:rsid w:val="00AC73BE"/>
    <w:rsid w:val="00AD1F28"/>
    <w:rsid w:val="00AE37D9"/>
    <w:rsid w:val="00AF0572"/>
    <w:rsid w:val="00AF66C3"/>
    <w:rsid w:val="00B00A1A"/>
    <w:rsid w:val="00B023D2"/>
    <w:rsid w:val="00B03B11"/>
    <w:rsid w:val="00B050D1"/>
    <w:rsid w:val="00B05A7C"/>
    <w:rsid w:val="00B23867"/>
    <w:rsid w:val="00B339A6"/>
    <w:rsid w:val="00B34610"/>
    <w:rsid w:val="00B42E90"/>
    <w:rsid w:val="00B517DB"/>
    <w:rsid w:val="00B660CC"/>
    <w:rsid w:val="00B70321"/>
    <w:rsid w:val="00B71E99"/>
    <w:rsid w:val="00B84BC3"/>
    <w:rsid w:val="00B901FB"/>
    <w:rsid w:val="00BA7C29"/>
    <w:rsid w:val="00BB0F4E"/>
    <w:rsid w:val="00BB3995"/>
    <w:rsid w:val="00BB39B7"/>
    <w:rsid w:val="00BC625A"/>
    <w:rsid w:val="00BD59FB"/>
    <w:rsid w:val="00BD607F"/>
    <w:rsid w:val="00BE2E31"/>
    <w:rsid w:val="00BE45AA"/>
    <w:rsid w:val="00BF4853"/>
    <w:rsid w:val="00BF4BFF"/>
    <w:rsid w:val="00BF7B3E"/>
    <w:rsid w:val="00C04FF5"/>
    <w:rsid w:val="00C07427"/>
    <w:rsid w:val="00C13655"/>
    <w:rsid w:val="00C145BF"/>
    <w:rsid w:val="00C22566"/>
    <w:rsid w:val="00C26037"/>
    <w:rsid w:val="00C31FB0"/>
    <w:rsid w:val="00C37050"/>
    <w:rsid w:val="00C416E6"/>
    <w:rsid w:val="00C42866"/>
    <w:rsid w:val="00C43A47"/>
    <w:rsid w:val="00C5062D"/>
    <w:rsid w:val="00C50D58"/>
    <w:rsid w:val="00C51710"/>
    <w:rsid w:val="00C542DB"/>
    <w:rsid w:val="00C7238C"/>
    <w:rsid w:val="00C73A94"/>
    <w:rsid w:val="00C741DC"/>
    <w:rsid w:val="00C74CDB"/>
    <w:rsid w:val="00C77173"/>
    <w:rsid w:val="00C92050"/>
    <w:rsid w:val="00CA0695"/>
    <w:rsid w:val="00CA15E4"/>
    <w:rsid w:val="00CA45AA"/>
    <w:rsid w:val="00CA6324"/>
    <w:rsid w:val="00CB280F"/>
    <w:rsid w:val="00CB702C"/>
    <w:rsid w:val="00CC3BF3"/>
    <w:rsid w:val="00CD0168"/>
    <w:rsid w:val="00CD4183"/>
    <w:rsid w:val="00CE402F"/>
    <w:rsid w:val="00CE490C"/>
    <w:rsid w:val="00CF367A"/>
    <w:rsid w:val="00CF5585"/>
    <w:rsid w:val="00CF7056"/>
    <w:rsid w:val="00D0398F"/>
    <w:rsid w:val="00D0400A"/>
    <w:rsid w:val="00D05A55"/>
    <w:rsid w:val="00D2219C"/>
    <w:rsid w:val="00D22285"/>
    <w:rsid w:val="00D252F9"/>
    <w:rsid w:val="00D25D77"/>
    <w:rsid w:val="00D311EC"/>
    <w:rsid w:val="00D37F5E"/>
    <w:rsid w:val="00D46A87"/>
    <w:rsid w:val="00D5011D"/>
    <w:rsid w:val="00D61E9E"/>
    <w:rsid w:val="00D70806"/>
    <w:rsid w:val="00D803C1"/>
    <w:rsid w:val="00D84183"/>
    <w:rsid w:val="00D849CC"/>
    <w:rsid w:val="00D91000"/>
    <w:rsid w:val="00D93D8D"/>
    <w:rsid w:val="00D954FA"/>
    <w:rsid w:val="00DA2E87"/>
    <w:rsid w:val="00DA637C"/>
    <w:rsid w:val="00DB11C8"/>
    <w:rsid w:val="00DB6450"/>
    <w:rsid w:val="00DC0CBB"/>
    <w:rsid w:val="00DC2B6D"/>
    <w:rsid w:val="00DC6605"/>
    <w:rsid w:val="00DC7554"/>
    <w:rsid w:val="00DD36F3"/>
    <w:rsid w:val="00DD3ED0"/>
    <w:rsid w:val="00DD5774"/>
    <w:rsid w:val="00DD5CE2"/>
    <w:rsid w:val="00DE0359"/>
    <w:rsid w:val="00DE27F2"/>
    <w:rsid w:val="00DE390F"/>
    <w:rsid w:val="00DE5169"/>
    <w:rsid w:val="00DF1F4A"/>
    <w:rsid w:val="00DF3977"/>
    <w:rsid w:val="00DF3AAD"/>
    <w:rsid w:val="00DF58E3"/>
    <w:rsid w:val="00E038BC"/>
    <w:rsid w:val="00E049AE"/>
    <w:rsid w:val="00E05D2A"/>
    <w:rsid w:val="00E14068"/>
    <w:rsid w:val="00E143E5"/>
    <w:rsid w:val="00E14C89"/>
    <w:rsid w:val="00E1760F"/>
    <w:rsid w:val="00E176A3"/>
    <w:rsid w:val="00E17DEB"/>
    <w:rsid w:val="00E23C82"/>
    <w:rsid w:val="00E27A49"/>
    <w:rsid w:val="00E318D8"/>
    <w:rsid w:val="00E3515A"/>
    <w:rsid w:val="00E42F4F"/>
    <w:rsid w:val="00E44AFF"/>
    <w:rsid w:val="00E4677E"/>
    <w:rsid w:val="00E51002"/>
    <w:rsid w:val="00E518FD"/>
    <w:rsid w:val="00E52E50"/>
    <w:rsid w:val="00E629F5"/>
    <w:rsid w:val="00E62B46"/>
    <w:rsid w:val="00E639CF"/>
    <w:rsid w:val="00E64138"/>
    <w:rsid w:val="00E645F6"/>
    <w:rsid w:val="00E71B5B"/>
    <w:rsid w:val="00E757E9"/>
    <w:rsid w:val="00E803B5"/>
    <w:rsid w:val="00E80D6D"/>
    <w:rsid w:val="00E82D2E"/>
    <w:rsid w:val="00E86FA5"/>
    <w:rsid w:val="00E9097D"/>
    <w:rsid w:val="00E92F69"/>
    <w:rsid w:val="00E9492F"/>
    <w:rsid w:val="00E94CB7"/>
    <w:rsid w:val="00EA34A2"/>
    <w:rsid w:val="00EB44BA"/>
    <w:rsid w:val="00EC17DC"/>
    <w:rsid w:val="00EC3217"/>
    <w:rsid w:val="00EC5AA9"/>
    <w:rsid w:val="00EC6C63"/>
    <w:rsid w:val="00ED5234"/>
    <w:rsid w:val="00EE284A"/>
    <w:rsid w:val="00EE4BD0"/>
    <w:rsid w:val="00EE532C"/>
    <w:rsid w:val="00EF0420"/>
    <w:rsid w:val="00EF6656"/>
    <w:rsid w:val="00EF7511"/>
    <w:rsid w:val="00F10E59"/>
    <w:rsid w:val="00F11A06"/>
    <w:rsid w:val="00F155D0"/>
    <w:rsid w:val="00F223D3"/>
    <w:rsid w:val="00F22CE9"/>
    <w:rsid w:val="00F23389"/>
    <w:rsid w:val="00F27826"/>
    <w:rsid w:val="00F31154"/>
    <w:rsid w:val="00F34580"/>
    <w:rsid w:val="00F50BA2"/>
    <w:rsid w:val="00F521BE"/>
    <w:rsid w:val="00F534ED"/>
    <w:rsid w:val="00F567EC"/>
    <w:rsid w:val="00F57CD2"/>
    <w:rsid w:val="00F6213D"/>
    <w:rsid w:val="00F64F60"/>
    <w:rsid w:val="00F65825"/>
    <w:rsid w:val="00F67F64"/>
    <w:rsid w:val="00F70005"/>
    <w:rsid w:val="00F7295D"/>
    <w:rsid w:val="00F74E7C"/>
    <w:rsid w:val="00F758EA"/>
    <w:rsid w:val="00F776CF"/>
    <w:rsid w:val="00F82131"/>
    <w:rsid w:val="00F862E1"/>
    <w:rsid w:val="00F87D2F"/>
    <w:rsid w:val="00F91C3C"/>
    <w:rsid w:val="00FA23BE"/>
    <w:rsid w:val="00FA3F06"/>
    <w:rsid w:val="00FB2463"/>
    <w:rsid w:val="00FB51BF"/>
    <w:rsid w:val="00FD11D8"/>
    <w:rsid w:val="00FD6E5E"/>
    <w:rsid w:val="00FE0E8C"/>
    <w:rsid w:val="00FE2CE7"/>
    <w:rsid w:val="00FE38C1"/>
    <w:rsid w:val="00FE68EC"/>
    <w:rsid w:val="00FF070A"/>
    <w:rsid w:val="00FF0AEE"/>
    <w:rsid w:val="00FF0E4D"/>
    <w:rsid w:val="00FF1108"/>
    <w:rsid w:val="00FF2DB6"/>
    <w:rsid w:val="00FF420D"/>
    <w:rsid w:val="00FF571A"/>
    <w:rsid w:val="00FF72F3"/>
    <w:rsid w:val="0DD4B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44006"/>
  <w15:chartTrackingRefBased/>
  <w15:docId w15:val="{9B320B54-EBD7-45B0-AECC-87909D8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0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PChapterHeading">
    <w:name w:val="MAP Chapter Heading"/>
    <w:basedOn w:val="Normal"/>
    <w:qFormat/>
    <w:rsid w:val="00A57102"/>
    <w:pPr>
      <w:tabs>
        <w:tab w:val="left" w:pos="720"/>
        <w:tab w:val="left" w:pos="3240"/>
      </w:tabs>
      <w:overflowPunct w:val="0"/>
      <w:autoSpaceDE w:val="0"/>
      <w:autoSpaceDN w:val="0"/>
      <w:adjustRightInd w:val="0"/>
      <w:ind w:left="4320" w:hanging="86"/>
      <w:jc w:val="right"/>
      <w:textAlignment w:val="baseline"/>
    </w:pPr>
    <w:rPr>
      <w:rFonts w:ascii="Helvetica" w:eastAsia="Times New Roman" w:hAnsi="Helvetica" w:cs="Times New Roman"/>
      <w:b/>
      <w:bCs/>
      <w:sz w:val="36"/>
      <w:szCs w:val="36"/>
    </w:rPr>
  </w:style>
  <w:style w:type="paragraph" w:styleId="ListParagraph">
    <w:name w:val="List Paragraph"/>
    <w:basedOn w:val="Normal"/>
    <w:uiPriority w:val="34"/>
    <w:qFormat/>
    <w:rsid w:val="00A57102"/>
    <w:pPr>
      <w:ind w:left="720"/>
      <w:contextualSpacing/>
    </w:pPr>
  </w:style>
  <w:style w:type="paragraph" w:customStyle="1" w:styleId="MAPheader-footerhyperlink">
    <w:name w:val="MAP header-footer hyperlink"/>
    <w:basedOn w:val="Header"/>
    <w:qFormat/>
    <w:rsid w:val="00A57102"/>
    <w:pPr>
      <w:widowControl w:val="0"/>
      <w:pBdr>
        <w:bottom w:val="single" w:sz="24" w:space="3" w:color="auto"/>
      </w:pBdr>
      <w:tabs>
        <w:tab w:val="clear" w:pos="4680"/>
        <w:tab w:val="clear" w:pos="9360"/>
        <w:tab w:val="right" w:pos="10080"/>
      </w:tabs>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customStyle="1" w:styleId="MAPSubchapterheading">
    <w:name w:val="MAP Subchapter heading"/>
    <w:basedOn w:val="Normal"/>
    <w:qFormat/>
    <w:rsid w:val="00A57102"/>
    <w:pPr>
      <w:overflowPunct w:val="0"/>
      <w:autoSpaceDE w:val="0"/>
      <w:autoSpaceDN w:val="0"/>
      <w:adjustRightInd w:val="0"/>
      <w:spacing w:before="80" w:after="80"/>
      <w:ind w:firstLine="162"/>
      <w:jc w:val="both"/>
      <w:textAlignment w:val="baseline"/>
    </w:pPr>
    <w:rPr>
      <w:rFonts w:ascii="Arial" w:eastAsia="Times New Roman" w:hAnsi="Arial" w:cs="Arial"/>
      <w:b/>
      <w:sz w:val="28"/>
      <w:szCs w:val="20"/>
    </w:rPr>
  </w:style>
  <w:style w:type="paragraph" w:styleId="Header">
    <w:name w:val="header"/>
    <w:basedOn w:val="Normal"/>
    <w:link w:val="HeaderChar"/>
    <w:uiPriority w:val="99"/>
    <w:unhideWhenUsed/>
    <w:rsid w:val="00A57102"/>
    <w:pPr>
      <w:tabs>
        <w:tab w:val="center" w:pos="4680"/>
        <w:tab w:val="right" w:pos="9360"/>
      </w:tabs>
    </w:pPr>
  </w:style>
  <w:style w:type="character" w:customStyle="1" w:styleId="HeaderChar">
    <w:name w:val="Header Char"/>
    <w:basedOn w:val="DefaultParagraphFont"/>
    <w:link w:val="Header"/>
    <w:uiPriority w:val="99"/>
    <w:rsid w:val="00A57102"/>
  </w:style>
  <w:style w:type="paragraph" w:styleId="BalloonText">
    <w:name w:val="Balloon Text"/>
    <w:basedOn w:val="Normal"/>
    <w:link w:val="BalloonTextChar"/>
    <w:uiPriority w:val="99"/>
    <w:semiHidden/>
    <w:unhideWhenUsed/>
    <w:rsid w:val="00491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EE"/>
    <w:rPr>
      <w:rFonts w:ascii="Segoe UI" w:hAnsi="Segoe UI" w:cs="Segoe UI"/>
      <w:sz w:val="18"/>
      <w:szCs w:val="18"/>
    </w:rPr>
  </w:style>
  <w:style w:type="character" w:styleId="CommentReference">
    <w:name w:val="annotation reference"/>
    <w:basedOn w:val="DefaultParagraphFont"/>
    <w:uiPriority w:val="99"/>
    <w:semiHidden/>
    <w:unhideWhenUsed/>
    <w:rsid w:val="009C0421"/>
    <w:rPr>
      <w:sz w:val="16"/>
      <w:szCs w:val="16"/>
    </w:rPr>
  </w:style>
  <w:style w:type="paragraph" w:styleId="CommentText">
    <w:name w:val="annotation text"/>
    <w:basedOn w:val="Normal"/>
    <w:link w:val="CommentTextChar"/>
    <w:uiPriority w:val="99"/>
    <w:unhideWhenUsed/>
    <w:rsid w:val="009C0421"/>
    <w:rPr>
      <w:sz w:val="20"/>
      <w:szCs w:val="20"/>
    </w:rPr>
  </w:style>
  <w:style w:type="character" w:customStyle="1" w:styleId="CommentTextChar">
    <w:name w:val="Comment Text Char"/>
    <w:basedOn w:val="DefaultParagraphFont"/>
    <w:link w:val="CommentText"/>
    <w:uiPriority w:val="99"/>
    <w:rsid w:val="009C0421"/>
    <w:rPr>
      <w:sz w:val="20"/>
      <w:szCs w:val="20"/>
    </w:rPr>
  </w:style>
  <w:style w:type="paragraph" w:styleId="CommentSubject">
    <w:name w:val="annotation subject"/>
    <w:basedOn w:val="CommentText"/>
    <w:next w:val="CommentText"/>
    <w:link w:val="CommentSubjectChar"/>
    <w:uiPriority w:val="99"/>
    <w:semiHidden/>
    <w:unhideWhenUsed/>
    <w:rsid w:val="009C0421"/>
    <w:rPr>
      <w:b/>
      <w:bCs/>
    </w:rPr>
  </w:style>
  <w:style w:type="character" w:customStyle="1" w:styleId="CommentSubjectChar">
    <w:name w:val="Comment Subject Char"/>
    <w:basedOn w:val="CommentTextChar"/>
    <w:link w:val="CommentSubject"/>
    <w:uiPriority w:val="99"/>
    <w:semiHidden/>
    <w:rsid w:val="009C0421"/>
    <w:rPr>
      <w:b/>
      <w:bCs/>
      <w:sz w:val="20"/>
      <w:szCs w:val="20"/>
    </w:rPr>
  </w:style>
  <w:style w:type="paragraph" w:styleId="Footer">
    <w:name w:val="footer"/>
    <w:basedOn w:val="Normal"/>
    <w:link w:val="FooterChar"/>
    <w:uiPriority w:val="99"/>
    <w:unhideWhenUsed/>
    <w:rsid w:val="005C3464"/>
    <w:pPr>
      <w:tabs>
        <w:tab w:val="center" w:pos="4680"/>
        <w:tab w:val="right" w:pos="9360"/>
      </w:tabs>
    </w:pPr>
  </w:style>
  <w:style w:type="character" w:customStyle="1" w:styleId="FooterChar">
    <w:name w:val="Footer Char"/>
    <w:basedOn w:val="DefaultParagraphFont"/>
    <w:link w:val="Footer"/>
    <w:uiPriority w:val="99"/>
    <w:rsid w:val="005C3464"/>
  </w:style>
  <w:style w:type="table" w:styleId="TableGrid">
    <w:name w:val="Table Grid"/>
    <w:basedOn w:val="TableNormal"/>
    <w:uiPriority w:val="59"/>
    <w:rsid w:val="000D5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HUDDASMFH-1742398994-206073</_dlc_DocId>
    <_dlc_DocIdUrl xmlns="d4a638c4-874f-49c0-bb2b-5cb8563c2b18">
      <Url>https://hudgov.sharepoint.com/sites/DASMFH/OMHD/mapguiderevision/_layouts/15/DocIdRedir.aspx?ID=HUDDASMFH-1742398994-206073</Url>
      <Description>HUDDASMFH-1742398994-206073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4C4389-7AC2-47A8-9AE4-2A767347EA26}">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4E291131-40CA-47AA-BD53-245511AB6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111B4-9CC9-4A75-869F-B4BB33EC6410}">
  <ds:schemaRefs>
    <ds:schemaRef ds:uri="http://schemas.microsoft.com/sharepoint/v3/contenttype/forms"/>
  </ds:schemaRefs>
</ds:datastoreItem>
</file>

<file path=customXml/itemProps4.xml><?xml version="1.0" encoding="utf-8"?>
<ds:datastoreItem xmlns:ds="http://schemas.openxmlformats.org/officeDocument/2006/customXml" ds:itemID="{C18416A5-9446-4AC3-8D68-96221B688C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6077</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dcterms:created xsi:type="dcterms:W3CDTF">2020-10-27T18:43:00Z</dcterms:created>
  <dcterms:modified xsi:type="dcterms:W3CDTF">2020-10-27T18:43:00Z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1982dbc2-a33b-4d3b-aca9-bdcf3768f863</vt:lpwstr>
  </property>
</Properties>
</file>