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2171" w:rsidP="00A139F7" w:rsidRDefault="00562171" w14:paraId="7E96876A" w14:textId="5409FABE">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A33438" w:rsidR="003C73A4" w:rsidP="00A139F7" w:rsidRDefault="003C73A4" w14:paraId="3F7C00D2"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A33438" w:rsidR="00A139F7" w:rsidP="00D56665" w:rsidRDefault="00A139F7" w14:paraId="15C0ECC5" w14:textId="77777777">
      <w:pPr>
        <w:rPr>
          <w:sz w:val="16"/>
          <w:szCs w:val="16"/>
        </w:rPr>
      </w:pPr>
    </w:p>
    <w:p w:rsidRPr="00A33438" w:rsidR="00D56665" w:rsidP="00D56665" w:rsidRDefault="00D56665" w14:paraId="63DA3809"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lang w:val="fr-FR"/>
        </w:rPr>
      </w:pPr>
      <w:bookmarkStart w:name="_Toc412631847" w:id="0"/>
      <w:bookmarkStart w:name="_Toc412645418" w:id="1"/>
      <w:r w:rsidRPr="00A33438">
        <w:rPr>
          <w:rFonts w:ascii="Helvetica" w:hAnsi="Helvetica" w:eastAsia="Times New Roman" w:cs="Times New Roman"/>
          <w:b/>
          <w:bCs/>
          <w:sz w:val="36"/>
          <w:szCs w:val="36"/>
          <w:lang w:val="fr-FR"/>
        </w:rPr>
        <w:t>Chapter 14</w:t>
      </w:r>
      <w:r w:rsidRPr="00A33438">
        <w:rPr>
          <w:rFonts w:ascii="Helvetica" w:hAnsi="Helvetica" w:eastAsia="Times New Roman" w:cs="Times New Roman"/>
          <w:b/>
          <w:bCs/>
          <w:sz w:val="36"/>
          <w:szCs w:val="36"/>
          <w:lang w:val="fr-FR"/>
        </w:rPr>
        <w:br/>
        <w:t xml:space="preserve">  Low Income Housing Tax Credit (LIHTC) and Other Tax Credit Program Guidance</w:t>
      </w:r>
      <w:bookmarkEnd w:id="0"/>
      <w:bookmarkEnd w:id="1"/>
    </w:p>
    <w:p w:rsidRPr="00A33438" w:rsidR="00D56665" w:rsidP="00D56665" w:rsidRDefault="00D56665" w14:paraId="63DA380A"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A33438" w:rsidR="00D56665" w:rsidP="00D56665" w:rsidRDefault="00D56665" w14:paraId="63DA380B" w14:textId="77777777">
      <w:pPr>
        <w:spacing w:after="200" w:line="276" w:lineRule="auto"/>
        <w:rPr>
          <w:rFonts w:ascii="Arial" w:hAnsi="Arial" w:cs="Arial"/>
          <w:sz w:val="28"/>
          <w:szCs w:val="28"/>
        </w:rPr>
      </w:pPr>
    </w:p>
    <w:p w:rsidRPr="005357A5" w:rsidR="00D56665" w:rsidP="00D56665" w:rsidRDefault="00D56665" w14:paraId="63DA380C" w14:textId="098E2627">
      <w:pPr>
        <w:overflowPunct w:val="0"/>
        <w:autoSpaceDE w:val="0"/>
        <w:autoSpaceDN w:val="0"/>
        <w:adjustRightInd w:val="0"/>
        <w:spacing w:before="80" w:after="80"/>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14.1</w:t>
      </w:r>
      <w:r w:rsidRPr="005357A5">
        <w:rPr>
          <w:rFonts w:ascii="Times New Roman" w:hAnsi="Times New Roman" w:eastAsia="Times New Roman" w:cs="Times New Roman"/>
          <w:b/>
          <w:sz w:val="28"/>
          <w:szCs w:val="28"/>
        </w:rPr>
        <w:tab/>
        <w:t>Introduction</w:t>
      </w:r>
    </w:p>
    <w:p w:rsidRPr="007805BC" w:rsidR="00D23FCD" w:rsidP="00D56665" w:rsidRDefault="00D56665" w14:paraId="7B2CA4EB" w14:textId="7ABFB95D">
      <w:pPr>
        <w:spacing w:before="100" w:beforeAutospacing="1" w:after="120" w:line="276" w:lineRule="auto"/>
        <w:jc w:val="both"/>
        <w:rPr>
          <w:rFonts w:ascii="Times New Roman" w:hAnsi="Times New Roman" w:cs="Times New Roman"/>
          <w:sz w:val="24"/>
          <w:szCs w:val="24"/>
        </w:rPr>
      </w:pPr>
      <w:r w:rsidRPr="00CB6138">
        <w:rPr>
          <w:rFonts w:ascii="Times New Roman" w:hAnsi="Times New Roman" w:cs="Times New Roman"/>
          <w:sz w:val="24"/>
          <w:szCs w:val="24"/>
        </w:rPr>
        <w:t>The Low</w:t>
      </w:r>
      <w:r w:rsidR="002E343B">
        <w:rPr>
          <w:rFonts w:ascii="Times New Roman" w:hAnsi="Times New Roman" w:cs="Times New Roman"/>
          <w:sz w:val="24"/>
          <w:szCs w:val="24"/>
        </w:rPr>
        <w:t>-</w:t>
      </w:r>
      <w:r w:rsidRPr="00CB6138">
        <w:rPr>
          <w:rFonts w:ascii="Times New Roman" w:hAnsi="Times New Roman" w:cs="Times New Roman"/>
          <w:sz w:val="24"/>
          <w:szCs w:val="24"/>
        </w:rPr>
        <w:t xml:space="preserve">Income Housing Tax Credit (LIHTC) program </w:t>
      </w:r>
      <w:r w:rsidRPr="00CB6138" w:rsidR="00D13AA5">
        <w:rPr>
          <w:rFonts w:ascii="Times New Roman" w:hAnsi="Times New Roman" w:cs="Times New Roman"/>
          <w:sz w:val="24"/>
          <w:szCs w:val="24"/>
        </w:rPr>
        <w:t>was</w:t>
      </w:r>
      <w:r w:rsidRPr="00CB6138">
        <w:rPr>
          <w:rFonts w:ascii="Times New Roman" w:hAnsi="Times New Roman" w:cs="Times New Roman"/>
          <w:sz w:val="24"/>
          <w:szCs w:val="24"/>
        </w:rPr>
        <w:t xml:space="preserve"> enacted as part of the Tax Reform Act of 1986.  It is administered by the Treasury Department and State Housing Finance Agencies (HFAs).  In July 2008, the Housing and Economic Recovery Act (HERA) provided statutory rulings for FHA multifamily program cha</w:t>
      </w:r>
      <w:r w:rsidRPr="007805BC">
        <w:rPr>
          <w:rFonts w:ascii="Times New Roman" w:hAnsi="Times New Roman" w:cs="Times New Roman"/>
          <w:sz w:val="24"/>
          <w:szCs w:val="24"/>
        </w:rPr>
        <w:t xml:space="preserve">nges, to facilitate the use of insured mortgages with LIHTC developments. </w:t>
      </w:r>
    </w:p>
    <w:p w:rsidRPr="007805BC" w:rsidR="00D56665" w:rsidP="00D56665" w:rsidRDefault="00D56665" w14:paraId="63DA380E" w14:textId="15F56AFC">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 xml:space="preserve">This chapter outlines policies and procedures for underwriting and reviewing FHA multifamily mortgage insurance applications for projects using </w:t>
      </w:r>
      <w:r w:rsidR="00AA22F0">
        <w:rPr>
          <w:rFonts w:ascii="Times New Roman" w:hAnsi="Times New Roman" w:cs="Times New Roman"/>
          <w:sz w:val="24"/>
          <w:szCs w:val="24"/>
        </w:rPr>
        <w:t>LIHTC</w:t>
      </w:r>
      <w:r w:rsidRPr="007805BC">
        <w:rPr>
          <w:rFonts w:ascii="Times New Roman" w:hAnsi="Times New Roman" w:cs="Times New Roman"/>
          <w:sz w:val="24"/>
          <w:szCs w:val="24"/>
        </w:rPr>
        <w:t>.</w:t>
      </w:r>
      <w:r w:rsidR="00121799">
        <w:rPr>
          <w:rFonts w:ascii="Times New Roman" w:hAnsi="Times New Roman" w:cs="Times New Roman"/>
          <w:sz w:val="24"/>
          <w:szCs w:val="24"/>
        </w:rPr>
        <w:t xml:space="preserve">  </w:t>
      </w:r>
      <w:r w:rsidRPr="007805BC">
        <w:rPr>
          <w:rFonts w:ascii="Times New Roman" w:hAnsi="Times New Roman" w:cs="Times New Roman"/>
          <w:sz w:val="24"/>
          <w:szCs w:val="24"/>
        </w:rPr>
        <w:t xml:space="preserve">Standard processing of such applications applies except as modified below, and all </w:t>
      </w:r>
      <w:r w:rsidR="007F455F">
        <w:rPr>
          <w:rFonts w:ascii="Times New Roman" w:hAnsi="Times New Roman" w:cs="Times New Roman"/>
          <w:sz w:val="24"/>
          <w:szCs w:val="24"/>
        </w:rPr>
        <w:t>LIHTC</w:t>
      </w:r>
      <w:r w:rsidRPr="007805BC">
        <w:rPr>
          <w:rFonts w:ascii="Times New Roman" w:hAnsi="Times New Roman" w:cs="Times New Roman"/>
          <w:sz w:val="24"/>
          <w:szCs w:val="24"/>
        </w:rPr>
        <w:t xml:space="preserve"> projects are underwritten using the “single underwriter model”. Underwriters assigned </w:t>
      </w:r>
      <w:r w:rsidR="007F455F">
        <w:rPr>
          <w:rFonts w:ascii="Times New Roman" w:hAnsi="Times New Roman" w:cs="Times New Roman"/>
          <w:sz w:val="24"/>
          <w:szCs w:val="24"/>
        </w:rPr>
        <w:t>LIHTC projects</w:t>
      </w:r>
      <w:r w:rsidRPr="007805BC">
        <w:rPr>
          <w:rFonts w:ascii="Times New Roman" w:hAnsi="Times New Roman" w:cs="Times New Roman"/>
          <w:sz w:val="24"/>
          <w:szCs w:val="24"/>
        </w:rPr>
        <w:t xml:space="preserve"> must have specialized training </w:t>
      </w:r>
      <w:r w:rsidR="00015A21">
        <w:rPr>
          <w:rFonts w:ascii="Times New Roman" w:hAnsi="Times New Roman" w:cs="Times New Roman"/>
          <w:sz w:val="24"/>
          <w:szCs w:val="24"/>
        </w:rPr>
        <w:t xml:space="preserve">in underwriting </w:t>
      </w:r>
      <w:r w:rsidR="006B61CE">
        <w:rPr>
          <w:rFonts w:ascii="Times New Roman" w:hAnsi="Times New Roman" w:cs="Times New Roman"/>
          <w:sz w:val="24"/>
          <w:szCs w:val="24"/>
        </w:rPr>
        <w:t xml:space="preserve">these </w:t>
      </w:r>
      <w:r w:rsidR="00B360FF">
        <w:rPr>
          <w:rFonts w:ascii="Times New Roman" w:hAnsi="Times New Roman" w:cs="Times New Roman"/>
          <w:sz w:val="24"/>
          <w:szCs w:val="24"/>
        </w:rPr>
        <w:t>deals</w:t>
      </w:r>
      <w:r w:rsidRPr="007805BC">
        <w:rPr>
          <w:rFonts w:ascii="Times New Roman" w:hAnsi="Times New Roman" w:cs="Times New Roman"/>
          <w:sz w:val="24"/>
          <w:szCs w:val="24"/>
        </w:rPr>
        <w:t xml:space="preserve">. Guidance provided here addresses </w:t>
      </w:r>
      <w:r w:rsidRPr="005357A5">
        <w:rPr>
          <w:rFonts w:ascii="Times New Roman" w:hAnsi="Times New Roman" w:cs="Times New Roman"/>
          <w:sz w:val="24"/>
          <w:szCs w:val="24"/>
        </w:rPr>
        <w:t>all</w:t>
      </w:r>
      <w:r w:rsidRPr="007805BC">
        <w:rPr>
          <w:rFonts w:ascii="Times New Roman" w:hAnsi="Times New Roman" w:cs="Times New Roman"/>
          <w:sz w:val="24"/>
          <w:szCs w:val="24"/>
        </w:rPr>
        <w:t xml:space="preserve"> LIHTC projects underwritten for FHA </w:t>
      </w:r>
      <w:r w:rsidRPr="007805BC" w:rsidR="00CB4BDB">
        <w:rPr>
          <w:rFonts w:ascii="Times New Roman" w:hAnsi="Times New Roman" w:cs="Times New Roman"/>
          <w:sz w:val="24"/>
          <w:szCs w:val="24"/>
        </w:rPr>
        <w:t>insurance.</w:t>
      </w:r>
      <w:r w:rsidR="000451A6">
        <w:rPr>
          <w:rFonts w:ascii="Times New Roman" w:hAnsi="Times New Roman" w:cs="Times New Roman"/>
          <w:sz w:val="24"/>
          <w:szCs w:val="24"/>
        </w:rPr>
        <w:t xml:space="preserve"> </w:t>
      </w:r>
    </w:p>
    <w:p w:rsidRPr="005357A5" w:rsidR="00D56665" w:rsidP="00D56665" w:rsidRDefault="00D56665" w14:paraId="63DA3810" w14:textId="77777777">
      <w:pPr>
        <w:spacing w:line="276" w:lineRule="auto"/>
        <w:rPr>
          <w:rFonts w:ascii="Times New Roman" w:hAnsi="Times New Roman" w:cs="Times New Roman"/>
          <w:sz w:val="28"/>
          <w:szCs w:val="28"/>
        </w:rPr>
      </w:pPr>
    </w:p>
    <w:p w:rsidRPr="005357A5" w:rsidR="00D56665" w:rsidP="00D56665" w:rsidRDefault="00D56665" w14:paraId="63DA3811" w14:textId="4D1A5894">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14.2</w:t>
      </w:r>
      <w:r w:rsidRPr="005357A5">
        <w:rPr>
          <w:rFonts w:ascii="Times New Roman" w:hAnsi="Times New Roman" w:eastAsia="Times New Roman" w:cs="Times New Roman"/>
          <w:b/>
          <w:sz w:val="28"/>
          <w:szCs w:val="28"/>
        </w:rPr>
        <w:tab/>
        <w:t xml:space="preserve">Affordable Housing Underwriting and Program Guidance </w:t>
      </w:r>
      <w:r w:rsidR="008A5B63">
        <w:rPr>
          <w:rFonts w:ascii="Times New Roman" w:hAnsi="Times New Roman" w:eastAsia="Times New Roman" w:cs="Times New Roman"/>
          <w:b/>
          <w:sz w:val="28"/>
          <w:szCs w:val="28"/>
        </w:rPr>
        <w:t>i</w:t>
      </w:r>
      <w:r w:rsidRPr="005357A5">
        <w:rPr>
          <w:rFonts w:ascii="Times New Roman" w:hAnsi="Times New Roman" w:eastAsia="Times New Roman" w:cs="Times New Roman"/>
          <w:b/>
          <w:sz w:val="28"/>
          <w:szCs w:val="28"/>
        </w:rPr>
        <w:t>n Other Parts of the MAP Guide</w:t>
      </w:r>
    </w:p>
    <w:p w:rsidRPr="00CB6138" w:rsidR="00D56665" w:rsidP="00D56665" w:rsidRDefault="00D56665" w14:paraId="63DA3812" w14:textId="0D34180A">
      <w:pPr>
        <w:spacing w:before="240" w:after="200" w:line="276" w:lineRule="auto"/>
        <w:jc w:val="both"/>
        <w:rPr>
          <w:rFonts w:ascii="Times New Roman" w:hAnsi="Times New Roman" w:cs="Times New Roman"/>
          <w:sz w:val="24"/>
          <w:szCs w:val="24"/>
        </w:rPr>
      </w:pPr>
      <w:r w:rsidRPr="00CB6138">
        <w:rPr>
          <w:rFonts w:ascii="Times New Roman" w:hAnsi="Times New Roman" w:cs="Times New Roman"/>
          <w:sz w:val="24"/>
          <w:szCs w:val="24"/>
        </w:rPr>
        <w:t xml:space="preserve">Guidance for processing and underwriting insured loans for affordable housing projects under the various mortgage insurance programs can be found in other chapters </w:t>
      </w:r>
      <w:r w:rsidR="003C03C5">
        <w:rPr>
          <w:rFonts w:ascii="Times New Roman" w:hAnsi="Times New Roman" w:cs="Times New Roman"/>
          <w:sz w:val="24"/>
          <w:szCs w:val="24"/>
        </w:rPr>
        <w:t xml:space="preserve">and appendices </w:t>
      </w:r>
      <w:r w:rsidRPr="00CB6138">
        <w:rPr>
          <w:rFonts w:ascii="Times New Roman" w:hAnsi="Times New Roman" w:cs="Times New Roman"/>
          <w:sz w:val="24"/>
          <w:szCs w:val="24"/>
        </w:rPr>
        <w:t xml:space="preserve">of this Guide, noted in the chart below: </w:t>
      </w:r>
    </w:p>
    <w:tbl>
      <w:tblPr>
        <w:tblStyle w:val="TableGrid4"/>
        <w:tblW w:w="0" w:type="auto"/>
        <w:tblInd w:w="108" w:type="dxa"/>
        <w:tblLook w:val="04A0" w:firstRow="1" w:lastRow="0" w:firstColumn="1" w:lastColumn="0" w:noHBand="0" w:noVBand="1"/>
      </w:tblPr>
      <w:tblGrid>
        <w:gridCol w:w="2826"/>
        <w:gridCol w:w="6416"/>
      </w:tblGrid>
      <w:tr w:rsidRPr="00CB6138" w:rsidR="00D56665" w:rsidTr="002053AC" w14:paraId="63DA3815" w14:textId="77777777">
        <w:tc>
          <w:tcPr>
            <w:tcW w:w="2826" w:type="dxa"/>
          </w:tcPr>
          <w:p w:rsidRPr="007805BC" w:rsidR="00D56665" w:rsidP="004E7D11" w:rsidRDefault="00D56665" w14:paraId="63DA3813" w14:textId="77777777">
            <w:pPr>
              <w:spacing w:before="240" w:line="276" w:lineRule="auto"/>
              <w:rPr>
                <w:rFonts w:ascii="Times New Roman" w:hAnsi="Times New Roman" w:cs="Times New Roman"/>
                <w:b/>
                <w:sz w:val="24"/>
                <w:szCs w:val="24"/>
              </w:rPr>
            </w:pPr>
            <w:r w:rsidRPr="00CB6138">
              <w:rPr>
                <w:rFonts w:ascii="Times New Roman" w:hAnsi="Times New Roman" w:cs="Times New Roman"/>
                <w:b/>
                <w:sz w:val="24"/>
                <w:szCs w:val="24"/>
              </w:rPr>
              <w:t>MAP Guide Section Number</w:t>
            </w:r>
          </w:p>
        </w:tc>
        <w:tc>
          <w:tcPr>
            <w:tcW w:w="6416" w:type="dxa"/>
          </w:tcPr>
          <w:p w:rsidRPr="007805BC" w:rsidR="00D56665" w:rsidP="004E7D11" w:rsidRDefault="00D56665" w14:paraId="63DA3814" w14:textId="77777777">
            <w:pPr>
              <w:spacing w:before="240" w:line="276" w:lineRule="auto"/>
              <w:rPr>
                <w:rFonts w:ascii="Times New Roman" w:hAnsi="Times New Roman" w:cs="Times New Roman"/>
                <w:b/>
                <w:sz w:val="24"/>
                <w:szCs w:val="24"/>
              </w:rPr>
            </w:pPr>
            <w:r w:rsidRPr="007805BC">
              <w:rPr>
                <w:rFonts w:ascii="Times New Roman" w:hAnsi="Times New Roman" w:cs="Times New Roman"/>
                <w:b/>
                <w:sz w:val="24"/>
                <w:szCs w:val="24"/>
              </w:rPr>
              <w:t>Content</w:t>
            </w:r>
          </w:p>
        </w:tc>
      </w:tr>
      <w:tr w:rsidRPr="00CB6138" w:rsidR="00D56665" w:rsidTr="002053AC" w14:paraId="63DA3818" w14:textId="77777777">
        <w:trPr>
          <w:trHeight w:val="350"/>
        </w:trPr>
        <w:tc>
          <w:tcPr>
            <w:tcW w:w="2826" w:type="dxa"/>
          </w:tcPr>
          <w:p w:rsidRPr="00CB6138" w:rsidR="00D56665" w:rsidP="004E7D11" w:rsidRDefault="00D56665" w14:paraId="63DA3816" w14:textId="71F5C054">
            <w:pPr>
              <w:spacing w:before="240" w:line="276" w:lineRule="auto"/>
              <w:rPr>
                <w:rFonts w:ascii="Times New Roman" w:hAnsi="Times New Roman" w:cs="Times New Roman"/>
                <w:sz w:val="24"/>
                <w:szCs w:val="24"/>
              </w:rPr>
            </w:pPr>
            <w:r w:rsidRPr="00CB6138">
              <w:rPr>
                <w:rFonts w:ascii="Times New Roman" w:hAnsi="Times New Roman" w:cs="Times New Roman"/>
                <w:sz w:val="24"/>
                <w:szCs w:val="24"/>
              </w:rPr>
              <w:t>Section 2.7</w:t>
            </w:r>
            <w:r w:rsidR="006A1966">
              <w:rPr>
                <w:rFonts w:ascii="Times New Roman" w:hAnsi="Times New Roman" w:cs="Times New Roman"/>
                <w:sz w:val="24"/>
                <w:szCs w:val="24"/>
              </w:rPr>
              <w:t>.E</w:t>
            </w:r>
            <w:r w:rsidRPr="00CB6138">
              <w:rPr>
                <w:rFonts w:ascii="Times New Roman" w:hAnsi="Times New Roman" w:cs="Times New Roman"/>
                <w:sz w:val="24"/>
                <w:szCs w:val="24"/>
              </w:rPr>
              <w:tab/>
            </w:r>
          </w:p>
        </w:tc>
        <w:tc>
          <w:tcPr>
            <w:tcW w:w="6416" w:type="dxa"/>
          </w:tcPr>
          <w:p w:rsidRPr="006A1966" w:rsidR="00B70BD9" w:rsidP="004E7D11" w:rsidRDefault="00D56665" w14:paraId="63DA3817" w14:textId="0B347B11">
            <w:pPr>
              <w:spacing w:before="120" w:after="120" w:line="276" w:lineRule="auto"/>
              <w:jc w:val="both"/>
              <w:rPr>
                <w:rFonts w:ascii="Times New Roman" w:hAnsi="Times New Roman" w:cs="Times New Roman"/>
                <w:sz w:val="24"/>
                <w:szCs w:val="24"/>
              </w:rPr>
            </w:pPr>
            <w:r w:rsidRPr="00B70BD9">
              <w:rPr>
                <w:rFonts w:ascii="Times New Roman" w:hAnsi="Times New Roman" w:cs="Times New Roman"/>
                <w:sz w:val="24"/>
                <w:szCs w:val="24"/>
              </w:rPr>
              <w:t xml:space="preserve">Identities of Interest </w:t>
            </w:r>
            <w:r w:rsidR="00FB5664">
              <w:rPr>
                <w:rFonts w:ascii="Times New Roman" w:hAnsi="Times New Roman" w:cs="Times New Roman"/>
                <w:sz w:val="24"/>
                <w:szCs w:val="24"/>
              </w:rPr>
              <w:t xml:space="preserve">(IOI) </w:t>
            </w:r>
            <w:r w:rsidRPr="00B70BD9">
              <w:rPr>
                <w:rFonts w:ascii="Times New Roman" w:hAnsi="Times New Roman" w:cs="Times New Roman"/>
                <w:sz w:val="24"/>
                <w:szCs w:val="24"/>
              </w:rPr>
              <w:t>are permitted between lenders and equity syndicators, investors</w:t>
            </w:r>
            <w:r w:rsidR="00612D1E">
              <w:rPr>
                <w:rFonts w:ascii="Times New Roman" w:hAnsi="Times New Roman" w:cs="Times New Roman"/>
                <w:sz w:val="24"/>
                <w:szCs w:val="24"/>
              </w:rPr>
              <w:t>,</w:t>
            </w:r>
            <w:r w:rsidRPr="00B70BD9">
              <w:rPr>
                <w:rFonts w:ascii="Times New Roman" w:hAnsi="Times New Roman" w:cs="Times New Roman"/>
                <w:sz w:val="24"/>
                <w:szCs w:val="24"/>
              </w:rPr>
              <w:t xml:space="preserve"> or bridge loan lenders, in limited circumstances. </w:t>
            </w:r>
          </w:p>
        </w:tc>
      </w:tr>
      <w:tr w:rsidRPr="00CB6138" w:rsidR="00D56665" w:rsidTr="002053AC" w14:paraId="63DA381B" w14:textId="77777777">
        <w:trPr>
          <w:trHeight w:val="683"/>
        </w:trPr>
        <w:tc>
          <w:tcPr>
            <w:tcW w:w="2826" w:type="dxa"/>
          </w:tcPr>
          <w:p w:rsidRPr="00CB6138" w:rsidR="00D56665" w:rsidP="004E7D11" w:rsidRDefault="00CB5649" w14:paraId="63DA3819" w14:textId="228AFA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Section 2.7.I</w:t>
            </w:r>
          </w:p>
        </w:tc>
        <w:tc>
          <w:tcPr>
            <w:tcW w:w="6416" w:type="dxa"/>
          </w:tcPr>
          <w:p w:rsidRPr="00CB5649" w:rsidR="00D56665" w:rsidP="004E7D11" w:rsidRDefault="00FB5664" w14:paraId="63DA381A" w14:textId="48A6691C">
            <w:pPr>
              <w:spacing w:line="276" w:lineRule="auto"/>
              <w:jc w:val="both"/>
              <w:rPr>
                <w:rFonts w:ascii="Times New Roman" w:hAnsi="Times New Roman" w:cs="Times New Roman"/>
                <w:sz w:val="24"/>
                <w:szCs w:val="24"/>
              </w:rPr>
            </w:pPr>
            <w:r>
              <w:rPr>
                <w:rFonts w:ascii="Times New Roman" w:hAnsi="Times New Roman" w:cs="Times New Roman"/>
                <w:sz w:val="24"/>
                <w:szCs w:val="24"/>
              </w:rPr>
              <w:t>IOI</w:t>
            </w:r>
            <w:r w:rsidR="00580FD0">
              <w:rPr>
                <w:rFonts w:ascii="Times New Roman" w:hAnsi="Times New Roman" w:cs="Times New Roman"/>
                <w:sz w:val="24"/>
                <w:szCs w:val="24"/>
              </w:rPr>
              <w:t xml:space="preserve"> Tax Credit Equity Syndicator or Investor Representation and Warranty</w:t>
            </w:r>
            <w:r w:rsidR="00742693">
              <w:rPr>
                <w:rFonts w:ascii="Times New Roman" w:hAnsi="Times New Roman" w:cs="Times New Roman"/>
                <w:sz w:val="24"/>
                <w:szCs w:val="24"/>
              </w:rPr>
              <w:t xml:space="preserve"> certification requirements.</w:t>
            </w:r>
          </w:p>
        </w:tc>
      </w:tr>
      <w:tr w:rsidRPr="00CB6138" w:rsidR="00D56665" w:rsidTr="002053AC" w14:paraId="63DA381E" w14:textId="77777777">
        <w:tc>
          <w:tcPr>
            <w:tcW w:w="2826" w:type="dxa"/>
          </w:tcPr>
          <w:p w:rsidRPr="00CB6138" w:rsidR="00D56665" w:rsidP="004E7D11" w:rsidRDefault="007805BC" w14:paraId="63DA381C" w14:textId="331B221A">
            <w:pPr>
              <w:spacing w:line="276" w:lineRule="auto"/>
              <w:rPr>
                <w:rFonts w:ascii="Times New Roman" w:hAnsi="Times New Roman" w:cs="Times New Roman"/>
                <w:sz w:val="24"/>
                <w:szCs w:val="24"/>
              </w:rPr>
            </w:pPr>
            <w:r>
              <w:rPr>
                <w:rFonts w:ascii="Times New Roman" w:hAnsi="Times New Roman" w:cs="Times New Roman"/>
                <w:sz w:val="24"/>
                <w:szCs w:val="24"/>
              </w:rPr>
              <w:t>Section 3.1.GG</w:t>
            </w:r>
          </w:p>
        </w:tc>
        <w:tc>
          <w:tcPr>
            <w:tcW w:w="6416" w:type="dxa"/>
          </w:tcPr>
          <w:p w:rsidRPr="007805BC" w:rsidR="00D56665" w:rsidP="004E7D11" w:rsidRDefault="007805BC" w14:paraId="63DA381D" w14:textId="0D181C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Underwritten occupancy requirements for </w:t>
            </w:r>
            <w:r w:rsidR="00466F9C">
              <w:rPr>
                <w:rFonts w:ascii="Times New Roman" w:hAnsi="Times New Roman" w:cs="Times New Roman"/>
                <w:sz w:val="24"/>
                <w:szCs w:val="24"/>
              </w:rPr>
              <w:t>LIHTC transactions.</w:t>
            </w:r>
          </w:p>
        </w:tc>
      </w:tr>
      <w:tr w:rsidRPr="007805BC" w:rsidR="00C34ABE" w:rsidTr="002053AC" w14:paraId="0CCCE04F" w14:textId="77777777">
        <w:tc>
          <w:tcPr>
            <w:tcW w:w="2826" w:type="dxa"/>
          </w:tcPr>
          <w:p w:rsidRPr="00CB6138" w:rsidR="00C34ABE" w:rsidP="004E7D11" w:rsidRDefault="005710AD" w14:paraId="0DD87FD4" w14:textId="3C72E3A8">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3.3</w:t>
            </w:r>
          </w:p>
        </w:tc>
        <w:tc>
          <w:tcPr>
            <w:tcW w:w="6416" w:type="dxa"/>
          </w:tcPr>
          <w:p w:rsidRPr="00C34ABE" w:rsidR="00C34ABE" w:rsidP="004E7D11" w:rsidRDefault="005710AD" w14:paraId="45ACAF46" w14:textId="7CD50065">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Loan sizing ratios under 221(d)(4) are provided, and these apply to Tax Credit p</w:t>
            </w:r>
            <w:r w:rsidRPr="00F04B90">
              <w:rPr>
                <w:rFonts w:ascii="Times New Roman" w:hAnsi="Times New Roman" w:cs="Times New Roman"/>
                <w:sz w:val="24"/>
                <w:szCs w:val="24"/>
              </w:rPr>
              <w:t>rojects underwritten for that program unless adjusted for the New Pilot in separate guidance.</w:t>
            </w:r>
          </w:p>
        </w:tc>
      </w:tr>
      <w:tr w:rsidRPr="007805BC" w:rsidR="00C34ABE" w:rsidTr="002053AC" w14:paraId="496D0BFB" w14:textId="77777777">
        <w:tc>
          <w:tcPr>
            <w:tcW w:w="2826" w:type="dxa"/>
          </w:tcPr>
          <w:p w:rsidRPr="00CB6138" w:rsidR="00C34ABE" w:rsidP="004E7D11" w:rsidRDefault="00DD2EAD" w14:paraId="2AC5DBF1" w14:textId="1BAA2C6F">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Sections 3.4, 3.5, &amp; 3.7.</w:t>
            </w:r>
          </w:p>
        </w:tc>
        <w:tc>
          <w:tcPr>
            <w:tcW w:w="6416" w:type="dxa"/>
          </w:tcPr>
          <w:p w:rsidRPr="00C34ABE" w:rsidR="00C34ABE" w:rsidP="004E7D11" w:rsidRDefault="00DD2EAD" w14:paraId="03936A98" w14:textId="1464DF3E">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Loan sizing ratios under 220, 223 and 231 are provided, and these apply to Tax Credit projects underwritten for each program unless adjusted for the New Pilot in separate guidance.</w:t>
            </w:r>
          </w:p>
        </w:tc>
      </w:tr>
      <w:tr w:rsidRPr="007805BC" w:rsidR="00C34ABE" w:rsidTr="002053AC" w14:paraId="2A3F2485" w14:textId="77777777">
        <w:tc>
          <w:tcPr>
            <w:tcW w:w="2826" w:type="dxa"/>
          </w:tcPr>
          <w:p w:rsidRPr="00CB6138" w:rsidR="00C34ABE" w:rsidP="004E7D11" w:rsidRDefault="00300CDF" w14:paraId="77716FF3" w14:textId="36287BE8">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Sections 3.2 &amp; 4.2.B.</w:t>
            </w:r>
          </w:p>
        </w:tc>
        <w:tc>
          <w:tcPr>
            <w:tcW w:w="6416" w:type="dxa"/>
          </w:tcPr>
          <w:p w:rsidRPr="00C34ABE" w:rsidR="00C34ABE" w:rsidP="004E7D11" w:rsidRDefault="004C79B1" w14:paraId="55E0C053" w14:textId="79587485">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One</w:t>
            </w:r>
            <w:r w:rsidR="003612A9">
              <w:rPr>
                <w:rFonts w:ascii="Times New Roman" w:hAnsi="Times New Roman" w:cs="Times New Roman"/>
                <w:sz w:val="24"/>
                <w:szCs w:val="24"/>
              </w:rPr>
              <w:t>-</w:t>
            </w:r>
            <w:r w:rsidRPr="007805BC">
              <w:rPr>
                <w:rFonts w:ascii="Times New Roman" w:hAnsi="Times New Roman" w:cs="Times New Roman"/>
                <w:sz w:val="24"/>
                <w:szCs w:val="24"/>
              </w:rPr>
              <w:t>stage application processing is permitted for all Tax Credit projects under all Sections of the Act.</w:t>
            </w:r>
            <w:r w:rsidR="00034403">
              <w:rPr>
                <w:rFonts w:ascii="Times New Roman" w:hAnsi="Times New Roman" w:cs="Times New Roman"/>
                <w:sz w:val="24"/>
                <w:szCs w:val="24"/>
              </w:rPr>
              <w:t xml:space="preserve">  If lender chooses two-stage processing, no pre-application fee</w:t>
            </w:r>
            <w:r w:rsidR="00C03847">
              <w:rPr>
                <w:rFonts w:ascii="Times New Roman" w:hAnsi="Times New Roman" w:cs="Times New Roman"/>
                <w:sz w:val="24"/>
                <w:szCs w:val="24"/>
              </w:rPr>
              <w:t>s are charged.</w:t>
            </w:r>
          </w:p>
        </w:tc>
      </w:tr>
      <w:tr w:rsidRPr="007805BC" w:rsidR="006D60CF" w:rsidTr="002053AC" w14:paraId="2A10584B" w14:textId="77777777">
        <w:tc>
          <w:tcPr>
            <w:tcW w:w="2826" w:type="dxa"/>
          </w:tcPr>
          <w:p w:rsidRPr="00CB6138" w:rsidR="006D60CF" w:rsidP="004E7D11" w:rsidRDefault="006D60CF" w14:paraId="337D1381" w14:textId="424D5396">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5</w:t>
            </w:r>
            <w:r>
              <w:rPr>
                <w:rFonts w:ascii="Times New Roman" w:hAnsi="Times New Roman" w:cs="Times New Roman"/>
                <w:sz w:val="24"/>
                <w:szCs w:val="24"/>
              </w:rPr>
              <w:t>.6</w:t>
            </w:r>
          </w:p>
        </w:tc>
        <w:tc>
          <w:tcPr>
            <w:tcW w:w="6416" w:type="dxa"/>
          </w:tcPr>
          <w:p w:rsidRPr="00CB5649" w:rsidR="006D60CF" w:rsidP="004E7D11" w:rsidRDefault="006D60CF" w14:paraId="6061FC13" w14:textId="2D6E1CC2">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Streamlined processing (including delayed submission of final plans) is permitted for Tax Credit projects, assuming certain conditions are met.</w:t>
            </w:r>
          </w:p>
        </w:tc>
      </w:tr>
      <w:tr w:rsidRPr="007805BC" w:rsidR="006D60CF" w:rsidTr="002053AC" w14:paraId="5CC3BA74" w14:textId="77777777">
        <w:tc>
          <w:tcPr>
            <w:tcW w:w="2826" w:type="dxa"/>
          </w:tcPr>
          <w:p w:rsidRPr="00CB6138" w:rsidR="006D60CF" w:rsidP="006D60CF" w:rsidRDefault="006D60CF" w14:paraId="50180498" w14:textId="6678BE8C">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7.</w:t>
            </w:r>
            <w:r>
              <w:rPr>
                <w:rFonts w:ascii="Times New Roman" w:hAnsi="Times New Roman" w:cs="Times New Roman"/>
                <w:sz w:val="24"/>
                <w:szCs w:val="24"/>
              </w:rPr>
              <w:t>4</w:t>
            </w:r>
            <w:r w:rsidRPr="00CB6138">
              <w:rPr>
                <w:rFonts w:ascii="Times New Roman" w:hAnsi="Times New Roman" w:cs="Times New Roman"/>
                <w:sz w:val="24"/>
                <w:szCs w:val="24"/>
              </w:rPr>
              <w:t>.A</w:t>
            </w:r>
            <w:r w:rsidRPr="00CB6138">
              <w:rPr>
                <w:rFonts w:ascii="Times New Roman" w:hAnsi="Times New Roman" w:cs="Times New Roman"/>
                <w:sz w:val="24"/>
                <w:szCs w:val="24"/>
              </w:rPr>
              <w:tab/>
            </w:r>
          </w:p>
        </w:tc>
        <w:tc>
          <w:tcPr>
            <w:tcW w:w="6416" w:type="dxa"/>
          </w:tcPr>
          <w:p w:rsidRPr="00CB5649" w:rsidR="006D60CF" w:rsidP="006D60CF" w:rsidRDefault="006D60CF" w14:paraId="447522C5" w14:textId="517B1344">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No market study, other than that which would be provided in the appraisal, is required for projects with 90% or more project</w:t>
            </w:r>
            <w:r w:rsidR="003612A9">
              <w:rPr>
                <w:rFonts w:ascii="Times New Roman" w:hAnsi="Times New Roman" w:cs="Times New Roman"/>
                <w:sz w:val="24"/>
                <w:szCs w:val="24"/>
              </w:rPr>
              <w:t>-</w:t>
            </w:r>
            <w:r w:rsidRPr="007805BC">
              <w:rPr>
                <w:rFonts w:ascii="Times New Roman" w:hAnsi="Times New Roman" w:cs="Times New Roman"/>
                <w:sz w:val="24"/>
                <w:szCs w:val="24"/>
              </w:rPr>
              <w:t>based rental assistance.</w:t>
            </w:r>
          </w:p>
        </w:tc>
      </w:tr>
      <w:tr w:rsidRPr="007805BC" w:rsidR="006D60CF" w:rsidTr="002053AC" w14:paraId="6DBD7D78" w14:textId="77777777">
        <w:tc>
          <w:tcPr>
            <w:tcW w:w="2826" w:type="dxa"/>
          </w:tcPr>
          <w:p w:rsidRPr="00CB6138" w:rsidR="006D60CF" w:rsidP="006D60CF" w:rsidRDefault="006D60CF" w14:paraId="5BD4DAA4" w14:textId="5C329AB1">
            <w:pPr>
              <w:spacing w:line="276" w:lineRule="auto"/>
              <w:rPr>
                <w:rFonts w:ascii="Times New Roman" w:hAnsi="Times New Roman" w:cs="Times New Roman"/>
                <w:sz w:val="24"/>
                <w:szCs w:val="24"/>
              </w:rPr>
            </w:pPr>
            <w:r>
              <w:rPr>
                <w:rFonts w:ascii="Times New Roman" w:hAnsi="Times New Roman" w:cs="Times New Roman"/>
                <w:sz w:val="24"/>
                <w:szCs w:val="24"/>
              </w:rPr>
              <w:t>Section 7.4.M</w:t>
            </w:r>
          </w:p>
        </w:tc>
        <w:tc>
          <w:tcPr>
            <w:tcW w:w="6416" w:type="dxa"/>
          </w:tcPr>
          <w:p w:rsidRPr="00CB5649" w:rsidR="006D60CF" w:rsidP="006D60CF" w:rsidRDefault="006D60CF" w14:paraId="0FD4B201" w14:textId="3FA8494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Demand </w:t>
            </w:r>
            <w:r w:rsidR="00C03847">
              <w:rPr>
                <w:rFonts w:ascii="Times New Roman" w:hAnsi="Times New Roman" w:cs="Times New Roman"/>
                <w:sz w:val="24"/>
                <w:szCs w:val="24"/>
              </w:rPr>
              <w:t>E</w:t>
            </w:r>
            <w:r>
              <w:rPr>
                <w:rFonts w:ascii="Times New Roman" w:hAnsi="Times New Roman" w:cs="Times New Roman"/>
                <w:sz w:val="24"/>
                <w:szCs w:val="24"/>
              </w:rPr>
              <w:t xml:space="preserve">stimate and analysis </w:t>
            </w:r>
            <w:r w:rsidR="00833A24">
              <w:rPr>
                <w:rFonts w:ascii="Times New Roman" w:hAnsi="Times New Roman" w:cs="Times New Roman"/>
                <w:sz w:val="24"/>
                <w:szCs w:val="24"/>
              </w:rPr>
              <w:t xml:space="preserve">of demand </w:t>
            </w:r>
            <w:r>
              <w:rPr>
                <w:rFonts w:ascii="Times New Roman" w:hAnsi="Times New Roman" w:cs="Times New Roman"/>
                <w:sz w:val="24"/>
                <w:szCs w:val="24"/>
              </w:rPr>
              <w:t>for LIHTC properties.</w:t>
            </w:r>
          </w:p>
        </w:tc>
      </w:tr>
      <w:tr w:rsidRPr="007805BC" w:rsidR="006D60CF" w:rsidTr="002053AC" w14:paraId="2FC20570" w14:textId="77777777">
        <w:tc>
          <w:tcPr>
            <w:tcW w:w="2826" w:type="dxa"/>
          </w:tcPr>
          <w:p w:rsidRPr="00CB6138" w:rsidR="006D60CF" w:rsidP="006D60CF" w:rsidRDefault="006D60CF" w14:paraId="19834BC6" w14:textId="76E1B72D">
            <w:pPr>
              <w:spacing w:line="276" w:lineRule="auto"/>
              <w:rPr>
                <w:rFonts w:ascii="Times New Roman" w:hAnsi="Times New Roman" w:cs="Times New Roman"/>
                <w:sz w:val="24"/>
                <w:szCs w:val="24"/>
              </w:rPr>
            </w:pPr>
            <w:r>
              <w:rPr>
                <w:rFonts w:ascii="Times New Roman" w:hAnsi="Times New Roman" w:cs="Times New Roman"/>
                <w:sz w:val="24"/>
                <w:szCs w:val="24"/>
              </w:rPr>
              <w:t>Section 7.7.I.5</w:t>
            </w:r>
          </w:p>
        </w:tc>
        <w:tc>
          <w:tcPr>
            <w:tcW w:w="6416" w:type="dxa"/>
          </w:tcPr>
          <w:p w:rsidRPr="00CB5649" w:rsidR="006D60CF" w:rsidP="006D60CF" w:rsidRDefault="00833A24" w14:paraId="5CFEA30D" w14:textId="0932B8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Underwriting </w:t>
            </w:r>
            <w:r w:rsidR="006D60CF">
              <w:rPr>
                <w:rFonts w:ascii="Times New Roman" w:hAnsi="Times New Roman" w:cs="Times New Roman"/>
                <w:sz w:val="24"/>
                <w:szCs w:val="24"/>
              </w:rPr>
              <w:t xml:space="preserve">NOI </w:t>
            </w:r>
            <w:r w:rsidR="00304CBF">
              <w:rPr>
                <w:rFonts w:ascii="Times New Roman" w:hAnsi="Times New Roman" w:cs="Times New Roman"/>
                <w:sz w:val="24"/>
                <w:szCs w:val="24"/>
              </w:rPr>
              <w:t>f</w:t>
            </w:r>
            <w:r w:rsidR="006D60CF">
              <w:rPr>
                <w:rFonts w:ascii="Times New Roman" w:hAnsi="Times New Roman" w:cs="Times New Roman"/>
                <w:sz w:val="24"/>
                <w:szCs w:val="24"/>
              </w:rPr>
              <w:t>or projects with Section 8 and LIHTC</w:t>
            </w:r>
            <w:r w:rsidR="00A610C7">
              <w:rPr>
                <w:rFonts w:ascii="Times New Roman" w:hAnsi="Times New Roman" w:cs="Times New Roman"/>
                <w:sz w:val="24"/>
                <w:szCs w:val="24"/>
              </w:rPr>
              <w:t xml:space="preserve"> and projects with </w:t>
            </w:r>
            <w:r w:rsidR="00733B4C">
              <w:rPr>
                <w:rFonts w:ascii="Times New Roman" w:hAnsi="Times New Roman" w:cs="Times New Roman"/>
                <w:sz w:val="24"/>
                <w:szCs w:val="24"/>
              </w:rPr>
              <w:t>above</w:t>
            </w:r>
            <w:r w:rsidR="003612A9">
              <w:rPr>
                <w:rFonts w:ascii="Times New Roman" w:hAnsi="Times New Roman" w:cs="Times New Roman"/>
                <w:sz w:val="24"/>
                <w:szCs w:val="24"/>
              </w:rPr>
              <w:t>-</w:t>
            </w:r>
            <w:r w:rsidR="00733B4C">
              <w:rPr>
                <w:rFonts w:ascii="Times New Roman" w:hAnsi="Times New Roman" w:cs="Times New Roman"/>
                <w:sz w:val="24"/>
                <w:szCs w:val="24"/>
              </w:rPr>
              <w:t>market Section 8 rents for a long term.</w:t>
            </w:r>
          </w:p>
        </w:tc>
      </w:tr>
      <w:tr w:rsidRPr="007805BC" w:rsidR="006D60CF" w:rsidTr="002053AC" w14:paraId="59E3A27B" w14:textId="77777777">
        <w:tc>
          <w:tcPr>
            <w:tcW w:w="2826" w:type="dxa"/>
          </w:tcPr>
          <w:p w:rsidRPr="00CB6138" w:rsidR="006D60CF" w:rsidP="006D60CF" w:rsidRDefault="006D60CF" w14:paraId="415759C0" w14:textId="5592E44B">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7.1</w:t>
            </w:r>
            <w:r>
              <w:rPr>
                <w:rFonts w:ascii="Times New Roman" w:hAnsi="Times New Roman" w:cs="Times New Roman"/>
                <w:sz w:val="24"/>
                <w:szCs w:val="24"/>
              </w:rPr>
              <w:t>3</w:t>
            </w:r>
            <w:r w:rsidR="002D6BAD">
              <w:rPr>
                <w:rFonts w:ascii="Times New Roman" w:hAnsi="Times New Roman" w:cs="Times New Roman"/>
                <w:sz w:val="24"/>
                <w:szCs w:val="24"/>
              </w:rPr>
              <w:t xml:space="preserve"> &amp; 8.14.F</w:t>
            </w:r>
            <w:r w:rsidRPr="00CB6138">
              <w:rPr>
                <w:rFonts w:ascii="Times New Roman" w:hAnsi="Times New Roman" w:cs="Times New Roman"/>
                <w:sz w:val="24"/>
                <w:szCs w:val="24"/>
              </w:rPr>
              <w:tab/>
            </w:r>
          </w:p>
        </w:tc>
        <w:tc>
          <w:tcPr>
            <w:tcW w:w="6416" w:type="dxa"/>
          </w:tcPr>
          <w:p w:rsidRPr="00CB5649" w:rsidR="006D60CF" w:rsidP="006D60CF" w:rsidRDefault="006D60CF" w14:paraId="4F1B0034" w14:textId="508BC5AF">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 xml:space="preserve">Calculating </w:t>
            </w:r>
            <w:r w:rsidRPr="005357A5">
              <w:rPr>
                <w:rFonts w:ascii="Times New Roman" w:hAnsi="Times New Roman" w:cs="Times New Roman"/>
                <w:sz w:val="24"/>
                <w:szCs w:val="24"/>
              </w:rPr>
              <w:t>operating deficits</w:t>
            </w:r>
            <w:r w:rsidRPr="007805BC">
              <w:rPr>
                <w:rFonts w:ascii="Times New Roman" w:hAnsi="Times New Roman" w:cs="Times New Roman"/>
                <w:sz w:val="24"/>
                <w:szCs w:val="24"/>
              </w:rPr>
              <w:t xml:space="preserve"> (for all Tax Credit projects</w:t>
            </w:r>
            <w:r w:rsidR="003612A9">
              <w:rPr>
                <w:rFonts w:ascii="Times New Roman" w:hAnsi="Times New Roman" w:cs="Times New Roman"/>
                <w:sz w:val="24"/>
                <w:szCs w:val="24"/>
              </w:rPr>
              <w:t>)</w:t>
            </w:r>
            <w:r w:rsidRPr="007805BC">
              <w:rPr>
                <w:rFonts w:ascii="Times New Roman" w:hAnsi="Times New Roman" w:cs="Times New Roman"/>
                <w:sz w:val="24"/>
                <w:szCs w:val="24"/>
              </w:rPr>
              <w:t>.</w:t>
            </w:r>
          </w:p>
        </w:tc>
      </w:tr>
      <w:tr w:rsidRPr="007805BC" w:rsidR="006D60CF" w:rsidTr="002053AC" w14:paraId="1781252C" w14:textId="77777777">
        <w:tc>
          <w:tcPr>
            <w:tcW w:w="2826" w:type="dxa"/>
          </w:tcPr>
          <w:p w:rsidRPr="00CB6138" w:rsidR="006D60CF" w:rsidP="006D60CF" w:rsidRDefault="006D60CF" w14:paraId="0CDD2F7D" w14:textId="63C9314C">
            <w:pPr>
              <w:spacing w:line="276" w:lineRule="auto"/>
              <w:rPr>
                <w:rFonts w:ascii="Times New Roman" w:hAnsi="Times New Roman" w:cs="Times New Roman"/>
                <w:sz w:val="24"/>
                <w:szCs w:val="24"/>
              </w:rPr>
            </w:pPr>
            <w:r>
              <w:rPr>
                <w:rFonts w:ascii="Times New Roman" w:hAnsi="Times New Roman" w:cs="Times New Roman"/>
                <w:sz w:val="24"/>
                <w:szCs w:val="24"/>
              </w:rPr>
              <w:t>Section 7.14.G.</w:t>
            </w:r>
          </w:p>
        </w:tc>
        <w:tc>
          <w:tcPr>
            <w:tcW w:w="6416" w:type="dxa"/>
          </w:tcPr>
          <w:p w:rsidRPr="00CB5649" w:rsidR="006D60CF" w:rsidP="006D60CF" w:rsidRDefault="006D60CF" w14:paraId="1C7389FB" w14:textId="38752965">
            <w:pPr>
              <w:spacing w:line="276" w:lineRule="auto"/>
              <w:jc w:val="both"/>
              <w:rPr>
                <w:rFonts w:ascii="Times New Roman" w:hAnsi="Times New Roman" w:cs="Times New Roman"/>
                <w:sz w:val="24"/>
                <w:szCs w:val="24"/>
              </w:rPr>
            </w:pPr>
            <w:r>
              <w:rPr>
                <w:rFonts w:ascii="Times New Roman" w:hAnsi="Times New Roman" w:cs="Times New Roman"/>
                <w:sz w:val="24"/>
                <w:szCs w:val="24"/>
              </w:rPr>
              <w:t>Valuation instructions for affordable projects with a lease.</w:t>
            </w:r>
          </w:p>
        </w:tc>
      </w:tr>
      <w:tr w:rsidRPr="007805BC" w:rsidR="006D60CF" w:rsidTr="002053AC" w14:paraId="159E89E0" w14:textId="77777777">
        <w:tc>
          <w:tcPr>
            <w:tcW w:w="2826" w:type="dxa"/>
          </w:tcPr>
          <w:p w:rsidRPr="00CB6138" w:rsidR="006D60CF" w:rsidP="006D60CF" w:rsidRDefault="006D60CF" w14:paraId="507BCB4C" w14:textId="01C1DA0B">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7.1</w:t>
            </w:r>
            <w:r>
              <w:rPr>
                <w:rFonts w:ascii="Times New Roman" w:hAnsi="Times New Roman" w:cs="Times New Roman"/>
                <w:sz w:val="24"/>
                <w:szCs w:val="24"/>
              </w:rPr>
              <w:t>5</w:t>
            </w:r>
            <w:r w:rsidRPr="00CB6138">
              <w:rPr>
                <w:rFonts w:ascii="Times New Roman" w:hAnsi="Times New Roman" w:cs="Times New Roman"/>
                <w:sz w:val="24"/>
                <w:szCs w:val="24"/>
              </w:rPr>
              <w:tab/>
            </w:r>
          </w:p>
        </w:tc>
        <w:tc>
          <w:tcPr>
            <w:tcW w:w="6416" w:type="dxa"/>
          </w:tcPr>
          <w:p w:rsidRPr="00CB5649" w:rsidR="006D60CF" w:rsidP="006D60CF" w:rsidRDefault="008C63F6" w14:paraId="3832F2EF" w14:textId="3D87C22E">
            <w:pPr>
              <w:spacing w:line="276" w:lineRule="auto"/>
              <w:jc w:val="both"/>
              <w:rPr>
                <w:rFonts w:ascii="Times New Roman" w:hAnsi="Times New Roman" w:cs="Times New Roman"/>
                <w:sz w:val="24"/>
                <w:szCs w:val="24"/>
              </w:rPr>
            </w:pPr>
            <w:r>
              <w:rPr>
                <w:rFonts w:ascii="Times New Roman" w:hAnsi="Times New Roman" w:cs="Times New Roman"/>
                <w:sz w:val="24"/>
                <w:szCs w:val="24"/>
              </w:rPr>
              <w:t>Underwriting</w:t>
            </w:r>
            <w:r w:rsidRPr="00CB6138" w:rsidR="006D60CF">
              <w:rPr>
                <w:rFonts w:ascii="Times New Roman" w:hAnsi="Times New Roman" w:cs="Times New Roman"/>
                <w:sz w:val="24"/>
                <w:szCs w:val="24"/>
              </w:rPr>
              <w:t xml:space="preserve"> tax abatements and waivers </w:t>
            </w:r>
            <w:r w:rsidRPr="007201BB" w:rsidR="006D60CF">
              <w:rPr>
                <w:rFonts w:ascii="Times New Roman" w:hAnsi="Times New Roman" w:cs="Times New Roman"/>
                <w:sz w:val="24"/>
                <w:szCs w:val="24"/>
              </w:rPr>
              <w:t>of certain</w:t>
            </w:r>
            <w:r w:rsidRPr="00B70BD9" w:rsidR="006D60CF">
              <w:rPr>
                <w:rFonts w:ascii="Times New Roman" w:hAnsi="Times New Roman" w:cs="Times New Roman"/>
                <w:sz w:val="24"/>
                <w:szCs w:val="24"/>
              </w:rPr>
              <w:t xml:space="preserve"> underw</w:t>
            </w:r>
            <w:r w:rsidRPr="007805BC" w:rsidR="006D60CF">
              <w:rPr>
                <w:rFonts w:ascii="Times New Roman" w:hAnsi="Times New Roman" w:cs="Times New Roman"/>
                <w:sz w:val="24"/>
                <w:szCs w:val="24"/>
              </w:rPr>
              <w:t>riting requirements for Tax Credit projects.</w:t>
            </w:r>
          </w:p>
        </w:tc>
      </w:tr>
      <w:tr w:rsidRPr="007805BC" w:rsidR="006D60CF" w:rsidTr="002053AC" w14:paraId="4B9BD5CC" w14:textId="77777777">
        <w:tc>
          <w:tcPr>
            <w:tcW w:w="2826" w:type="dxa"/>
          </w:tcPr>
          <w:p w:rsidRPr="00CB6138" w:rsidR="006D60CF" w:rsidP="006D60CF" w:rsidRDefault="006D60CF" w14:paraId="7E1C220D" w14:textId="3386AB98">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7.1</w:t>
            </w:r>
            <w:r>
              <w:rPr>
                <w:rFonts w:ascii="Times New Roman" w:hAnsi="Times New Roman" w:cs="Times New Roman"/>
                <w:sz w:val="24"/>
                <w:szCs w:val="24"/>
              </w:rPr>
              <w:t>6</w:t>
            </w:r>
            <w:r w:rsidRPr="00CB6138">
              <w:rPr>
                <w:rFonts w:ascii="Times New Roman" w:hAnsi="Times New Roman" w:cs="Times New Roman"/>
                <w:sz w:val="24"/>
                <w:szCs w:val="24"/>
              </w:rPr>
              <w:tab/>
            </w:r>
          </w:p>
        </w:tc>
        <w:tc>
          <w:tcPr>
            <w:tcW w:w="6416" w:type="dxa"/>
          </w:tcPr>
          <w:p w:rsidRPr="00CB5649" w:rsidR="006D60CF" w:rsidP="006D60CF" w:rsidRDefault="006D60CF" w14:paraId="18533819" w14:textId="5071A5F9">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Valuation of Tax Credit and other affordable properties.</w:t>
            </w:r>
          </w:p>
        </w:tc>
      </w:tr>
      <w:tr w:rsidRPr="007805BC" w:rsidR="00D07289" w:rsidTr="002053AC" w14:paraId="52293C48" w14:textId="77777777">
        <w:tc>
          <w:tcPr>
            <w:tcW w:w="2826" w:type="dxa"/>
          </w:tcPr>
          <w:p w:rsidRPr="00CB6138" w:rsidR="00D07289" w:rsidP="00D07289" w:rsidRDefault="00D07289" w14:paraId="3774958F" w14:textId="1DE52803">
            <w:pPr>
              <w:spacing w:line="276" w:lineRule="auto"/>
              <w:rPr>
                <w:rFonts w:ascii="Times New Roman" w:hAnsi="Times New Roman" w:cs="Times New Roman"/>
                <w:sz w:val="24"/>
                <w:szCs w:val="24"/>
              </w:rPr>
            </w:pPr>
            <w:r>
              <w:rPr>
                <w:rFonts w:ascii="Times New Roman" w:hAnsi="Times New Roman" w:cs="Times New Roman"/>
                <w:sz w:val="24"/>
                <w:szCs w:val="24"/>
              </w:rPr>
              <w:t xml:space="preserve">Section </w:t>
            </w:r>
            <w:r w:rsidR="00752230">
              <w:rPr>
                <w:rFonts w:ascii="Times New Roman" w:hAnsi="Times New Roman" w:cs="Times New Roman"/>
                <w:sz w:val="24"/>
                <w:szCs w:val="24"/>
              </w:rPr>
              <w:t>14.10.B</w:t>
            </w:r>
            <w:r w:rsidR="00D1617F">
              <w:rPr>
                <w:rFonts w:ascii="Times New Roman" w:hAnsi="Times New Roman" w:cs="Times New Roman"/>
                <w:sz w:val="24"/>
                <w:szCs w:val="24"/>
              </w:rPr>
              <w:t>.</w:t>
            </w:r>
          </w:p>
        </w:tc>
        <w:tc>
          <w:tcPr>
            <w:tcW w:w="6416" w:type="dxa"/>
          </w:tcPr>
          <w:p w:rsidRPr="007805BC" w:rsidR="00D07289" w:rsidP="00D07289" w:rsidRDefault="00D07289" w14:paraId="0E9A57DC" w14:textId="00F734C9">
            <w:pPr>
              <w:spacing w:line="276" w:lineRule="auto"/>
              <w:jc w:val="both"/>
              <w:rPr>
                <w:rFonts w:ascii="Times New Roman" w:hAnsi="Times New Roman" w:cs="Times New Roman"/>
                <w:sz w:val="24"/>
                <w:szCs w:val="24"/>
              </w:rPr>
            </w:pPr>
            <w:r>
              <w:rPr>
                <w:rFonts w:ascii="Times New Roman" w:hAnsi="Times New Roman" w:cs="Times New Roman"/>
                <w:sz w:val="24"/>
                <w:szCs w:val="24"/>
              </w:rPr>
              <w:t>Special Limited Partners (SLP) and pre-approval of SLP.</w:t>
            </w:r>
          </w:p>
        </w:tc>
      </w:tr>
      <w:tr w:rsidRPr="007805BC" w:rsidR="00D07289" w:rsidTr="002053AC" w14:paraId="40CF0038" w14:textId="77777777">
        <w:tc>
          <w:tcPr>
            <w:tcW w:w="2826" w:type="dxa"/>
          </w:tcPr>
          <w:p w:rsidRPr="00CB6138" w:rsidR="00D07289" w:rsidP="00D07289" w:rsidRDefault="00D07289" w14:paraId="12FA7A30" w14:textId="26B0C555">
            <w:pPr>
              <w:spacing w:line="276" w:lineRule="auto"/>
              <w:rPr>
                <w:rFonts w:ascii="Times New Roman" w:hAnsi="Times New Roman" w:cs="Times New Roman"/>
                <w:sz w:val="24"/>
                <w:szCs w:val="24"/>
              </w:rPr>
            </w:pPr>
            <w:r w:rsidRPr="007D3A21">
              <w:rPr>
                <w:rFonts w:ascii="Times New Roman" w:hAnsi="Times New Roman" w:cs="Times New Roman"/>
                <w:sz w:val="24"/>
                <w:szCs w:val="24"/>
              </w:rPr>
              <w:t>Section 8.3</w:t>
            </w:r>
          </w:p>
        </w:tc>
        <w:tc>
          <w:tcPr>
            <w:tcW w:w="6416" w:type="dxa"/>
          </w:tcPr>
          <w:p w:rsidRPr="007805BC" w:rsidR="00D07289" w:rsidP="00D07289" w:rsidRDefault="00D07289" w14:paraId="2E2E49B9" w14:textId="13A0486B">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 xml:space="preserve">Identifying </w:t>
            </w:r>
            <w:r>
              <w:rPr>
                <w:rFonts w:ascii="Times New Roman" w:hAnsi="Times New Roman" w:cs="Times New Roman"/>
                <w:sz w:val="24"/>
                <w:szCs w:val="24"/>
              </w:rPr>
              <w:t xml:space="preserve">and underwriting </w:t>
            </w:r>
            <w:r w:rsidRPr="007805BC">
              <w:rPr>
                <w:rFonts w:ascii="Times New Roman" w:hAnsi="Times New Roman" w:cs="Times New Roman"/>
                <w:sz w:val="24"/>
                <w:szCs w:val="24"/>
              </w:rPr>
              <w:t>the principals in an LLC, LP</w:t>
            </w:r>
            <w:r w:rsidR="00462F0B">
              <w:rPr>
                <w:rFonts w:ascii="Times New Roman" w:hAnsi="Times New Roman" w:cs="Times New Roman"/>
                <w:sz w:val="24"/>
                <w:szCs w:val="24"/>
              </w:rPr>
              <w:t>,</w:t>
            </w:r>
            <w:r w:rsidRPr="007805BC">
              <w:rPr>
                <w:rFonts w:ascii="Times New Roman" w:hAnsi="Times New Roman" w:cs="Times New Roman"/>
                <w:sz w:val="24"/>
                <w:szCs w:val="24"/>
              </w:rPr>
              <w:t xml:space="preserve"> or non-profit for purposes of mortgage credit review and limited review of tax credit equity syndicators and passive investors and Previous Participation Review Requirements.</w:t>
            </w:r>
          </w:p>
        </w:tc>
      </w:tr>
      <w:tr w:rsidRPr="007805BC" w:rsidR="00D07289" w:rsidTr="002053AC" w14:paraId="2E1A735B" w14:textId="77777777">
        <w:tc>
          <w:tcPr>
            <w:tcW w:w="2826" w:type="dxa"/>
          </w:tcPr>
          <w:p w:rsidRPr="00CB6138" w:rsidR="00D07289" w:rsidP="00D07289" w:rsidRDefault="00D07289" w14:paraId="60483F28" w14:textId="0706E699">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8.5</w:t>
            </w:r>
          </w:p>
        </w:tc>
        <w:tc>
          <w:tcPr>
            <w:tcW w:w="6416" w:type="dxa"/>
          </w:tcPr>
          <w:p w:rsidRPr="007805BC" w:rsidR="00D07289" w:rsidP="00D07289" w:rsidRDefault="00D07289" w14:paraId="4EABC110" w14:textId="2EC93820">
            <w:pPr>
              <w:spacing w:line="276" w:lineRule="auto"/>
              <w:jc w:val="both"/>
              <w:rPr>
                <w:rFonts w:ascii="Times New Roman" w:hAnsi="Times New Roman" w:cs="Times New Roman"/>
                <w:sz w:val="24"/>
                <w:szCs w:val="24"/>
              </w:rPr>
            </w:pPr>
            <w:r w:rsidRPr="00B70BD9">
              <w:rPr>
                <w:rFonts w:ascii="Times New Roman" w:hAnsi="Times New Roman" w:cs="Times New Roman"/>
                <w:sz w:val="24"/>
                <w:szCs w:val="24"/>
              </w:rPr>
              <w:t>Financial requirements and LIHTC Letters of Commitment.</w:t>
            </w:r>
          </w:p>
        </w:tc>
      </w:tr>
      <w:tr w:rsidRPr="007805BC" w:rsidR="00D07289" w:rsidTr="002053AC" w14:paraId="6E0B704C" w14:textId="77777777">
        <w:tc>
          <w:tcPr>
            <w:tcW w:w="2826" w:type="dxa"/>
          </w:tcPr>
          <w:p w:rsidRPr="00CB6138" w:rsidR="00D07289" w:rsidP="00D07289" w:rsidRDefault="00D07289" w14:paraId="47C83D27" w14:textId="787AF478">
            <w:pPr>
              <w:spacing w:line="276" w:lineRule="auto"/>
              <w:rPr>
                <w:rFonts w:ascii="Times New Roman" w:hAnsi="Times New Roman" w:cs="Times New Roman"/>
                <w:sz w:val="24"/>
                <w:szCs w:val="24"/>
              </w:rPr>
            </w:pPr>
            <w:r>
              <w:rPr>
                <w:rFonts w:ascii="Times New Roman" w:hAnsi="Times New Roman" w:cs="Times New Roman"/>
                <w:sz w:val="24"/>
                <w:szCs w:val="24"/>
              </w:rPr>
              <w:t>Section 8.7</w:t>
            </w:r>
          </w:p>
        </w:tc>
        <w:tc>
          <w:tcPr>
            <w:tcW w:w="6416" w:type="dxa"/>
          </w:tcPr>
          <w:p w:rsidRPr="007805BC" w:rsidR="00D07289" w:rsidP="00D07289" w:rsidRDefault="00D07289" w14:paraId="67DEEBDD" w14:textId="794DC793">
            <w:pPr>
              <w:spacing w:line="276" w:lineRule="auto"/>
              <w:jc w:val="both"/>
              <w:rPr>
                <w:rFonts w:ascii="Times New Roman" w:hAnsi="Times New Roman" w:cs="Times New Roman"/>
                <w:sz w:val="24"/>
                <w:szCs w:val="24"/>
              </w:rPr>
            </w:pPr>
            <w:r>
              <w:rPr>
                <w:rFonts w:ascii="Times New Roman" w:hAnsi="Times New Roman" w:cs="Times New Roman"/>
                <w:sz w:val="24"/>
                <w:szCs w:val="24"/>
              </w:rPr>
              <w:t>Secondary Financing requirements for public and secondary financing.</w:t>
            </w:r>
            <w:r w:rsidRPr="007805BC">
              <w:rPr>
                <w:rFonts w:ascii="Times New Roman" w:hAnsi="Times New Roman" w:cs="Times New Roman"/>
                <w:sz w:val="24"/>
                <w:szCs w:val="24"/>
              </w:rPr>
              <w:t xml:space="preserve"> Requirements for secondary financing from governmental lenders and for bridge loans used to fund equity during the construction period; use of HUD’s form of Subordination Agreement instead of Note Rider.</w:t>
            </w:r>
          </w:p>
        </w:tc>
      </w:tr>
      <w:tr w:rsidRPr="007805BC" w:rsidR="00D07289" w:rsidTr="002053AC" w14:paraId="5A6620A8" w14:textId="77777777">
        <w:tc>
          <w:tcPr>
            <w:tcW w:w="2826" w:type="dxa"/>
          </w:tcPr>
          <w:p w:rsidRPr="00CB6138" w:rsidR="00D07289" w:rsidP="00D07289" w:rsidRDefault="00D07289" w14:paraId="0B4BCFBD" w14:textId="37EE4E56">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8.8</w:t>
            </w:r>
          </w:p>
        </w:tc>
        <w:tc>
          <w:tcPr>
            <w:tcW w:w="6416" w:type="dxa"/>
          </w:tcPr>
          <w:p w:rsidRPr="007805BC" w:rsidR="00D07289" w:rsidP="00D07289" w:rsidRDefault="00D07289" w14:paraId="766D4E6A" w14:textId="4C3FFD80">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Evaluating mortgage credit for non-profit sponsors.</w:t>
            </w:r>
          </w:p>
        </w:tc>
      </w:tr>
      <w:tr w:rsidRPr="007805BC" w:rsidR="00D07289" w:rsidTr="002053AC" w14:paraId="7658C9D8" w14:textId="77777777">
        <w:tc>
          <w:tcPr>
            <w:tcW w:w="2826" w:type="dxa"/>
          </w:tcPr>
          <w:p w:rsidRPr="00CB6138" w:rsidR="00D07289" w:rsidP="00D07289" w:rsidRDefault="00D07289" w14:paraId="1AFFB974" w14:textId="4DED038C">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8.12</w:t>
            </w:r>
          </w:p>
        </w:tc>
        <w:tc>
          <w:tcPr>
            <w:tcW w:w="6416" w:type="dxa"/>
          </w:tcPr>
          <w:p w:rsidRPr="007805BC" w:rsidR="00D07289" w:rsidP="00D07289" w:rsidRDefault="00D07289" w14:paraId="5F7A6A9C" w14:textId="18ADE8DB">
            <w:pPr>
              <w:spacing w:line="276" w:lineRule="auto"/>
              <w:jc w:val="both"/>
              <w:rPr>
                <w:rFonts w:ascii="Times New Roman" w:hAnsi="Times New Roman" w:cs="Times New Roman"/>
                <w:sz w:val="24"/>
                <w:szCs w:val="24"/>
              </w:rPr>
            </w:pPr>
            <w:r w:rsidRPr="00B70BD9">
              <w:rPr>
                <w:rFonts w:ascii="Times New Roman" w:hAnsi="Times New Roman" w:cs="Times New Roman"/>
                <w:sz w:val="24"/>
                <w:szCs w:val="24"/>
              </w:rPr>
              <w:t>Firm Commitment Processing with Grants and Loans</w:t>
            </w:r>
            <w:r>
              <w:rPr>
                <w:rFonts w:ascii="Times New Roman" w:hAnsi="Times New Roman" w:cs="Times New Roman"/>
                <w:sz w:val="24"/>
                <w:szCs w:val="24"/>
              </w:rPr>
              <w:t>.</w:t>
            </w:r>
            <w:r w:rsidRPr="007805BC" w:rsidDel="004C2B2C">
              <w:rPr>
                <w:rFonts w:ascii="Times New Roman" w:hAnsi="Times New Roman" w:cs="Times New Roman"/>
                <w:sz w:val="24"/>
                <w:szCs w:val="24"/>
              </w:rPr>
              <w:t xml:space="preserve"> </w:t>
            </w:r>
          </w:p>
        </w:tc>
      </w:tr>
      <w:tr w:rsidRPr="007805BC" w:rsidR="00D07289" w:rsidTr="002053AC" w14:paraId="3C247C88" w14:textId="77777777">
        <w:tc>
          <w:tcPr>
            <w:tcW w:w="2826" w:type="dxa"/>
          </w:tcPr>
          <w:p w:rsidRPr="00CB6138" w:rsidR="00D07289" w:rsidP="00D07289" w:rsidRDefault="00D07289" w14:paraId="2854AA54" w14:textId="5CEBC664">
            <w:pPr>
              <w:spacing w:line="276" w:lineRule="auto"/>
              <w:rPr>
                <w:rFonts w:ascii="Times New Roman" w:hAnsi="Times New Roman" w:cs="Times New Roman"/>
                <w:sz w:val="24"/>
                <w:szCs w:val="24"/>
              </w:rPr>
            </w:pPr>
            <w:r w:rsidRPr="00CB6138">
              <w:rPr>
                <w:rFonts w:ascii="Times New Roman" w:hAnsi="Times New Roman" w:cs="Times New Roman"/>
                <w:sz w:val="24"/>
                <w:szCs w:val="24"/>
              </w:rPr>
              <w:t>Section 8.1</w:t>
            </w:r>
            <w:r w:rsidRPr="007201BB">
              <w:rPr>
                <w:rFonts w:ascii="Times New Roman" w:hAnsi="Times New Roman" w:cs="Times New Roman"/>
                <w:sz w:val="24"/>
                <w:szCs w:val="24"/>
              </w:rPr>
              <w:t>4</w:t>
            </w:r>
            <w:r w:rsidRPr="00B70BD9">
              <w:rPr>
                <w:rFonts w:ascii="Times New Roman" w:hAnsi="Times New Roman" w:cs="Times New Roman"/>
                <w:sz w:val="24"/>
                <w:szCs w:val="24"/>
              </w:rPr>
              <w:t xml:space="preserve"> </w:t>
            </w:r>
          </w:p>
        </w:tc>
        <w:tc>
          <w:tcPr>
            <w:tcW w:w="6416" w:type="dxa"/>
          </w:tcPr>
          <w:p w:rsidRPr="007805BC" w:rsidR="00D07289" w:rsidP="00D07289" w:rsidRDefault="00D07289" w14:paraId="531733A1" w14:textId="216B94F2">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 xml:space="preserve">Cash requirements for </w:t>
            </w:r>
            <w:r w:rsidR="00F531E4">
              <w:rPr>
                <w:rFonts w:ascii="Times New Roman" w:hAnsi="Times New Roman" w:cs="Times New Roman"/>
                <w:sz w:val="24"/>
                <w:szCs w:val="24"/>
              </w:rPr>
              <w:t>Closing</w:t>
            </w:r>
            <w:r w:rsidR="003612A9">
              <w:rPr>
                <w:rFonts w:ascii="Times New Roman" w:hAnsi="Times New Roman" w:cs="Times New Roman"/>
                <w:sz w:val="24"/>
                <w:szCs w:val="24"/>
              </w:rPr>
              <w:t>.</w:t>
            </w:r>
          </w:p>
        </w:tc>
      </w:tr>
      <w:tr w:rsidRPr="007805BC" w:rsidR="00D07289" w:rsidTr="002053AC" w14:paraId="3D155544" w14:textId="77777777">
        <w:tc>
          <w:tcPr>
            <w:tcW w:w="2826" w:type="dxa"/>
          </w:tcPr>
          <w:p w:rsidRPr="00CB6138" w:rsidR="00D07289" w:rsidP="00D07289" w:rsidRDefault="00D07289" w14:paraId="5ECA4D76" w14:textId="285F89E5">
            <w:pPr>
              <w:spacing w:line="276" w:lineRule="auto"/>
              <w:rPr>
                <w:rFonts w:ascii="Times New Roman" w:hAnsi="Times New Roman" w:cs="Times New Roman"/>
                <w:sz w:val="24"/>
                <w:szCs w:val="24"/>
              </w:rPr>
            </w:pPr>
            <w:r w:rsidRPr="00CB6138">
              <w:rPr>
                <w:rFonts w:ascii="Times New Roman" w:hAnsi="Times New Roman" w:cs="Times New Roman"/>
                <w:sz w:val="24"/>
                <w:szCs w:val="24"/>
              </w:rPr>
              <w:lastRenderedPageBreak/>
              <w:t>Section 8.15</w:t>
            </w:r>
          </w:p>
        </w:tc>
        <w:tc>
          <w:tcPr>
            <w:tcW w:w="6416" w:type="dxa"/>
          </w:tcPr>
          <w:p w:rsidRPr="007805BC" w:rsidR="00D07289" w:rsidP="00D07289" w:rsidRDefault="00D07289" w14:paraId="120AA2D4" w14:textId="3D2089F9">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Requirements for tax</w:t>
            </w:r>
            <w:r w:rsidR="003612A9">
              <w:rPr>
                <w:rFonts w:ascii="Times New Roman" w:hAnsi="Times New Roman" w:cs="Times New Roman"/>
                <w:sz w:val="24"/>
                <w:szCs w:val="24"/>
              </w:rPr>
              <w:t>-</w:t>
            </w:r>
            <w:r w:rsidRPr="007805BC">
              <w:rPr>
                <w:rFonts w:ascii="Times New Roman" w:hAnsi="Times New Roman" w:cs="Times New Roman"/>
                <w:sz w:val="24"/>
                <w:szCs w:val="24"/>
              </w:rPr>
              <w:t>exempt bond financing.</w:t>
            </w:r>
          </w:p>
        </w:tc>
      </w:tr>
      <w:tr w:rsidRPr="007805BC" w:rsidR="00D07289" w:rsidTr="002053AC" w14:paraId="0FEBDFB7" w14:textId="77777777">
        <w:tc>
          <w:tcPr>
            <w:tcW w:w="2826" w:type="dxa"/>
          </w:tcPr>
          <w:p w:rsidRPr="00CB6138" w:rsidR="00D07289" w:rsidP="006A5914" w:rsidRDefault="00D07289" w14:paraId="7674D8A8" w14:textId="6D6F030B">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t>Section 11.5</w:t>
            </w:r>
          </w:p>
        </w:tc>
        <w:tc>
          <w:tcPr>
            <w:tcW w:w="6416" w:type="dxa"/>
          </w:tcPr>
          <w:p w:rsidRPr="006A5914" w:rsidR="006A5914" w:rsidP="006A5914" w:rsidRDefault="00D07289" w14:paraId="7BA8A5C1" w14:textId="3481AA4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Loan fees for tax-exempt bond financing. </w:t>
            </w:r>
          </w:p>
        </w:tc>
      </w:tr>
      <w:tr w:rsidRPr="007805BC" w:rsidR="00D07289" w:rsidTr="002053AC" w14:paraId="7843468F" w14:textId="77777777">
        <w:tc>
          <w:tcPr>
            <w:tcW w:w="2826" w:type="dxa"/>
          </w:tcPr>
          <w:p w:rsidRPr="00CB6138" w:rsidR="00D07289" w:rsidP="00D07289" w:rsidRDefault="00D07289" w14:paraId="66F23A08" w14:textId="1CE945EA">
            <w:pPr>
              <w:spacing w:line="276" w:lineRule="auto"/>
              <w:rPr>
                <w:rFonts w:ascii="Times New Roman" w:hAnsi="Times New Roman" w:cs="Times New Roman"/>
                <w:sz w:val="24"/>
                <w:szCs w:val="24"/>
              </w:rPr>
            </w:pPr>
            <w:r>
              <w:rPr>
                <w:rFonts w:ascii="Times New Roman" w:hAnsi="Times New Roman" w:cs="Times New Roman"/>
                <w:sz w:val="24"/>
                <w:szCs w:val="24"/>
              </w:rPr>
              <w:t>Section 11.8</w:t>
            </w:r>
          </w:p>
        </w:tc>
        <w:tc>
          <w:tcPr>
            <w:tcW w:w="6416" w:type="dxa"/>
          </w:tcPr>
          <w:p w:rsidRPr="007805BC" w:rsidR="00D07289" w:rsidP="00D07289" w:rsidRDefault="00D07289" w14:paraId="75A93AD7" w14:textId="78F8D429">
            <w:pPr>
              <w:spacing w:line="276" w:lineRule="auto"/>
              <w:jc w:val="both"/>
              <w:rPr>
                <w:rFonts w:ascii="Times New Roman" w:hAnsi="Times New Roman" w:cs="Times New Roman"/>
                <w:sz w:val="24"/>
                <w:szCs w:val="24"/>
              </w:rPr>
            </w:pPr>
            <w:r>
              <w:rPr>
                <w:rFonts w:ascii="Times New Roman" w:hAnsi="Times New Roman" w:cs="Times New Roman"/>
                <w:sz w:val="24"/>
                <w:szCs w:val="24"/>
              </w:rPr>
              <w:t>Prepayment provisions for affordable or subsidized properties.</w:t>
            </w:r>
          </w:p>
        </w:tc>
      </w:tr>
      <w:tr w:rsidRPr="007805BC" w:rsidR="00D07289" w:rsidTr="002053AC" w14:paraId="6ACCEC62" w14:textId="77777777">
        <w:tc>
          <w:tcPr>
            <w:tcW w:w="2826" w:type="dxa"/>
          </w:tcPr>
          <w:p w:rsidRPr="00CB6138" w:rsidR="00D07289" w:rsidP="00D07289" w:rsidRDefault="00D07289" w14:paraId="61B26BD6" w14:textId="6834794D">
            <w:pPr>
              <w:spacing w:line="276" w:lineRule="auto"/>
              <w:rPr>
                <w:rFonts w:ascii="Times New Roman" w:hAnsi="Times New Roman" w:cs="Times New Roman"/>
                <w:sz w:val="24"/>
                <w:szCs w:val="24"/>
              </w:rPr>
            </w:pPr>
            <w:r w:rsidRPr="00CB6138">
              <w:rPr>
                <w:rFonts w:ascii="Times New Roman" w:hAnsi="Times New Roman" w:cs="Times New Roman"/>
                <w:sz w:val="24"/>
                <w:szCs w:val="24"/>
              </w:rPr>
              <w:t xml:space="preserve">Section </w:t>
            </w:r>
            <w:r>
              <w:rPr>
                <w:rFonts w:ascii="Times New Roman" w:hAnsi="Times New Roman" w:cs="Times New Roman"/>
                <w:sz w:val="24"/>
                <w:szCs w:val="24"/>
              </w:rPr>
              <w:t xml:space="preserve">12.7, </w:t>
            </w:r>
            <w:r w:rsidRPr="00CB6138">
              <w:rPr>
                <w:rFonts w:ascii="Times New Roman" w:hAnsi="Times New Roman" w:cs="Times New Roman"/>
                <w:sz w:val="24"/>
                <w:szCs w:val="24"/>
              </w:rPr>
              <w:t>13.</w:t>
            </w:r>
            <w:r>
              <w:rPr>
                <w:rFonts w:ascii="Times New Roman" w:hAnsi="Times New Roman" w:cs="Times New Roman"/>
                <w:sz w:val="24"/>
                <w:szCs w:val="24"/>
              </w:rPr>
              <w:t>1, &amp; 13.4</w:t>
            </w:r>
          </w:p>
        </w:tc>
        <w:tc>
          <w:tcPr>
            <w:tcW w:w="6416" w:type="dxa"/>
          </w:tcPr>
          <w:p w:rsidRPr="007805BC" w:rsidR="00D07289" w:rsidP="00D07289" w:rsidRDefault="00D07289" w14:paraId="14DFDA78" w14:textId="2459EEEC">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 xml:space="preserve">No cost certification required for </w:t>
            </w:r>
            <w:r w:rsidR="00DF2794">
              <w:rPr>
                <w:rFonts w:ascii="Times New Roman" w:hAnsi="Times New Roman" w:cs="Times New Roman"/>
                <w:sz w:val="24"/>
                <w:szCs w:val="24"/>
              </w:rPr>
              <w:t>T</w:t>
            </w:r>
            <w:r w:rsidRPr="007805BC">
              <w:rPr>
                <w:rFonts w:ascii="Times New Roman" w:hAnsi="Times New Roman" w:cs="Times New Roman"/>
                <w:sz w:val="24"/>
                <w:szCs w:val="24"/>
              </w:rPr>
              <w:t xml:space="preserve">ax </w:t>
            </w:r>
            <w:r w:rsidR="00DF2794">
              <w:rPr>
                <w:rFonts w:ascii="Times New Roman" w:hAnsi="Times New Roman" w:cs="Times New Roman"/>
                <w:sz w:val="24"/>
                <w:szCs w:val="24"/>
              </w:rPr>
              <w:t>C</w:t>
            </w:r>
            <w:r w:rsidRPr="007805BC">
              <w:rPr>
                <w:rFonts w:ascii="Times New Roman" w:hAnsi="Times New Roman" w:cs="Times New Roman"/>
                <w:sz w:val="24"/>
                <w:szCs w:val="24"/>
              </w:rPr>
              <w:t xml:space="preserve">redit projects if </w:t>
            </w:r>
            <w:r>
              <w:rPr>
                <w:rFonts w:ascii="Times New Roman" w:hAnsi="Times New Roman" w:cs="Times New Roman"/>
                <w:sz w:val="24"/>
                <w:szCs w:val="24"/>
              </w:rPr>
              <w:t xml:space="preserve">LTC/ </w:t>
            </w:r>
            <w:r w:rsidRPr="007805BC">
              <w:rPr>
                <w:rFonts w:ascii="Times New Roman" w:hAnsi="Times New Roman" w:cs="Times New Roman"/>
                <w:sz w:val="24"/>
                <w:szCs w:val="24"/>
              </w:rPr>
              <w:t>LT</w:t>
            </w:r>
            <w:r w:rsidR="00CD2516">
              <w:rPr>
                <w:rFonts w:ascii="Times New Roman" w:hAnsi="Times New Roman" w:cs="Times New Roman"/>
                <w:sz w:val="24"/>
                <w:szCs w:val="24"/>
              </w:rPr>
              <w:t>V</w:t>
            </w:r>
            <w:r w:rsidRPr="007805BC">
              <w:rPr>
                <w:rFonts w:ascii="Times New Roman" w:hAnsi="Times New Roman" w:cs="Times New Roman"/>
                <w:sz w:val="24"/>
                <w:szCs w:val="24"/>
              </w:rPr>
              <w:t xml:space="preserve"> less than or equal to 80%.</w:t>
            </w:r>
          </w:p>
        </w:tc>
      </w:tr>
      <w:tr w:rsidRPr="007805BC" w:rsidR="00A67934" w:rsidTr="002053AC" w14:paraId="28C61538" w14:textId="77777777">
        <w:tc>
          <w:tcPr>
            <w:tcW w:w="2826" w:type="dxa"/>
          </w:tcPr>
          <w:p w:rsidRPr="00CB6138" w:rsidR="00A67934" w:rsidP="00D07289" w:rsidRDefault="00A67934" w14:paraId="28BD2FE3" w14:textId="3C362575">
            <w:pPr>
              <w:spacing w:line="276" w:lineRule="auto"/>
              <w:rPr>
                <w:rFonts w:ascii="Times New Roman" w:hAnsi="Times New Roman" w:cs="Times New Roman"/>
                <w:sz w:val="24"/>
                <w:szCs w:val="24"/>
              </w:rPr>
            </w:pPr>
            <w:r>
              <w:rPr>
                <w:rFonts w:ascii="Times New Roman" w:hAnsi="Times New Roman" w:cs="Times New Roman"/>
                <w:sz w:val="24"/>
                <w:szCs w:val="24"/>
              </w:rPr>
              <w:t>Chapter 16</w:t>
            </w:r>
          </w:p>
        </w:tc>
        <w:tc>
          <w:tcPr>
            <w:tcW w:w="6416" w:type="dxa"/>
          </w:tcPr>
          <w:p w:rsidRPr="007805BC" w:rsidR="00A67934" w:rsidP="00D07289" w:rsidRDefault="00A67934" w14:paraId="7CE2EDB4" w14:textId="18000806">
            <w:pPr>
              <w:spacing w:line="276" w:lineRule="auto"/>
              <w:jc w:val="both"/>
              <w:rPr>
                <w:rFonts w:ascii="Times New Roman" w:hAnsi="Times New Roman" w:cs="Times New Roman"/>
                <w:sz w:val="24"/>
                <w:szCs w:val="24"/>
              </w:rPr>
            </w:pPr>
            <w:r>
              <w:rPr>
                <w:rFonts w:ascii="Times New Roman" w:hAnsi="Times New Roman" w:cs="Times New Roman"/>
                <w:sz w:val="24"/>
                <w:szCs w:val="24"/>
              </w:rPr>
              <w:t>Master Leases</w:t>
            </w:r>
            <w:r w:rsidR="003612A9">
              <w:rPr>
                <w:rFonts w:ascii="Times New Roman" w:hAnsi="Times New Roman" w:cs="Times New Roman"/>
                <w:sz w:val="24"/>
                <w:szCs w:val="24"/>
              </w:rPr>
              <w:t>.</w:t>
            </w:r>
          </w:p>
        </w:tc>
      </w:tr>
      <w:tr w:rsidRPr="007805BC" w:rsidR="00D07289" w:rsidTr="002053AC" w14:paraId="76EBD1D8" w14:textId="77777777">
        <w:tc>
          <w:tcPr>
            <w:tcW w:w="2826" w:type="dxa"/>
          </w:tcPr>
          <w:p w:rsidRPr="00CB6138" w:rsidR="00D07289" w:rsidP="00D07289" w:rsidRDefault="00D07289" w14:paraId="728BBF00" w14:textId="7CF01730">
            <w:pPr>
              <w:spacing w:line="276" w:lineRule="auto"/>
              <w:rPr>
                <w:rFonts w:ascii="Times New Roman" w:hAnsi="Times New Roman" w:cs="Times New Roman"/>
                <w:sz w:val="24"/>
                <w:szCs w:val="24"/>
              </w:rPr>
            </w:pPr>
            <w:r>
              <w:rPr>
                <w:rFonts w:ascii="Times New Roman" w:hAnsi="Times New Roman" w:cs="Times New Roman"/>
                <w:sz w:val="24"/>
                <w:szCs w:val="24"/>
              </w:rPr>
              <w:t>Appendix 3B</w:t>
            </w:r>
          </w:p>
        </w:tc>
        <w:tc>
          <w:tcPr>
            <w:tcW w:w="6416" w:type="dxa"/>
          </w:tcPr>
          <w:p w:rsidRPr="007805BC" w:rsidR="00D07289" w:rsidP="00D07289" w:rsidRDefault="00D07289" w14:paraId="762B51BE" w14:textId="6FA66AB5">
            <w:pPr>
              <w:spacing w:line="276" w:lineRule="auto"/>
              <w:jc w:val="both"/>
              <w:rPr>
                <w:rFonts w:ascii="Times New Roman" w:hAnsi="Times New Roman" w:cs="Times New Roman"/>
                <w:sz w:val="24"/>
                <w:szCs w:val="24"/>
              </w:rPr>
            </w:pPr>
            <w:r>
              <w:rPr>
                <w:rFonts w:ascii="Times New Roman" w:hAnsi="Times New Roman" w:cs="Times New Roman"/>
                <w:sz w:val="24"/>
                <w:szCs w:val="24"/>
              </w:rPr>
              <w:t>Developer Fees by Program</w:t>
            </w:r>
            <w:r w:rsidR="00784043">
              <w:rPr>
                <w:rFonts w:ascii="Times New Roman" w:hAnsi="Times New Roman" w:cs="Times New Roman"/>
                <w:sz w:val="24"/>
                <w:szCs w:val="24"/>
              </w:rPr>
              <w:t>.</w:t>
            </w:r>
          </w:p>
        </w:tc>
      </w:tr>
      <w:tr w:rsidRPr="007805BC" w:rsidR="00D07289" w:rsidTr="002053AC" w14:paraId="3C5C64D8" w14:textId="77777777">
        <w:tc>
          <w:tcPr>
            <w:tcW w:w="2826" w:type="dxa"/>
          </w:tcPr>
          <w:p w:rsidR="00D07289" w:rsidP="00D07289" w:rsidRDefault="00D07289" w14:paraId="5E8B15EC" w14:textId="3E0E9A5C">
            <w:pPr>
              <w:spacing w:line="276" w:lineRule="auto"/>
              <w:rPr>
                <w:rFonts w:ascii="Times New Roman" w:hAnsi="Times New Roman" w:cs="Times New Roman"/>
                <w:sz w:val="24"/>
                <w:szCs w:val="24"/>
              </w:rPr>
            </w:pPr>
            <w:r>
              <w:rPr>
                <w:rFonts w:ascii="Times New Roman" w:hAnsi="Times New Roman" w:cs="Times New Roman"/>
                <w:sz w:val="24"/>
                <w:szCs w:val="24"/>
              </w:rPr>
              <w:t>Appendix 3G</w:t>
            </w:r>
          </w:p>
        </w:tc>
        <w:tc>
          <w:tcPr>
            <w:tcW w:w="6416" w:type="dxa"/>
          </w:tcPr>
          <w:p w:rsidR="00D07289" w:rsidP="00D07289" w:rsidRDefault="00D07289" w14:paraId="18D4F234" w14:textId="4D980E99">
            <w:pPr>
              <w:spacing w:line="276" w:lineRule="auto"/>
              <w:jc w:val="both"/>
              <w:rPr>
                <w:rFonts w:ascii="Times New Roman" w:hAnsi="Times New Roman" w:cs="Times New Roman"/>
                <w:sz w:val="24"/>
                <w:szCs w:val="24"/>
              </w:rPr>
            </w:pPr>
            <w:r>
              <w:rPr>
                <w:rFonts w:ascii="Times New Roman" w:hAnsi="Times New Roman" w:cs="Times New Roman"/>
                <w:sz w:val="24"/>
                <w:szCs w:val="24"/>
              </w:rPr>
              <w:t>Broadly Affordable and Affordable MIP rate categories.</w:t>
            </w:r>
          </w:p>
        </w:tc>
      </w:tr>
      <w:tr w:rsidRPr="007805BC" w:rsidR="00D07289" w:rsidTr="002053AC" w14:paraId="46D8FFBB" w14:textId="77777777">
        <w:tc>
          <w:tcPr>
            <w:tcW w:w="2826" w:type="dxa"/>
          </w:tcPr>
          <w:p w:rsidRPr="00CB6138" w:rsidR="00D07289" w:rsidDel="00AB1BA0" w:rsidP="00D07289" w:rsidRDefault="00D07289" w14:paraId="1EAB536D" w14:textId="6ACEE255">
            <w:pPr>
              <w:spacing w:line="276" w:lineRule="auto"/>
              <w:rPr>
                <w:rFonts w:ascii="Times New Roman" w:hAnsi="Times New Roman" w:cs="Times New Roman"/>
                <w:sz w:val="24"/>
                <w:szCs w:val="24"/>
              </w:rPr>
            </w:pPr>
            <w:r>
              <w:rPr>
                <w:rFonts w:ascii="Times New Roman" w:hAnsi="Times New Roman" w:cs="Times New Roman"/>
                <w:sz w:val="24"/>
                <w:szCs w:val="24"/>
              </w:rPr>
              <w:t xml:space="preserve">Appendix 4 </w:t>
            </w:r>
          </w:p>
        </w:tc>
        <w:tc>
          <w:tcPr>
            <w:tcW w:w="6416" w:type="dxa"/>
          </w:tcPr>
          <w:p w:rsidR="00D07289" w:rsidP="00D07289" w:rsidRDefault="00D07289" w14:paraId="2DAC522B" w14:textId="1DCDB537">
            <w:pPr>
              <w:spacing w:line="276" w:lineRule="auto"/>
              <w:jc w:val="both"/>
              <w:rPr>
                <w:rFonts w:ascii="Times New Roman" w:hAnsi="Times New Roman" w:cs="Times New Roman"/>
                <w:sz w:val="24"/>
                <w:szCs w:val="24"/>
              </w:rPr>
            </w:pPr>
            <w:r>
              <w:rPr>
                <w:rFonts w:ascii="Times New Roman" w:hAnsi="Times New Roman" w:cs="Times New Roman"/>
                <w:sz w:val="24"/>
                <w:szCs w:val="24"/>
              </w:rPr>
              <w:t>Application exhibits</w:t>
            </w:r>
            <w:r w:rsidR="00784043">
              <w:rPr>
                <w:rFonts w:ascii="Times New Roman" w:hAnsi="Times New Roman" w:cs="Times New Roman"/>
                <w:sz w:val="24"/>
                <w:szCs w:val="24"/>
              </w:rPr>
              <w:t>.</w:t>
            </w:r>
          </w:p>
        </w:tc>
      </w:tr>
      <w:tr w:rsidRPr="007805BC" w:rsidR="003612A9" w:rsidTr="002053AC" w14:paraId="006A5ACB" w14:textId="77777777">
        <w:tc>
          <w:tcPr>
            <w:tcW w:w="2826" w:type="dxa"/>
          </w:tcPr>
          <w:p w:rsidR="003612A9" w:rsidP="00D07289" w:rsidRDefault="003612A9" w14:paraId="22C99911" w14:textId="269DF3FF">
            <w:pPr>
              <w:spacing w:line="276" w:lineRule="auto"/>
              <w:rPr>
                <w:rFonts w:ascii="Times New Roman" w:hAnsi="Times New Roman" w:cs="Times New Roman"/>
                <w:sz w:val="24"/>
                <w:szCs w:val="24"/>
              </w:rPr>
            </w:pPr>
            <w:r>
              <w:rPr>
                <w:rFonts w:ascii="Times New Roman" w:hAnsi="Times New Roman" w:cs="Times New Roman"/>
                <w:sz w:val="24"/>
                <w:szCs w:val="24"/>
              </w:rPr>
              <w:t>Appendix 8H</w:t>
            </w:r>
          </w:p>
        </w:tc>
        <w:tc>
          <w:tcPr>
            <w:tcW w:w="6416" w:type="dxa"/>
          </w:tcPr>
          <w:p w:rsidR="003612A9" w:rsidP="00D07289" w:rsidRDefault="003612A9" w14:paraId="2B01D58D" w14:textId="69C02CDB">
            <w:pPr>
              <w:spacing w:line="276" w:lineRule="auto"/>
              <w:jc w:val="both"/>
              <w:rPr>
                <w:rFonts w:ascii="Times New Roman" w:hAnsi="Times New Roman" w:cs="Times New Roman"/>
                <w:sz w:val="24"/>
                <w:szCs w:val="24"/>
              </w:rPr>
            </w:pPr>
            <w:r>
              <w:rPr>
                <w:rFonts w:ascii="Times New Roman" w:hAnsi="Times New Roman" w:cs="Times New Roman"/>
                <w:sz w:val="24"/>
                <w:szCs w:val="24"/>
              </w:rPr>
              <w:t>Identification and Certification of Limited Liability Investor Entities.</w:t>
            </w:r>
          </w:p>
        </w:tc>
      </w:tr>
      <w:tr w:rsidRPr="007805BC" w:rsidR="003612A9" w:rsidTr="002053AC" w14:paraId="7DABB348" w14:textId="77777777">
        <w:tc>
          <w:tcPr>
            <w:tcW w:w="2826" w:type="dxa"/>
          </w:tcPr>
          <w:p w:rsidR="003612A9" w:rsidP="00D07289" w:rsidRDefault="003612A9" w14:paraId="5798D010" w14:textId="2ADE4042">
            <w:pPr>
              <w:spacing w:line="276" w:lineRule="auto"/>
              <w:rPr>
                <w:rFonts w:ascii="Times New Roman" w:hAnsi="Times New Roman" w:cs="Times New Roman"/>
                <w:sz w:val="24"/>
                <w:szCs w:val="24"/>
              </w:rPr>
            </w:pPr>
            <w:r>
              <w:rPr>
                <w:rFonts w:ascii="Times New Roman" w:hAnsi="Times New Roman" w:cs="Times New Roman"/>
                <w:sz w:val="24"/>
                <w:szCs w:val="24"/>
              </w:rPr>
              <w:t>Appendix 12A</w:t>
            </w:r>
          </w:p>
        </w:tc>
        <w:tc>
          <w:tcPr>
            <w:tcW w:w="6416" w:type="dxa"/>
          </w:tcPr>
          <w:p w:rsidR="003612A9" w:rsidP="00D07289" w:rsidRDefault="003612A9" w14:paraId="1C72DD97" w14:textId="01E59C26">
            <w:pPr>
              <w:spacing w:line="276" w:lineRule="auto"/>
              <w:jc w:val="both"/>
              <w:rPr>
                <w:rFonts w:ascii="Times New Roman" w:hAnsi="Times New Roman" w:cs="Times New Roman"/>
                <w:sz w:val="24"/>
                <w:szCs w:val="24"/>
              </w:rPr>
            </w:pPr>
            <w:r>
              <w:rPr>
                <w:rFonts w:ascii="Times New Roman" w:hAnsi="Times New Roman" w:cs="Times New Roman"/>
                <w:sz w:val="24"/>
                <w:szCs w:val="24"/>
              </w:rPr>
              <w:t>Disbursement of grant and LIHTC proceeds.</w:t>
            </w:r>
          </w:p>
        </w:tc>
      </w:tr>
    </w:tbl>
    <w:p w:rsidRPr="005357A5" w:rsidR="00506CFF" w:rsidP="00BD62C4" w:rsidRDefault="00506CFF" w14:paraId="30791DA7" w14:textId="77777777">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p>
    <w:p w:rsidRPr="005357A5" w:rsidR="00D56665" w:rsidP="00BD62C4" w:rsidRDefault="00D56665" w14:paraId="63DA3859" w14:textId="367B3A52">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14.3</w:t>
      </w:r>
      <w:r w:rsidRPr="005357A5">
        <w:rPr>
          <w:rFonts w:ascii="Times New Roman" w:hAnsi="Times New Roman" w:eastAsia="Times New Roman" w:cs="Times New Roman"/>
          <w:b/>
          <w:sz w:val="28"/>
          <w:szCs w:val="28"/>
        </w:rPr>
        <w:tab/>
        <w:t xml:space="preserve">Historic </w:t>
      </w:r>
      <w:r w:rsidRPr="005357A5" w:rsidR="009B6DB6">
        <w:rPr>
          <w:rFonts w:ascii="Times New Roman" w:hAnsi="Times New Roman" w:eastAsia="Times New Roman" w:cs="Times New Roman"/>
          <w:b/>
          <w:sz w:val="28"/>
          <w:szCs w:val="28"/>
        </w:rPr>
        <w:t xml:space="preserve">(“HTC”) </w:t>
      </w:r>
      <w:r w:rsidRPr="005357A5">
        <w:rPr>
          <w:rFonts w:ascii="Times New Roman" w:hAnsi="Times New Roman" w:eastAsia="Times New Roman" w:cs="Times New Roman"/>
          <w:b/>
          <w:sz w:val="28"/>
          <w:szCs w:val="28"/>
        </w:rPr>
        <w:t>and New Markets Tax Credits</w:t>
      </w:r>
      <w:r w:rsidRPr="005357A5" w:rsidR="009B6DB6">
        <w:rPr>
          <w:rFonts w:ascii="Times New Roman" w:hAnsi="Times New Roman" w:eastAsia="Times New Roman" w:cs="Times New Roman"/>
          <w:b/>
          <w:sz w:val="28"/>
          <w:szCs w:val="28"/>
        </w:rPr>
        <w:t xml:space="preserve"> (“NMTC”)</w:t>
      </w:r>
    </w:p>
    <w:p w:rsidRPr="007805BC" w:rsidR="00442F2D" w:rsidRDefault="0021719D" w14:paraId="0637AF02" w14:textId="1F099145">
      <w:pPr>
        <w:widowControl w:val="0"/>
        <w:shd w:val="clear" w:color="auto" w:fill="FFFFFF" w:themeFill="background1"/>
        <w:suppressAutoHyphens/>
        <w:overflowPunct w:val="0"/>
        <w:autoSpaceDE w:val="0"/>
        <w:autoSpaceDN w:val="0"/>
        <w:adjustRightInd w:val="0"/>
        <w:spacing w:before="240" w:after="480" w:line="276" w:lineRule="auto"/>
        <w:jc w:val="both"/>
        <w:textAlignment w:val="baseline"/>
        <w:rPr>
          <w:rFonts w:ascii="Times New Roman" w:hAnsi="Times New Roman" w:eastAsia="Times New Roman" w:cs="Times New Roman"/>
          <w:sz w:val="24"/>
          <w:szCs w:val="24"/>
        </w:rPr>
      </w:pPr>
      <w:r w:rsidRPr="00C34ABE">
        <w:rPr>
          <w:rFonts w:ascii="Times New Roman" w:hAnsi="Times New Roman" w:eastAsia="Times New Roman" w:cs="Times New Roman"/>
          <w:sz w:val="24"/>
          <w:szCs w:val="24"/>
        </w:rPr>
        <w:t xml:space="preserve">The Federal </w:t>
      </w:r>
      <w:r w:rsidRPr="007805BC" w:rsidR="00EA4D17">
        <w:rPr>
          <w:rFonts w:ascii="Times New Roman" w:hAnsi="Times New Roman" w:eastAsia="Times New Roman" w:cs="Times New Roman"/>
          <w:sz w:val="24"/>
          <w:szCs w:val="24"/>
        </w:rPr>
        <w:t xml:space="preserve">Historic </w:t>
      </w:r>
      <w:r w:rsidRPr="007805BC">
        <w:rPr>
          <w:rFonts w:ascii="Times New Roman" w:hAnsi="Times New Roman" w:eastAsia="Times New Roman" w:cs="Times New Roman"/>
          <w:sz w:val="24"/>
          <w:szCs w:val="24"/>
        </w:rPr>
        <w:t>Preservation</w:t>
      </w:r>
      <w:r w:rsidRPr="007805BC" w:rsidR="00E945F6">
        <w:rPr>
          <w:rFonts w:ascii="Times New Roman" w:hAnsi="Times New Roman" w:eastAsia="Times New Roman" w:cs="Times New Roman"/>
          <w:sz w:val="24"/>
          <w:szCs w:val="24"/>
        </w:rPr>
        <w:t xml:space="preserve"> </w:t>
      </w:r>
      <w:r w:rsidRPr="007805BC" w:rsidR="00EA4D17">
        <w:rPr>
          <w:rFonts w:ascii="Times New Roman" w:hAnsi="Times New Roman" w:eastAsia="Times New Roman" w:cs="Times New Roman"/>
          <w:sz w:val="24"/>
          <w:szCs w:val="24"/>
        </w:rPr>
        <w:t xml:space="preserve">Tax </w:t>
      </w:r>
      <w:r w:rsidRPr="007805BC" w:rsidR="00042B6A">
        <w:rPr>
          <w:rFonts w:ascii="Times New Roman" w:hAnsi="Times New Roman" w:eastAsia="Times New Roman" w:cs="Times New Roman"/>
          <w:sz w:val="24"/>
          <w:szCs w:val="24"/>
        </w:rPr>
        <w:t>Credit</w:t>
      </w:r>
      <w:r w:rsidRPr="007805BC" w:rsidR="00297B62">
        <w:rPr>
          <w:rFonts w:ascii="Times New Roman" w:hAnsi="Times New Roman" w:eastAsia="Times New Roman" w:cs="Times New Roman"/>
          <w:sz w:val="24"/>
          <w:szCs w:val="24"/>
        </w:rPr>
        <w:t xml:space="preserve"> program encourages private sector investment in the rehabilitation and re-use of historic buildings.  The National Park Service</w:t>
      </w:r>
      <w:r w:rsidRPr="007805BC" w:rsidR="00442F2D">
        <w:rPr>
          <w:rFonts w:ascii="Times New Roman" w:hAnsi="Times New Roman" w:eastAsia="Times New Roman" w:cs="Times New Roman"/>
          <w:sz w:val="24"/>
          <w:szCs w:val="24"/>
        </w:rPr>
        <w:t xml:space="preserve"> and the Internal Revenue Service administer the program in partnership with State </w:t>
      </w:r>
      <w:r w:rsidRPr="007805BC" w:rsidR="00FE5D0C">
        <w:rPr>
          <w:rFonts w:ascii="Times New Roman" w:hAnsi="Times New Roman" w:eastAsia="Times New Roman" w:cs="Times New Roman"/>
          <w:sz w:val="24"/>
          <w:szCs w:val="24"/>
        </w:rPr>
        <w:t xml:space="preserve">Historic Preservation Offices. </w:t>
      </w:r>
      <w:r w:rsidRPr="007805BC" w:rsidR="001C509D">
        <w:rPr>
          <w:rFonts w:ascii="Times New Roman" w:hAnsi="Times New Roman" w:eastAsia="Times New Roman" w:cs="Times New Roman"/>
          <w:sz w:val="24"/>
          <w:szCs w:val="24"/>
        </w:rPr>
        <w:t xml:space="preserve"> </w:t>
      </w:r>
      <w:r w:rsidRPr="007805BC" w:rsidR="001D5A8F">
        <w:rPr>
          <w:rFonts w:ascii="Times New Roman" w:hAnsi="Times New Roman" w:eastAsia="Times New Roman" w:cs="Times New Roman"/>
          <w:sz w:val="24"/>
          <w:szCs w:val="24"/>
        </w:rPr>
        <w:t>Some s</w:t>
      </w:r>
      <w:r w:rsidRPr="007805BC" w:rsidR="00641C0A">
        <w:rPr>
          <w:rFonts w:ascii="Times New Roman" w:hAnsi="Times New Roman" w:eastAsia="Times New Roman" w:cs="Times New Roman"/>
          <w:sz w:val="24"/>
          <w:szCs w:val="24"/>
        </w:rPr>
        <w:t xml:space="preserve">tates also offer </w:t>
      </w:r>
      <w:r w:rsidRPr="007805BC" w:rsidR="0022737F">
        <w:rPr>
          <w:rFonts w:ascii="Times New Roman" w:hAnsi="Times New Roman" w:eastAsia="Times New Roman" w:cs="Times New Roman"/>
          <w:sz w:val="24"/>
          <w:szCs w:val="24"/>
        </w:rPr>
        <w:t>tax credits for historic buildings</w:t>
      </w:r>
      <w:r w:rsidRPr="007805BC" w:rsidR="001D5A8F">
        <w:rPr>
          <w:rFonts w:ascii="Times New Roman" w:hAnsi="Times New Roman" w:eastAsia="Times New Roman" w:cs="Times New Roman"/>
          <w:sz w:val="24"/>
          <w:szCs w:val="24"/>
        </w:rPr>
        <w:t xml:space="preserve"> and encourage applicants to </w:t>
      </w:r>
      <w:r w:rsidRPr="007805BC" w:rsidR="0022737F">
        <w:rPr>
          <w:rFonts w:ascii="Times New Roman" w:hAnsi="Times New Roman" w:eastAsia="Times New Roman" w:cs="Times New Roman"/>
          <w:sz w:val="24"/>
          <w:szCs w:val="24"/>
        </w:rPr>
        <w:t xml:space="preserve">apply to both </w:t>
      </w:r>
      <w:r w:rsidR="00DE204F">
        <w:rPr>
          <w:rFonts w:ascii="Times New Roman" w:hAnsi="Times New Roman" w:eastAsia="Times New Roman" w:cs="Times New Roman"/>
          <w:sz w:val="24"/>
          <w:szCs w:val="24"/>
        </w:rPr>
        <w:t xml:space="preserve">federal and state </w:t>
      </w:r>
      <w:r w:rsidRPr="007805BC" w:rsidR="0022737F">
        <w:rPr>
          <w:rFonts w:ascii="Times New Roman" w:hAnsi="Times New Roman" w:eastAsia="Times New Roman" w:cs="Times New Roman"/>
          <w:sz w:val="24"/>
          <w:szCs w:val="24"/>
        </w:rPr>
        <w:t xml:space="preserve">programs together.  </w:t>
      </w:r>
      <w:r w:rsidRPr="007805BC" w:rsidR="00502A76">
        <w:rPr>
          <w:rFonts w:ascii="Times New Roman" w:hAnsi="Times New Roman" w:eastAsia="Times New Roman" w:cs="Times New Roman"/>
          <w:sz w:val="24"/>
          <w:szCs w:val="24"/>
        </w:rPr>
        <w:t>The HTC can be coupled with other local, state and federal incentives as well</w:t>
      </w:r>
      <w:r w:rsidRPr="007805BC" w:rsidR="00200151">
        <w:rPr>
          <w:rFonts w:ascii="Times New Roman" w:hAnsi="Times New Roman" w:eastAsia="Times New Roman" w:cs="Times New Roman"/>
          <w:sz w:val="24"/>
          <w:szCs w:val="24"/>
        </w:rPr>
        <w:t>, including LIHTC</w:t>
      </w:r>
      <w:r w:rsidRPr="007805BC" w:rsidR="00502A76">
        <w:rPr>
          <w:rFonts w:ascii="Times New Roman" w:hAnsi="Times New Roman" w:eastAsia="Times New Roman" w:cs="Times New Roman"/>
          <w:sz w:val="24"/>
          <w:szCs w:val="24"/>
        </w:rPr>
        <w:t>.</w:t>
      </w:r>
    </w:p>
    <w:p w:rsidRPr="00B70BD9" w:rsidR="004C60C7" w:rsidP="005357A5" w:rsidRDefault="00D56665" w14:paraId="390890FA" w14:textId="7E4C617B">
      <w:pPr>
        <w:widowControl w:val="0"/>
        <w:shd w:val="clear" w:color="auto" w:fill="FFFFFF" w:themeFill="background1"/>
        <w:suppressAutoHyphens/>
        <w:overflowPunct w:val="0"/>
        <w:autoSpaceDE w:val="0"/>
        <w:autoSpaceDN w:val="0"/>
        <w:adjustRightInd w:val="0"/>
        <w:spacing w:before="240" w:after="480" w:line="276" w:lineRule="auto"/>
        <w:jc w:val="both"/>
        <w:textAlignment w:val="baseline"/>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New Markets Tax Credits are administered by the </w:t>
      </w:r>
      <w:r w:rsidRPr="005357A5">
        <w:rPr>
          <w:rFonts w:ascii="Times New Roman" w:hAnsi="Times New Roman" w:cs="Times New Roman"/>
          <w:sz w:val="24"/>
          <w:szCs w:val="24"/>
          <w:lang w:val="en"/>
        </w:rPr>
        <w:t>Community Development Financial Institutions Fund, or “CDFI” Fund, (a program within the U.S. Department of the Treasury)</w:t>
      </w:r>
      <w:r w:rsidRPr="005357A5" w:rsidR="00F734E5">
        <w:rPr>
          <w:rFonts w:ascii="Times New Roman" w:hAnsi="Times New Roman" w:cs="Times New Roman"/>
          <w:sz w:val="24"/>
          <w:szCs w:val="24"/>
          <w:lang w:val="en"/>
        </w:rPr>
        <w:t xml:space="preserve"> and the Internal Revenue Service</w:t>
      </w:r>
      <w:r w:rsidRPr="00CB6138" w:rsidR="00500C01">
        <w:rPr>
          <w:rFonts w:ascii="Times New Roman" w:hAnsi="Times New Roman" w:eastAsia="Times New Roman" w:cs="Times New Roman"/>
          <w:sz w:val="24"/>
          <w:szCs w:val="24"/>
        </w:rPr>
        <w:t xml:space="preserve">.  </w:t>
      </w:r>
      <w:r w:rsidRPr="007805BC" w:rsidR="00974BBE">
        <w:rPr>
          <w:rFonts w:ascii="Times New Roman" w:hAnsi="Times New Roman" w:eastAsia="Times New Roman" w:cs="Times New Roman"/>
          <w:sz w:val="24"/>
          <w:szCs w:val="24"/>
        </w:rPr>
        <w:t>NMTC</w:t>
      </w:r>
      <w:r w:rsidRPr="007805BC" w:rsidR="00500C01">
        <w:rPr>
          <w:rFonts w:ascii="Times New Roman" w:hAnsi="Times New Roman" w:eastAsia="Times New Roman" w:cs="Times New Roman"/>
          <w:sz w:val="24"/>
          <w:szCs w:val="24"/>
        </w:rPr>
        <w:t xml:space="preserve"> can be used to finance a number of property types including </w:t>
      </w:r>
      <w:r w:rsidRPr="007805BC" w:rsidR="001D7E5F">
        <w:rPr>
          <w:rFonts w:ascii="Times New Roman" w:hAnsi="Times New Roman" w:eastAsia="Times New Roman" w:cs="Times New Roman"/>
          <w:sz w:val="24"/>
          <w:szCs w:val="24"/>
        </w:rPr>
        <w:t>mixed</w:t>
      </w:r>
      <w:r w:rsidR="00740177">
        <w:rPr>
          <w:rFonts w:ascii="Times New Roman" w:hAnsi="Times New Roman" w:eastAsia="Times New Roman" w:cs="Times New Roman"/>
          <w:sz w:val="24"/>
          <w:szCs w:val="24"/>
        </w:rPr>
        <w:t>-</w:t>
      </w:r>
      <w:r w:rsidRPr="007805BC" w:rsidR="001D7E5F">
        <w:rPr>
          <w:rFonts w:ascii="Times New Roman" w:hAnsi="Times New Roman" w:eastAsia="Times New Roman" w:cs="Times New Roman"/>
          <w:sz w:val="24"/>
          <w:szCs w:val="24"/>
        </w:rPr>
        <w:t xml:space="preserve">use </w:t>
      </w:r>
      <w:r w:rsidR="00CD1C72">
        <w:rPr>
          <w:rFonts w:ascii="Times New Roman" w:hAnsi="Times New Roman" w:eastAsia="Times New Roman" w:cs="Times New Roman"/>
          <w:sz w:val="24"/>
          <w:szCs w:val="24"/>
        </w:rPr>
        <w:t xml:space="preserve">with </w:t>
      </w:r>
      <w:r w:rsidRPr="007805BC" w:rsidR="00500C01">
        <w:rPr>
          <w:rFonts w:ascii="Times New Roman" w:hAnsi="Times New Roman" w:eastAsia="Times New Roman" w:cs="Times New Roman"/>
          <w:sz w:val="24"/>
          <w:szCs w:val="24"/>
        </w:rPr>
        <w:t xml:space="preserve">multifamily so long as the property is within a low-income community as defined by the U.S. Department of the Treasury.  </w:t>
      </w:r>
      <w:r w:rsidRPr="007805BC" w:rsidR="00974BBE">
        <w:rPr>
          <w:rFonts w:ascii="Times New Roman" w:hAnsi="Times New Roman" w:eastAsia="Times New Roman" w:cs="Times New Roman"/>
          <w:sz w:val="24"/>
          <w:szCs w:val="24"/>
        </w:rPr>
        <w:t>NMTC</w:t>
      </w:r>
      <w:r w:rsidRPr="007805BC" w:rsidR="00BC3BFE">
        <w:rPr>
          <w:rFonts w:ascii="Times New Roman" w:hAnsi="Times New Roman" w:eastAsia="Times New Roman" w:cs="Times New Roman"/>
          <w:sz w:val="24"/>
          <w:szCs w:val="24"/>
        </w:rPr>
        <w:t xml:space="preserve"> investors typically invest in intermediary entities</w:t>
      </w:r>
      <w:r w:rsidRPr="007805BC" w:rsidR="009D27E9">
        <w:rPr>
          <w:rFonts w:ascii="Times New Roman" w:hAnsi="Times New Roman" w:eastAsia="Times New Roman" w:cs="Times New Roman"/>
          <w:sz w:val="24"/>
          <w:szCs w:val="24"/>
        </w:rPr>
        <w:t xml:space="preserve">, </w:t>
      </w:r>
      <w:r w:rsidRPr="007805BC" w:rsidR="00BC3BFE">
        <w:rPr>
          <w:rFonts w:ascii="Times New Roman" w:hAnsi="Times New Roman" w:eastAsia="Times New Roman" w:cs="Times New Roman"/>
          <w:sz w:val="24"/>
          <w:szCs w:val="24"/>
        </w:rPr>
        <w:t>Community Development Entities (CDE</w:t>
      </w:r>
      <w:r w:rsidRPr="007805BC" w:rsidR="003B332B">
        <w:rPr>
          <w:rFonts w:ascii="Times New Roman" w:hAnsi="Times New Roman" w:eastAsia="Times New Roman" w:cs="Times New Roman"/>
          <w:sz w:val="24"/>
          <w:szCs w:val="24"/>
        </w:rPr>
        <w:t>s</w:t>
      </w:r>
      <w:r w:rsidRPr="007805BC" w:rsidR="00BC3BFE">
        <w:rPr>
          <w:rFonts w:ascii="Times New Roman" w:hAnsi="Times New Roman" w:eastAsia="Times New Roman" w:cs="Times New Roman"/>
          <w:sz w:val="24"/>
          <w:szCs w:val="24"/>
        </w:rPr>
        <w:t>)</w:t>
      </w:r>
      <w:r w:rsidRPr="007805BC" w:rsidR="00F138E8">
        <w:rPr>
          <w:rFonts w:ascii="Times New Roman" w:hAnsi="Times New Roman" w:eastAsia="Times New Roman" w:cs="Times New Roman"/>
          <w:sz w:val="24"/>
          <w:szCs w:val="24"/>
        </w:rPr>
        <w:t>,</w:t>
      </w:r>
      <w:r w:rsidRPr="007805BC" w:rsidR="00BC3BFE">
        <w:rPr>
          <w:rFonts w:ascii="Times New Roman" w:hAnsi="Times New Roman" w:eastAsia="Times New Roman" w:cs="Times New Roman"/>
          <w:sz w:val="24"/>
          <w:szCs w:val="24"/>
        </w:rPr>
        <w:t xml:space="preserve"> which then provide funding to the project-level </w:t>
      </w:r>
      <w:r w:rsidRPr="007805BC" w:rsidR="0099006F">
        <w:rPr>
          <w:rFonts w:ascii="Times New Roman" w:hAnsi="Times New Roman" w:eastAsia="Times New Roman" w:cs="Times New Roman"/>
          <w:sz w:val="24"/>
          <w:szCs w:val="24"/>
        </w:rPr>
        <w:t>o</w:t>
      </w:r>
      <w:r w:rsidR="009C2DDA">
        <w:rPr>
          <w:rFonts w:ascii="Times New Roman" w:hAnsi="Times New Roman" w:eastAsia="Times New Roman" w:cs="Times New Roman"/>
          <w:sz w:val="24"/>
          <w:szCs w:val="24"/>
        </w:rPr>
        <w:t>wnership</w:t>
      </w:r>
      <w:r w:rsidRPr="007805BC" w:rsidR="0099006F">
        <w:rPr>
          <w:rFonts w:ascii="Times New Roman" w:hAnsi="Times New Roman" w:eastAsia="Times New Roman" w:cs="Times New Roman"/>
          <w:sz w:val="24"/>
          <w:szCs w:val="24"/>
        </w:rPr>
        <w:t xml:space="preserve"> entity, </w:t>
      </w:r>
      <w:r w:rsidRPr="007805BC" w:rsidR="003B332B">
        <w:rPr>
          <w:rFonts w:ascii="Times New Roman" w:hAnsi="Times New Roman" w:eastAsia="Times New Roman" w:cs="Times New Roman"/>
          <w:sz w:val="24"/>
          <w:szCs w:val="24"/>
        </w:rPr>
        <w:t>usually</w:t>
      </w:r>
      <w:r w:rsidRPr="007805BC" w:rsidR="0099006F">
        <w:rPr>
          <w:rFonts w:ascii="Times New Roman" w:hAnsi="Times New Roman" w:eastAsia="Times New Roman" w:cs="Times New Roman"/>
          <w:sz w:val="24"/>
          <w:szCs w:val="24"/>
        </w:rPr>
        <w:t xml:space="preserve"> in the </w:t>
      </w:r>
      <w:r w:rsidRPr="007805BC" w:rsidR="003B332B">
        <w:rPr>
          <w:rFonts w:ascii="Times New Roman" w:hAnsi="Times New Roman" w:eastAsia="Times New Roman" w:cs="Times New Roman"/>
          <w:sz w:val="24"/>
          <w:szCs w:val="24"/>
        </w:rPr>
        <w:t>form</w:t>
      </w:r>
      <w:r w:rsidRPr="007805BC" w:rsidR="0099006F">
        <w:rPr>
          <w:rFonts w:ascii="Times New Roman" w:hAnsi="Times New Roman" w:eastAsia="Times New Roman" w:cs="Times New Roman"/>
          <w:sz w:val="24"/>
          <w:szCs w:val="24"/>
        </w:rPr>
        <w:t xml:space="preserve"> of non-traditional debt.  No more than 80% of a NMTC </w:t>
      </w:r>
      <w:r w:rsidRPr="007805BC" w:rsidR="006D5B9D">
        <w:rPr>
          <w:rFonts w:ascii="Times New Roman" w:hAnsi="Times New Roman" w:eastAsia="Times New Roman" w:cs="Times New Roman"/>
          <w:sz w:val="24"/>
          <w:szCs w:val="24"/>
        </w:rPr>
        <w:t>property</w:t>
      </w:r>
      <w:r w:rsidRPr="007805BC" w:rsidR="0099006F">
        <w:rPr>
          <w:rFonts w:ascii="Times New Roman" w:hAnsi="Times New Roman" w:eastAsia="Times New Roman" w:cs="Times New Roman"/>
          <w:sz w:val="24"/>
          <w:szCs w:val="24"/>
        </w:rPr>
        <w:t xml:space="preserve"> can be residential on </w:t>
      </w:r>
      <w:r w:rsidR="00BA49B0">
        <w:rPr>
          <w:rFonts w:ascii="Times New Roman" w:hAnsi="Times New Roman" w:eastAsia="Times New Roman" w:cs="Times New Roman"/>
          <w:sz w:val="24"/>
          <w:szCs w:val="24"/>
        </w:rPr>
        <w:t xml:space="preserve">a square footage and </w:t>
      </w:r>
      <w:r w:rsidRPr="007805BC" w:rsidR="001D7E5F">
        <w:rPr>
          <w:rFonts w:ascii="Times New Roman" w:hAnsi="Times New Roman" w:eastAsia="Times New Roman" w:cs="Times New Roman"/>
          <w:sz w:val="24"/>
          <w:szCs w:val="24"/>
        </w:rPr>
        <w:t xml:space="preserve">income </w:t>
      </w:r>
      <w:r w:rsidRPr="00890084" w:rsidR="001D7E5F">
        <w:rPr>
          <w:rFonts w:ascii="Times New Roman" w:hAnsi="Times New Roman" w:eastAsia="Times New Roman" w:cs="Times New Roman"/>
          <w:sz w:val="24"/>
          <w:szCs w:val="24"/>
        </w:rPr>
        <w:t>basis</w:t>
      </w:r>
      <w:r w:rsidR="009C2DDA">
        <w:rPr>
          <w:rFonts w:ascii="Times New Roman" w:hAnsi="Times New Roman" w:eastAsia="Times New Roman" w:cs="Times New Roman"/>
          <w:sz w:val="24"/>
          <w:szCs w:val="24"/>
        </w:rPr>
        <w:t>; 2</w:t>
      </w:r>
      <w:r w:rsidRPr="00890084" w:rsidR="001D7E5F">
        <w:rPr>
          <w:rFonts w:ascii="Times New Roman" w:hAnsi="Times New Roman" w:eastAsia="Times New Roman" w:cs="Times New Roman"/>
          <w:sz w:val="24"/>
          <w:szCs w:val="24"/>
        </w:rPr>
        <w:t xml:space="preserve">0% or more </w:t>
      </w:r>
      <w:r w:rsidR="00C71864">
        <w:rPr>
          <w:rFonts w:ascii="Times New Roman" w:hAnsi="Times New Roman" w:eastAsia="Times New Roman" w:cs="Times New Roman"/>
          <w:sz w:val="24"/>
          <w:szCs w:val="24"/>
        </w:rPr>
        <w:t>must originate fro</w:t>
      </w:r>
      <w:r w:rsidRPr="00890084" w:rsidR="001D7E5F">
        <w:rPr>
          <w:rFonts w:ascii="Times New Roman" w:hAnsi="Times New Roman" w:eastAsia="Times New Roman" w:cs="Times New Roman"/>
          <w:sz w:val="24"/>
          <w:szCs w:val="24"/>
        </w:rPr>
        <w:t>m a commercial use</w:t>
      </w:r>
      <w:r w:rsidRPr="00477AB3" w:rsidR="001D7E5F">
        <w:rPr>
          <w:rFonts w:ascii="Times New Roman" w:hAnsi="Times New Roman" w:eastAsia="Times New Roman" w:cs="Times New Roman"/>
          <w:sz w:val="24"/>
          <w:szCs w:val="24"/>
        </w:rPr>
        <w:t>.</w:t>
      </w:r>
      <w:r w:rsidRPr="00CB6138" w:rsidR="001D7E5F">
        <w:rPr>
          <w:rFonts w:ascii="Times New Roman" w:hAnsi="Times New Roman" w:eastAsia="Times New Roman" w:cs="Times New Roman"/>
          <w:sz w:val="24"/>
          <w:szCs w:val="24"/>
        </w:rPr>
        <w:t xml:space="preserve">  </w:t>
      </w:r>
      <w:r w:rsidRPr="00CB6138" w:rsidR="008F7487">
        <w:rPr>
          <w:rFonts w:ascii="Times New Roman" w:hAnsi="Times New Roman" w:eastAsia="Times New Roman" w:cs="Times New Roman"/>
          <w:sz w:val="24"/>
          <w:szCs w:val="24"/>
        </w:rPr>
        <w:t>NMTCs can be combined with HTC</w:t>
      </w:r>
      <w:r w:rsidRPr="00CB6138" w:rsidR="00FA3257">
        <w:rPr>
          <w:rFonts w:ascii="Times New Roman" w:hAnsi="Times New Roman" w:eastAsia="Times New Roman" w:cs="Times New Roman"/>
          <w:sz w:val="24"/>
          <w:szCs w:val="24"/>
        </w:rPr>
        <w:t xml:space="preserve"> but </w:t>
      </w:r>
      <w:r w:rsidRPr="00CB6138" w:rsidR="002A3396">
        <w:rPr>
          <w:rFonts w:ascii="Times New Roman" w:hAnsi="Times New Roman" w:eastAsia="Times New Roman" w:cs="Times New Roman"/>
          <w:sz w:val="24"/>
          <w:szCs w:val="24"/>
        </w:rPr>
        <w:t>a</w:t>
      </w:r>
      <w:r w:rsidRPr="007201BB" w:rsidR="002A3396">
        <w:rPr>
          <w:rFonts w:ascii="Times New Roman" w:hAnsi="Times New Roman" w:eastAsia="Times New Roman" w:cs="Times New Roman"/>
          <w:sz w:val="24"/>
          <w:szCs w:val="24"/>
        </w:rPr>
        <w:t>re not typically</w:t>
      </w:r>
      <w:r w:rsidRPr="007201BB" w:rsidR="00FA3257">
        <w:rPr>
          <w:rFonts w:ascii="Times New Roman" w:hAnsi="Times New Roman" w:eastAsia="Times New Roman" w:cs="Times New Roman"/>
          <w:sz w:val="24"/>
          <w:szCs w:val="24"/>
        </w:rPr>
        <w:t xml:space="preserve"> combined with LIHTC</w:t>
      </w:r>
      <w:r w:rsidRPr="00B70BD9" w:rsidR="00CD7F98">
        <w:rPr>
          <w:rFonts w:ascii="Times New Roman" w:hAnsi="Times New Roman" w:eastAsia="Times New Roman" w:cs="Times New Roman"/>
          <w:sz w:val="24"/>
          <w:szCs w:val="24"/>
        </w:rPr>
        <w:t>.</w:t>
      </w:r>
    </w:p>
    <w:p w:rsidRPr="007805BC" w:rsidR="00740BA8" w:rsidP="005357A5" w:rsidRDefault="00760A0F" w14:paraId="564021C6" w14:textId="06DA2305">
      <w:pPr>
        <w:widowControl w:val="0"/>
        <w:shd w:val="clear" w:color="auto" w:fill="FFFFFF"/>
        <w:suppressAutoHyphens/>
        <w:overflowPunct w:val="0"/>
        <w:autoSpaceDE w:val="0"/>
        <w:autoSpaceDN w:val="0"/>
        <w:adjustRightInd w:val="0"/>
        <w:spacing w:before="240" w:after="480" w:line="276" w:lineRule="auto"/>
        <w:jc w:val="both"/>
        <w:textAlignment w:val="baseline"/>
        <w:rPr>
          <w:rFonts w:ascii="Times New Roman" w:hAnsi="Times New Roman" w:eastAsia="Times New Roman" w:cs="Times New Roman"/>
          <w:sz w:val="24"/>
          <w:szCs w:val="24"/>
        </w:rPr>
      </w:pPr>
      <w:r>
        <w:rPr>
          <w:rFonts w:ascii="Times New Roman" w:hAnsi="Times New Roman" w:cs="Times New Roman"/>
          <w:sz w:val="24"/>
          <w:szCs w:val="24"/>
          <w:lang w:val="en"/>
        </w:rPr>
        <w:t xml:space="preserve">The HTC and NMTC programs are only occasionally used in FHA-insured projects, so policies for each program </w:t>
      </w:r>
      <w:r w:rsidR="003612A9">
        <w:rPr>
          <w:rFonts w:ascii="Times New Roman" w:hAnsi="Times New Roman" w:cs="Times New Roman"/>
          <w:sz w:val="24"/>
          <w:szCs w:val="24"/>
          <w:lang w:val="en"/>
        </w:rPr>
        <w:t>are</w:t>
      </w:r>
      <w:r>
        <w:rPr>
          <w:rFonts w:ascii="Times New Roman" w:hAnsi="Times New Roman" w:cs="Times New Roman"/>
          <w:sz w:val="24"/>
          <w:szCs w:val="24"/>
          <w:lang w:val="en"/>
        </w:rPr>
        <w:t xml:space="preserve"> not </w:t>
      </w:r>
      <w:r w:rsidR="007C07A7">
        <w:rPr>
          <w:rFonts w:ascii="Times New Roman" w:hAnsi="Times New Roman" w:cs="Times New Roman"/>
          <w:sz w:val="24"/>
          <w:szCs w:val="24"/>
          <w:lang w:val="en"/>
        </w:rPr>
        <w:t>provided</w:t>
      </w:r>
      <w:r>
        <w:rPr>
          <w:rFonts w:ascii="Times New Roman" w:hAnsi="Times New Roman" w:cs="Times New Roman"/>
          <w:sz w:val="24"/>
          <w:szCs w:val="24"/>
          <w:lang w:val="en"/>
        </w:rPr>
        <w:t xml:space="preserve"> in this chapter</w:t>
      </w:r>
      <w:r w:rsidR="003612A9">
        <w:rPr>
          <w:rFonts w:ascii="Times New Roman" w:hAnsi="Times New Roman" w:cs="Times New Roman"/>
          <w:sz w:val="24"/>
          <w:szCs w:val="24"/>
          <w:lang w:val="en"/>
        </w:rPr>
        <w:t>;</w:t>
      </w:r>
      <w:r w:rsidR="007C07A7">
        <w:rPr>
          <w:rFonts w:ascii="Times New Roman" w:hAnsi="Times New Roman" w:cs="Times New Roman"/>
          <w:sz w:val="24"/>
          <w:szCs w:val="24"/>
          <w:lang w:val="en"/>
        </w:rPr>
        <w:t xml:space="preserve"> however,</w:t>
      </w:r>
      <w:r w:rsidRPr="007805BC" w:rsidR="00D56665">
        <w:rPr>
          <w:rFonts w:ascii="Times New Roman" w:hAnsi="Times New Roman" w:cs="Times New Roman"/>
          <w:sz w:val="24"/>
          <w:szCs w:val="24"/>
          <w:lang w:val="en"/>
        </w:rPr>
        <w:t xml:space="preserve"> to the extent it is legally permissible and consistent with FHA’s mortgage credit and underwriting standards, </w:t>
      </w:r>
      <w:r w:rsidR="00016CDC">
        <w:rPr>
          <w:rFonts w:ascii="Times New Roman" w:hAnsi="Times New Roman" w:cs="Times New Roman"/>
          <w:sz w:val="24"/>
          <w:szCs w:val="24"/>
          <w:lang w:val="en"/>
        </w:rPr>
        <w:t xml:space="preserve">HTC and NMTC may </w:t>
      </w:r>
      <w:r w:rsidRPr="007805BC" w:rsidR="00D56665">
        <w:rPr>
          <w:rFonts w:ascii="Times New Roman" w:hAnsi="Times New Roman" w:cs="Times New Roman"/>
          <w:sz w:val="24"/>
          <w:szCs w:val="24"/>
          <w:lang w:val="en"/>
        </w:rPr>
        <w:t>be used in a manner similar to that described below for LIHTC projects</w:t>
      </w:r>
      <w:r w:rsidR="00B579F8">
        <w:rPr>
          <w:rStyle w:val="FootnoteReference"/>
          <w:rFonts w:ascii="Times New Roman" w:hAnsi="Times New Roman" w:cs="Times New Roman"/>
          <w:sz w:val="24"/>
          <w:szCs w:val="24"/>
          <w:lang w:val="en"/>
        </w:rPr>
        <w:footnoteReference w:id="2"/>
      </w:r>
      <w:r w:rsidR="004264CB">
        <w:rPr>
          <w:rFonts w:ascii="Times New Roman" w:hAnsi="Times New Roman" w:cs="Times New Roman"/>
          <w:sz w:val="24"/>
          <w:szCs w:val="24"/>
          <w:lang w:val="en"/>
        </w:rPr>
        <w:t xml:space="preserve">.  </w:t>
      </w:r>
      <w:r w:rsidR="002C5B70">
        <w:rPr>
          <w:rFonts w:ascii="Times New Roman" w:hAnsi="Times New Roman" w:cs="Times New Roman"/>
          <w:sz w:val="24"/>
          <w:szCs w:val="24"/>
          <w:lang w:val="en"/>
        </w:rPr>
        <w:t>For</w:t>
      </w:r>
      <w:r w:rsidR="00B167AF">
        <w:rPr>
          <w:rFonts w:ascii="Times New Roman" w:hAnsi="Times New Roman" w:cs="Times New Roman"/>
          <w:sz w:val="24"/>
          <w:szCs w:val="24"/>
          <w:lang w:val="en"/>
        </w:rPr>
        <w:t xml:space="preserve"> example, </w:t>
      </w:r>
      <w:r w:rsidRPr="007805BC" w:rsidR="00BF4B6F">
        <w:rPr>
          <w:rFonts w:ascii="Times New Roman" w:hAnsi="Times New Roman" w:eastAsia="Times New Roman" w:cs="Times New Roman"/>
          <w:sz w:val="24"/>
          <w:szCs w:val="24"/>
        </w:rPr>
        <w:t xml:space="preserve">Equity Bridge </w:t>
      </w:r>
      <w:r w:rsidRPr="007805BC" w:rsidR="00BF4B6F">
        <w:rPr>
          <w:rFonts w:ascii="Times New Roman" w:hAnsi="Times New Roman" w:eastAsia="Times New Roman" w:cs="Times New Roman"/>
          <w:sz w:val="24"/>
          <w:szCs w:val="24"/>
        </w:rPr>
        <w:lastRenderedPageBreak/>
        <w:t xml:space="preserve">Loans </w:t>
      </w:r>
      <w:r w:rsidRPr="007805BC" w:rsidR="00C901EF">
        <w:rPr>
          <w:rFonts w:ascii="Times New Roman" w:hAnsi="Times New Roman" w:eastAsia="Times New Roman" w:cs="Times New Roman"/>
          <w:sz w:val="24"/>
          <w:szCs w:val="24"/>
        </w:rPr>
        <w:t>(EBL)</w:t>
      </w:r>
      <w:r w:rsidR="00B167AF">
        <w:rPr>
          <w:rFonts w:ascii="Times New Roman" w:hAnsi="Times New Roman" w:eastAsia="Times New Roman" w:cs="Times New Roman"/>
          <w:sz w:val="24"/>
          <w:szCs w:val="24"/>
        </w:rPr>
        <w:t xml:space="preserve"> </w:t>
      </w:r>
      <w:r w:rsidRPr="007805BC" w:rsidR="00BF4B6F">
        <w:rPr>
          <w:rFonts w:ascii="Times New Roman" w:hAnsi="Times New Roman" w:eastAsia="Times New Roman" w:cs="Times New Roman"/>
          <w:sz w:val="24"/>
          <w:szCs w:val="24"/>
        </w:rPr>
        <w:t xml:space="preserve">may be used by Borrowers and/or tax credit investors as a substitute for the pay-in of </w:t>
      </w:r>
      <w:r w:rsidRPr="007805BC" w:rsidR="009C4EAE">
        <w:rPr>
          <w:rFonts w:ascii="Times New Roman" w:hAnsi="Times New Roman" w:eastAsia="Times New Roman" w:cs="Times New Roman"/>
          <w:sz w:val="24"/>
          <w:szCs w:val="24"/>
        </w:rPr>
        <w:t xml:space="preserve">HTC </w:t>
      </w:r>
      <w:r w:rsidRPr="007805BC" w:rsidR="00BF4B6F">
        <w:rPr>
          <w:rFonts w:ascii="Times New Roman" w:hAnsi="Times New Roman" w:eastAsia="Times New Roman" w:cs="Times New Roman"/>
          <w:sz w:val="24"/>
          <w:szCs w:val="24"/>
        </w:rPr>
        <w:t>equity during a project’s development and stabilization phases</w:t>
      </w:r>
      <w:r w:rsidR="00BA4E14">
        <w:rPr>
          <w:rFonts w:ascii="Times New Roman" w:hAnsi="Times New Roman" w:eastAsia="Times New Roman" w:cs="Times New Roman"/>
          <w:sz w:val="24"/>
          <w:szCs w:val="24"/>
        </w:rPr>
        <w:t xml:space="preserve"> (see </w:t>
      </w:r>
      <w:r w:rsidR="001652E5">
        <w:rPr>
          <w:rFonts w:ascii="Times New Roman" w:hAnsi="Times New Roman" w:eastAsia="Times New Roman" w:cs="Times New Roman"/>
          <w:sz w:val="24"/>
          <w:szCs w:val="24"/>
        </w:rPr>
        <w:t>Chapter 14.15)</w:t>
      </w:r>
      <w:r w:rsidRPr="007805BC" w:rsidR="009C4EAE">
        <w:rPr>
          <w:rFonts w:ascii="Times New Roman" w:hAnsi="Times New Roman" w:eastAsia="Times New Roman" w:cs="Times New Roman"/>
          <w:sz w:val="24"/>
          <w:szCs w:val="24"/>
        </w:rPr>
        <w:t xml:space="preserve">.  </w:t>
      </w:r>
      <w:r w:rsidRPr="00C5122B" w:rsidR="009E4723">
        <w:rPr>
          <w:rFonts w:ascii="Times New Roman" w:hAnsi="Times New Roman" w:cs="Times New Roman"/>
          <w:sz w:val="24"/>
          <w:szCs w:val="24"/>
        </w:rPr>
        <w:t>The Lender should approach HUD at concept to discuss the proposed structure of the HTC and NMTC transaction, particularly any areas of deviation from the standard LIHTC structure to confirm acceptability.</w:t>
      </w:r>
      <w:r w:rsidR="009E4723">
        <w:t xml:space="preserve"> </w:t>
      </w:r>
      <w:r w:rsidR="00B771A3">
        <w:rPr>
          <w:rFonts w:ascii="Times New Roman" w:hAnsi="Times New Roman" w:eastAsia="Times New Roman" w:cs="Times New Roman"/>
          <w:sz w:val="24"/>
          <w:szCs w:val="24"/>
        </w:rPr>
        <w:t>T</w:t>
      </w:r>
      <w:r w:rsidRPr="007805BC" w:rsidR="00572BC7">
        <w:rPr>
          <w:rFonts w:ascii="Times New Roman" w:hAnsi="Times New Roman" w:eastAsia="Times New Roman" w:cs="Times New Roman"/>
          <w:sz w:val="24"/>
          <w:szCs w:val="24"/>
        </w:rPr>
        <w:t xml:space="preserve">he lender </w:t>
      </w:r>
      <w:r w:rsidR="00B34390">
        <w:rPr>
          <w:rFonts w:ascii="Times New Roman" w:hAnsi="Times New Roman" w:eastAsia="Times New Roman" w:cs="Times New Roman"/>
          <w:sz w:val="24"/>
          <w:szCs w:val="24"/>
        </w:rPr>
        <w:t xml:space="preserve">and HUD </w:t>
      </w:r>
      <w:r w:rsidR="0032501E">
        <w:rPr>
          <w:rFonts w:ascii="Times New Roman" w:hAnsi="Times New Roman" w:eastAsia="Times New Roman" w:cs="Times New Roman"/>
          <w:sz w:val="24"/>
          <w:szCs w:val="24"/>
        </w:rPr>
        <w:t xml:space="preserve">underwriter are </w:t>
      </w:r>
      <w:r w:rsidRPr="007805BC" w:rsidR="00572BC7">
        <w:rPr>
          <w:rFonts w:ascii="Times New Roman" w:hAnsi="Times New Roman" w:eastAsia="Times New Roman" w:cs="Times New Roman"/>
          <w:sz w:val="24"/>
          <w:szCs w:val="24"/>
        </w:rPr>
        <w:t xml:space="preserve">responsible for verifying that the amounts and timing of the HTC or NMTC contributions are reasonable and can be expected to meet the development costs of the project.  </w:t>
      </w:r>
      <w:r w:rsidRPr="007805BC" w:rsidR="00F4757A">
        <w:rPr>
          <w:rFonts w:ascii="Times New Roman" w:hAnsi="Times New Roman" w:eastAsia="Times New Roman" w:cs="Times New Roman"/>
          <w:sz w:val="24"/>
          <w:szCs w:val="24"/>
        </w:rPr>
        <w:t xml:space="preserve">The lender is also responsible for </w:t>
      </w:r>
      <w:r w:rsidRPr="007805BC" w:rsidR="0023117B">
        <w:rPr>
          <w:rFonts w:ascii="Times New Roman" w:hAnsi="Times New Roman" w:eastAsia="Times New Roman" w:cs="Times New Roman"/>
          <w:sz w:val="24"/>
          <w:szCs w:val="24"/>
        </w:rPr>
        <w:t>documenting the financing terms associated with HTC and NMTC in the Lender’s Narrative</w:t>
      </w:r>
      <w:r w:rsidR="003D2E34">
        <w:rPr>
          <w:rFonts w:ascii="Times New Roman" w:hAnsi="Times New Roman" w:eastAsia="Times New Roman" w:cs="Times New Roman"/>
          <w:sz w:val="24"/>
          <w:szCs w:val="24"/>
        </w:rPr>
        <w:t xml:space="preserve"> and </w:t>
      </w:r>
      <w:r w:rsidR="00E942B6">
        <w:rPr>
          <w:rFonts w:ascii="Times New Roman" w:hAnsi="Times New Roman" w:eastAsia="Times New Roman" w:cs="Times New Roman"/>
          <w:sz w:val="24"/>
          <w:szCs w:val="24"/>
        </w:rPr>
        <w:t>the</w:t>
      </w:r>
      <w:r w:rsidR="00F211F9">
        <w:rPr>
          <w:rFonts w:ascii="Times New Roman" w:hAnsi="Times New Roman" w:eastAsia="Times New Roman" w:cs="Times New Roman"/>
          <w:sz w:val="24"/>
          <w:szCs w:val="24"/>
        </w:rPr>
        <w:t xml:space="preserve"> HUD-92013-C</w:t>
      </w:r>
      <w:r w:rsidR="00E942B6">
        <w:rPr>
          <w:rFonts w:ascii="Times New Roman" w:hAnsi="Times New Roman" w:eastAsia="Times New Roman" w:cs="Times New Roman"/>
          <w:sz w:val="24"/>
          <w:szCs w:val="24"/>
        </w:rPr>
        <w:t xml:space="preserve"> </w:t>
      </w:r>
      <w:r w:rsidR="00E04C82">
        <w:rPr>
          <w:rFonts w:ascii="Times New Roman" w:hAnsi="Times New Roman" w:eastAsia="Times New Roman" w:cs="Times New Roman"/>
          <w:sz w:val="24"/>
          <w:szCs w:val="24"/>
        </w:rPr>
        <w:t xml:space="preserve">LIHTC </w:t>
      </w:r>
      <w:r w:rsidR="00CC36F1">
        <w:rPr>
          <w:rFonts w:ascii="Times New Roman" w:hAnsi="Times New Roman" w:cs="Times New Roman"/>
          <w:sz w:val="24"/>
          <w:szCs w:val="24"/>
        </w:rPr>
        <w:t>Summary Report (LIHTC transactions only)</w:t>
      </w:r>
      <w:r w:rsidRPr="007805BC" w:rsidR="0023117B">
        <w:rPr>
          <w:rFonts w:ascii="Times New Roman" w:hAnsi="Times New Roman" w:eastAsia="Times New Roman" w:cs="Times New Roman"/>
          <w:sz w:val="24"/>
          <w:szCs w:val="24"/>
        </w:rPr>
        <w:t xml:space="preserve">.  </w:t>
      </w:r>
    </w:p>
    <w:p w:rsidRPr="005357A5" w:rsidR="00D56665" w:rsidP="00D56665" w:rsidRDefault="00D56665" w14:paraId="63DA385B" w14:textId="3C2A3B5C">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14.4</w:t>
      </w:r>
      <w:r w:rsidRPr="005357A5">
        <w:rPr>
          <w:rFonts w:ascii="Times New Roman" w:hAnsi="Times New Roman" w:eastAsia="Times New Roman" w:cs="Times New Roman"/>
          <w:b/>
          <w:sz w:val="28"/>
          <w:szCs w:val="28"/>
        </w:rPr>
        <w:tab/>
        <w:t>Subsidy Layering Review</w:t>
      </w:r>
      <w:r w:rsidR="00835D94">
        <w:rPr>
          <w:rFonts w:ascii="Times New Roman" w:hAnsi="Times New Roman" w:eastAsia="Times New Roman" w:cs="Times New Roman"/>
          <w:b/>
          <w:sz w:val="28"/>
          <w:szCs w:val="28"/>
        </w:rPr>
        <w:t xml:space="preserve"> (“SLR”)</w:t>
      </w:r>
    </w:p>
    <w:p w:rsidRPr="00CB6138" w:rsidR="00D56665" w:rsidP="00D56665" w:rsidRDefault="00D56665" w14:paraId="63DA385C" w14:textId="77777777">
      <w:pPr>
        <w:tabs>
          <w:tab w:val="left" w:pos="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p>
    <w:p w:rsidRPr="00CB6138" w:rsidR="008D3B4E" w:rsidP="008D3B4E" w:rsidRDefault="00D56665" w14:paraId="2E0572EC" w14:textId="2F5F9E01">
      <w:pPr>
        <w:tabs>
          <w:tab w:val="left" w:pos="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r w:rsidRPr="00CB6138">
        <w:rPr>
          <w:rFonts w:ascii="Times New Roman" w:hAnsi="Times New Roman" w:eastAsia="Times New Roman" w:cs="Times New Roman"/>
          <w:sz w:val="24"/>
          <w:szCs w:val="24"/>
        </w:rPr>
        <w:t>Subsidy Layering Review</w:t>
      </w:r>
      <w:r w:rsidR="008313EF">
        <w:rPr>
          <w:rFonts w:ascii="Times New Roman" w:hAnsi="Times New Roman" w:eastAsia="Times New Roman" w:cs="Times New Roman"/>
          <w:sz w:val="24"/>
          <w:szCs w:val="24"/>
        </w:rPr>
        <w:t xml:space="preserve"> </w:t>
      </w:r>
      <w:r w:rsidRPr="00CB6138">
        <w:rPr>
          <w:rFonts w:ascii="Times New Roman" w:hAnsi="Times New Roman" w:eastAsia="Times New Roman" w:cs="Times New Roman"/>
          <w:sz w:val="24"/>
          <w:szCs w:val="24"/>
        </w:rPr>
        <w:t xml:space="preserve">requirements have been eliminated for LIHTC projects using FHA-insured loans but no other sources of Federal subsidy. Thus, most of HUD’s mortgage insurance transactions are exempt from the formal </w:t>
      </w:r>
      <w:r w:rsidR="008313EF">
        <w:rPr>
          <w:rFonts w:ascii="Times New Roman" w:hAnsi="Times New Roman" w:eastAsia="Times New Roman" w:cs="Times New Roman"/>
          <w:sz w:val="24"/>
          <w:szCs w:val="24"/>
        </w:rPr>
        <w:t>SLR</w:t>
      </w:r>
      <w:r w:rsidRPr="00CB6138">
        <w:rPr>
          <w:rFonts w:ascii="Times New Roman" w:hAnsi="Times New Roman" w:eastAsia="Times New Roman" w:cs="Times New Roman"/>
          <w:sz w:val="24"/>
          <w:szCs w:val="24"/>
        </w:rPr>
        <w:t>. T</w:t>
      </w:r>
      <w:r w:rsidRPr="007201BB">
        <w:rPr>
          <w:rFonts w:ascii="Times New Roman" w:hAnsi="Times New Roman" w:eastAsia="Calibri" w:cs="Times New Roman"/>
          <w:sz w:val="24"/>
          <w:szCs w:val="24"/>
        </w:rPr>
        <w:t xml:space="preserve">he lender and </w:t>
      </w:r>
      <w:r w:rsidRPr="007201BB" w:rsidR="00F02ECC">
        <w:rPr>
          <w:rFonts w:ascii="Times New Roman" w:hAnsi="Times New Roman" w:eastAsia="Calibri" w:cs="Times New Roman"/>
          <w:sz w:val="24"/>
          <w:szCs w:val="24"/>
        </w:rPr>
        <w:t xml:space="preserve">HUD </w:t>
      </w:r>
      <w:r w:rsidRPr="00B70BD9">
        <w:rPr>
          <w:rFonts w:ascii="Times New Roman" w:hAnsi="Times New Roman" w:eastAsia="Calibri" w:cs="Times New Roman"/>
          <w:sz w:val="24"/>
          <w:szCs w:val="24"/>
        </w:rPr>
        <w:t>underwriter must</w:t>
      </w:r>
      <w:r w:rsidRPr="00CB5649">
        <w:rPr>
          <w:rFonts w:ascii="Times New Roman" w:hAnsi="Times New Roman" w:eastAsia="Calibri" w:cs="Times New Roman"/>
          <w:color w:val="1F497D"/>
          <w:sz w:val="24"/>
          <w:szCs w:val="24"/>
        </w:rPr>
        <w:t xml:space="preserve"> </w:t>
      </w:r>
      <w:r w:rsidRPr="00CB5649">
        <w:rPr>
          <w:rFonts w:ascii="Times New Roman" w:hAnsi="Times New Roman" w:eastAsia="Calibri" w:cs="Times New Roman"/>
          <w:sz w:val="24"/>
          <w:szCs w:val="24"/>
        </w:rPr>
        <w:t xml:space="preserve">always review the Sources and Uses </w:t>
      </w:r>
      <w:r w:rsidR="000D0BC4">
        <w:rPr>
          <w:rFonts w:ascii="Times New Roman" w:hAnsi="Times New Roman" w:eastAsia="Calibri" w:cs="Times New Roman"/>
          <w:sz w:val="24"/>
          <w:szCs w:val="24"/>
        </w:rPr>
        <w:t>S</w:t>
      </w:r>
      <w:r w:rsidRPr="00CB5649">
        <w:rPr>
          <w:rFonts w:ascii="Times New Roman" w:hAnsi="Times New Roman" w:eastAsia="Calibri" w:cs="Times New Roman"/>
          <w:sz w:val="24"/>
          <w:szCs w:val="24"/>
        </w:rPr>
        <w:t>tatements for both mortgageable and non-mortgageable funds</w:t>
      </w:r>
      <w:r w:rsidR="00737FC3">
        <w:rPr>
          <w:rFonts w:ascii="Times New Roman" w:hAnsi="Times New Roman" w:eastAsia="Calibri" w:cs="Times New Roman"/>
          <w:sz w:val="24"/>
          <w:szCs w:val="24"/>
        </w:rPr>
        <w:t>,</w:t>
      </w:r>
      <w:r w:rsidRPr="00CB5649">
        <w:rPr>
          <w:rFonts w:ascii="Times New Roman" w:hAnsi="Times New Roman" w:eastAsia="Calibri" w:cs="Times New Roman"/>
          <w:sz w:val="24"/>
          <w:szCs w:val="24"/>
        </w:rPr>
        <w:t xml:space="preserve"> however, to ensure that costs are not being funded twice and that all costs funded from mortgage proceeds are appropr</w:t>
      </w:r>
      <w:r w:rsidRPr="007805BC">
        <w:rPr>
          <w:rFonts w:ascii="Times New Roman" w:hAnsi="Times New Roman" w:eastAsia="Calibri" w:cs="Times New Roman"/>
          <w:sz w:val="24"/>
          <w:szCs w:val="24"/>
        </w:rPr>
        <w:t>iate and necessary to complete the transaction</w:t>
      </w:r>
      <w:r w:rsidR="00B579F8">
        <w:rPr>
          <w:rStyle w:val="FootnoteReference"/>
          <w:rFonts w:ascii="Times New Roman" w:hAnsi="Times New Roman" w:eastAsia="Calibri" w:cs="Times New Roman"/>
          <w:sz w:val="24"/>
          <w:szCs w:val="24"/>
        </w:rPr>
        <w:footnoteReference w:id="3"/>
      </w:r>
      <w:r w:rsidRPr="007805BC">
        <w:rPr>
          <w:rFonts w:ascii="Times New Roman" w:hAnsi="Times New Roman" w:eastAsia="Calibri" w:cs="Times New Roman"/>
          <w:sz w:val="24"/>
          <w:szCs w:val="24"/>
        </w:rPr>
        <w:t xml:space="preserve">.  </w:t>
      </w:r>
      <w:r w:rsidRPr="00CB6138" w:rsidR="008D3B4E">
        <w:rPr>
          <w:rFonts w:ascii="Times New Roman" w:hAnsi="Times New Roman" w:eastAsia="Times New Roman" w:cs="Times New Roman"/>
          <w:sz w:val="24"/>
          <w:szCs w:val="24"/>
        </w:rPr>
        <w:t>Documentation must be included in the Firm Application.</w:t>
      </w:r>
      <w:r w:rsidRPr="00B579F8" w:rsidR="00B579F8">
        <w:rPr>
          <w:rFonts w:ascii="Times New Roman" w:hAnsi="Times New Roman" w:eastAsia="Times New Roman" w:cs="Times New Roman"/>
          <w:sz w:val="24"/>
          <w:szCs w:val="24"/>
        </w:rPr>
        <w:t xml:space="preserve"> </w:t>
      </w:r>
      <w:r w:rsidR="00B579F8">
        <w:rPr>
          <w:rFonts w:ascii="Times New Roman" w:hAnsi="Times New Roman" w:eastAsia="Times New Roman" w:cs="Times New Roman"/>
          <w:sz w:val="24"/>
          <w:szCs w:val="24"/>
        </w:rPr>
        <w:t xml:space="preserve"> To ensure accuracy, a</w:t>
      </w:r>
      <w:r w:rsidRPr="00A915EF" w:rsidR="00B579F8">
        <w:rPr>
          <w:rFonts w:ascii="Times New Roman" w:hAnsi="Times New Roman" w:eastAsia="Times New Roman" w:cs="Times New Roman"/>
          <w:sz w:val="24"/>
          <w:szCs w:val="24"/>
        </w:rPr>
        <w:t xml:space="preserve">ll </w:t>
      </w:r>
      <w:r w:rsidR="00B579F8">
        <w:rPr>
          <w:rFonts w:ascii="Times New Roman" w:hAnsi="Times New Roman" w:eastAsia="Times New Roman" w:cs="Times New Roman"/>
          <w:sz w:val="24"/>
          <w:szCs w:val="24"/>
        </w:rPr>
        <w:t>costs must be identified and should not be categorized as “other” on the Sources and Uses statement.</w:t>
      </w:r>
    </w:p>
    <w:p w:rsidR="00BD7950" w:rsidP="0066033F" w:rsidRDefault="00BD7950" w14:paraId="6C529247" w14:textId="77777777">
      <w:pPr>
        <w:tabs>
          <w:tab w:val="left" w:pos="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p>
    <w:p w:rsidRPr="007805BC" w:rsidR="00B579F8" w:rsidP="00B579F8" w:rsidRDefault="00D56665" w14:paraId="335D1602" w14:textId="6635D2C8">
      <w:pPr>
        <w:tabs>
          <w:tab w:val="left" w:pos="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r w:rsidRPr="00B70BD9">
        <w:rPr>
          <w:rFonts w:ascii="Times New Roman" w:hAnsi="Times New Roman" w:eastAsia="Times New Roman" w:cs="Times New Roman"/>
          <w:sz w:val="24"/>
          <w:szCs w:val="24"/>
        </w:rPr>
        <w:t xml:space="preserve">In addition to the analysis of the Sources and Uses </w:t>
      </w:r>
      <w:r w:rsidR="000D0BC4">
        <w:rPr>
          <w:rFonts w:ascii="Times New Roman" w:hAnsi="Times New Roman" w:eastAsia="Times New Roman" w:cs="Times New Roman"/>
          <w:sz w:val="24"/>
          <w:szCs w:val="24"/>
        </w:rPr>
        <w:t>S</w:t>
      </w:r>
      <w:r w:rsidR="00137C5B">
        <w:rPr>
          <w:rFonts w:ascii="Times New Roman" w:hAnsi="Times New Roman" w:eastAsia="Times New Roman" w:cs="Times New Roman"/>
          <w:sz w:val="24"/>
          <w:szCs w:val="24"/>
        </w:rPr>
        <w:t xml:space="preserve">tatement </w:t>
      </w:r>
      <w:r w:rsidRPr="00B70BD9">
        <w:rPr>
          <w:rFonts w:ascii="Times New Roman" w:hAnsi="Times New Roman" w:eastAsia="Times New Roman" w:cs="Times New Roman"/>
          <w:sz w:val="24"/>
          <w:szCs w:val="24"/>
        </w:rPr>
        <w:t xml:space="preserve">in the FHA loan underwriting, other public funds combined with the FHA mortgage in a Tax Credit project may require a formal </w:t>
      </w:r>
      <w:r w:rsidR="008313EF">
        <w:rPr>
          <w:rFonts w:ascii="Times New Roman" w:hAnsi="Times New Roman" w:eastAsia="Times New Roman" w:cs="Times New Roman"/>
          <w:sz w:val="24"/>
          <w:szCs w:val="24"/>
        </w:rPr>
        <w:t>SLR</w:t>
      </w:r>
      <w:r w:rsidRPr="00B70BD9">
        <w:rPr>
          <w:rFonts w:ascii="Times New Roman" w:hAnsi="Times New Roman" w:eastAsia="Times New Roman" w:cs="Times New Roman"/>
          <w:sz w:val="24"/>
          <w:szCs w:val="24"/>
        </w:rPr>
        <w:t xml:space="preserve">.  These public funds might include </w:t>
      </w:r>
      <w:r w:rsidR="009525ED">
        <w:rPr>
          <w:rFonts w:ascii="Times New Roman" w:hAnsi="Times New Roman" w:eastAsia="Times New Roman" w:cs="Times New Roman"/>
          <w:sz w:val="24"/>
          <w:szCs w:val="24"/>
        </w:rPr>
        <w:t>Home Investment Partnerships Program (</w:t>
      </w:r>
      <w:r w:rsidRPr="00B70BD9">
        <w:rPr>
          <w:rFonts w:ascii="Times New Roman" w:hAnsi="Times New Roman" w:eastAsia="Times New Roman" w:cs="Times New Roman"/>
          <w:sz w:val="24"/>
          <w:szCs w:val="24"/>
        </w:rPr>
        <w:t>HOME</w:t>
      </w:r>
      <w:r w:rsidR="009525ED">
        <w:rPr>
          <w:rFonts w:ascii="Times New Roman" w:hAnsi="Times New Roman" w:eastAsia="Times New Roman" w:cs="Times New Roman"/>
          <w:sz w:val="24"/>
          <w:szCs w:val="24"/>
        </w:rPr>
        <w:t>)</w:t>
      </w:r>
      <w:r w:rsidRPr="00B70BD9">
        <w:rPr>
          <w:rFonts w:ascii="Times New Roman" w:hAnsi="Times New Roman" w:eastAsia="Times New Roman" w:cs="Times New Roman"/>
          <w:sz w:val="24"/>
          <w:szCs w:val="24"/>
        </w:rPr>
        <w:t xml:space="preserve"> </w:t>
      </w:r>
      <w:r w:rsidR="004F3B19">
        <w:rPr>
          <w:rFonts w:ascii="Times New Roman" w:hAnsi="Times New Roman" w:eastAsia="Times New Roman" w:cs="Times New Roman"/>
          <w:sz w:val="24"/>
          <w:szCs w:val="24"/>
        </w:rPr>
        <w:t xml:space="preserve">funds </w:t>
      </w:r>
      <w:r w:rsidRPr="00B70BD9">
        <w:rPr>
          <w:rFonts w:ascii="Times New Roman" w:hAnsi="Times New Roman" w:eastAsia="Times New Roman" w:cs="Times New Roman"/>
          <w:sz w:val="24"/>
          <w:szCs w:val="24"/>
        </w:rPr>
        <w:t xml:space="preserve">and other Federal </w:t>
      </w:r>
      <w:r w:rsidR="000A0930">
        <w:rPr>
          <w:rFonts w:ascii="Times New Roman" w:hAnsi="Times New Roman" w:eastAsia="Times New Roman" w:cs="Times New Roman"/>
          <w:sz w:val="24"/>
          <w:szCs w:val="24"/>
        </w:rPr>
        <w:t>l</w:t>
      </w:r>
      <w:r w:rsidRPr="00B70BD9">
        <w:rPr>
          <w:rFonts w:ascii="Times New Roman" w:hAnsi="Times New Roman" w:eastAsia="Times New Roman" w:cs="Times New Roman"/>
          <w:sz w:val="24"/>
          <w:szCs w:val="24"/>
        </w:rPr>
        <w:t>oans</w:t>
      </w:r>
      <w:r w:rsidR="00787F35">
        <w:rPr>
          <w:rFonts w:ascii="Times New Roman" w:hAnsi="Times New Roman" w:eastAsia="Times New Roman" w:cs="Times New Roman"/>
          <w:sz w:val="24"/>
          <w:szCs w:val="24"/>
        </w:rPr>
        <w:t xml:space="preserve"> </w:t>
      </w:r>
      <w:r w:rsidRPr="00DA556E" w:rsidR="00787F35">
        <w:rPr>
          <w:rFonts w:ascii="Times New Roman" w:hAnsi="Times New Roman" w:eastAsia="Times New Roman" w:cs="Times New Roman"/>
          <w:sz w:val="24"/>
          <w:szCs w:val="24"/>
        </w:rPr>
        <w:t>or grants</w:t>
      </w:r>
      <w:r w:rsidRPr="00DA556E">
        <w:rPr>
          <w:rFonts w:ascii="Times New Roman" w:hAnsi="Times New Roman" w:eastAsia="Times New Roman" w:cs="Times New Roman"/>
          <w:sz w:val="24"/>
          <w:szCs w:val="24"/>
        </w:rPr>
        <w:t>,</w:t>
      </w:r>
      <w:r w:rsidRPr="00B70BD9">
        <w:rPr>
          <w:rFonts w:ascii="Times New Roman" w:hAnsi="Times New Roman" w:eastAsia="Times New Roman" w:cs="Times New Roman"/>
          <w:sz w:val="24"/>
          <w:szCs w:val="24"/>
        </w:rPr>
        <w:t xml:space="preserve"> secondary financing provided from state or local sources, or capitalized debt supported by above-market, </w:t>
      </w:r>
      <w:r w:rsidRPr="00C34ABE" w:rsidR="00586E3B">
        <w:rPr>
          <w:rFonts w:ascii="Times New Roman" w:hAnsi="Times New Roman" w:eastAsia="Times New Roman" w:cs="Times New Roman"/>
          <w:sz w:val="24"/>
          <w:szCs w:val="24"/>
        </w:rPr>
        <w:t>budget-based</w:t>
      </w:r>
      <w:r w:rsidRPr="00C34ABE">
        <w:rPr>
          <w:rFonts w:ascii="Times New Roman" w:hAnsi="Times New Roman" w:eastAsia="Times New Roman" w:cs="Times New Roman"/>
          <w:sz w:val="24"/>
          <w:szCs w:val="24"/>
        </w:rPr>
        <w:t xml:space="preserve"> Section 8 rents. </w:t>
      </w:r>
      <w:r w:rsidRPr="00CB5649" w:rsidR="00FA3625">
        <w:rPr>
          <w:rFonts w:ascii="Times New Roman" w:hAnsi="Times New Roman" w:eastAsia="Times New Roman" w:cs="Times New Roman"/>
          <w:sz w:val="24"/>
          <w:szCs w:val="24"/>
        </w:rPr>
        <w:t xml:space="preserve"> </w:t>
      </w:r>
      <w:r w:rsidRPr="00CB5649">
        <w:rPr>
          <w:rFonts w:ascii="Times New Roman" w:hAnsi="Times New Roman" w:eastAsia="Times New Roman" w:cs="Times New Roman"/>
          <w:sz w:val="24"/>
          <w:szCs w:val="24"/>
        </w:rPr>
        <w:t xml:space="preserve">If those funds require a </w:t>
      </w:r>
      <w:r w:rsidR="008313EF">
        <w:rPr>
          <w:rFonts w:ascii="Times New Roman" w:hAnsi="Times New Roman" w:eastAsia="Times New Roman" w:cs="Times New Roman"/>
          <w:sz w:val="24"/>
          <w:szCs w:val="24"/>
        </w:rPr>
        <w:t>SLR</w:t>
      </w:r>
      <w:r w:rsidRPr="00CB5649">
        <w:rPr>
          <w:rFonts w:ascii="Times New Roman" w:hAnsi="Times New Roman" w:eastAsia="Times New Roman" w:cs="Times New Roman"/>
          <w:sz w:val="24"/>
          <w:szCs w:val="24"/>
        </w:rPr>
        <w:t>, either a state agency, another public source</w:t>
      </w:r>
      <w:r w:rsidR="002F53B2">
        <w:rPr>
          <w:rFonts w:ascii="Times New Roman" w:hAnsi="Times New Roman" w:eastAsia="Times New Roman" w:cs="Times New Roman"/>
          <w:sz w:val="24"/>
          <w:szCs w:val="24"/>
        </w:rPr>
        <w:t>,</w:t>
      </w:r>
      <w:r w:rsidRPr="00CB5649">
        <w:rPr>
          <w:rFonts w:ascii="Times New Roman" w:hAnsi="Times New Roman" w:eastAsia="Times New Roman" w:cs="Times New Roman"/>
          <w:sz w:val="24"/>
          <w:szCs w:val="24"/>
        </w:rPr>
        <w:t xml:space="preserve"> or </w:t>
      </w:r>
      <w:r w:rsidRPr="007805BC" w:rsidR="00B579F8">
        <w:rPr>
          <w:rFonts w:ascii="Times New Roman" w:hAnsi="Times New Roman" w:eastAsia="Times New Roman" w:cs="Times New Roman"/>
          <w:sz w:val="24"/>
          <w:szCs w:val="24"/>
        </w:rPr>
        <w:t>HUD will perform the review based on the FHA MAP Lender’s analysis.</w:t>
      </w:r>
    </w:p>
    <w:p w:rsidRPr="005357A5" w:rsidR="00460D15" w:rsidP="008D3B4E" w:rsidRDefault="00D56665" w14:paraId="46F9C3E6" w14:textId="2300B369">
      <w:pPr>
        <w:tabs>
          <w:tab w:val="left" w:pos="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Criterion 11 on the </w:t>
      </w:r>
      <w:r w:rsidRPr="007805BC">
        <w:rPr>
          <w:rFonts w:ascii="Times New Roman" w:hAnsi="Times New Roman" w:eastAsia="Times New Roman" w:cs="Times New Roman"/>
          <w:i/>
          <w:sz w:val="24"/>
          <w:szCs w:val="24"/>
        </w:rPr>
        <w:t xml:space="preserve">Supplement to Project Analysis </w:t>
      </w:r>
      <w:r w:rsidRPr="007805BC">
        <w:rPr>
          <w:rFonts w:ascii="Times New Roman" w:hAnsi="Times New Roman" w:eastAsia="Times New Roman" w:cs="Times New Roman"/>
          <w:sz w:val="24"/>
          <w:szCs w:val="24"/>
        </w:rPr>
        <w:t xml:space="preserve">(HUD Form 92264-A) is not required.  It may be used as an optional worksheet. </w:t>
      </w:r>
    </w:p>
    <w:p w:rsidRPr="005357A5" w:rsidR="00BD7950" w:rsidP="005357A5" w:rsidRDefault="00BD7950" w14:paraId="4AC47B56" w14:textId="77777777">
      <w:pPr>
        <w:tabs>
          <w:tab w:val="left" w:pos="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b/>
          <w:sz w:val="28"/>
          <w:szCs w:val="28"/>
        </w:rPr>
      </w:pPr>
    </w:p>
    <w:p w:rsidRPr="005357A5" w:rsidR="00D56665" w:rsidP="00D56665" w:rsidRDefault="00D56665" w14:paraId="63DA3861" w14:textId="77777777">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14.5</w:t>
      </w:r>
      <w:r w:rsidRPr="005357A5">
        <w:rPr>
          <w:rFonts w:ascii="Times New Roman" w:hAnsi="Times New Roman" w:eastAsia="Times New Roman" w:cs="Times New Roman"/>
          <w:b/>
          <w:sz w:val="28"/>
          <w:szCs w:val="28"/>
        </w:rPr>
        <w:tab/>
        <w:t xml:space="preserve">Evidence of Tax Credit or Private Activity Bond Cap Allocations </w:t>
      </w:r>
    </w:p>
    <w:p w:rsidRPr="00CB6138" w:rsidR="00D56665" w:rsidP="00D56665" w:rsidRDefault="00D56665" w14:paraId="63DA3862" w14:textId="77777777">
      <w:pPr>
        <w:tabs>
          <w:tab w:val="left" w:pos="2880"/>
        </w:tabs>
        <w:overflowPunct w:val="0"/>
        <w:autoSpaceDE w:val="0"/>
        <w:autoSpaceDN w:val="0"/>
        <w:adjustRightInd w:val="0"/>
        <w:spacing w:before="80" w:after="80" w:line="276" w:lineRule="auto"/>
        <w:ind w:left="2880" w:hanging="2700"/>
        <w:textAlignment w:val="baseline"/>
        <w:outlineLvl w:val="0"/>
        <w:rPr>
          <w:rFonts w:ascii="Times New Roman" w:hAnsi="Times New Roman" w:eastAsia="Times New Roman" w:cs="Times New Roman"/>
          <w:b/>
          <w:sz w:val="24"/>
          <w:szCs w:val="24"/>
        </w:rPr>
      </w:pPr>
    </w:p>
    <w:p w:rsidRPr="007201BB" w:rsidR="00D56665" w:rsidP="00D56665" w:rsidRDefault="00D56665" w14:paraId="63DA3863" w14:textId="749F86DE">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sz w:val="24"/>
          <w:szCs w:val="24"/>
        </w:rPr>
      </w:pPr>
      <w:r w:rsidRPr="00CB6138">
        <w:rPr>
          <w:rFonts w:ascii="Times New Roman" w:hAnsi="Times New Roman" w:eastAsia="Times New Roman" w:cs="Times New Roman"/>
          <w:sz w:val="24"/>
          <w:szCs w:val="24"/>
        </w:rPr>
        <w:t>The Firm Application for any LIHTC project should include evidence of 1) a</w:t>
      </w:r>
      <w:r w:rsidRPr="007201BB">
        <w:rPr>
          <w:rFonts w:ascii="Times New Roman" w:hAnsi="Times New Roman" w:eastAsia="Times New Roman" w:cs="Times New Roman"/>
          <w:sz w:val="24"/>
          <w:szCs w:val="24"/>
        </w:rPr>
        <w:t xml:space="preserve"> LIHTC award in the form of a 9% State Agency Allocation or</w:t>
      </w:r>
      <w:r w:rsidR="0022058C">
        <w:rPr>
          <w:rFonts w:ascii="Times New Roman" w:hAnsi="Times New Roman" w:eastAsia="Times New Roman" w:cs="Times New Roman"/>
          <w:sz w:val="24"/>
          <w:szCs w:val="24"/>
        </w:rPr>
        <w:t xml:space="preserve"> if </w:t>
      </w:r>
      <w:r w:rsidRPr="007201BB">
        <w:rPr>
          <w:rFonts w:ascii="Times New Roman" w:hAnsi="Times New Roman" w:eastAsia="Times New Roman" w:cs="Times New Roman"/>
          <w:sz w:val="24"/>
          <w:szCs w:val="24"/>
        </w:rPr>
        <w:t>4% Tax Credits, an allocation of privat</w:t>
      </w:r>
      <w:r w:rsidRPr="00B70BD9">
        <w:rPr>
          <w:rFonts w:ascii="Times New Roman" w:hAnsi="Times New Roman" w:eastAsia="Times New Roman" w:cs="Times New Roman"/>
          <w:sz w:val="24"/>
          <w:szCs w:val="24"/>
        </w:rPr>
        <w:t xml:space="preserve">e activity bond </w:t>
      </w:r>
      <w:r w:rsidRPr="00B70BD9">
        <w:rPr>
          <w:rFonts w:ascii="Times New Roman" w:hAnsi="Times New Roman" w:eastAsia="Times New Roman" w:cs="Times New Roman"/>
          <w:sz w:val="24"/>
          <w:szCs w:val="24"/>
        </w:rPr>
        <w:lastRenderedPageBreak/>
        <w:t>cap</w:t>
      </w:r>
      <w:r w:rsidRPr="00CB6138">
        <w:rPr>
          <w:rFonts w:ascii="Times New Roman" w:hAnsi="Times New Roman" w:eastAsia="Times New Roman" w:cs="Times New Roman"/>
          <w:sz w:val="24"/>
          <w:szCs w:val="24"/>
        </w:rPr>
        <w:t>, or 2) in the case of Historic Credits or New Market Credits, an equivalent form of verification from the appropriate agency.   However, LIHTC allocation timing varies by state</w:t>
      </w:r>
      <w:r w:rsidR="003370C6">
        <w:rPr>
          <w:rFonts w:ascii="Times New Roman" w:hAnsi="Times New Roman" w:eastAsia="Times New Roman" w:cs="Times New Roman"/>
          <w:sz w:val="24"/>
          <w:szCs w:val="24"/>
        </w:rPr>
        <w:t>,</w:t>
      </w:r>
      <w:r w:rsidRPr="00CB6138">
        <w:rPr>
          <w:rFonts w:ascii="Times New Roman" w:hAnsi="Times New Roman" w:eastAsia="Times New Roman" w:cs="Times New Roman"/>
          <w:sz w:val="24"/>
          <w:szCs w:val="24"/>
        </w:rPr>
        <w:t xml:space="preserve"> and in some cases FHA applications must be submitted before final allocations of tax credits can be secured.  Accordingly</w:t>
      </w:r>
      <w:r w:rsidR="003612A9">
        <w:rPr>
          <w:rFonts w:ascii="Times New Roman" w:hAnsi="Times New Roman" w:eastAsia="Times New Roman" w:cs="Times New Roman"/>
          <w:sz w:val="24"/>
          <w:szCs w:val="24"/>
        </w:rPr>
        <w:t>,</w:t>
      </w:r>
      <w:r w:rsidRPr="00CB6138">
        <w:rPr>
          <w:rFonts w:ascii="Times New Roman" w:hAnsi="Times New Roman" w:eastAsia="Times New Roman" w:cs="Times New Roman"/>
          <w:sz w:val="24"/>
          <w:szCs w:val="24"/>
        </w:rPr>
        <w:t xml:space="preserve"> other evidence is allowable</w:t>
      </w:r>
      <w:r w:rsidR="003612A9">
        <w:rPr>
          <w:rFonts w:ascii="Times New Roman" w:hAnsi="Times New Roman" w:eastAsia="Times New Roman" w:cs="Times New Roman"/>
          <w:sz w:val="24"/>
          <w:szCs w:val="24"/>
        </w:rPr>
        <w:t>.</w:t>
      </w:r>
      <w:r w:rsidRPr="00CB6138">
        <w:rPr>
          <w:rFonts w:ascii="Times New Roman" w:hAnsi="Times New Roman" w:eastAsia="Times New Roman" w:cs="Times New Roman"/>
          <w:sz w:val="24"/>
          <w:szCs w:val="24"/>
        </w:rPr>
        <w:t xml:space="preserve"> </w:t>
      </w:r>
      <w:r w:rsidR="003612A9">
        <w:rPr>
          <w:rFonts w:ascii="Times New Roman" w:hAnsi="Times New Roman" w:eastAsia="Times New Roman" w:cs="Times New Roman"/>
          <w:sz w:val="24"/>
          <w:szCs w:val="24"/>
        </w:rPr>
        <w:t>F</w:t>
      </w:r>
      <w:r w:rsidRPr="00CB6138">
        <w:rPr>
          <w:rFonts w:ascii="Times New Roman" w:hAnsi="Times New Roman" w:eastAsia="Times New Roman" w:cs="Times New Roman"/>
          <w:sz w:val="24"/>
          <w:szCs w:val="24"/>
        </w:rPr>
        <w:t>or example</w:t>
      </w:r>
      <w:r w:rsidR="00E94ADE">
        <w:rPr>
          <w:rFonts w:ascii="Times New Roman" w:hAnsi="Times New Roman" w:eastAsia="Times New Roman" w:cs="Times New Roman"/>
          <w:sz w:val="24"/>
          <w:szCs w:val="24"/>
        </w:rPr>
        <w:t>, in the case of 4% LIHTC allocations,</w:t>
      </w:r>
      <w:r w:rsidRPr="00CB6138">
        <w:rPr>
          <w:rFonts w:ascii="Times New Roman" w:hAnsi="Times New Roman" w:eastAsia="Times New Roman" w:cs="Times New Roman"/>
          <w:sz w:val="24"/>
          <w:szCs w:val="24"/>
        </w:rPr>
        <w:t xml:space="preserve"> state agency bond cap allocators’ assurances and written procedures stating that bond cap remains available for the period in question, that an applica</w:t>
      </w:r>
      <w:r w:rsidRPr="007201BB">
        <w:rPr>
          <w:rFonts w:ascii="Times New Roman" w:hAnsi="Times New Roman" w:eastAsia="Times New Roman" w:cs="Times New Roman"/>
          <w:sz w:val="24"/>
          <w:szCs w:val="24"/>
        </w:rPr>
        <w:t xml:space="preserve">tion has been submitted for the project in question, </w:t>
      </w:r>
      <w:r w:rsidR="009E6764">
        <w:rPr>
          <w:rFonts w:ascii="Times New Roman" w:hAnsi="Times New Roman" w:eastAsia="Times New Roman" w:cs="Times New Roman"/>
          <w:sz w:val="24"/>
          <w:szCs w:val="24"/>
        </w:rPr>
        <w:t xml:space="preserve">and </w:t>
      </w:r>
      <w:r w:rsidRPr="007201BB">
        <w:rPr>
          <w:rFonts w:ascii="Times New Roman" w:hAnsi="Times New Roman" w:eastAsia="Times New Roman" w:cs="Times New Roman"/>
          <w:sz w:val="24"/>
          <w:szCs w:val="24"/>
        </w:rPr>
        <w:t>that allocations are obtainable in the time available</w:t>
      </w:r>
      <w:r w:rsidR="00985BE0">
        <w:rPr>
          <w:rFonts w:ascii="Times New Roman" w:hAnsi="Times New Roman" w:eastAsia="Times New Roman" w:cs="Times New Roman"/>
          <w:sz w:val="24"/>
          <w:szCs w:val="24"/>
        </w:rPr>
        <w:t xml:space="preserve">.  </w:t>
      </w:r>
      <w:r w:rsidRPr="007201BB">
        <w:rPr>
          <w:rFonts w:ascii="Times New Roman" w:hAnsi="Times New Roman" w:eastAsia="Times New Roman" w:cs="Times New Roman"/>
          <w:sz w:val="24"/>
          <w:szCs w:val="24"/>
        </w:rPr>
        <w:t xml:space="preserve"> </w:t>
      </w:r>
    </w:p>
    <w:p w:rsidRPr="007805BC" w:rsidR="00543F94" w:rsidP="00D56665" w:rsidRDefault="00543F94" w14:paraId="571F2553" w14:textId="77777777">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sz w:val="24"/>
          <w:szCs w:val="24"/>
        </w:rPr>
      </w:pPr>
    </w:p>
    <w:p w:rsidRPr="007805BC" w:rsidR="00543F94" w:rsidP="00D56665" w:rsidRDefault="009A227E" w14:paraId="47014336" w14:textId="6512C3EE">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Regional offices </w:t>
      </w:r>
      <w:r w:rsidR="0024684F">
        <w:rPr>
          <w:rFonts w:ascii="Times New Roman" w:hAnsi="Times New Roman" w:eastAsia="Times New Roman" w:cs="Times New Roman"/>
          <w:sz w:val="24"/>
          <w:szCs w:val="24"/>
        </w:rPr>
        <w:t>h</w:t>
      </w:r>
      <w:r w:rsidRPr="007805BC">
        <w:rPr>
          <w:rFonts w:ascii="Times New Roman" w:hAnsi="Times New Roman" w:eastAsia="Times New Roman" w:cs="Times New Roman"/>
          <w:sz w:val="24"/>
          <w:szCs w:val="24"/>
        </w:rPr>
        <w:t>ave discretion to accept applications pro</w:t>
      </w:r>
      <w:r w:rsidRPr="007805BC" w:rsidR="007B449B">
        <w:rPr>
          <w:rFonts w:ascii="Times New Roman" w:hAnsi="Times New Roman" w:eastAsia="Times New Roman" w:cs="Times New Roman"/>
          <w:sz w:val="24"/>
          <w:szCs w:val="24"/>
        </w:rPr>
        <w:t>p</w:t>
      </w:r>
      <w:r w:rsidRPr="007805BC">
        <w:rPr>
          <w:rFonts w:ascii="Times New Roman" w:hAnsi="Times New Roman" w:eastAsia="Times New Roman" w:cs="Times New Roman"/>
          <w:sz w:val="24"/>
          <w:szCs w:val="24"/>
        </w:rPr>
        <w:t>osing 4% LIHTC allocations based o</w:t>
      </w:r>
      <w:r w:rsidRPr="007805BC" w:rsidR="007B449B">
        <w:rPr>
          <w:rFonts w:ascii="Times New Roman" w:hAnsi="Times New Roman" w:eastAsia="Times New Roman" w:cs="Times New Roman"/>
          <w:sz w:val="24"/>
          <w:szCs w:val="24"/>
        </w:rPr>
        <w:t>n</w:t>
      </w:r>
      <w:r w:rsidRPr="007805BC">
        <w:rPr>
          <w:rFonts w:ascii="Times New Roman" w:hAnsi="Times New Roman" w:eastAsia="Times New Roman" w:cs="Times New Roman"/>
          <w:sz w:val="24"/>
          <w:szCs w:val="24"/>
        </w:rPr>
        <w:t xml:space="preserve"> evidence of approval that is customary for the </w:t>
      </w:r>
      <w:r w:rsidR="002A46EC">
        <w:rPr>
          <w:rFonts w:ascii="Times New Roman" w:hAnsi="Times New Roman" w:eastAsia="Times New Roman" w:cs="Times New Roman"/>
          <w:sz w:val="24"/>
          <w:szCs w:val="24"/>
        </w:rPr>
        <w:t xml:space="preserve">allocating agency </w:t>
      </w:r>
      <w:r w:rsidRPr="007805BC">
        <w:rPr>
          <w:rFonts w:ascii="Times New Roman" w:hAnsi="Times New Roman" w:eastAsia="Times New Roman" w:cs="Times New Roman"/>
          <w:sz w:val="24"/>
          <w:szCs w:val="24"/>
        </w:rPr>
        <w:t>in question</w:t>
      </w:r>
      <w:r w:rsidRPr="007805BC" w:rsidR="007B449B">
        <w:rPr>
          <w:rFonts w:ascii="Times New Roman" w:hAnsi="Times New Roman" w:eastAsia="Times New Roman" w:cs="Times New Roman"/>
          <w:sz w:val="24"/>
          <w:szCs w:val="24"/>
        </w:rPr>
        <w:t>.</w:t>
      </w:r>
    </w:p>
    <w:p w:rsidRPr="007805BC" w:rsidR="00077EC9" w:rsidP="00D56665" w:rsidRDefault="00077EC9" w14:paraId="72D4B58E" w14:textId="65460C3C">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sz w:val="24"/>
          <w:szCs w:val="24"/>
        </w:rPr>
      </w:pPr>
    </w:p>
    <w:p w:rsidRPr="005357A5" w:rsidR="00D56665" w:rsidP="00D56665" w:rsidRDefault="00D56665" w14:paraId="63DA3869" w14:textId="14055E54">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w:t>
      </w:r>
      <w:r w:rsidR="009625F8">
        <w:rPr>
          <w:rFonts w:ascii="Times New Roman" w:hAnsi="Times New Roman" w:eastAsia="Times New Roman" w:cs="Times New Roman"/>
          <w:b/>
          <w:sz w:val="28"/>
          <w:szCs w:val="28"/>
        </w:rPr>
        <w:t>6</w:t>
      </w:r>
      <w:r w:rsidRPr="005357A5">
        <w:rPr>
          <w:rFonts w:ascii="Times New Roman" w:hAnsi="Times New Roman" w:eastAsia="Times New Roman" w:cs="Times New Roman"/>
          <w:b/>
          <w:sz w:val="28"/>
          <w:szCs w:val="28"/>
        </w:rPr>
        <w:t xml:space="preserve"> </w:t>
      </w:r>
      <w:r w:rsidRPr="005357A5">
        <w:rPr>
          <w:rFonts w:ascii="Times New Roman" w:hAnsi="Times New Roman" w:eastAsia="Times New Roman" w:cs="Times New Roman"/>
          <w:b/>
          <w:sz w:val="28"/>
          <w:szCs w:val="28"/>
        </w:rPr>
        <w:tab/>
        <w:t>Treatment of HAP Contract Renewals for Section 8 Assisted Projects</w:t>
      </w:r>
    </w:p>
    <w:p w:rsidRPr="00CB6138" w:rsidR="00D56665" w:rsidP="00D56665" w:rsidRDefault="00D56665" w14:paraId="63DA386A" w14:textId="77777777">
      <w:pPr>
        <w:tabs>
          <w:tab w:val="left" w:pos="2880"/>
        </w:tabs>
        <w:overflowPunct w:val="0"/>
        <w:autoSpaceDE w:val="0"/>
        <w:autoSpaceDN w:val="0"/>
        <w:adjustRightInd w:val="0"/>
        <w:spacing w:before="80" w:after="80" w:line="276" w:lineRule="auto"/>
        <w:ind w:left="180"/>
        <w:textAlignment w:val="baseline"/>
        <w:outlineLvl w:val="0"/>
        <w:rPr>
          <w:rFonts w:ascii="Times New Roman" w:hAnsi="Times New Roman" w:eastAsia="Times New Roman" w:cs="Times New Roman"/>
          <w:b/>
          <w:sz w:val="24"/>
          <w:szCs w:val="24"/>
        </w:rPr>
      </w:pPr>
    </w:p>
    <w:p w:rsidRPr="005357A5" w:rsidR="00D56665" w:rsidP="005357A5" w:rsidRDefault="0074563A" w14:paraId="63DA386B" w14:textId="1AF4889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a Section 8 HAP contract is involved, the borrower and lender are responsible for ensuring that the renewal terms under the Section 8 Renewal </w:t>
      </w:r>
      <w:r w:rsidR="00B33CD9">
        <w:rPr>
          <w:rFonts w:ascii="Times New Roman" w:hAnsi="Times New Roman" w:cs="Times New Roman"/>
          <w:sz w:val="24"/>
          <w:szCs w:val="24"/>
        </w:rPr>
        <w:t>Policy have</w:t>
      </w:r>
      <w:r>
        <w:rPr>
          <w:rFonts w:ascii="Times New Roman" w:hAnsi="Times New Roman" w:cs="Times New Roman"/>
          <w:sz w:val="24"/>
          <w:szCs w:val="24"/>
        </w:rPr>
        <w:t xml:space="preserve"> been or will be satisfied prior to loan application submission</w:t>
      </w:r>
      <w:r w:rsidR="00116EA6">
        <w:rPr>
          <w:rFonts w:ascii="Times New Roman" w:hAnsi="Times New Roman" w:cs="Times New Roman"/>
          <w:sz w:val="24"/>
          <w:szCs w:val="24"/>
        </w:rPr>
        <w:t xml:space="preserve"> or Initial Endorsement</w:t>
      </w:r>
      <w:r>
        <w:rPr>
          <w:rFonts w:ascii="Times New Roman" w:hAnsi="Times New Roman" w:cs="Times New Roman"/>
          <w:sz w:val="24"/>
          <w:szCs w:val="24"/>
        </w:rPr>
        <w:t xml:space="preserve">.  </w:t>
      </w:r>
      <w:r w:rsidRPr="005357A5" w:rsidR="00A11DEC">
        <w:rPr>
          <w:rFonts w:ascii="Times New Roman" w:hAnsi="Times New Roman" w:cs="Times New Roman"/>
          <w:sz w:val="24"/>
          <w:szCs w:val="24"/>
        </w:rPr>
        <w:t>Consistent with the definition of “Affordable Housing” in th</w:t>
      </w:r>
      <w:r w:rsidRPr="005357A5" w:rsidR="000F5DAE">
        <w:rPr>
          <w:rFonts w:ascii="Times New Roman" w:hAnsi="Times New Roman" w:cs="Times New Roman"/>
          <w:sz w:val="24"/>
          <w:szCs w:val="24"/>
        </w:rPr>
        <w:t>is</w:t>
      </w:r>
      <w:r w:rsidRPr="005357A5" w:rsidR="00A11DEC">
        <w:rPr>
          <w:rFonts w:ascii="Times New Roman" w:hAnsi="Times New Roman" w:cs="Times New Roman"/>
          <w:sz w:val="24"/>
          <w:szCs w:val="24"/>
        </w:rPr>
        <w:t xml:space="preserve"> MAP </w:t>
      </w:r>
      <w:r w:rsidR="003612A9">
        <w:rPr>
          <w:rFonts w:ascii="Times New Roman" w:hAnsi="Times New Roman" w:cs="Times New Roman"/>
          <w:sz w:val="24"/>
          <w:szCs w:val="24"/>
        </w:rPr>
        <w:t>G</w:t>
      </w:r>
      <w:r w:rsidRPr="005357A5" w:rsidR="00A11DEC">
        <w:rPr>
          <w:rFonts w:ascii="Times New Roman" w:hAnsi="Times New Roman" w:cs="Times New Roman"/>
          <w:sz w:val="24"/>
          <w:szCs w:val="24"/>
        </w:rPr>
        <w:t xml:space="preserve">uide, </w:t>
      </w:r>
      <w:bookmarkStart w:name="_Hlk27490519" w:id="2"/>
      <w:r w:rsidRPr="005357A5" w:rsidR="00B579F8">
        <w:rPr>
          <w:rFonts w:ascii="Times New Roman" w:hAnsi="Times New Roman" w:cs="Times New Roman"/>
          <w:sz w:val="24"/>
          <w:szCs w:val="24"/>
        </w:rPr>
        <w:t>if an existing Housing Assistance Payment (HAP) contract has a remaining term of 15 years or greater from final endorsement, th</w:t>
      </w:r>
      <w:r w:rsidR="00B579F8">
        <w:rPr>
          <w:rFonts w:ascii="Times New Roman" w:hAnsi="Times New Roman" w:cs="Times New Roman"/>
          <w:sz w:val="24"/>
          <w:szCs w:val="24"/>
        </w:rPr>
        <w:t>e</w:t>
      </w:r>
      <w:r w:rsidRPr="005357A5" w:rsidR="00B579F8">
        <w:rPr>
          <w:rFonts w:ascii="Times New Roman" w:hAnsi="Times New Roman" w:cs="Times New Roman"/>
          <w:sz w:val="24"/>
          <w:szCs w:val="24"/>
        </w:rPr>
        <w:t xml:space="preserve">n no renewals are </w:t>
      </w:r>
      <w:r w:rsidRPr="00D430BE" w:rsidR="00B579F8">
        <w:rPr>
          <w:rFonts w:ascii="Times New Roman" w:hAnsi="Times New Roman" w:cs="Times New Roman"/>
          <w:sz w:val="24"/>
          <w:szCs w:val="24"/>
        </w:rPr>
        <w:t>necessary</w:t>
      </w:r>
      <w:r w:rsidRPr="0042692F" w:rsidR="000877C6">
        <w:rPr>
          <w:i/>
        </w:rPr>
        <w:t xml:space="preserve"> </w:t>
      </w:r>
      <w:r w:rsidRPr="0042692F" w:rsidR="000877C6">
        <w:rPr>
          <w:rFonts w:ascii="Times New Roman" w:hAnsi="Times New Roman" w:cs="Times New Roman"/>
          <w:iCs/>
          <w:sz w:val="24"/>
          <w:szCs w:val="24"/>
        </w:rPr>
        <w:t>for purposes of qualifying for FHA insurance (other programs, such as RAD may have additional requirements</w:t>
      </w:r>
      <w:r w:rsidRPr="0042692F" w:rsidR="00D430BE">
        <w:rPr>
          <w:rFonts w:ascii="Times New Roman" w:hAnsi="Times New Roman" w:cs="Times New Roman"/>
          <w:iCs/>
          <w:sz w:val="24"/>
          <w:szCs w:val="24"/>
        </w:rPr>
        <w:t>)</w:t>
      </w:r>
      <w:r w:rsidRPr="0042692F" w:rsidR="006809A3">
        <w:rPr>
          <w:rFonts w:ascii="Times New Roman" w:hAnsi="Times New Roman" w:cs="Times New Roman"/>
          <w:sz w:val="24"/>
          <w:szCs w:val="24"/>
        </w:rPr>
        <w:t>.</w:t>
      </w:r>
      <w:r w:rsidR="00470630">
        <w:rPr>
          <w:rFonts w:ascii="Times New Roman" w:hAnsi="Times New Roman" w:cs="Times New Roman"/>
          <w:sz w:val="24"/>
          <w:szCs w:val="24"/>
        </w:rPr>
        <w:t xml:space="preserve"> </w:t>
      </w:r>
      <w:r w:rsidR="00BB7731">
        <w:rPr>
          <w:rFonts w:ascii="Times New Roman" w:hAnsi="Times New Roman" w:cs="Times New Roman"/>
          <w:sz w:val="24"/>
          <w:szCs w:val="24"/>
        </w:rPr>
        <w:t>See</w:t>
      </w:r>
      <w:r w:rsidR="00470630">
        <w:rPr>
          <w:rFonts w:ascii="Times New Roman" w:hAnsi="Times New Roman" w:cs="Times New Roman"/>
          <w:sz w:val="24"/>
          <w:szCs w:val="24"/>
        </w:rPr>
        <w:t xml:space="preserve"> </w:t>
      </w:r>
      <w:r w:rsidRPr="00734ADA" w:rsidR="00470630">
        <w:rPr>
          <w:rFonts w:ascii="Times New Roman" w:hAnsi="Times New Roman" w:cs="Times New Roman"/>
          <w:sz w:val="24"/>
          <w:szCs w:val="24"/>
        </w:rPr>
        <w:t>7.8.I.5</w:t>
      </w:r>
      <w:r w:rsidR="00AF15A4">
        <w:rPr>
          <w:rFonts w:ascii="Times New Roman" w:hAnsi="Times New Roman" w:cs="Times New Roman"/>
          <w:sz w:val="24"/>
          <w:szCs w:val="24"/>
        </w:rPr>
        <w:t>.</w:t>
      </w:r>
      <w:r w:rsidRPr="00734ADA" w:rsidR="00470630">
        <w:rPr>
          <w:rFonts w:ascii="Times New Roman" w:hAnsi="Times New Roman" w:cs="Times New Roman"/>
          <w:sz w:val="24"/>
          <w:szCs w:val="24"/>
        </w:rPr>
        <w:t xml:space="preserve"> for underwriting requirements</w:t>
      </w:r>
      <w:r w:rsidR="007B52C4">
        <w:rPr>
          <w:rFonts w:ascii="Times New Roman" w:hAnsi="Times New Roman" w:cs="Times New Roman"/>
          <w:sz w:val="24"/>
          <w:szCs w:val="24"/>
        </w:rPr>
        <w:t xml:space="preserve"> for projects with short and long-term HAP contracts</w:t>
      </w:r>
      <w:r w:rsidRPr="00EF5ED5" w:rsidR="00470630">
        <w:rPr>
          <w:rFonts w:ascii="Times New Roman" w:hAnsi="Times New Roman" w:cs="Times New Roman"/>
          <w:sz w:val="24"/>
          <w:szCs w:val="24"/>
        </w:rPr>
        <w:t>.</w:t>
      </w:r>
      <w:r w:rsidR="00B579F8">
        <w:rPr>
          <w:rFonts w:ascii="Times New Roman" w:hAnsi="Times New Roman" w:cs="Times New Roman"/>
          <w:sz w:val="24"/>
          <w:szCs w:val="24"/>
        </w:rPr>
        <w:t xml:space="preserve"> </w:t>
      </w:r>
      <w:bookmarkEnd w:id="2"/>
      <w:r w:rsidR="006D54B8">
        <w:rPr>
          <w:rFonts w:ascii="Times New Roman" w:hAnsi="Times New Roman" w:cs="Times New Roman"/>
          <w:sz w:val="24"/>
          <w:szCs w:val="24"/>
        </w:rPr>
        <w:t xml:space="preserve">  </w:t>
      </w:r>
      <w:r w:rsidRPr="005357A5" w:rsidR="00A11DEC">
        <w:rPr>
          <w:rFonts w:ascii="Times New Roman" w:hAnsi="Times New Roman" w:cs="Times New Roman"/>
          <w:sz w:val="24"/>
          <w:szCs w:val="24"/>
        </w:rPr>
        <w:t>Criterion 3 remains value</w:t>
      </w:r>
      <w:r w:rsidR="005D7C2A">
        <w:rPr>
          <w:rFonts w:ascii="Times New Roman" w:hAnsi="Times New Roman" w:cs="Times New Roman"/>
          <w:sz w:val="24"/>
          <w:szCs w:val="24"/>
        </w:rPr>
        <w:t>-</w:t>
      </w:r>
      <w:r w:rsidRPr="005357A5" w:rsidR="00A11DEC">
        <w:rPr>
          <w:rFonts w:ascii="Times New Roman" w:hAnsi="Times New Roman" w:cs="Times New Roman"/>
          <w:sz w:val="24"/>
          <w:szCs w:val="24"/>
        </w:rPr>
        <w:t>based u</w:t>
      </w:r>
      <w:r w:rsidR="00315745">
        <w:rPr>
          <w:rFonts w:ascii="Times New Roman" w:hAnsi="Times New Roman" w:cs="Times New Roman"/>
          <w:sz w:val="24"/>
          <w:szCs w:val="24"/>
        </w:rPr>
        <w:t>sing</w:t>
      </w:r>
      <w:r w:rsidRPr="005357A5" w:rsidR="00A11DEC">
        <w:rPr>
          <w:rFonts w:ascii="Times New Roman" w:hAnsi="Times New Roman" w:cs="Times New Roman"/>
          <w:sz w:val="24"/>
          <w:szCs w:val="24"/>
        </w:rPr>
        <w:t xml:space="preserve"> market rents, unless the project is a </w:t>
      </w:r>
      <w:r w:rsidR="00E679B0">
        <w:rPr>
          <w:rFonts w:ascii="Times New Roman" w:hAnsi="Times New Roman" w:cs="Times New Roman"/>
          <w:sz w:val="24"/>
          <w:szCs w:val="24"/>
        </w:rPr>
        <w:t xml:space="preserve">first-time </w:t>
      </w:r>
      <w:r w:rsidRPr="005357A5" w:rsidR="00A11DEC">
        <w:rPr>
          <w:rFonts w:ascii="Times New Roman" w:hAnsi="Times New Roman" w:cs="Times New Roman"/>
          <w:sz w:val="24"/>
          <w:szCs w:val="24"/>
        </w:rPr>
        <w:t xml:space="preserve">refinance of a 202 or </w:t>
      </w:r>
      <w:r w:rsidR="00E679B0">
        <w:rPr>
          <w:rFonts w:ascii="Times New Roman" w:hAnsi="Times New Roman" w:cs="Times New Roman"/>
          <w:sz w:val="24"/>
          <w:szCs w:val="24"/>
        </w:rPr>
        <w:t xml:space="preserve">a </w:t>
      </w:r>
      <w:r w:rsidRPr="005357A5" w:rsidR="00A11DEC">
        <w:rPr>
          <w:rFonts w:ascii="Times New Roman" w:hAnsi="Times New Roman" w:cs="Times New Roman"/>
          <w:sz w:val="24"/>
          <w:szCs w:val="24"/>
        </w:rPr>
        <w:t xml:space="preserve">RAD transaction. </w:t>
      </w:r>
      <w:r w:rsidR="003E75FE">
        <w:rPr>
          <w:rFonts w:ascii="Times New Roman" w:hAnsi="Times New Roman" w:cs="Times New Roman"/>
          <w:sz w:val="24"/>
          <w:szCs w:val="24"/>
        </w:rPr>
        <w:t xml:space="preserve"> </w:t>
      </w:r>
      <w:r w:rsidRPr="005357A5" w:rsidR="00731082">
        <w:rPr>
          <w:rFonts w:ascii="Times New Roman" w:hAnsi="Times New Roman" w:cs="Times New Roman"/>
          <w:sz w:val="24"/>
          <w:szCs w:val="24"/>
        </w:rPr>
        <w:t>For Project Based Voucher (PBV) contracts, a 15-year contract is both typical and acceptable.</w:t>
      </w:r>
      <w:r w:rsidRPr="009100EB" w:rsidR="009100EB">
        <w:rPr>
          <w:rFonts w:ascii="Times New Roman" w:hAnsi="Times New Roman" w:cs="Times New Roman"/>
          <w:sz w:val="24"/>
          <w:szCs w:val="24"/>
        </w:rPr>
        <w:t xml:space="preserve"> </w:t>
      </w:r>
      <w:r w:rsidR="009100EB">
        <w:rPr>
          <w:rFonts w:ascii="Times New Roman" w:hAnsi="Times New Roman" w:cs="Times New Roman"/>
          <w:sz w:val="24"/>
          <w:szCs w:val="24"/>
        </w:rPr>
        <w:t xml:space="preserve"> </w:t>
      </w:r>
    </w:p>
    <w:p w:rsidRPr="007805BC" w:rsidR="00D56665" w:rsidP="00D56665" w:rsidRDefault="00D56665" w14:paraId="63DA386C" w14:textId="77777777">
      <w:pPr>
        <w:tabs>
          <w:tab w:val="left" w:pos="2340"/>
        </w:tabs>
        <w:spacing w:after="200" w:line="276" w:lineRule="auto"/>
        <w:contextualSpacing/>
        <w:jc w:val="both"/>
        <w:rPr>
          <w:rFonts w:ascii="Times New Roman" w:hAnsi="Times New Roman" w:cs="Times New Roman"/>
          <w:sz w:val="24"/>
          <w:szCs w:val="24"/>
        </w:rPr>
      </w:pPr>
    </w:p>
    <w:p w:rsidRPr="007805BC" w:rsidR="00D56665" w:rsidP="00D56665" w:rsidRDefault="005D6885" w14:paraId="63DA386D" w14:textId="2EF0C78C">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case of a H</w:t>
      </w:r>
      <w:r w:rsidR="00860E28">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P Contract Renewal Request, the </w:t>
      </w:r>
      <w:r w:rsidRPr="007805BC" w:rsidR="00D56665">
        <w:rPr>
          <w:rFonts w:ascii="Times New Roman" w:hAnsi="Times New Roman" w:eastAsia="Times New Roman" w:cs="Times New Roman"/>
          <w:sz w:val="24"/>
          <w:szCs w:val="24"/>
        </w:rPr>
        <w:t>Rent Comparability Stud</w:t>
      </w:r>
      <w:r>
        <w:rPr>
          <w:rFonts w:ascii="Times New Roman" w:hAnsi="Times New Roman" w:eastAsia="Times New Roman" w:cs="Times New Roman"/>
          <w:sz w:val="24"/>
          <w:szCs w:val="24"/>
        </w:rPr>
        <w:t>y</w:t>
      </w:r>
      <w:r w:rsidRPr="007805BC" w:rsidR="00D56665">
        <w:rPr>
          <w:rFonts w:ascii="Times New Roman" w:hAnsi="Times New Roman" w:eastAsia="Times New Roman" w:cs="Times New Roman"/>
          <w:sz w:val="24"/>
          <w:szCs w:val="24"/>
        </w:rPr>
        <w:t xml:space="preserve"> (“RCS”) </w:t>
      </w:r>
      <w:r w:rsidR="00D814B5">
        <w:rPr>
          <w:rFonts w:ascii="Times New Roman" w:hAnsi="Times New Roman" w:eastAsia="Times New Roman" w:cs="Times New Roman"/>
          <w:sz w:val="24"/>
          <w:szCs w:val="24"/>
        </w:rPr>
        <w:t>must be reviewed by t</w:t>
      </w:r>
      <w:r w:rsidRPr="007805BC" w:rsidR="00D56665">
        <w:rPr>
          <w:rFonts w:ascii="Times New Roman" w:hAnsi="Times New Roman" w:eastAsia="Times New Roman" w:cs="Times New Roman"/>
          <w:sz w:val="24"/>
          <w:szCs w:val="24"/>
        </w:rPr>
        <w:t xml:space="preserve">he lender </w:t>
      </w:r>
      <w:r w:rsidR="000D7BF5">
        <w:rPr>
          <w:rFonts w:ascii="Times New Roman" w:hAnsi="Times New Roman" w:eastAsia="Times New Roman" w:cs="Times New Roman"/>
          <w:sz w:val="24"/>
          <w:szCs w:val="24"/>
        </w:rPr>
        <w:t>as pa</w:t>
      </w:r>
      <w:r w:rsidRPr="007805BC" w:rsidR="00D56665">
        <w:rPr>
          <w:rFonts w:ascii="Times New Roman" w:hAnsi="Times New Roman" w:eastAsia="Times New Roman" w:cs="Times New Roman"/>
          <w:sz w:val="24"/>
          <w:szCs w:val="24"/>
        </w:rPr>
        <w:t xml:space="preserve">rt of the underwriting process and when reviewing the MAP appraisal.  If the borrower commissions the RCS, the same firm </w:t>
      </w:r>
      <w:r w:rsidR="00113CDA">
        <w:rPr>
          <w:rFonts w:ascii="Times New Roman" w:hAnsi="Times New Roman" w:eastAsia="Times New Roman" w:cs="Times New Roman"/>
          <w:sz w:val="24"/>
          <w:szCs w:val="24"/>
        </w:rPr>
        <w:t>can</w:t>
      </w:r>
      <w:r w:rsidR="00DD4800">
        <w:rPr>
          <w:rFonts w:ascii="Times New Roman" w:hAnsi="Times New Roman" w:eastAsia="Times New Roman" w:cs="Times New Roman"/>
          <w:sz w:val="24"/>
          <w:szCs w:val="24"/>
        </w:rPr>
        <w:t xml:space="preserve"> not</w:t>
      </w:r>
      <w:r w:rsidRPr="007805BC" w:rsidR="00D56665">
        <w:rPr>
          <w:rFonts w:ascii="Times New Roman" w:hAnsi="Times New Roman" w:eastAsia="Times New Roman" w:cs="Times New Roman"/>
          <w:sz w:val="24"/>
          <w:szCs w:val="24"/>
        </w:rPr>
        <w:t xml:space="preserve"> do the appraisal.  </w:t>
      </w:r>
      <w:r w:rsidRPr="007805BC" w:rsidR="00E14C0E">
        <w:rPr>
          <w:rFonts w:ascii="Times New Roman" w:hAnsi="Times New Roman" w:eastAsia="Times New Roman" w:cs="Times New Roman"/>
          <w:sz w:val="24"/>
          <w:szCs w:val="24"/>
        </w:rPr>
        <w:t>However,</w:t>
      </w:r>
      <w:r w:rsidRPr="007805BC" w:rsidR="00D56665">
        <w:rPr>
          <w:rFonts w:ascii="Times New Roman" w:hAnsi="Times New Roman" w:eastAsia="Times New Roman" w:cs="Times New Roman"/>
          <w:sz w:val="24"/>
          <w:szCs w:val="24"/>
        </w:rPr>
        <w:t xml:space="preserve"> if the lender commissions the RCS, the same firm </w:t>
      </w:r>
      <w:r w:rsidR="00DD4800">
        <w:rPr>
          <w:rFonts w:ascii="Times New Roman" w:hAnsi="Times New Roman" w:eastAsia="Times New Roman" w:cs="Times New Roman"/>
          <w:sz w:val="24"/>
          <w:szCs w:val="24"/>
        </w:rPr>
        <w:t>may</w:t>
      </w:r>
      <w:r w:rsidRPr="007805BC" w:rsidR="00D56665">
        <w:rPr>
          <w:rFonts w:ascii="Times New Roman" w:hAnsi="Times New Roman" w:eastAsia="Times New Roman" w:cs="Times New Roman"/>
          <w:sz w:val="24"/>
          <w:szCs w:val="24"/>
        </w:rPr>
        <w:t xml:space="preserve"> do the appraisal.  The lender is expected to </w:t>
      </w:r>
      <w:r w:rsidR="00F113DF">
        <w:rPr>
          <w:rFonts w:ascii="Times New Roman" w:hAnsi="Times New Roman" w:eastAsia="Times New Roman" w:cs="Times New Roman"/>
          <w:sz w:val="24"/>
          <w:szCs w:val="24"/>
        </w:rPr>
        <w:t>analyze</w:t>
      </w:r>
      <w:r w:rsidRPr="007805BC" w:rsidR="00D56665">
        <w:rPr>
          <w:rFonts w:ascii="Times New Roman" w:hAnsi="Times New Roman" w:eastAsia="Times New Roman" w:cs="Times New Roman"/>
          <w:sz w:val="24"/>
          <w:szCs w:val="24"/>
        </w:rPr>
        <w:t xml:space="preserve"> the loan using the rents from the RCS to develop </w:t>
      </w:r>
      <w:r w:rsidRPr="007805BC" w:rsidR="00605294">
        <w:rPr>
          <w:rFonts w:ascii="Times New Roman" w:hAnsi="Times New Roman" w:eastAsia="Times New Roman" w:cs="Times New Roman"/>
          <w:sz w:val="24"/>
          <w:szCs w:val="24"/>
        </w:rPr>
        <w:t>income estimates</w:t>
      </w:r>
      <w:r w:rsidRPr="007805BC" w:rsidR="00D56665">
        <w:rPr>
          <w:rFonts w:ascii="Times New Roman" w:hAnsi="Times New Roman" w:eastAsia="Times New Roman" w:cs="Times New Roman"/>
          <w:sz w:val="24"/>
          <w:szCs w:val="24"/>
        </w:rPr>
        <w:t xml:space="preserve"> (and/or the Section 8 budget prepared by the borrower in the case of budget</w:t>
      </w:r>
      <w:r w:rsidR="00F732AA">
        <w:rPr>
          <w:rFonts w:ascii="Times New Roman" w:hAnsi="Times New Roman" w:eastAsia="Times New Roman" w:cs="Times New Roman"/>
          <w:sz w:val="24"/>
          <w:szCs w:val="24"/>
        </w:rPr>
        <w:t>-</w:t>
      </w:r>
      <w:r w:rsidRPr="007805BC" w:rsidR="00D56665">
        <w:rPr>
          <w:rFonts w:ascii="Times New Roman" w:hAnsi="Times New Roman" w:eastAsia="Times New Roman" w:cs="Times New Roman"/>
          <w:sz w:val="24"/>
          <w:szCs w:val="24"/>
        </w:rPr>
        <w:t xml:space="preserve">based rents) and to address any inconsistencies in the lender’s narrative.  The HUD Underwriter will review the Section 8 HAP </w:t>
      </w:r>
      <w:r w:rsidR="00725381">
        <w:rPr>
          <w:rFonts w:ascii="Times New Roman" w:hAnsi="Times New Roman" w:eastAsia="Times New Roman" w:cs="Times New Roman"/>
          <w:sz w:val="24"/>
          <w:szCs w:val="24"/>
        </w:rPr>
        <w:t>C</w:t>
      </w:r>
      <w:r w:rsidRPr="007805BC" w:rsidR="00D56665">
        <w:rPr>
          <w:rFonts w:ascii="Times New Roman" w:hAnsi="Times New Roman" w:eastAsia="Times New Roman" w:cs="Times New Roman"/>
          <w:sz w:val="24"/>
          <w:szCs w:val="24"/>
        </w:rPr>
        <w:t xml:space="preserve">ontract </w:t>
      </w:r>
      <w:r w:rsidR="00725381">
        <w:rPr>
          <w:rFonts w:ascii="Times New Roman" w:hAnsi="Times New Roman" w:eastAsia="Times New Roman" w:cs="Times New Roman"/>
          <w:sz w:val="24"/>
          <w:szCs w:val="24"/>
        </w:rPr>
        <w:t>Renewal R</w:t>
      </w:r>
      <w:r w:rsidRPr="007805BC" w:rsidR="00D56665">
        <w:rPr>
          <w:rFonts w:ascii="Times New Roman" w:hAnsi="Times New Roman" w:eastAsia="Times New Roman" w:cs="Times New Roman"/>
          <w:sz w:val="24"/>
          <w:szCs w:val="24"/>
        </w:rPr>
        <w:t xml:space="preserve">equest, RCS and lender’s underwriting narrative to verify that the rents requested by the borrower in the </w:t>
      </w:r>
      <w:r w:rsidR="00725381">
        <w:rPr>
          <w:rFonts w:ascii="Times New Roman" w:hAnsi="Times New Roman" w:eastAsia="Times New Roman" w:cs="Times New Roman"/>
          <w:sz w:val="24"/>
          <w:szCs w:val="24"/>
        </w:rPr>
        <w:t>R</w:t>
      </w:r>
      <w:r w:rsidRPr="007805BC" w:rsidR="00D56665">
        <w:rPr>
          <w:rFonts w:ascii="Times New Roman" w:hAnsi="Times New Roman" w:eastAsia="Times New Roman" w:cs="Times New Roman"/>
          <w:sz w:val="24"/>
          <w:szCs w:val="24"/>
        </w:rPr>
        <w:t xml:space="preserve">enewal </w:t>
      </w:r>
      <w:r w:rsidR="00725381">
        <w:rPr>
          <w:rFonts w:ascii="Times New Roman" w:hAnsi="Times New Roman" w:eastAsia="Times New Roman" w:cs="Times New Roman"/>
          <w:sz w:val="24"/>
          <w:szCs w:val="24"/>
        </w:rPr>
        <w:t>R</w:t>
      </w:r>
      <w:r w:rsidRPr="007805BC" w:rsidR="00D56665">
        <w:rPr>
          <w:rFonts w:ascii="Times New Roman" w:hAnsi="Times New Roman" w:eastAsia="Times New Roman" w:cs="Times New Roman"/>
          <w:sz w:val="24"/>
          <w:szCs w:val="24"/>
        </w:rPr>
        <w:t>equest are supported by the RCS and that the lender’s underwriting</w:t>
      </w:r>
      <w:r w:rsidRPr="00B11F63" w:rsidR="00B11F63">
        <w:t xml:space="preserve"> </w:t>
      </w:r>
      <w:r w:rsidRPr="00303D66" w:rsidR="00B11F63">
        <w:rPr>
          <w:rFonts w:ascii="Times New Roman" w:hAnsi="Times New Roman" w:cs="Times New Roman"/>
          <w:sz w:val="24"/>
          <w:szCs w:val="24"/>
        </w:rPr>
        <w:t>accounts for the RCS and the Renewal Request.</w:t>
      </w:r>
      <w:r w:rsidRPr="007805BC" w:rsidR="00D56665">
        <w:rPr>
          <w:rFonts w:ascii="Times New Roman" w:hAnsi="Times New Roman" w:eastAsia="Times New Roman" w:cs="Times New Roman"/>
          <w:sz w:val="24"/>
          <w:szCs w:val="24"/>
        </w:rPr>
        <w:t xml:space="preserve">  At the HUD Underwriter’s </w:t>
      </w:r>
      <w:r w:rsidRPr="007805BC" w:rsidR="00CC02D0">
        <w:rPr>
          <w:rFonts w:ascii="Times New Roman" w:hAnsi="Times New Roman" w:eastAsia="Times New Roman" w:cs="Times New Roman"/>
          <w:sz w:val="24"/>
          <w:szCs w:val="24"/>
        </w:rPr>
        <w:t>discretion,</w:t>
      </w:r>
      <w:r w:rsidRPr="007805BC" w:rsidR="00D56665">
        <w:rPr>
          <w:rFonts w:ascii="Times New Roman" w:hAnsi="Times New Roman" w:eastAsia="Times New Roman" w:cs="Times New Roman"/>
          <w:sz w:val="24"/>
          <w:szCs w:val="24"/>
        </w:rPr>
        <w:t xml:space="preserve"> the HUD appraiser may be asked to review an RCS to determine its reasonableness.  </w:t>
      </w:r>
      <w:r w:rsidR="000E372B">
        <w:rPr>
          <w:rFonts w:ascii="Times New Roman" w:hAnsi="Times New Roman" w:eastAsia="Times New Roman" w:cs="Times New Roman"/>
          <w:sz w:val="24"/>
          <w:szCs w:val="24"/>
        </w:rPr>
        <w:t>If</w:t>
      </w:r>
      <w:r w:rsidRPr="007805BC" w:rsidR="00D56665">
        <w:rPr>
          <w:rFonts w:ascii="Times New Roman" w:hAnsi="Times New Roman" w:eastAsia="Times New Roman" w:cs="Times New Roman"/>
          <w:sz w:val="24"/>
          <w:szCs w:val="24"/>
        </w:rPr>
        <w:t xml:space="preserve"> the Performance Based Contract Administrator’s</w:t>
      </w:r>
      <w:r w:rsidRPr="00CB6138" w:rsidR="00D56665">
        <w:rPr>
          <w:rFonts w:ascii="Times New Roman" w:hAnsi="Times New Roman" w:eastAsia="Times New Roman" w:cs="Times New Roman"/>
          <w:sz w:val="24"/>
          <w:szCs w:val="24"/>
          <w:vertAlign w:val="superscript"/>
        </w:rPr>
        <w:footnoteReference w:id="4"/>
      </w:r>
      <w:r w:rsidRPr="00CB6138" w:rsidR="00D56665">
        <w:rPr>
          <w:rFonts w:ascii="Times New Roman" w:hAnsi="Times New Roman" w:eastAsia="Times New Roman" w:cs="Times New Roman"/>
          <w:sz w:val="24"/>
          <w:szCs w:val="24"/>
        </w:rPr>
        <w:t xml:space="preserve"> (“PBCA”) appraiser has not undertaken a </w:t>
      </w:r>
      <w:r w:rsidRPr="00CB6138" w:rsidR="00D56665">
        <w:rPr>
          <w:rFonts w:ascii="Times New Roman" w:hAnsi="Times New Roman" w:eastAsia="Times New Roman" w:cs="Times New Roman"/>
          <w:sz w:val="24"/>
          <w:szCs w:val="24"/>
        </w:rPr>
        <w:lastRenderedPageBreak/>
        <w:t>detailed review of the RCS, the HUD appraiser must also review the RCS to determine reasonableness using Guidelines in Chapter 9 of the “Section 8 Renewal Policy”.</w:t>
      </w:r>
    </w:p>
    <w:p w:rsidRPr="007805BC" w:rsidR="00D56665" w:rsidP="00D56665" w:rsidRDefault="00D56665" w14:paraId="63DA386E" w14:textId="77777777">
      <w:pPr>
        <w:spacing w:line="276" w:lineRule="auto"/>
        <w:jc w:val="both"/>
        <w:rPr>
          <w:rFonts w:ascii="Times New Roman" w:hAnsi="Times New Roman" w:eastAsia="Times New Roman" w:cs="Times New Roman"/>
          <w:sz w:val="24"/>
          <w:szCs w:val="24"/>
        </w:rPr>
      </w:pPr>
    </w:p>
    <w:p w:rsidRPr="007805BC" w:rsidR="00D56665" w:rsidP="00D56665" w:rsidRDefault="00D56665" w14:paraId="63DA386F" w14:textId="7D3C79AA">
      <w:pPr>
        <w:spacing w:after="200" w:line="276" w:lineRule="auto"/>
        <w:jc w:val="both"/>
        <w:rPr>
          <w:rFonts w:ascii="Times New Roman" w:hAnsi="Times New Roman" w:cs="Times New Roman"/>
          <w:sz w:val="24"/>
          <w:szCs w:val="24"/>
        </w:rPr>
      </w:pPr>
      <w:r w:rsidRPr="007805BC">
        <w:rPr>
          <w:rFonts w:ascii="Times New Roman" w:hAnsi="Times New Roman" w:cs="Times New Roman"/>
          <w:sz w:val="24"/>
          <w:szCs w:val="24"/>
        </w:rPr>
        <w:t>Coordination among the assigned HUD Underwriter, the field office’s Asset Management and Portfolio Oversight (OAMPO) representative assigned to the project, and if necessary, HUD HQ</w:t>
      </w:r>
      <w:r w:rsidR="00005B32">
        <w:rPr>
          <w:rFonts w:ascii="Times New Roman" w:hAnsi="Times New Roman" w:cs="Times New Roman"/>
          <w:sz w:val="24"/>
          <w:szCs w:val="24"/>
        </w:rPr>
        <w:t>’s</w:t>
      </w:r>
      <w:r w:rsidRPr="007805BC">
        <w:rPr>
          <w:rFonts w:ascii="Times New Roman" w:hAnsi="Times New Roman" w:cs="Times New Roman"/>
          <w:sz w:val="24"/>
          <w:szCs w:val="24"/>
        </w:rPr>
        <w:t xml:space="preserve"> OAMPO staff is essential to ensure that a) the Section 8 HAP </w:t>
      </w:r>
      <w:r w:rsidR="00005B32">
        <w:rPr>
          <w:rFonts w:ascii="Times New Roman" w:hAnsi="Times New Roman" w:cs="Times New Roman"/>
          <w:sz w:val="24"/>
          <w:szCs w:val="24"/>
        </w:rPr>
        <w:t>C</w:t>
      </w:r>
      <w:r w:rsidRPr="007805BC">
        <w:rPr>
          <w:rFonts w:ascii="Times New Roman" w:hAnsi="Times New Roman" w:cs="Times New Roman"/>
          <w:sz w:val="24"/>
          <w:szCs w:val="24"/>
        </w:rPr>
        <w:t xml:space="preserve">ontract </w:t>
      </w:r>
      <w:r w:rsidR="00005B32">
        <w:rPr>
          <w:rFonts w:ascii="Times New Roman" w:hAnsi="Times New Roman" w:cs="Times New Roman"/>
          <w:sz w:val="24"/>
          <w:szCs w:val="24"/>
        </w:rPr>
        <w:t>R</w:t>
      </w:r>
      <w:r w:rsidRPr="007805BC">
        <w:rPr>
          <w:rFonts w:ascii="Times New Roman" w:hAnsi="Times New Roman" w:cs="Times New Roman"/>
          <w:sz w:val="24"/>
          <w:szCs w:val="24"/>
        </w:rPr>
        <w:t xml:space="preserve">enewal </w:t>
      </w:r>
      <w:r w:rsidR="00005B32">
        <w:rPr>
          <w:rFonts w:ascii="Times New Roman" w:hAnsi="Times New Roman" w:cs="Times New Roman"/>
          <w:sz w:val="24"/>
          <w:szCs w:val="24"/>
        </w:rPr>
        <w:t>R</w:t>
      </w:r>
      <w:r w:rsidRPr="007805BC">
        <w:rPr>
          <w:rFonts w:ascii="Times New Roman" w:hAnsi="Times New Roman" w:cs="Times New Roman"/>
          <w:sz w:val="24"/>
          <w:szCs w:val="24"/>
        </w:rPr>
        <w:t>equest and rent increase, if applicable, are approved in a timely fashion, b) a prepayment approval is obtained if needed, and c) any other waivers are processed and approved in a timely fashion.</w:t>
      </w:r>
    </w:p>
    <w:p w:rsidR="006E282D" w:rsidP="00D56665" w:rsidRDefault="00D56665" w14:paraId="1F84D78E" w14:textId="3F18FFF3">
      <w:pPr>
        <w:spacing w:after="200" w:line="276" w:lineRule="auto"/>
        <w:jc w:val="both"/>
        <w:rPr>
          <w:rFonts w:ascii="Times New Roman" w:hAnsi="Times New Roman" w:cs="Times New Roman"/>
          <w:sz w:val="24"/>
          <w:szCs w:val="24"/>
        </w:rPr>
      </w:pPr>
      <w:r w:rsidRPr="007805BC">
        <w:rPr>
          <w:rFonts w:ascii="Times New Roman" w:hAnsi="Times New Roman" w:cs="Times New Roman"/>
          <w:sz w:val="24"/>
          <w:szCs w:val="24"/>
        </w:rPr>
        <w:t xml:space="preserve">Section 8 HAP Renewal Requests and Rent Adjustment Requests must be delivered to the Performance Based Contract Administrator (PBCA) </w:t>
      </w:r>
      <w:r w:rsidRPr="007805BC" w:rsidR="00A4309C">
        <w:rPr>
          <w:rFonts w:ascii="Times New Roman" w:hAnsi="Times New Roman" w:cs="Times New Roman"/>
          <w:sz w:val="24"/>
          <w:szCs w:val="24"/>
        </w:rPr>
        <w:t xml:space="preserve">at least 60 days </w:t>
      </w:r>
      <w:r w:rsidRPr="007805BC">
        <w:rPr>
          <w:rFonts w:ascii="Times New Roman" w:hAnsi="Times New Roman" w:cs="Times New Roman"/>
          <w:sz w:val="24"/>
          <w:szCs w:val="24"/>
        </w:rPr>
        <w:t xml:space="preserve">prior to the submission of the Firm Commitment application, and 120 days in advance is preferable.  However, the RCS rents and the appraiser’s rents must be determined within 180 days of the issuance of the Firm Commitment, or those rents must be updated </w:t>
      </w:r>
      <w:r w:rsidR="00DD4800">
        <w:rPr>
          <w:rFonts w:ascii="Times New Roman" w:hAnsi="Times New Roman" w:cs="Times New Roman"/>
          <w:sz w:val="24"/>
          <w:szCs w:val="24"/>
        </w:rPr>
        <w:t>in accordance with</w:t>
      </w:r>
      <w:r w:rsidRPr="007805BC">
        <w:rPr>
          <w:rFonts w:ascii="Times New Roman" w:hAnsi="Times New Roman" w:cs="Times New Roman"/>
          <w:sz w:val="24"/>
          <w:szCs w:val="24"/>
        </w:rPr>
        <w:t xml:space="preserve"> </w:t>
      </w:r>
      <w:r w:rsidRPr="005357A5" w:rsidR="00733E6C">
        <w:rPr>
          <w:rFonts w:ascii="Times New Roman" w:hAnsi="Times New Roman" w:cs="Times New Roman"/>
          <w:sz w:val="24"/>
          <w:szCs w:val="24"/>
        </w:rPr>
        <w:t xml:space="preserve">Chapter </w:t>
      </w:r>
      <w:r w:rsidRPr="00811330">
        <w:rPr>
          <w:rFonts w:ascii="Times New Roman" w:hAnsi="Times New Roman" w:cs="Times New Roman"/>
          <w:sz w:val="24"/>
          <w:szCs w:val="24"/>
        </w:rPr>
        <w:t>7.6.B.</w:t>
      </w:r>
      <w:r w:rsidRPr="00CB6138">
        <w:rPr>
          <w:rFonts w:ascii="Times New Roman" w:hAnsi="Times New Roman" w:cs="Times New Roman"/>
          <w:sz w:val="24"/>
          <w:szCs w:val="24"/>
        </w:rPr>
        <w:t xml:space="preserve">  </w:t>
      </w:r>
      <w:r w:rsidRPr="00CB6138" w:rsidR="00E477AA">
        <w:rPr>
          <w:rFonts w:ascii="Times New Roman" w:hAnsi="Times New Roman" w:cs="Times New Roman"/>
          <w:sz w:val="24"/>
          <w:szCs w:val="24"/>
        </w:rPr>
        <w:t>Thus,</w:t>
      </w:r>
      <w:r w:rsidRPr="00CB6138">
        <w:rPr>
          <w:rFonts w:ascii="Times New Roman" w:hAnsi="Times New Roman" w:cs="Times New Roman"/>
          <w:sz w:val="24"/>
          <w:szCs w:val="24"/>
        </w:rPr>
        <w:t xml:space="preserve"> the owner and lender must </w:t>
      </w:r>
      <w:r w:rsidR="00510ECE">
        <w:rPr>
          <w:rFonts w:ascii="Times New Roman" w:hAnsi="Times New Roman" w:cs="Times New Roman"/>
          <w:sz w:val="24"/>
          <w:szCs w:val="24"/>
        </w:rPr>
        <w:t xml:space="preserve">carefully </w:t>
      </w:r>
      <w:r w:rsidRPr="00CB6138">
        <w:rPr>
          <w:rFonts w:ascii="Times New Roman" w:hAnsi="Times New Roman" w:cs="Times New Roman"/>
          <w:sz w:val="24"/>
          <w:szCs w:val="24"/>
        </w:rPr>
        <w:t>manage the timing</w:t>
      </w:r>
      <w:r w:rsidRPr="00E826CF">
        <w:rPr>
          <w:rFonts w:ascii="Times New Roman" w:hAnsi="Times New Roman" w:cs="Times New Roman"/>
          <w:strike/>
          <w:sz w:val="24"/>
          <w:szCs w:val="24"/>
        </w:rPr>
        <w:t xml:space="preserve">. </w:t>
      </w:r>
      <w:r w:rsidRPr="00DD33F1" w:rsidR="00977BE8">
        <w:rPr>
          <w:rFonts w:cstheme="minorHAnsi"/>
          <w:color w:val="000000" w:themeColor="text1"/>
        </w:rPr>
        <w:t xml:space="preserve"> </w:t>
      </w:r>
      <w:r w:rsidRPr="00B70BD9">
        <w:rPr>
          <w:rFonts w:ascii="Times New Roman" w:hAnsi="Times New Roman" w:cs="Times New Roman"/>
          <w:sz w:val="24"/>
          <w:szCs w:val="24"/>
        </w:rPr>
        <w:t xml:space="preserve">  </w:t>
      </w:r>
    </w:p>
    <w:p w:rsidRPr="007805BC" w:rsidR="00D56665" w:rsidP="00D56665" w:rsidRDefault="00D56665" w14:paraId="63DA3870" w14:textId="3EE6EFA9">
      <w:pPr>
        <w:spacing w:after="200" w:line="276" w:lineRule="auto"/>
        <w:jc w:val="both"/>
        <w:rPr>
          <w:rFonts w:ascii="Times New Roman" w:hAnsi="Times New Roman" w:cs="Times New Roman"/>
          <w:sz w:val="24"/>
          <w:szCs w:val="24"/>
        </w:rPr>
      </w:pPr>
      <w:r w:rsidRPr="00B70BD9">
        <w:rPr>
          <w:rFonts w:ascii="Times New Roman" w:hAnsi="Times New Roman" w:cs="Times New Roman"/>
          <w:sz w:val="24"/>
          <w:szCs w:val="24"/>
        </w:rPr>
        <w:t xml:space="preserve">Similarly, lenders’ requests for prepayment </w:t>
      </w:r>
      <w:r w:rsidRPr="00CB6138">
        <w:rPr>
          <w:rFonts w:ascii="Times New Roman" w:hAnsi="Times New Roman" w:cs="Times New Roman"/>
          <w:sz w:val="24"/>
          <w:szCs w:val="24"/>
        </w:rPr>
        <w:t>of an FHA</w:t>
      </w:r>
      <w:r w:rsidR="00DD4800">
        <w:rPr>
          <w:rFonts w:ascii="Times New Roman" w:hAnsi="Times New Roman" w:cs="Times New Roman"/>
          <w:sz w:val="24"/>
          <w:szCs w:val="24"/>
        </w:rPr>
        <w:t>-</w:t>
      </w:r>
      <w:r w:rsidRPr="00CB6138">
        <w:rPr>
          <w:rFonts w:ascii="Times New Roman" w:hAnsi="Times New Roman" w:cs="Times New Roman"/>
          <w:sz w:val="24"/>
          <w:szCs w:val="24"/>
        </w:rPr>
        <w:t>insured loan should be submitted to headquarters well before submission of the Firm Application package to the HUD field office</w:t>
      </w:r>
      <w:r w:rsidRPr="005357A5" w:rsidR="00F451DA">
        <w:rPr>
          <w:rFonts w:ascii="Times New Roman" w:hAnsi="Times New Roman" w:cs="Times New Roman"/>
          <w:sz w:val="24"/>
          <w:szCs w:val="24"/>
        </w:rPr>
        <w:t xml:space="preserve"> (see Mortgagee Letter 2018-07)</w:t>
      </w:r>
      <w:r w:rsidRPr="00CB6138">
        <w:rPr>
          <w:rFonts w:ascii="Times New Roman" w:hAnsi="Times New Roman" w:cs="Times New Roman"/>
          <w:sz w:val="24"/>
          <w:szCs w:val="24"/>
        </w:rPr>
        <w:t xml:space="preserve">. </w:t>
      </w:r>
      <w:r w:rsidRPr="007201BB" w:rsidR="00FA0021">
        <w:rPr>
          <w:rFonts w:ascii="Times New Roman" w:hAnsi="Times New Roman" w:cs="Times New Roman"/>
          <w:sz w:val="24"/>
          <w:szCs w:val="24"/>
        </w:rPr>
        <w:t xml:space="preserve"> </w:t>
      </w:r>
      <w:r w:rsidRPr="007805BC">
        <w:rPr>
          <w:rFonts w:ascii="Times New Roman" w:hAnsi="Times New Roman" w:cs="Times New Roman" w:eastAsiaTheme="minorEastAsia"/>
          <w:color w:val="000000"/>
          <w:sz w:val="24"/>
          <w:szCs w:val="24"/>
        </w:rPr>
        <w:t xml:space="preserve">The </w:t>
      </w:r>
      <w:r w:rsidRPr="007805BC" w:rsidR="009C792B">
        <w:rPr>
          <w:rFonts w:ascii="Times New Roman" w:hAnsi="Times New Roman" w:cs="Times New Roman" w:eastAsiaTheme="minorEastAsia"/>
          <w:color w:val="000000"/>
          <w:sz w:val="24"/>
          <w:szCs w:val="24"/>
        </w:rPr>
        <w:t>PBCA</w:t>
      </w:r>
      <w:r w:rsidR="009C792B">
        <w:rPr>
          <w:rFonts w:ascii="Times New Roman" w:hAnsi="Times New Roman" w:cs="Times New Roman" w:eastAsiaTheme="minorEastAsia"/>
          <w:color w:val="000000"/>
          <w:sz w:val="24"/>
          <w:szCs w:val="24"/>
        </w:rPr>
        <w:t xml:space="preserve">, </w:t>
      </w:r>
      <w:r w:rsidRPr="007805BC" w:rsidR="009C792B">
        <w:rPr>
          <w:rFonts w:ascii="Times New Roman" w:hAnsi="Times New Roman" w:cs="Times New Roman" w:eastAsiaTheme="minorEastAsia"/>
          <w:color w:val="000000"/>
          <w:sz w:val="24"/>
          <w:szCs w:val="24"/>
        </w:rPr>
        <w:t>under</w:t>
      </w:r>
      <w:r w:rsidRPr="007805BC">
        <w:rPr>
          <w:rFonts w:ascii="Times New Roman" w:hAnsi="Times New Roman" w:cs="Times New Roman" w:eastAsiaTheme="minorEastAsia"/>
          <w:color w:val="000000"/>
          <w:sz w:val="24"/>
          <w:szCs w:val="24"/>
        </w:rPr>
        <w:t xml:space="preserve"> the direction of OAMPO</w:t>
      </w:r>
      <w:r w:rsidR="00B5663A">
        <w:rPr>
          <w:rFonts w:ascii="Times New Roman" w:hAnsi="Times New Roman" w:cs="Times New Roman" w:eastAsiaTheme="minorEastAsia"/>
          <w:color w:val="000000"/>
          <w:sz w:val="24"/>
          <w:szCs w:val="24"/>
        </w:rPr>
        <w:t>,</w:t>
      </w:r>
      <w:r w:rsidRPr="007805BC">
        <w:rPr>
          <w:rFonts w:ascii="Times New Roman" w:hAnsi="Times New Roman" w:cs="Times New Roman" w:eastAsiaTheme="minorEastAsia"/>
          <w:color w:val="000000"/>
          <w:sz w:val="24"/>
          <w:szCs w:val="24"/>
        </w:rPr>
        <w:t xml:space="preserve"> prepares and signs the new contract and attached cover letter for delivery to the owner.</w:t>
      </w:r>
    </w:p>
    <w:p w:rsidRPr="007805BC" w:rsidR="00D56665" w:rsidP="007C23AE" w:rsidRDefault="00D56665" w14:paraId="63DA3875" w14:textId="63F02187">
      <w:pPr>
        <w:autoSpaceDE w:val="0"/>
        <w:autoSpaceDN w:val="0"/>
        <w:adjustRightInd w:val="0"/>
        <w:spacing w:line="276" w:lineRule="auto"/>
        <w:jc w:val="both"/>
        <w:rPr>
          <w:rFonts w:ascii="Times New Roman" w:hAnsi="Times New Roman" w:cs="Times New Roman"/>
          <w:sz w:val="24"/>
          <w:szCs w:val="24"/>
        </w:rPr>
      </w:pPr>
      <w:r w:rsidRPr="00B70BD9">
        <w:rPr>
          <w:rFonts w:ascii="Times New Roman" w:hAnsi="Times New Roman" w:cs="Times New Roman"/>
          <w:sz w:val="24"/>
          <w:szCs w:val="24"/>
        </w:rPr>
        <w:t xml:space="preserve">Borrowers and their lenders </w:t>
      </w:r>
      <w:r w:rsidRPr="00C34ABE" w:rsidR="00567A68">
        <w:rPr>
          <w:rFonts w:ascii="Times New Roman" w:hAnsi="Times New Roman" w:cs="Times New Roman"/>
          <w:sz w:val="24"/>
          <w:szCs w:val="24"/>
        </w:rPr>
        <w:t>should</w:t>
      </w:r>
      <w:r w:rsidRPr="00C34ABE" w:rsidR="00503FBB">
        <w:rPr>
          <w:rFonts w:ascii="Times New Roman" w:hAnsi="Times New Roman" w:cs="Times New Roman"/>
          <w:sz w:val="24"/>
          <w:szCs w:val="24"/>
        </w:rPr>
        <w:t xml:space="preserve"> </w:t>
      </w:r>
      <w:r w:rsidRPr="00CB5649">
        <w:rPr>
          <w:rFonts w:ascii="Times New Roman" w:hAnsi="Times New Roman" w:cs="Times New Roman"/>
          <w:sz w:val="24"/>
          <w:szCs w:val="24"/>
        </w:rPr>
        <w:t xml:space="preserve">refer to the Section 8 Renewal </w:t>
      </w:r>
      <w:r w:rsidR="00382AFA">
        <w:rPr>
          <w:rFonts w:ascii="Times New Roman" w:hAnsi="Times New Roman" w:cs="Times New Roman"/>
          <w:sz w:val="24"/>
          <w:szCs w:val="24"/>
        </w:rPr>
        <w:t>Policy</w:t>
      </w:r>
      <w:r w:rsidRPr="007805BC" w:rsidR="00503FBB">
        <w:rPr>
          <w:rFonts w:ascii="Times New Roman" w:hAnsi="Times New Roman" w:cs="Times New Roman"/>
          <w:sz w:val="24"/>
          <w:szCs w:val="24"/>
        </w:rPr>
        <w:t xml:space="preserve"> </w:t>
      </w:r>
      <w:r w:rsidRPr="007805BC">
        <w:rPr>
          <w:rFonts w:ascii="Times New Roman" w:hAnsi="Times New Roman" w:cs="Times New Roman"/>
          <w:sz w:val="24"/>
          <w:szCs w:val="24"/>
        </w:rPr>
        <w:t>for detail</w:t>
      </w:r>
      <w:r w:rsidR="00933FCF">
        <w:rPr>
          <w:rFonts w:ascii="Times New Roman" w:hAnsi="Times New Roman" w:cs="Times New Roman"/>
          <w:sz w:val="24"/>
          <w:szCs w:val="24"/>
        </w:rPr>
        <w:t>ed guidance</w:t>
      </w:r>
      <w:r w:rsidRPr="007805BC">
        <w:rPr>
          <w:rFonts w:ascii="Times New Roman" w:hAnsi="Times New Roman" w:cs="Times New Roman"/>
          <w:sz w:val="24"/>
          <w:szCs w:val="24"/>
        </w:rPr>
        <w:t xml:space="preserve"> on </w:t>
      </w:r>
      <w:r w:rsidRPr="007805BC" w:rsidR="00702DFD">
        <w:rPr>
          <w:rFonts w:ascii="Times New Roman" w:hAnsi="Times New Roman" w:cs="Times New Roman"/>
          <w:sz w:val="24"/>
          <w:szCs w:val="24"/>
        </w:rPr>
        <w:t>Section 8 contract renewals.</w:t>
      </w:r>
    </w:p>
    <w:p w:rsidRPr="007805BC" w:rsidR="00E060F9" w:rsidP="005357A5" w:rsidRDefault="00E060F9" w14:paraId="211E9143" w14:textId="77777777">
      <w:pPr>
        <w:autoSpaceDE w:val="0"/>
        <w:autoSpaceDN w:val="0"/>
        <w:adjustRightInd w:val="0"/>
        <w:spacing w:line="276" w:lineRule="auto"/>
        <w:jc w:val="both"/>
        <w:rPr>
          <w:rFonts w:ascii="Times New Roman" w:hAnsi="Times New Roman" w:cs="Times New Roman"/>
          <w:sz w:val="24"/>
          <w:szCs w:val="24"/>
        </w:rPr>
      </w:pPr>
    </w:p>
    <w:p w:rsidRPr="008A5B63" w:rsidR="00D56665" w:rsidP="008A5B63" w:rsidRDefault="00D56665" w14:paraId="63DA387E" w14:textId="3134828C">
      <w:pPr>
        <w:spacing w:after="100" w:afterAutospacing="1" w:line="276" w:lineRule="auto"/>
        <w:jc w:val="both"/>
        <w:rPr>
          <w:rFonts w:ascii="Times New Roman" w:hAnsi="Times New Roman" w:cs="Times New Roman"/>
          <w:color w:val="000000"/>
          <w:sz w:val="24"/>
          <w:szCs w:val="24"/>
        </w:rPr>
      </w:pPr>
      <w:r w:rsidRPr="007805BC">
        <w:rPr>
          <w:rFonts w:ascii="Times New Roman" w:hAnsi="Times New Roman" w:cs="Times New Roman"/>
          <w:color w:val="000000"/>
          <w:sz w:val="24"/>
          <w:szCs w:val="24"/>
        </w:rPr>
        <w:t xml:space="preserve">If the borrower is submitting a budget-based rent request, the lender must coordinate with the borrower to determine a preliminary debt service figure for the new loan that the borrower will include in the proposed budget to submit to HUD and the PBCA.  The final debt service figure is subject to change during the final underwriting process, so this may have to be amended on the HAP contract request later.  The income, expenses and debt service </w:t>
      </w:r>
      <w:r w:rsidR="002A28AC">
        <w:rPr>
          <w:rFonts w:ascii="Times New Roman" w:hAnsi="Times New Roman" w:cs="Times New Roman"/>
          <w:color w:val="000000"/>
          <w:sz w:val="24"/>
          <w:szCs w:val="24"/>
        </w:rPr>
        <w:t>amounts</w:t>
      </w:r>
      <w:r w:rsidRPr="007805BC" w:rsidR="0048593A">
        <w:rPr>
          <w:rFonts w:ascii="Times New Roman" w:hAnsi="Times New Roman" w:cs="Times New Roman"/>
          <w:color w:val="000000"/>
          <w:sz w:val="24"/>
          <w:szCs w:val="24"/>
        </w:rPr>
        <w:t xml:space="preserve"> </w:t>
      </w:r>
      <w:r w:rsidRPr="007805BC">
        <w:rPr>
          <w:rFonts w:ascii="Times New Roman" w:hAnsi="Times New Roman" w:cs="Times New Roman"/>
          <w:color w:val="000000"/>
          <w:sz w:val="24"/>
          <w:szCs w:val="24"/>
        </w:rPr>
        <w:t xml:space="preserve">listed on the borrower’s request must match the </w:t>
      </w:r>
      <w:r w:rsidR="002A28AC">
        <w:rPr>
          <w:rFonts w:ascii="Times New Roman" w:hAnsi="Times New Roman" w:cs="Times New Roman"/>
          <w:color w:val="000000"/>
          <w:sz w:val="24"/>
          <w:szCs w:val="24"/>
        </w:rPr>
        <w:t>amounts</w:t>
      </w:r>
      <w:r w:rsidRPr="007805BC" w:rsidR="002A28AC">
        <w:rPr>
          <w:rFonts w:ascii="Times New Roman" w:hAnsi="Times New Roman" w:cs="Times New Roman"/>
          <w:color w:val="000000"/>
          <w:sz w:val="24"/>
          <w:szCs w:val="24"/>
        </w:rPr>
        <w:t xml:space="preserve"> </w:t>
      </w:r>
      <w:r w:rsidRPr="007805BC">
        <w:rPr>
          <w:rFonts w:ascii="Times New Roman" w:hAnsi="Times New Roman" w:cs="Times New Roman"/>
          <w:color w:val="000000"/>
          <w:sz w:val="24"/>
          <w:szCs w:val="24"/>
        </w:rPr>
        <w:t xml:space="preserve">in the lender’s </w:t>
      </w:r>
      <w:r w:rsidRPr="007805BC" w:rsidR="00DD3372">
        <w:rPr>
          <w:rFonts w:ascii="Times New Roman" w:hAnsi="Times New Roman" w:cs="Times New Roman"/>
          <w:color w:val="000000"/>
          <w:sz w:val="24"/>
          <w:szCs w:val="24"/>
        </w:rPr>
        <w:t>underwriting.</w:t>
      </w:r>
    </w:p>
    <w:p w:rsidR="00D56665" w:rsidP="008A5B63" w:rsidRDefault="008A5B63" w14:paraId="63DA3880" w14:textId="401C9A2A">
      <w:pPr>
        <w:pStyle w:val="ListParagraph"/>
        <w:numPr>
          <w:ilvl w:val="1"/>
          <w:numId w:val="36"/>
        </w:numPr>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sidRPr="00A34A90" w:rsidR="00D56665">
        <w:rPr>
          <w:rFonts w:ascii="Times New Roman" w:hAnsi="Times New Roman" w:eastAsia="Times New Roman" w:cs="Times New Roman"/>
          <w:b/>
          <w:sz w:val="28"/>
          <w:szCs w:val="28"/>
        </w:rPr>
        <w:t>Application/Submission Requirements</w:t>
      </w:r>
    </w:p>
    <w:p w:rsidRPr="008A5B63" w:rsidR="008A5B63" w:rsidP="008A5B63" w:rsidRDefault="008A5B63" w14:paraId="24532316" w14:textId="77777777">
      <w:pPr>
        <w:pStyle w:val="ListParagraph"/>
        <w:overflowPunct w:val="0"/>
        <w:autoSpaceDE w:val="0"/>
        <w:autoSpaceDN w:val="0"/>
        <w:adjustRightInd w:val="0"/>
        <w:spacing w:before="80" w:after="80" w:line="276" w:lineRule="auto"/>
        <w:ind w:left="705"/>
        <w:textAlignment w:val="baseline"/>
        <w:outlineLvl w:val="0"/>
        <w:rPr>
          <w:rFonts w:ascii="Times New Roman" w:hAnsi="Times New Roman" w:eastAsia="Times New Roman" w:cs="Times New Roman"/>
          <w:b/>
          <w:sz w:val="28"/>
          <w:szCs w:val="28"/>
        </w:rPr>
      </w:pPr>
    </w:p>
    <w:p w:rsidRPr="00FA34D5" w:rsidR="00A321F0" w:rsidP="008A5B63" w:rsidRDefault="008E65E1" w14:paraId="7C01F64F" w14:textId="07430EEC">
      <w:pPr>
        <w:spacing w:after="100" w:afterAutospacing="1" w:line="276"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8E65E1">
        <w:rPr>
          <w:rFonts w:ascii="Times New Roman" w:hAnsi="Times New Roman" w:cs="Times New Roman"/>
          <w:color w:val="000000"/>
          <w:sz w:val="24"/>
          <w:szCs w:val="24"/>
        </w:rPr>
        <w:t xml:space="preserve"> </w:t>
      </w:r>
      <w:r w:rsidRPr="005357A5">
        <w:rPr>
          <w:rFonts w:ascii="Times New Roman" w:hAnsi="Times New Roman" w:cs="Times New Roman"/>
          <w:color w:val="000000"/>
          <w:sz w:val="24"/>
          <w:szCs w:val="24"/>
        </w:rPr>
        <w:t xml:space="preserve">Documentation to be </w:t>
      </w:r>
      <w:r>
        <w:rPr>
          <w:rFonts w:ascii="Times New Roman" w:hAnsi="Times New Roman" w:cs="Times New Roman"/>
          <w:color w:val="000000"/>
          <w:sz w:val="24"/>
          <w:szCs w:val="24"/>
        </w:rPr>
        <w:t>provided</w:t>
      </w:r>
      <w:r w:rsidRPr="005357A5">
        <w:rPr>
          <w:rFonts w:ascii="Times New Roman" w:hAnsi="Times New Roman" w:cs="Times New Roman"/>
          <w:color w:val="000000"/>
          <w:sz w:val="24"/>
          <w:szCs w:val="24"/>
        </w:rPr>
        <w:t xml:space="preserve"> in the Firm Application </w:t>
      </w:r>
      <w:r>
        <w:rPr>
          <w:rFonts w:ascii="Times New Roman" w:hAnsi="Times New Roman" w:cs="Times New Roman"/>
          <w:color w:val="000000"/>
          <w:sz w:val="24"/>
          <w:szCs w:val="24"/>
        </w:rPr>
        <w:t>for Section 8 Assisted properties requesting a HAP Contract Renewal</w:t>
      </w:r>
      <w:r w:rsidRPr="00FA34D5" w:rsidR="00A321F0">
        <w:rPr>
          <w:rFonts w:ascii="Times New Roman" w:hAnsi="Times New Roman" w:cs="Times New Roman"/>
          <w:color w:val="000000"/>
          <w:sz w:val="24"/>
          <w:szCs w:val="24"/>
        </w:rPr>
        <w:t xml:space="preserve">:  </w:t>
      </w:r>
    </w:p>
    <w:p w:rsidRPr="007805BC" w:rsidR="00A321F0" w:rsidP="008A5B63" w:rsidRDefault="00CE60A2" w14:paraId="0E4A4859" w14:textId="2CF10A0D">
      <w:pPr>
        <w:spacing w:after="200" w:line="276" w:lineRule="auto"/>
        <w:ind w:left="705"/>
        <w:contextualSpacing/>
        <w:jc w:val="both"/>
        <w:rPr>
          <w:rFonts w:ascii="Times New Roman" w:hAnsi="Times New Roman" w:cs="Times New Roman"/>
          <w:color w:val="000000"/>
          <w:sz w:val="24"/>
          <w:szCs w:val="24"/>
        </w:rPr>
      </w:pPr>
      <w:r w:rsidRPr="00CF279F">
        <w:rPr>
          <w:rFonts w:ascii="Times New Roman" w:hAnsi="Times New Roman" w:cs="Times New Roman"/>
          <w:color w:val="000000"/>
          <w:sz w:val="24"/>
          <w:szCs w:val="24"/>
        </w:rPr>
        <w:t xml:space="preserve">HAP Contract Renewal Request and </w:t>
      </w:r>
      <w:r w:rsidRPr="00CF279F" w:rsidR="00A321F0">
        <w:rPr>
          <w:rFonts w:ascii="Times New Roman" w:hAnsi="Times New Roman" w:cs="Times New Roman"/>
          <w:color w:val="000000"/>
          <w:sz w:val="24"/>
          <w:szCs w:val="24"/>
        </w:rPr>
        <w:t>Rent Comparability Study</w:t>
      </w:r>
      <w:r w:rsidRPr="00CF279F" w:rsidR="00CF279F">
        <w:rPr>
          <w:rFonts w:ascii="Times New Roman" w:hAnsi="Times New Roman" w:cs="Times New Roman"/>
          <w:color w:val="000000"/>
          <w:sz w:val="24"/>
          <w:szCs w:val="24"/>
        </w:rPr>
        <w:t xml:space="preserve">.  </w:t>
      </w:r>
      <w:r w:rsidR="00CF279F">
        <w:rPr>
          <w:rFonts w:ascii="Times New Roman" w:hAnsi="Times New Roman" w:cs="Times New Roman"/>
          <w:color w:val="000000"/>
          <w:sz w:val="24"/>
          <w:szCs w:val="24"/>
        </w:rPr>
        <w:t xml:space="preserve">A </w:t>
      </w:r>
      <w:r w:rsidRPr="00CF279F" w:rsidR="00A321F0">
        <w:rPr>
          <w:rFonts w:ascii="Times New Roman" w:hAnsi="Times New Roman" w:cs="Times New Roman"/>
          <w:color w:val="000000"/>
          <w:sz w:val="24"/>
          <w:szCs w:val="24"/>
        </w:rPr>
        <w:t>MAP-compliant appraisal and HUD forms 92264,</w:t>
      </w:r>
      <w:r w:rsidR="009206A9">
        <w:rPr>
          <w:rFonts w:ascii="Times New Roman" w:hAnsi="Times New Roman" w:cs="Times New Roman"/>
          <w:color w:val="000000"/>
          <w:sz w:val="24"/>
          <w:szCs w:val="24"/>
        </w:rPr>
        <w:t xml:space="preserve"> </w:t>
      </w:r>
      <w:r w:rsidR="00F7073F">
        <w:rPr>
          <w:rFonts w:ascii="Times New Roman" w:hAnsi="Times New Roman" w:cs="Times New Roman"/>
          <w:color w:val="000000"/>
          <w:sz w:val="24"/>
          <w:szCs w:val="24"/>
        </w:rPr>
        <w:t xml:space="preserve">92264-T, </w:t>
      </w:r>
      <w:r w:rsidRPr="00CF279F" w:rsidR="00A321F0">
        <w:rPr>
          <w:rFonts w:ascii="Times New Roman" w:hAnsi="Times New Roman" w:cs="Times New Roman"/>
          <w:color w:val="000000"/>
          <w:sz w:val="24"/>
          <w:szCs w:val="24"/>
        </w:rPr>
        <w:t xml:space="preserve">92273 and 92274 </w:t>
      </w:r>
      <w:r w:rsidR="00C02258">
        <w:rPr>
          <w:rFonts w:ascii="Times New Roman" w:hAnsi="Times New Roman" w:cs="Times New Roman"/>
          <w:color w:val="000000"/>
          <w:sz w:val="24"/>
          <w:szCs w:val="24"/>
        </w:rPr>
        <w:t>should</w:t>
      </w:r>
      <w:r w:rsidR="00CF279F">
        <w:rPr>
          <w:rFonts w:ascii="Times New Roman" w:hAnsi="Times New Roman" w:cs="Times New Roman"/>
          <w:color w:val="000000"/>
          <w:sz w:val="24"/>
          <w:szCs w:val="24"/>
        </w:rPr>
        <w:t xml:space="preserve"> </w:t>
      </w:r>
      <w:r w:rsidR="008E65E1">
        <w:rPr>
          <w:rFonts w:ascii="Times New Roman" w:hAnsi="Times New Roman" w:cs="Times New Roman"/>
          <w:color w:val="000000"/>
          <w:sz w:val="24"/>
          <w:szCs w:val="24"/>
        </w:rPr>
        <w:t xml:space="preserve">also </w:t>
      </w:r>
      <w:r w:rsidR="00CF279F">
        <w:rPr>
          <w:rFonts w:ascii="Times New Roman" w:hAnsi="Times New Roman" w:cs="Times New Roman"/>
          <w:color w:val="000000"/>
          <w:sz w:val="24"/>
          <w:szCs w:val="24"/>
        </w:rPr>
        <w:t xml:space="preserve">be submitted with the application.  </w:t>
      </w:r>
      <w:r w:rsidRPr="00CF279F" w:rsidR="00A321F0">
        <w:rPr>
          <w:rFonts w:ascii="Times New Roman" w:hAnsi="Times New Roman" w:cs="Times New Roman"/>
          <w:color w:val="000000"/>
          <w:sz w:val="24"/>
          <w:szCs w:val="24"/>
        </w:rPr>
        <w:t xml:space="preserve">However, </w:t>
      </w:r>
      <w:r w:rsidRPr="00CF279F" w:rsidR="00F05200">
        <w:rPr>
          <w:rFonts w:ascii="Times New Roman" w:hAnsi="Times New Roman" w:cs="Times New Roman"/>
          <w:color w:val="000000"/>
          <w:sz w:val="24"/>
          <w:szCs w:val="24"/>
        </w:rPr>
        <w:t xml:space="preserve">the </w:t>
      </w:r>
      <w:r w:rsidRPr="00CF279F" w:rsidR="00A321F0">
        <w:rPr>
          <w:rFonts w:ascii="Times New Roman" w:hAnsi="Times New Roman" w:cs="Times New Roman"/>
          <w:color w:val="000000"/>
          <w:sz w:val="24"/>
          <w:szCs w:val="24"/>
        </w:rPr>
        <w:t>appraiser may opt to use the 92273 used in the Rent Comparability Study or another format and may use Form HUD 92274 or an alternative format acceptable to the lender and the HUD Underwriter</w:t>
      </w:r>
      <w:r w:rsidR="002F7267">
        <w:rPr>
          <w:rFonts w:ascii="Times New Roman" w:hAnsi="Times New Roman" w:cs="Times New Roman"/>
          <w:color w:val="000000"/>
          <w:sz w:val="24"/>
          <w:szCs w:val="24"/>
        </w:rPr>
        <w:t xml:space="preserve">. </w:t>
      </w:r>
    </w:p>
    <w:p w:rsidRPr="005357A5" w:rsidR="008E65E1" w:rsidP="003C2A0D" w:rsidRDefault="008E65E1" w14:paraId="768C8105" w14:textId="2E233082">
      <w:pPr>
        <w:pStyle w:val="ListParagraph"/>
        <w:jc w:val="both"/>
        <w:rPr>
          <w:rFonts w:ascii="Times New Roman" w:hAnsi="Times New Roman" w:cs="Times New Roman"/>
          <w:sz w:val="24"/>
          <w:szCs w:val="24"/>
        </w:rPr>
      </w:pPr>
      <w:r>
        <w:rPr>
          <w:rFonts w:ascii="Times New Roman" w:hAnsi="Times New Roman" w:cs="Times New Roman" w:eastAsiaTheme="minorEastAsia"/>
          <w:color w:val="000000"/>
          <w:sz w:val="24"/>
          <w:szCs w:val="24"/>
        </w:rPr>
        <w:lastRenderedPageBreak/>
        <w:t xml:space="preserve">B.  </w:t>
      </w:r>
      <w:r w:rsidRPr="00CB6138" w:rsidR="00D56665">
        <w:rPr>
          <w:rFonts w:ascii="Times New Roman" w:hAnsi="Times New Roman" w:cs="Times New Roman" w:eastAsiaTheme="minorEastAsia"/>
          <w:color w:val="000000"/>
          <w:sz w:val="24"/>
          <w:szCs w:val="24"/>
        </w:rPr>
        <w:t xml:space="preserve">The following describes application requirements for </w:t>
      </w:r>
      <w:r w:rsidR="00C02258">
        <w:rPr>
          <w:rFonts w:ascii="Times New Roman" w:hAnsi="Times New Roman" w:cs="Times New Roman" w:eastAsiaTheme="minorEastAsia"/>
          <w:color w:val="000000"/>
          <w:sz w:val="24"/>
          <w:szCs w:val="24"/>
        </w:rPr>
        <w:t>LIHTC</w:t>
      </w:r>
      <w:r w:rsidR="00587171">
        <w:rPr>
          <w:rFonts w:ascii="Times New Roman" w:hAnsi="Times New Roman" w:cs="Times New Roman" w:eastAsiaTheme="minorEastAsia"/>
          <w:color w:val="000000"/>
          <w:sz w:val="24"/>
          <w:szCs w:val="24"/>
        </w:rPr>
        <w:t xml:space="preserve"> p</w:t>
      </w:r>
      <w:r w:rsidRPr="00CB6138" w:rsidR="00D56665">
        <w:rPr>
          <w:rFonts w:ascii="Times New Roman" w:hAnsi="Times New Roman" w:cs="Times New Roman" w:eastAsiaTheme="minorEastAsia"/>
          <w:color w:val="000000"/>
          <w:sz w:val="24"/>
          <w:szCs w:val="24"/>
        </w:rPr>
        <w:t>rojects</w:t>
      </w:r>
      <w:r w:rsidRPr="007201BB" w:rsidR="00D56665">
        <w:rPr>
          <w:rFonts w:ascii="Times New Roman" w:hAnsi="Times New Roman" w:cs="Times New Roman" w:eastAsiaTheme="minorEastAsia"/>
          <w:color w:val="000000"/>
          <w:sz w:val="24"/>
          <w:szCs w:val="24"/>
        </w:rPr>
        <w:t xml:space="preserve"> that differ from those described in other sections of the MAP Guide for projects without </w:t>
      </w:r>
      <w:r w:rsidR="00DB17B2">
        <w:rPr>
          <w:rFonts w:ascii="Times New Roman" w:hAnsi="Times New Roman" w:cs="Times New Roman" w:eastAsiaTheme="minorEastAsia"/>
          <w:color w:val="000000"/>
          <w:sz w:val="24"/>
          <w:szCs w:val="24"/>
        </w:rPr>
        <w:t>LIHTC</w:t>
      </w:r>
      <w:r w:rsidRPr="007201BB" w:rsidR="00D56665">
        <w:rPr>
          <w:rFonts w:ascii="Times New Roman" w:hAnsi="Times New Roman" w:cs="Times New Roman" w:eastAsiaTheme="minorEastAsia"/>
          <w:color w:val="000000"/>
          <w:sz w:val="24"/>
          <w:szCs w:val="24"/>
        </w:rPr>
        <w:t xml:space="preserve">. </w:t>
      </w:r>
      <w:r w:rsidR="00515689">
        <w:rPr>
          <w:rFonts w:ascii="Times New Roman" w:hAnsi="Times New Roman" w:cs="Times New Roman" w:eastAsiaTheme="minorEastAsia"/>
          <w:color w:val="000000"/>
          <w:sz w:val="24"/>
          <w:szCs w:val="24"/>
        </w:rPr>
        <w:t xml:space="preserve"> </w:t>
      </w:r>
      <w:r w:rsidRPr="00CB6138">
        <w:rPr>
          <w:rFonts w:ascii="Times New Roman" w:hAnsi="Times New Roman" w:cs="Times New Roman"/>
          <w:sz w:val="24"/>
          <w:szCs w:val="24"/>
        </w:rPr>
        <w:t>O</w:t>
      </w:r>
      <w:r w:rsidRPr="005357A5">
        <w:rPr>
          <w:rFonts w:ascii="Times New Roman" w:hAnsi="Times New Roman" w:cs="Times New Roman"/>
          <w:sz w:val="24"/>
          <w:szCs w:val="24"/>
        </w:rPr>
        <w:t>ther standard documents will be those used for a given project’s S</w:t>
      </w:r>
      <w:r>
        <w:rPr>
          <w:rFonts w:ascii="Times New Roman" w:hAnsi="Times New Roman" w:cs="Times New Roman"/>
          <w:sz w:val="24"/>
          <w:szCs w:val="24"/>
        </w:rPr>
        <w:t xml:space="preserve">ection </w:t>
      </w:r>
      <w:r w:rsidRPr="005357A5">
        <w:rPr>
          <w:rFonts w:ascii="Times New Roman" w:hAnsi="Times New Roman" w:cs="Times New Roman"/>
          <w:sz w:val="24"/>
          <w:szCs w:val="24"/>
        </w:rPr>
        <w:t>O</w:t>
      </w:r>
      <w:r>
        <w:rPr>
          <w:rFonts w:ascii="Times New Roman" w:hAnsi="Times New Roman" w:cs="Times New Roman"/>
          <w:sz w:val="24"/>
          <w:szCs w:val="24"/>
        </w:rPr>
        <w:t xml:space="preserve">f the </w:t>
      </w:r>
      <w:r w:rsidRPr="005357A5">
        <w:rPr>
          <w:rFonts w:ascii="Times New Roman" w:hAnsi="Times New Roman" w:cs="Times New Roman"/>
          <w:sz w:val="24"/>
          <w:szCs w:val="24"/>
        </w:rPr>
        <w:t>A</w:t>
      </w:r>
      <w:r>
        <w:rPr>
          <w:rFonts w:ascii="Times New Roman" w:hAnsi="Times New Roman" w:cs="Times New Roman"/>
          <w:sz w:val="24"/>
          <w:szCs w:val="24"/>
        </w:rPr>
        <w:t>ct (SOA)</w:t>
      </w:r>
      <w:r w:rsidRPr="005357A5">
        <w:rPr>
          <w:rFonts w:ascii="Times New Roman" w:hAnsi="Times New Roman" w:cs="Times New Roman"/>
          <w:sz w:val="24"/>
          <w:szCs w:val="24"/>
        </w:rPr>
        <w:t xml:space="preserve"> program.</w:t>
      </w:r>
    </w:p>
    <w:p w:rsidR="00A43BB0" w:rsidP="003C2A0D" w:rsidRDefault="00A43BB0" w14:paraId="2FCD967C" w14:textId="4EC5BE00">
      <w:pPr>
        <w:tabs>
          <w:tab w:val="left" w:pos="720"/>
        </w:tabs>
        <w:autoSpaceDE w:val="0"/>
        <w:autoSpaceDN w:val="0"/>
        <w:adjustRightInd w:val="0"/>
        <w:spacing w:line="276" w:lineRule="auto"/>
        <w:jc w:val="both"/>
        <w:rPr>
          <w:rFonts w:ascii="Times New Roman" w:hAnsi="Times New Roman" w:cs="Times New Roman" w:eastAsiaTheme="minorEastAsia"/>
          <w:color w:val="000000"/>
          <w:sz w:val="24"/>
          <w:szCs w:val="24"/>
        </w:rPr>
      </w:pPr>
    </w:p>
    <w:p w:rsidRPr="005357A5" w:rsidR="005E78DF" w:rsidP="003C2A0D" w:rsidRDefault="004356F0" w14:paraId="34DDBA7F" w14:textId="1D637AE2">
      <w:pPr>
        <w:pStyle w:val="ListParagraph"/>
        <w:ind w:left="1080"/>
        <w:jc w:val="both"/>
        <w:rPr>
          <w:rFonts w:ascii="Times New Roman" w:hAnsi="Times New Roman" w:eastAsia="Times New Roman" w:cs="Times New Roman"/>
          <w:sz w:val="24"/>
          <w:szCs w:val="24"/>
        </w:rPr>
      </w:pPr>
      <w:r>
        <w:rPr>
          <w:rFonts w:ascii="Times New Roman" w:hAnsi="Times New Roman" w:cs="Times New Roman"/>
          <w:sz w:val="24"/>
          <w:szCs w:val="24"/>
        </w:rPr>
        <w:t xml:space="preserve">1.  </w:t>
      </w:r>
      <w:r w:rsidRPr="005357A5" w:rsidR="00D56665">
        <w:rPr>
          <w:rFonts w:ascii="Times New Roman" w:hAnsi="Times New Roman" w:cs="Times New Roman"/>
          <w:sz w:val="24"/>
          <w:szCs w:val="24"/>
        </w:rPr>
        <w:t xml:space="preserve">Data Submission.  </w:t>
      </w:r>
      <w:r w:rsidR="003457B4">
        <w:rPr>
          <w:rFonts w:ascii="Times New Roman" w:hAnsi="Times New Roman" w:cs="Times New Roman"/>
          <w:sz w:val="24"/>
          <w:szCs w:val="24"/>
        </w:rPr>
        <w:t xml:space="preserve">The </w:t>
      </w:r>
      <w:r w:rsidR="006B71AB">
        <w:rPr>
          <w:rFonts w:ascii="Times New Roman" w:hAnsi="Times New Roman" w:cs="Times New Roman"/>
          <w:sz w:val="24"/>
          <w:szCs w:val="24"/>
        </w:rPr>
        <w:t>HUD-92013-C</w:t>
      </w:r>
      <w:r w:rsidR="000C5638">
        <w:rPr>
          <w:rFonts w:ascii="Times New Roman" w:hAnsi="Times New Roman" w:cs="Times New Roman"/>
          <w:sz w:val="24"/>
          <w:szCs w:val="24"/>
        </w:rPr>
        <w:t xml:space="preserve">, </w:t>
      </w:r>
      <w:r w:rsidR="005A7202">
        <w:rPr>
          <w:rFonts w:ascii="Times New Roman" w:hAnsi="Times New Roman" w:cs="Times New Roman"/>
          <w:sz w:val="24"/>
          <w:szCs w:val="24"/>
        </w:rPr>
        <w:t xml:space="preserve">LIHTC </w:t>
      </w:r>
      <w:r w:rsidR="00473E1B">
        <w:rPr>
          <w:rFonts w:ascii="Times New Roman" w:hAnsi="Times New Roman" w:cs="Times New Roman"/>
          <w:sz w:val="24"/>
          <w:szCs w:val="24"/>
        </w:rPr>
        <w:t>Summary Report</w:t>
      </w:r>
      <w:r w:rsidR="00765B17">
        <w:rPr>
          <w:rFonts w:ascii="Times New Roman" w:hAnsi="Times New Roman" w:cs="Times New Roman"/>
          <w:sz w:val="24"/>
          <w:szCs w:val="24"/>
        </w:rPr>
        <w:t xml:space="preserve"> </w:t>
      </w:r>
      <w:r w:rsidR="006D0EC0">
        <w:rPr>
          <w:rFonts w:ascii="Times New Roman" w:hAnsi="Times New Roman" w:cs="Times New Roman"/>
          <w:sz w:val="24"/>
          <w:szCs w:val="24"/>
        </w:rPr>
        <w:t xml:space="preserve">which </w:t>
      </w:r>
      <w:r w:rsidRPr="005357A5" w:rsidR="00D56665">
        <w:rPr>
          <w:rFonts w:ascii="Times New Roman" w:hAnsi="Times New Roman" w:cs="Times New Roman"/>
          <w:sz w:val="24"/>
          <w:szCs w:val="24"/>
        </w:rPr>
        <w:t xml:space="preserve"> provide</w:t>
      </w:r>
      <w:r w:rsidR="005A7202">
        <w:rPr>
          <w:rFonts w:ascii="Times New Roman" w:hAnsi="Times New Roman" w:cs="Times New Roman"/>
          <w:sz w:val="24"/>
          <w:szCs w:val="24"/>
        </w:rPr>
        <w:t>s</w:t>
      </w:r>
      <w:r w:rsidRPr="005357A5" w:rsidR="00D56665">
        <w:rPr>
          <w:rFonts w:ascii="Times New Roman" w:hAnsi="Times New Roman" w:cs="Times New Roman"/>
          <w:sz w:val="24"/>
          <w:szCs w:val="24"/>
        </w:rPr>
        <w:t xml:space="preserve"> specialized information </w:t>
      </w:r>
      <w:r w:rsidR="006D0EC0">
        <w:rPr>
          <w:rFonts w:ascii="Times New Roman" w:hAnsi="Times New Roman" w:cs="Times New Roman"/>
          <w:sz w:val="24"/>
          <w:szCs w:val="24"/>
        </w:rPr>
        <w:t>on</w:t>
      </w:r>
      <w:r w:rsidRPr="005357A5" w:rsidR="00D56665">
        <w:rPr>
          <w:rFonts w:ascii="Times New Roman" w:hAnsi="Times New Roman" w:cs="Times New Roman"/>
          <w:sz w:val="24"/>
          <w:szCs w:val="24"/>
        </w:rPr>
        <w:t xml:space="preserve"> sources and uses of funds, </w:t>
      </w:r>
      <w:r w:rsidRPr="00CB6138" w:rsidR="00AE4628">
        <w:rPr>
          <w:rFonts w:ascii="Times New Roman" w:hAnsi="Times New Roman" w:cs="Times New Roman"/>
          <w:sz w:val="24"/>
          <w:szCs w:val="24"/>
        </w:rPr>
        <w:t xml:space="preserve">net equity pay-in </w:t>
      </w:r>
      <w:r w:rsidRPr="00CB6138" w:rsidR="0041231B">
        <w:rPr>
          <w:rFonts w:ascii="Times New Roman" w:hAnsi="Times New Roman" w:cs="Times New Roman"/>
          <w:sz w:val="24"/>
          <w:szCs w:val="24"/>
        </w:rPr>
        <w:t>requirements, flow of funds</w:t>
      </w:r>
      <w:r w:rsidRPr="005357A5" w:rsidR="00D56665">
        <w:rPr>
          <w:rFonts w:ascii="Times New Roman" w:hAnsi="Times New Roman" w:cs="Times New Roman"/>
          <w:sz w:val="24"/>
          <w:szCs w:val="24"/>
        </w:rPr>
        <w:t xml:space="preserve">  and other matters  essential to analysis of LIHTC projects,  must be submitted for all Tax Credit projects. </w:t>
      </w:r>
      <w:hyperlink w:history="1" r:id="rId12">
        <w:r w:rsidRPr="005357A5" w:rsidR="00E50462">
          <w:rPr>
            <w:rStyle w:val="Hyperlink"/>
            <w:rFonts w:ascii="Times New Roman" w:hAnsi="Times New Roman" w:eastAsia="Times New Roman" w:cs="Times New Roman"/>
            <w:sz w:val="24"/>
            <w:szCs w:val="24"/>
          </w:rPr>
          <w:t>https://www.hud.gov/program_offices/housing/mfh/map/maphome/taxcredit</w:t>
        </w:r>
      </w:hyperlink>
      <w:r w:rsidRPr="005357A5" w:rsidR="00E50462">
        <w:rPr>
          <w:rFonts w:ascii="Times New Roman" w:hAnsi="Times New Roman" w:eastAsia="Times New Roman" w:cs="Times New Roman"/>
          <w:color w:val="0563C1" w:themeColor="hyperlink"/>
          <w:sz w:val="24"/>
          <w:szCs w:val="24"/>
          <w:u w:val="single"/>
        </w:rPr>
        <w:t xml:space="preserve">.  </w:t>
      </w:r>
    </w:p>
    <w:p w:rsidR="004356F0" w:rsidP="003C2A0D" w:rsidRDefault="004356F0" w14:paraId="0EDC2ABC" w14:textId="2F6018B5">
      <w:pPr>
        <w:pStyle w:val="ListParagraph"/>
        <w:jc w:val="both"/>
        <w:rPr>
          <w:rFonts w:ascii="Times New Roman" w:hAnsi="Times New Roman" w:eastAsia="Times New Roman" w:cs="Times New Roman"/>
          <w:sz w:val="24"/>
          <w:szCs w:val="24"/>
        </w:rPr>
      </w:pPr>
    </w:p>
    <w:p w:rsidR="004356F0" w:rsidP="003C2A0D" w:rsidRDefault="004E7D11" w14:paraId="14A0AA41" w14:textId="40421AAD">
      <w:pPr>
        <w:pStyle w:val="ListParagraph"/>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Existing Land Use Restriction Agreement</w:t>
      </w:r>
      <w:r w:rsidR="00FE4139">
        <w:rPr>
          <w:rFonts w:ascii="Times New Roman" w:hAnsi="Times New Roman" w:eastAsia="Times New Roman" w:cs="Times New Roman"/>
          <w:sz w:val="24"/>
          <w:szCs w:val="24"/>
        </w:rPr>
        <w:t xml:space="preserve"> (LURA)</w:t>
      </w:r>
      <w:r>
        <w:rPr>
          <w:rFonts w:ascii="Times New Roman" w:hAnsi="Times New Roman" w:eastAsia="Times New Roman" w:cs="Times New Roman"/>
          <w:sz w:val="24"/>
          <w:szCs w:val="24"/>
        </w:rPr>
        <w:t xml:space="preserve"> or other Regulatory Agreement (if any).</w:t>
      </w:r>
    </w:p>
    <w:p w:rsidR="008A5B63" w:rsidP="008A5B63" w:rsidRDefault="008A5B63" w14:paraId="43063A69" w14:textId="77777777">
      <w:pPr>
        <w:pStyle w:val="ListParagraph"/>
        <w:ind w:left="1080"/>
        <w:rPr>
          <w:rFonts w:ascii="Times New Roman" w:hAnsi="Times New Roman" w:eastAsia="Times New Roman" w:cs="Times New Roman"/>
          <w:sz w:val="24"/>
          <w:szCs w:val="24"/>
        </w:rPr>
      </w:pPr>
    </w:p>
    <w:p w:rsidRPr="005357A5" w:rsidR="004E7D11" w:rsidP="008A5B63" w:rsidRDefault="004E7D11" w14:paraId="1026F6D5" w14:textId="6DA8AB27">
      <w:pPr>
        <w:pStyle w:val="ListParagraph"/>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Letter of Intent </w:t>
      </w:r>
      <w:r w:rsidR="00563AE9">
        <w:rPr>
          <w:rFonts w:ascii="Times New Roman" w:hAnsi="Times New Roman" w:eastAsia="Times New Roman" w:cs="Times New Roman"/>
          <w:sz w:val="24"/>
          <w:szCs w:val="24"/>
        </w:rPr>
        <w:t xml:space="preserve">(LOI) </w:t>
      </w:r>
      <w:r>
        <w:rPr>
          <w:rFonts w:ascii="Times New Roman" w:hAnsi="Times New Roman" w:eastAsia="Times New Roman" w:cs="Times New Roman"/>
          <w:sz w:val="24"/>
          <w:szCs w:val="24"/>
        </w:rPr>
        <w:t>from Investor or Syndicator</w:t>
      </w:r>
      <w:r w:rsidR="007D7697">
        <w:rPr>
          <w:rFonts w:ascii="Times New Roman" w:hAnsi="Times New Roman" w:eastAsia="Times New Roman" w:cs="Times New Roman"/>
          <w:sz w:val="24"/>
          <w:szCs w:val="24"/>
        </w:rPr>
        <w:t>.</w:t>
      </w:r>
    </w:p>
    <w:p w:rsidRPr="00CB6138" w:rsidR="0087039F" w:rsidRDefault="0087039F" w14:paraId="0C2AEAFF" w14:textId="77777777">
      <w:pPr>
        <w:pStyle w:val="ListParagraph"/>
        <w:rPr>
          <w:rFonts w:ascii="Times New Roman" w:hAnsi="Times New Roman" w:cs="Times New Roman"/>
          <w:sz w:val="24"/>
          <w:szCs w:val="24"/>
        </w:rPr>
      </w:pPr>
    </w:p>
    <w:p w:rsidR="00D36E95" w:rsidP="005357A5" w:rsidRDefault="00D36E95" w14:paraId="6F22472C" w14:textId="7A368542">
      <w:pPr>
        <w:spacing w:line="276" w:lineRule="auto"/>
        <w:ind w:left="720"/>
        <w:jc w:val="both"/>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HUD has issued separate guidance for Rental Assistance Demonstration projects </w:t>
      </w:r>
      <w:r>
        <w:rPr>
          <w:rFonts w:ascii="Times New Roman" w:hAnsi="Times New Roman" w:eastAsia="Times New Roman" w:cs="Times New Roman"/>
          <w:sz w:val="24"/>
          <w:szCs w:val="24"/>
        </w:rPr>
        <w:t>for</w:t>
      </w:r>
      <w:r w:rsidRPr="007805BC">
        <w:rPr>
          <w:rFonts w:ascii="Times New Roman" w:hAnsi="Times New Roman" w:eastAsia="Times New Roman" w:cs="Times New Roman"/>
          <w:sz w:val="24"/>
          <w:szCs w:val="24"/>
        </w:rPr>
        <w:t xml:space="preserve"> underwriting RAD transactions with FHA-insured loans and LIHTC. </w:t>
      </w:r>
      <w:r w:rsidRPr="007E0851" w:rsidR="007E0851">
        <w:t xml:space="preserve"> </w:t>
      </w:r>
      <w:r w:rsidRPr="007E0851" w:rsidR="007E0851">
        <w:rPr>
          <w:rFonts w:ascii="Times New Roman" w:hAnsi="Times New Roman" w:eastAsia="Times New Roman" w:cs="Times New Roman"/>
          <w:sz w:val="24"/>
          <w:szCs w:val="24"/>
        </w:rPr>
        <w:t>https://www.hud.gov/RAD/library/notices</w:t>
      </w:r>
    </w:p>
    <w:p w:rsidR="008E65E1" w:rsidP="005357A5" w:rsidRDefault="008E65E1" w14:paraId="0125B81F" w14:textId="25DBCD86">
      <w:pPr>
        <w:spacing w:line="276" w:lineRule="auto"/>
        <w:ind w:left="720"/>
        <w:jc w:val="both"/>
        <w:rPr>
          <w:rFonts w:ascii="Times New Roman" w:hAnsi="Times New Roman" w:eastAsia="Times New Roman" w:cs="Times New Roman"/>
          <w:sz w:val="24"/>
          <w:szCs w:val="24"/>
        </w:rPr>
      </w:pPr>
    </w:p>
    <w:p w:rsidRPr="007805BC" w:rsidR="008E65E1" w:rsidP="008E65E1" w:rsidRDefault="008E65E1" w14:paraId="5F6540F6" w14:textId="72027AC0">
      <w:pPr>
        <w:tabs>
          <w:tab w:val="left" w:pos="720"/>
        </w:tabs>
        <w:autoSpaceDE w:val="0"/>
        <w:autoSpaceDN w:val="0"/>
        <w:adjustRightInd w:val="0"/>
        <w:spacing w:line="276" w:lineRule="auto"/>
        <w:jc w:val="both"/>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w:t>
      </w:r>
      <w:r w:rsidRPr="007805BC">
        <w:rPr>
          <w:rFonts w:ascii="Times New Roman" w:hAnsi="Times New Roman" w:cs="Times New Roman" w:eastAsiaTheme="minorEastAsia"/>
          <w:color w:val="000000"/>
          <w:sz w:val="24"/>
          <w:szCs w:val="24"/>
        </w:rPr>
        <w:t>pplication documents specific to the New Pilot are listed in the</w:t>
      </w:r>
      <w:r w:rsidRPr="008E65E1">
        <w:rPr>
          <w:rFonts w:ascii="Times New Roman" w:hAnsi="Times New Roman" w:cs="Times New Roman" w:eastAsiaTheme="minorEastAsia"/>
          <w:color w:val="000000"/>
          <w:sz w:val="24"/>
          <w:szCs w:val="24"/>
        </w:rPr>
        <w:t xml:space="preserve"> </w:t>
      </w:r>
      <w:r w:rsidRPr="007805BC">
        <w:rPr>
          <w:rFonts w:ascii="Times New Roman" w:hAnsi="Times New Roman" w:cs="Times New Roman" w:eastAsiaTheme="minorEastAsia"/>
          <w:color w:val="000000"/>
          <w:sz w:val="24"/>
          <w:szCs w:val="24"/>
        </w:rPr>
        <w:t>New Pilot Application Exhibits Checklist.</w:t>
      </w:r>
    </w:p>
    <w:p w:rsidRPr="007805BC" w:rsidR="008E65E1" w:rsidP="008E65E1" w:rsidRDefault="008E65E1" w14:paraId="1221CB09" w14:textId="6E1D7DB7">
      <w:pPr>
        <w:tabs>
          <w:tab w:val="left" w:pos="720"/>
        </w:tabs>
        <w:autoSpaceDE w:val="0"/>
        <w:autoSpaceDN w:val="0"/>
        <w:adjustRightInd w:val="0"/>
        <w:spacing w:line="276" w:lineRule="auto"/>
        <w:jc w:val="both"/>
        <w:rPr>
          <w:rFonts w:ascii="Times New Roman" w:hAnsi="Times New Roman" w:cs="Times New Roman" w:eastAsiaTheme="minorEastAsia"/>
          <w:color w:val="000000"/>
          <w:sz w:val="24"/>
          <w:szCs w:val="24"/>
        </w:rPr>
      </w:pPr>
    </w:p>
    <w:p w:rsidRPr="005357A5" w:rsidR="00D56665" w:rsidP="00D56665" w:rsidRDefault="00D56665" w14:paraId="63DA388A" w14:textId="2CD43899">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w:t>
      </w:r>
      <w:r w:rsidR="002C070D">
        <w:rPr>
          <w:rFonts w:ascii="Times New Roman" w:hAnsi="Times New Roman" w:eastAsia="Times New Roman" w:cs="Times New Roman"/>
          <w:b/>
          <w:sz w:val="28"/>
          <w:szCs w:val="28"/>
        </w:rPr>
        <w:t>8</w:t>
      </w:r>
      <w:r w:rsidRPr="005357A5">
        <w:rPr>
          <w:rFonts w:ascii="Times New Roman" w:hAnsi="Times New Roman" w:eastAsia="Times New Roman" w:cs="Times New Roman"/>
          <w:b/>
          <w:sz w:val="28"/>
          <w:szCs w:val="28"/>
        </w:rPr>
        <w:tab/>
        <w:t>Architecture and Engineering</w:t>
      </w:r>
    </w:p>
    <w:p w:rsidRPr="005357A5" w:rsidR="00D56665" w:rsidP="00D56665" w:rsidRDefault="00D56665" w14:paraId="63DA388D" w14:textId="77777777">
      <w:pPr>
        <w:spacing w:after="200" w:line="276" w:lineRule="auto"/>
        <w:ind w:left="360"/>
        <w:contextualSpacing/>
        <w:jc w:val="both"/>
        <w:rPr>
          <w:rFonts w:ascii="Times New Roman" w:hAnsi="Times New Roman" w:cs="Times New Roman"/>
          <w:bCs/>
        </w:rPr>
      </w:pPr>
    </w:p>
    <w:p w:rsidRPr="007805BC" w:rsidR="00D56665" w:rsidP="00353724" w:rsidRDefault="00D56665" w14:paraId="63DA388E" w14:textId="283E38AC">
      <w:pPr>
        <w:autoSpaceDE w:val="0"/>
        <w:autoSpaceDN w:val="0"/>
        <w:adjustRightInd w:val="0"/>
        <w:spacing w:after="200" w:line="276" w:lineRule="auto"/>
        <w:ind w:left="720"/>
        <w:contextualSpacing/>
        <w:jc w:val="both"/>
        <w:rPr>
          <w:rFonts w:ascii="Times New Roman" w:hAnsi="Times New Roman" w:cs="Times New Roman" w:eastAsiaTheme="minorEastAsia"/>
          <w:color w:val="000000"/>
          <w:sz w:val="24"/>
          <w:szCs w:val="24"/>
        </w:rPr>
      </w:pPr>
      <w:r w:rsidRPr="00CB6138">
        <w:rPr>
          <w:rFonts w:ascii="Times New Roman" w:hAnsi="Times New Roman" w:cs="Times New Roman" w:eastAsiaTheme="minorEastAsia"/>
          <w:color w:val="000000"/>
          <w:sz w:val="24"/>
          <w:szCs w:val="24"/>
        </w:rPr>
        <w:t xml:space="preserve">The ALTA Survey submission may be waived for Tax Credit transactions involving the refinance of a project with an existing FHA-insured mortgage, if the  borrower submits a statement reviewed and approved by the MAP lender and </w:t>
      </w:r>
      <w:r w:rsidR="006E4259">
        <w:rPr>
          <w:rFonts w:ascii="Times New Roman" w:hAnsi="Times New Roman" w:cs="Times New Roman" w:eastAsiaTheme="minorEastAsia"/>
          <w:color w:val="000000"/>
          <w:sz w:val="24"/>
          <w:szCs w:val="24"/>
        </w:rPr>
        <w:t>certifies</w:t>
      </w:r>
      <w:r w:rsidRPr="00CB6138" w:rsidR="006E4259">
        <w:rPr>
          <w:rFonts w:ascii="Times New Roman" w:hAnsi="Times New Roman" w:cs="Times New Roman" w:eastAsiaTheme="minorEastAsia"/>
          <w:color w:val="000000"/>
          <w:sz w:val="24"/>
          <w:szCs w:val="24"/>
        </w:rPr>
        <w:t xml:space="preserve"> </w:t>
      </w:r>
      <w:r w:rsidRPr="00CB6138">
        <w:rPr>
          <w:rFonts w:ascii="Times New Roman" w:hAnsi="Times New Roman" w:cs="Times New Roman" w:eastAsiaTheme="minorEastAsia"/>
          <w:color w:val="000000"/>
          <w:sz w:val="24"/>
          <w:szCs w:val="24"/>
        </w:rPr>
        <w:t xml:space="preserve">that there have been no material changes or additions to the structure or property boundaries since the closing of the original loan. </w:t>
      </w:r>
      <w:r w:rsidRPr="007201BB">
        <w:rPr>
          <w:rFonts w:ascii="Times New Roman" w:hAnsi="Times New Roman" w:cs="Times New Roman" w:eastAsiaTheme="minorEastAsia"/>
          <w:color w:val="000000"/>
          <w:sz w:val="24"/>
          <w:szCs w:val="24"/>
        </w:rPr>
        <w:t>HUD may accept an existing survey for such projects rather than requiring a new survey</w:t>
      </w:r>
      <w:r w:rsidRPr="00A64BEE" w:rsidR="00A64BEE">
        <w:rPr>
          <w:rFonts w:ascii="Times New Roman" w:hAnsi="Times New Roman" w:cs="Times New Roman" w:eastAsiaTheme="minorEastAsia"/>
          <w:color w:val="000000"/>
          <w:sz w:val="24"/>
          <w:szCs w:val="24"/>
        </w:rPr>
        <w:t xml:space="preserve"> </w:t>
      </w:r>
      <w:r w:rsidRPr="007201BB" w:rsidR="00A64BEE">
        <w:rPr>
          <w:rFonts w:ascii="Times New Roman" w:hAnsi="Times New Roman" w:cs="Times New Roman" w:eastAsiaTheme="minorEastAsia"/>
          <w:color w:val="000000"/>
          <w:sz w:val="24"/>
          <w:szCs w:val="24"/>
        </w:rPr>
        <w:t>document</w:t>
      </w:r>
      <w:r w:rsidRPr="007201BB">
        <w:rPr>
          <w:rFonts w:ascii="Times New Roman" w:hAnsi="Times New Roman" w:cs="Times New Roman" w:eastAsiaTheme="minorEastAsia"/>
          <w:color w:val="000000"/>
          <w:sz w:val="24"/>
          <w:szCs w:val="24"/>
        </w:rPr>
        <w:t xml:space="preserve">. </w:t>
      </w:r>
    </w:p>
    <w:p w:rsidRPr="00CB6138" w:rsidR="006250C0" w:rsidP="00D56665" w:rsidRDefault="006250C0" w14:paraId="1DF5D8CC" w14:textId="77777777">
      <w:pPr>
        <w:tabs>
          <w:tab w:val="left" w:pos="720"/>
        </w:tabs>
        <w:spacing w:line="276" w:lineRule="auto"/>
        <w:rPr>
          <w:rFonts w:ascii="Times New Roman" w:hAnsi="Times New Roman" w:cs="Times New Roman"/>
          <w:sz w:val="24"/>
          <w:szCs w:val="24"/>
        </w:rPr>
      </w:pPr>
    </w:p>
    <w:p w:rsidRPr="005357A5" w:rsidR="00D56665" w:rsidP="00D56665" w:rsidRDefault="00D56665" w14:paraId="63DA38A9" w14:textId="648C0CD6">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w:t>
      </w:r>
      <w:r w:rsidR="002C070D">
        <w:rPr>
          <w:rFonts w:ascii="Times New Roman" w:hAnsi="Times New Roman" w:eastAsia="Times New Roman" w:cs="Times New Roman"/>
          <w:b/>
          <w:sz w:val="28"/>
          <w:szCs w:val="28"/>
        </w:rPr>
        <w:t>9</w:t>
      </w:r>
      <w:r w:rsidRPr="005357A5">
        <w:rPr>
          <w:rFonts w:ascii="Times New Roman" w:hAnsi="Times New Roman" w:eastAsia="Times New Roman" w:cs="Times New Roman"/>
          <w:b/>
          <w:sz w:val="28"/>
          <w:szCs w:val="28"/>
        </w:rPr>
        <w:tab/>
        <w:t>Identities of Interest</w:t>
      </w:r>
      <w:r w:rsidR="00415616">
        <w:rPr>
          <w:rFonts w:ascii="Times New Roman" w:hAnsi="Times New Roman" w:eastAsia="Times New Roman" w:cs="Times New Roman"/>
          <w:b/>
          <w:sz w:val="28"/>
          <w:szCs w:val="28"/>
        </w:rPr>
        <w:t xml:space="preserve"> </w:t>
      </w:r>
      <w:r w:rsidRPr="005357A5">
        <w:rPr>
          <w:rFonts w:ascii="Times New Roman" w:hAnsi="Times New Roman" w:eastAsia="Times New Roman" w:cs="Times New Roman"/>
          <w:b/>
          <w:sz w:val="28"/>
          <w:szCs w:val="28"/>
        </w:rPr>
        <w:t>in Tax Credit Transactions</w:t>
      </w:r>
    </w:p>
    <w:p w:rsidRPr="00CB6138" w:rsidR="00D56665" w:rsidP="00D56665" w:rsidRDefault="00D56665" w14:paraId="63DA38AA" w14:textId="77777777">
      <w:pPr>
        <w:tabs>
          <w:tab w:val="left" w:pos="630"/>
        </w:tabs>
        <w:spacing w:before="80" w:after="80" w:line="276" w:lineRule="auto"/>
        <w:ind w:left="360" w:hanging="360"/>
        <w:rPr>
          <w:rFonts w:ascii="Times New Roman" w:hAnsi="Times New Roman" w:cs="Times New Roman"/>
          <w:sz w:val="24"/>
          <w:szCs w:val="24"/>
        </w:rPr>
      </w:pPr>
    </w:p>
    <w:p w:rsidR="00D56665" w:rsidP="003C2A0D" w:rsidRDefault="00D56665" w14:paraId="63DA38AD" w14:textId="62D72F3A">
      <w:pPr>
        <w:pStyle w:val="ListParagraph"/>
        <w:jc w:val="both"/>
        <w:rPr>
          <w:rFonts w:ascii="Times New Roman" w:hAnsi="Times New Roman" w:eastAsia="Times New Roman" w:cs="Times New Roman"/>
          <w:sz w:val="24"/>
          <w:szCs w:val="24"/>
        </w:rPr>
      </w:pPr>
      <w:r w:rsidRPr="005357A5">
        <w:rPr>
          <w:rFonts w:ascii="Times New Roman" w:hAnsi="Times New Roman" w:eastAsia="Times New Roman" w:cs="Times New Roman"/>
          <w:sz w:val="24"/>
          <w:szCs w:val="24"/>
        </w:rPr>
        <w:t>IOI Transfers for Non-Profits.  Non-profit owners of currently insured or HUD-held properties may syndicate LIHTC properties and form new partnerships</w:t>
      </w:r>
      <w:r w:rsidR="00DD4800">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 xml:space="preserve"> subject to HUD’s Transfer of Physical Asset (“TPA”) policies. (See Housing Notice 2011-31.)</w:t>
      </w:r>
    </w:p>
    <w:p w:rsidR="003E5A74" w:rsidP="003E5A74" w:rsidRDefault="003E5A74" w14:paraId="235473EA" w14:textId="79EFACF9">
      <w:pPr>
        <w:pStyle w:val="ListParagraph"/>
        <w:rPr>
          <w:rFonts w:ascii="Times New Roman" w:hAnsi="Times New Roman" w:eastAsia="Times New Roman" w:cs="Times New Roman"/>
          <w:sz w:val="24"/>
          <w:szCs w:val="24"/>
        </w:rPr>
      </w:pPr>
    </w:p>
    <w:p w:rsidRPr="005357A5" w:rsidR="003E5A74" w:rsidP="005357A5" w:rsidRDefault="003E5A74" w14:paraId="7ACBCBE8" w14:textId="1D47F2EF">
      <w:pPr>
        <w:pStyle w:val="ListParagrap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See </w:t>
      </w:r>
      <w:r w:rsidRPr="003A61DF">
        <w:rPr>
          <w:rFonts w:ascii="Times New Roman" w:hAnsi="Times New Roman" w:eastAsia="Times New Roman" w:cs="Times New Roman"/>
          <w:sz w:val="24"/>
          <w:szCs w:val="24"/>
        </w:rPr>
        <w:t>Chapter</w:t>
      </w:r>
      <w:r w:rsidRPr="005357A5" w:rsidR="00706662">
        <w:rPr>
          <w:rFonts w:ascii="Times New Roman" w:hAnsi="Times New Roman" w:eastAsia="Times New Roman" w:cs="Times New Roman"/>
          <w:sz w:val="24"/>
          <w:szCs w:val="24"/>
        </w:rPr>
        <w:t xml:space="preserve">s 2 and </w:t>
      </w:r>
      <w:r w:rsidRPr="003A61DF">
        <w:rPr>
          <w:rFonts w:ascii="Times New Roman" w:hAnsi="Times New Roman" w:eastAsia="Times New Roman" w:cs="Times New Roman"/>
          <w:sz w:val="24"/>
          <w:szCs w:val="24"/>
        </w:rPr>
        <w:t>8 for additional guidance on acc</w:t>
      </w:r>
      <w:r w:rsidRPr="003A61DF" w:rsidR="009207F5">
        <w:rPr>
          <w:rFonts w:ascii="Times New Roman" w:hAnsi="Times New Roman" w:eastAsia="Times New Roman" w:cs="Times New Roman"/>
          <w:sz w:val="24"/>
          <w:szCs w:val="24"/>
        </w:rPr>
        <w:t>eptable IOI relationships.</w:t>
      </w:r>
    </w:p>
    <w:p w:rsidRPr="005357A5" w:rsidR="00AB532A" w:rsidP="005357A5" w:rsidRDefault="00AB532A" w14:paraId="10FD5D5F" w14:textId="77777777">
      <w:pPr>
        <w:pStyle w:val="ListParagraph"/>
        <w:rPr>
          <w:rFonts w:ascii="Times New Roman" w:hAnsi="Times New Roman" w:eastAsia="Times New Roman" w:cs="Times New Roman"/>
          <w:sz w:val="24"/>
          <w:szCs w:val="24"/>
        </w:rPr>
      </w:pPr>
    </w:p>
    <w:p w:rsidRPr="00CB6138" w:rsidR="00D56665" w:rsidP="00D56665" w:rsidRDefault="00D56665" w14:paraId="63DA38AE" w14:textId="77777777">
      <w:pPr>
        <w:tabs>
          <w:tab w:val="left" w:pos="720"/>
        </w:tabs>
        <w:spacing w:line="276" w:lineRule="auto"/>
        <w:rPr>
          <w:rFonts w:ascii="Times New Roman" w:hAnsi="Times New Roman" w:cs="Times New Roman"/>
          <w:sz w:val="24"/>
          <w:szCs w:val="24"/>
        </w:rPr>
      </w:pPr>
    </w:p>
    <w:p w:rsidRPr="005357A5" w:rsidR="00D56665" w:rsidP="00D56665" w:rsidRDefault="00D56665" w14:paraId="63DA38AF" w14:textId="78A179F7">
      <w:pPr>
        <w:overflowPunct w:val="0"/>
        <w:autoSpaceDE w:val="0"/>
        <w:autoSpaceDN w:val="0"/>
        <w:adjustRightInd w:val="0"/>
        <w:spacing w:before="80" w:after="80" w:line="276" w:lineRule="auto"/>
        <w:ind w:left="1440" w:hanging="1260"/>
        <w:contextualSpacing/>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lastRenderedPageBreak/>
        <w:t>14.1</w:t>
      </w:r>
      <w:r w:rsidR="002C070D">
        <w:rPr>
          <w:rFonts w:ascii="Times New Roman" w:hAnsi="Times New Roman" w:eastAsia="Times New Roman" w:cs="Times New Roman"/>
          <w:b/>
          <w:sz w:val="28"/>
          <w:szCs w:val="28"/>
        </w:rPr>
        <w:t>0</w:t>
      </w:r>
      <w:r w:rsidRPr="005357A5">
        <w:rPr>
          <w:rFonts w:ascii="Times New Roman" w:hAnsi="Times New Roman" w:eastAsia="Times New Roman" w:cs="Times New Roman"/>
          <w:b/>
          <w:sz w:val="28"/>
          <w:szCs w:val="28"/>
        </w:rPr>
        <w:tab/>
        <w:t>Calculation of Mortgage Amounts</w:t>
      </w:r>
      <w:r w:rsidR="00312126">
        <w:rPr>
          <w:rFonts w:ascii="Times New Roman" w:hAnsi="Times New Roman" w:eastAsia="Times New Roman" w:cs="Times New Roman"/>
          <w:b/>
          <w:sz w:val="28"/>
          <w:szCs w:val="28"/>
        </w:rPr>
        <w:t>, Contingency and Escrow Requirements</w:t>
      </w:r>
      <w:r w:rsidRPr="005357A5">
        <w:rPr>
          <w:rFonts w:ascii="Times New Roman" w:hAnsi="Times New Roman" w:eastAsia="Times New Roman" w:cs="Times New Roman"/>
          <w:b/>
          <w:sz w:val="28"/>
          <w:szCs w:val="28"/>
        </w:rPr>
        <w:t xml:space="preserve"> for Tax Credit Projects</w:t>
      </w:r>
    </w:p>
    <w:p w:rsidRPr="00CB6138" w:rsidR="00D56665" w:rsidP="00D56665" w:rsidRDefault="00D56665" w14:paraId="63DA38B0" w14:textId="77777777">
      <w:pPr>
        <w:widowControl w:val="0"/>
        <w:overflowPunct w:val="0"/>
        <w:autoSpaceDE w:val="0"/>
        <w:autoSpaceDN w:val="0"/>
        <w:adjustRightInd w:val="0"/>
        <w:spacing w:before="80" w:after="80" w:line="276" w:lineRule="auto"/>
        <w:ind w:left="540"/>
        <w:jc w:val="both"/>
        <w:textAlignment w:val="baseline"/>
        <w:rPr>
          <w:rFonts w:ascii="Times New Roman" w:hAnsi="Times New Roman" w:eastAsia="Times New Roman" w:cs="Times New Roman"/>
          <w:sz w:val="24"/>
          <w:szCs w:val="24"/>
        </w:rPr>
      </w:pPr>
    </w:p>
    <w:p w:rsidRPr="008A5B63" w:rsidR="00A71A10" w:rsidP="008A5B63" w:rsidRDefault="0012112D" w14:paraId="1FDF52E9" w14:textId="381C7E69">
      <w:pPr>
        <w:widowControl w:val="0"/>
        <w:numPr>
          <w:ilvl w:val="0"/>
          <w:numId w:val="8"/>
        </w:numPr>
        <w:tabs>
          <w:tab w:val="left" w:pos="630"/>
        </w:tabs>
        <w:overflowPunct w:val="0"/>
        <w:autoSpaceDE w:val="0"/>
        <w:autoSpaceDN w:val="0"/>
        <w:adjustRightInd w:val="0"/>
        <w:spacing w:after="80" w:line="276" w:lineRule="auto"/>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C34ABE" w:rsidR="00D56665">
        <w:rPr>
          <w:rFonts w:ascii="Times New Roman" w:hAnsi="Times New Roman" w:eastAsia="Times New Roman" w:cs="Times New Roman"/>
          <w:sz w:val="24"/>
          <w:szCs w:val="24"/>
        </w:rPr>
        <w:t xml:space="preserve">Section 223(f) applications for Tax Credit projects that involve transfers of ownership to </w:t>
      </w:r>
      <w:r w:rsidR="00CE5E90">
        <w:rPr>
          <w:rFonts w:ascii="Times New Roman" w:hAnsi="Times New Roman" w:eastAsia="Times New Roman" w:cs="Times New Roman"/>
          <w:sz w:val="24"/>
          <w:szCs w:val="24"/>
        </w:rPr>
        <w:t xml:space="preserve">IOI </w:t>
      </w:r>
      <w:r w:rsidRPr="00C34ABE" w:rsidR="00CE5E90">
        <w:rPr>
          <w:rFonts w:ascii="Times New Roman" w:hAnsi="Times New Roman" w:eastAsia="Times New Roman" w:cs="Times New Roman"/>
          <w:sz w:val="24"/>
          <w:szCs w:val="24"/>
        </w:rPr>
        <w:t>purchasers</w:t>
      </w:r>
      <w:r w:rsidRPr="00C34ABE" w:rsidR="00D56665">
        <w:rPr>
          <w:rFonts w:ascii="Times New Roman" w:hAnsi="Times New Roman" w:eastAsia="Times New Roman" w:cs="Times New Roman"/>
          <w:sz w:val="24"/>
          <w:szCs w:val="24"/>
        </w:rPr>
        <w:t xml:space="preserve"> may be treated either as acquisitions or refinancing transactions for purposes of sizing the mortgage</w:t>
      </w:r>
      <w:r w:rsidR="009033FA">
        <w:rPr>
          <w:rFonts w:ascii="Times New Roman" w:hAnsi="Times New Roman" w:eastAsia="Times New Roman" w:cs="Times New Roman"/>
          <w:sz w:val="24"/>
          <w:szCs w:val="24"/>
        </w:rPr>
        <w:t xml:space="preserve">.  </w:t>
      </w:r>
      <w:r w:rsidRPr="00C34ABE" w:rsidR="00D56665">
        <w:rPr>
          <w:rFonts w:ascii="Times New Roman" w:hAnsi="Times New Roman" w:eastAsia="Times New Roman" w:cs="Times New Roman"/>
          <w:sz w:val="24"/>
          <w:szCs w:val="24"/>
        </w:rPr>
        <w:t>Lenders may use either Criterion 7 or 10 on the HUD form 92264A.</w:t>
      </w:r>
    </w:p>
    <w:p w:rsidR="00D56665" w:rsidRDefault="00D56665" w14:paraId="63DA38B5" w14:textId="0F873864">
      <w:pPr>
        <w:pStyle w:val="ListParagraph"/>
        <w:numPr>
          <w:ilvl w:val="0"/>
          <w:numId w:val="8"/>
        </w:numPr>
        <w:tabs>
          <w:tab w:val="left" w:pos="630"/>
        </w:tabs>
        <w:autoSpaceDE w:val="0"/>
        <w:autoSpaceDN w:val="0"/>
        <w:adjustRightInd w:val="0"/>
        <w:spacing w:line="276" w:lineRule="auto"/>
        <w:jc w:val="both"/>
        <w:rPr>
          <w:rFonts w:ascii="Times New Roman" w:hAnsi="Times New Roman" w:cs="Times New Roman"/>
          <w:sz w:val="24"/>
          <w:szCs w:val="24"/>
        </w:rPr>
      </w:pPr>
      <w:r w:rsidRPr="005357A5">
        <w:rPr>
          <w:rFonts w:ascii="Times New Roman" w:hAnsi="Times New Roman" w:cs="Times New Roman"/>
          <w:sz w:val="24"/>
          <w:szCs w:val="24"/>
        </w:rPr>
        <w:t xml:space="preserve">Substantial Rehab Contingency.  Generally, unspent contingency funds in an FHA-Insured loan project </w:t>
      </w:r>
      <w:r w:rsidR="00C56CCB">
        <w:rPr>
          <w:rFonts w:ascii="Times New Roman" w:hAnsi="Times New Roman" w:cs="Times New Roman"/>
          <w:sz w:val="24"/>
          <w:szCs w:val="24"/>
        </w:rPr>
        <w:t>may</w:t>
      </w:r>
      <w:r w:rsidRPr="005357A5" w:rsidR="00C56CCB">
        <w:rPr>
          <w:rFonts w:ascii="Times New Roman" w:hAnsi="Times New Roman" w:cs="Times New Roman"/>
          <w:sz w:val="24"/>
          <w:szCs w:val="24"/>
        </w:rPr>
        <w:t xml:space="preserve"> </w:t>
      </w:r>
      <w:r w:rsidR="00C871F0">
        <w:rPr>
          <w:rFonts w:ascii="Times New Roman" w:hAnsi="Times New Roman" w:cs="Times New Roman"/>
          <w:sz w:val="24"/>
          <w:szCs w:val="24"/>
        </w:rPr>
        <w:t>be deposited</w:t>
      </w:r>
      <w:r w:rsidRPr="005357A5" w:rsidR="00C871F0">
        <w:rPr>
          <w:rFonts w:ascii="Times New Roman" w:hAnsi="Times New Roman" w:cs="Times New Roman"/>
          <w:sz w:val="24"/>
          <w:szCs w:val="24"/>
        </w:rPr>
        <w:t xml:space="preserve"> </w:t>
      </w:r>
      <w:r w:rsidRPr="005357A5">
        <w:rPr>
          <w:rFonts w:ascii="Times New Roman" w:hAnsi="Times New Roman" w:cs="Times New Roman"/>
          <w:sz w:val="24"/>
          <w:szCs w:val="24"/>
        </w:rPr>
        <w:t>into a Reserve for Replacement Account (“R4R”)</w:t>
      </w:r>
      <w:r w:rsidR="00DD4800">
        <w:rPr>
          <w:rFonts w:ascii="Times New Roman" w:hAnsi="Times New Roman" w:cs="Times New Roman"/>
          <w:sz w:val="24"/>
          <w:szCs w:val="24"/>
        </w:rPr>
        <w:t xml:space="preserve"> or applied to</w:t>
      </w:r>
      <w:r w:rsidR="00C56CCB">
        <w:rPr>
          <w:rFonts w:ascii="Times New Roman" w:hAnsi="Times New Roman" w:cs="Times New Roman"/>
          <w:sz w:val="24"/>
          <w:szCs w:val="24"/>
        </w:rPr>
        <w:t xml:space="preserve"> </w:t>
      </w:r>
      <w:r w:rsidRPr="005357A5">
        <w:rPr>
          <w:rFonts w:ascii="Times New Roman" w:hAnsi="Times New Roman" w:cs="Times New Roman"/>
          <w:sz w:val="24"/>
          <w:szCs w:val="24"/>
        </w:rPr>
        <w:t>pay down the mortgage</w:t>
      </w:r>
      <w:r w:rsidR="00F230FC">
        <w:rPr>
          <w:rFonts w:ascii="Times New Roman" w:hAnsi="Times New Roman" w:cs="Times New Roman"/>
          <w:sz w:val="24"/>
          <w:szCs w:val="24"/>
        </w:rPr>
        <w:t xml:space="preserve">, or do </w:t>
      </w:r>
      <w:r w:rsidR="00E936B0">
        <w:rPr>
          <w:rFonts w:ascii="Times New Roman" w:hAnsi="Times New Roman" w:cs="Times New Roman"/>
          <w:sz w:val="24"/>
          <w:szCs w:val="24"/>
        </w:rPr>
        <w:t>further improvements, betterments or upgrades</w:t>
      </w:r>
      <w:r w:rsidR="00CC1968">
        <w:rPr>
          <w:rFonts w:ascii="Times New Roman" w:hAnsi="Times New Roman" w:cs="Times New Roman"/>
          <w:sz w:val="24"/>
          <w:szCs w:val="24"/>
        </w:rPr>
        <w:t xml:space="preserve"> to the property.</w:t>
      </w:r>
      <w:r w:rsidRPr="005357A5">
        <w:rPr>
          <w:rFonts w:ascii="Times New Roman" w:hAnsi="Times New Roman" w:cs="Times New Roman"/>
          <w:sz w:val="24"/>
          <w:szCs w:val="24"/>
        </w:rPr>
        <w:t xml:space="preserve">  One exception to this rule applies to Low Income Housing Tax Credit properties with affordability restrictions that meet HUD’s definition of “Affordable Housing” and obtain FHA mortgages not sized us</w:t>
      </w:r>
      <w:r w:rsidR="002D1FA1">
        <w:rPr>
          <w:rFonts w:ascii="Times New Roman" w:hAnsi="Times New Roman" w:cs="Times New Roman"/>
          <w:sz w:val="24"/>
          <w:szCs w:val="24"/>
        </w:rPr>
        <w:t>ing</w:t>
      </w:r>
      <w:r w:rsidRPr="005357A5">
        <w:rPr>
          <w:rFonts w:ascii="Times New Roman" w:hAnsi="Times New Roman" w:cs="Times New Roman"/>
          <w:sz w:val="24"/>
          <w:szCs w:val="24"/>
        </w:rPr>
        <w:t xml:space="preserve"> the cost criterion.   In such cases, HUD allows contingency funds included in the FHA mortgageable cost</w:t>
      </w:r>
      <w:r w:rsidR="009A774D">
        <w:rPr>
          <w:rFonts w:ascii="Times New Roman" w:hAnsi="Times New Roman" w:cs="Times New Roman"/>
          <w:sz w:val="24"/>
          <w:szCs w:val="24"/>
        </w:rPr>
        <w:t>,</w:t>
      </w:r>
      <w:r w:rsidRPr="005357A5">
        <w:rPr>
          <w:rFonts w:ascii="Times New Roman" w:hAnsi="Times New Roman" w:cs="Times New Roman"/>
          <w:sz w:val="24"/>
          <w:szCs w:val="24"/>
        </w:rPr>
        <w:t xml:space="preserve"> but not needed for repairs, appropriate betterments, or deposits to R4R, to be used to pay </w:t>
      </w:r>
      <w:r w:rsidRPr="005357A5" w:rsidR="00D70BBE">
        <w:rPr>
          <w:rFonts w:ascii="Times New Roman" w:hAnsi="Times New Roman" w:cs="Times New Roman"/>
          <w:sz w:val="24"/>
          <w:szCs w:val="24"/>
        </w:rPr>
        <w:t>the D</w:t>
      </w:r>
      <w:r w:rsidRPr="005357A5">
        <w:rPr>
          <w:rFonts w:ascii="Times New Roman" w:hAnsi="Times New Roman" w:cs="Times New Roman"/>
          <w:sz w:val="24"/>
          <w:szCs w:val="24"/>
        </w:rPr>
        <w:t>eveloper</w:t>
      </w:r>
      <w:r w:rsidRPr="005357A5" w:rsidR="00D70BBE">
        <w:rPr>
          <w:rFonts w:ascii="Times New Roman" w:hAnsi="Times New Roman" w:cs="Times New Roman"/>
          <w:sz w:val="24"/>
          <w:szCs w:val="24"/>
        </w:rPr>
        <w:t xml:space="preserve"> F</w:t>
      </w:r>
      <w:r w:rsidRPr="005357A5">
        <w:rPr>
          <w:rFonts w:ascii="Times New Roman" w:hAnsi="Times New Roman" w:cs="Times New Roman"/>
          <w:sz w:val="24"/>
          <w:szCs w:val="24"/>
        </w:rPr>
        <w:t>ee (deferred or otherwise) or any</w:t>
      </w:r>
      <w:r w:rsidRPr="006E4C2D" w:rsidR="006E4C2D">
        <w:rPr>
          <w:rFonts w:ascii="Times New Roman" w:hAnsi="Times New Roman" w:cs="Times New Roman"/>
          <w:sz w:val="24"/>
          <w:szCs w:val="24"/>
        </w:rPr>
        <w:t xml:space="preserve"> </w:t>
      </w:r>
      <w:r w:rsidRPr="005357A5" w:rsidR="006E4C2D">
        <w:rPr>
          <w:rFonts w:ascii="Times New Roman" w:hAnsi="Times New Roman" w:cs="Times New Roman"/>
          <w:sz w:val="24"/>
          <w:szCs w:val="24"/>
        </w:rPr>
        <w:t xml:space="preserve">other </w:t>
      </w:r>
      <w:r w:rsidR="006E4C2D">
        <w:rPr>
          <w:rFonts w:ascii="Times New Roman" w:hAnsi="Times New Roman" w:cs="Times New Roman"/>
          <w:sz w:val="24"/>
          <w:szCs w:val="24"/>
        </w:rPr>
        <w:t>HUD-approved</w:t>
      </w:r>
      <w:r w:rsidRPr="005357A5" w:rsidR="006E4C2D">
        <w:rPr>
          <w:rFonts w:ascii="Times New Roman" w:hAnsi="Times New Roman" w:cs="Times New Roman"/>
          <w:sz w:val="24"/>
          <w:szCs w:val="24"/>
        </w:rPr>
        <w:t xml:space="preserve"> project</w:t>
      </w:r>
      <w:r w:rsidR="006E4C2D">
        <w:rPr>
          <w:rFonts w:ascii="Times New Roman" w:hAnsi="Times New Roman" w:cs="Times New Roman"/>
          <w:sz w:val="24"/>
          <w:szCs w:val="24"/>
        </w:rPr>
        <w:t>-</w:t>
      </w:r>
      <w:r w:rsidRPr="005357A5" w:rsidR="006E4C2D">
        <w:rPr>
          <w:rFonts w:ascii="Times New Roman" w:hAnsi="Times New Roman" w:cs="Times New Roman"/>
          <w:sz w:val="24"/>
          <w:szCs w:val="24"/>
        </w:rPr>
        <w:t xml:space="preserve">related </w:t>
      </w:r>
      <w:r w:rsidR="006E4C2D">
        <w:rPr>
          <w:rFonts w:ascii="Times New Roman" w:hAnsi="Times New Roman" w:cs="Times New Roman"/>
          <w:sz w:val="24"/>
          <w:szCs w:val="24"/>
        </w:rPr>
        <w:t>expense</w:t>
      </w:r>
      <w:r w:rsidRPr="005357A5" w:rsidR="006E4C2D">
        <w:rPr>
          <w:rFonts w:ascii="Times New Roman" w:hAnsi="Times New Roman" w:cs="Times New Roman"/>
          <w:sz w:val="24"/>
          <w:szCs w:val="24"/>
        </w:rPr>
        <w:t xml:space="preserve"> </w:t>
      </w:r>
      <w:r w:rsidR="006E4C2D">
        <w:rPr>
          <w:rFonts w:ascii="Times New Roman" w:hAnsi="Times New Roman" w:cs="Times New Roman"/>
          <w:sz w:val="24"/>
          <w:szCs w:val="24"/>
        </w:rPr>
        <w:t>(e.g.</w:t>
      </w:r>
      <w:r w:rsidR="00DD4800">
        <w:rPr>
          <w:rFonts w:ascii="Times New Roman" w:hAnsi="Times New Roman" w:cs="Times New Roman"/>
          <w:sz w:val="24"/>
          <w:szCs w:val="24"/>
        </w:rPr>
        <w:t>,</w:t>
      </w:r>
      <w:r w:rsidR="006E4C2D">
        <w:rPr>
          <w:rFonts w:ascii="Times New Roman" w:hAnsi="Times New Roman" w:cs="Times New Roman"/>
          <w:sz w:val="24"/>
          <w:szCs w:val="24"/>
        </w:rPr>
        <w:t xml:space="preserve"> relocation costs) or reimbursement item</w:t>
      </w:r>
      <w:r w:rsidRPr="005357A5">
        <w:rPr>
          <w:rFonts w:ascii="Times New Roman" w:hAnsi="Times New Roman" w:cs="Times New Roman"/>
          <w:sz w:val="24"/>
          <w:szCs w:val="24"/>
        </w:rPr>
        <w:t xml:space="preserve">. </w:t>
      </w:r>
      <w:r w:rsidRPr="00CB6138" w:rsidR="0053041C">
        <w:rPr>
          <w:rFonts w:ascii="Times New Roman" w:hAnsi="Times New Roman" w:cs="Times New Roman"/>
          <w:sz w:val="24"/>
          <w:szCs w:val="24"/>
        </w:rPr>
        <w:t xml:space="preserve"> </w:t>
      </w:r>
      <w:r w:rsidRPr="007D7697" w:rsidR="007D7697">
        <w:rPr>
          <w:rFonts w:ascii="Times New Roman" w:hAnsi="Times New Roman" w:cs="Times New Roman"/>
          <w:sz w:val="24"/>
          <w:szCs w:val="24"/>
        </w:rPr>
        <w:t>U</w:t>
      </w:r>
      <w:r w:rsidRPr="00F4550B" w:rsidR="007D7697">
        <w:rPr>
          <w:rFonts w:ascii="Times New Roman" w:hAnsi="Times New Roman" w:cs="Times New Roman"/>
          <w:sz w:val="24"/>
          <w:szCs w:val="24"/>
        </w:rPr>
        <w:t xml:space="preserve">nused contingency </w:t>
      </w:r>
      <w:r w:rsidRPr="00F4550B" w:rsidR="000520AD">
        <w:rPr>
          <w:rFonts w:ascii="Times New Roman" w:hAnsi="Times New Roman" w:cs="Times New Roman"/>
          <w:sz w:val="24"/>
          <w:szCs w:val="24"/>
        </w:rPr>
        <w:t>funds may</w:t>
      </w:r>
      <w:r w:rsidR="00440771">
        <w:rPr>
          <w:rFonts w:ascii="Times New Roman" w:hAnsi="Times New Roman" w:cs="Times New Roman"/>
          <w:sz w:val="24"/>
          <w:szCs w:val="24"/>
        </w:rPr>
        <w:t xml:space="preserve"> be used </w:t>
      </w:r>
      <w:r w:rsidRPr="00F4550B" w:rsidR="007D7697">
        <w:rPr>
          <w:rFonts w:ascii="Times New Roman" w:hAnsi="Times New Roman" w:cs="Times New Roman"/>
          <w:sz w:val="24"/>
          <w:szCs w:val="24"/>
        </w:rPr>
        <w:t>after</w:t>
      </w:r>
      <w:r w:rsidR="0071170C">
        <w:rPr>
          <w:rFonts w:ascii="Times New Roman" w:hAnsi="Times New Roman" w:cs="Times New Roman"/>
          <w:sz w:val="24"/>
          <w:szCs w:val="24"/>
        </w:rPr>
        <w:t xml:space="preserve"> issuance of the Final Trip Report, form HUD-95379.</w:t>
      </w:r>
      <w:r w:rsidRPr="00D46B5D" w:rsidR="007D7697">
        <w:t xml:space="preserve"> </w:t>
      </w:r>
    </w:p>
    <w:p w:rsidR="00B852D5" w:rsidP="00B852D5" w:rsidRDefault="00B54FF6" w14:paraId="52D3A5E8" w14:textId="72750BC2">
      <w:pPr>
        <w:pStyle w:val="ListParagraph"/>
        <w:numPr>
          <w:ilvl w:val="0"/>
          <w:numId w:val="8"/>
        </w:numPr>
        <w:tabs>
          <w:tab w:val="left" w:pos="63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Relocation Escrow</w:t>
      </w:r>
      <w:r w:rsidRPr="00B54FF6">
        <w:rPr>
          <w:rFonts w:ascii="Times New Roman" w:hAnsi="Times New Roman" w:cs="Times New Roman"/>
          <w:sz w:val="24"/>
          <w:szCs w:val="24"/>
        </w:rPr>
        <w:t xml:space="preserve">. </w:t>
      </w:r>
      <w:r w:rsidRPr="00AC38FC">
        <w:rPr>
          <w:rFonts w:ascii="Times New Roman" w:hAnsi="Times New Roman" w:cs="Times New Roman"/>
          <w:sz w:val="24"/>
          <w:szCs w:val="24"/>
        </w:rPr>
        <w:t xml:space="preserve">Unused Relocation funds, if escrowed from FHA loan proceeds, may also be released in accordance with guidance above </w:t>
      </w:r>
      <w:r w:rsidR="00FE0F82">
        <w:rPr>
          <w:rFonts w:ascii="Times New Roman" w:hAnsi="Times New Roman" w:cs="Times New Roman"/>
          <w:sz w:val="24"/>
          <w:szCs w:val="24"/>
        </w:rPr>
        <w:t>including</w:t>
      </w:r>
      <w:r w:rsidRPr="00AC38FC">
        <w:rPr>
          <w:rFonts w:ascii="Times New Roman" w:hAnsi="Times New Roman" w:cs="Times New Roman"/>
          <w:sz w:val="24"/>
          <w:szCs w:val="24"/>
        </w:rPr>
        <w:t xml:space="preserve"> payment of Developer Fee (deferred or otherwise.)"</w:t>
      </w:r>
    </w:p>
    <w:p w:rsidR="00D85FE2" w:rsidP="00B852D5" w:rsidRDefault="002D7EF1" w14:paraId="7D4EDE7C" w14:textId="3C486CCA">
      <w:pPr>
        <w:pStyle w:val="ListParagraph"/>
        <w:numPr>
          <w:ilvl w:val="0"/>
          <w:numId w:val="8"/>
        </w:numPr>
        <w:tabs>
          <w:tab w:val="left" w:pos="630"/>
        </w:tabs>
        <w:autoSpaceDE w:val="0"/>
        <w:autoSpaceDN w:val="0"/>
        <w:adjustRightInd w:val="0"/>
        <w:spacing w:line="276" w:lineRule="auto"/>
        <w:jc w:val="both"/>
        <w:rPr>
          <w:rFonts w:ascii="Times New Roman" w:hAnsi="Times New Roman" w:cs="Times New Roman"/>
          <w:sz w:val="24"/>
          <w:szCs w:val="24"/>
        </w:rPr>
      </w:pPr>
      <w:r w:rsidRPr="00AC38FC">
        <w:rPr>
          <w:rFonts w:ascii="Times New Roman" w:hAnsi="Times New Roman" w:cs="Times New Roman"/>
          <w:sz w:val="24"/>
          <w:szCs w:val="24"/>
        </w:rPr>
        <w:t>Initial Operating Deficit</w:t>
      </w:r>
      <w:r w:rsidR="00E25FDC">
        <w:rPr>
          <w:rFonts w:ascii="Times New Roman" w:hAnsi="Times New Roman" w:cs="Times New Roman"/>
          <w:sz w:val="24"/>
          <w:szCs w:val="24"/>
        </w:rPr>
        <w:t xml:space="preserve"> Escrow</w:t>
      </w:r>
      <w:r w:rsidRPr="00AC38FC" w:rsidR="00945C92">
        <w:rPr>
          <w:rFonts w:ascii="Times New Roman" w:hAnsi="Times New Roman" w:cs="Times New Roman"/>
          <w:sz w:val="24"/>
          <w:szCs w:val="24"/>
        </w:rPr>
        <w:t xml:space="preserve">. </w:t>
      </w:r>
      <w:r w:rsidRPr="00AC38FC">
        <w:rPr>
          <w:rFonts w:ascii="Times New Roman" w:hAnsi="Times New Roman" w:cs="Times New Roman"/>
          <w:sz w:val="24"/>
          <w:szCs w:val="24"/>
        </w:rPr>
        <w:t>Initial Operating Deficit escrow requirements are outlined in 3.10, 7.14 and 8.14. For LIHTC projects only (New Construction, Gut Rehab or Adaptive Re-Use), HUD will allow the HUD required Borrower’s Initial Operating Deficit to be contributed after Initial Endorsement but no later than the point in time when HUD signs the Permission to Occupy, form HUD-92485.</w:t>
      </w:r>
    </w:p>
    <w:p w:rsidRPr="000877C6" w:rsidR="00516C00" w:rsidP="00B852D5" w:rsidRDefault="00516C00" w14:paraId="3B993C5A" w14:textId="2474262B">
      <w:pPr>
        <w:pStyle w:val="ListParagraph"/>
        <w:numPr>
          <w:ilvl w:val="0"/>
          <w:numId w:val="8"/>
        </w:numPr>
        <w:tabs>
          <w:tab w:val="left" w:pos="63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Working C</w:t>
      </w:r>
      <w:r w:rsidR="00E25FDC">
        <w:rPr>
          <w:rFonts w:ascii="Times New Roman" w:hAnsi="Times New Roman" w:cs="Times New Roman"/>
          <w:sz w:val="24"/>
          <w:szCs w:val="24"/>
        </w:rPr>
        <w:t xml:space="preserve">apital Escrow. </w:t>
      </w:r>
      <w:r w:rsidRPr="00AC38FC" w:rsidR="00E25FDC">
        <w:rPr>
          <w:rFonts w:ascii="Times New Roman" w:hAnsi="Times New Roman" w:cs="Times New Roman"/>
          <w:sz w:val="24"/>
          <w:szCs w:val="24"/>
        </w:rPr>
        <w:t>The 2% Working Capital Escrow requirement for substantial rehabilitation projects with Section 8 rental assistance and LIHTC restrictions covering more than 90% of the units is not required when the Lender can demonstrate there will be sufficient income generated by the property during the rehab period to cover items typically funded by the Working Capital Escrow and when</w:t>
      </w:r>
      <w:r w:rsidR="007D0FDC">
        <w:rPr>
          <w:rFonts w:ascii="Times New Roman" w:hAnsi="Times New Roman" w:cs="Times New Roman"/>
          <w:sz w:val="24"/>
          <w:szCs w:val="24"/>
        </w:rPr>
        <w:t xml:space="preserve"> I</w:t>
      </w:r>
      <w:r w:rsidRPr="00AC38FC" w:rsidR="00E25FDC">
        <w:rPr>
          <w:rFonts w:ascii="Times New Roman" w:hAnsi="Times New Roman" w:cs="Times New Roman"/>
          <w:sz w:val="24"/>
          <w:szCs w:val="24"/>
        </w:rPr>
        <w:t xml:space="preserve">nterim </w:t>
      </w:r>
      <w:r w:rsidR="007D0FDC">
        <w:rPr>
          <w:rFonts w:ascii="Times New Roman" w:hAnsi="Times New Roman" w:cs="Times New Roman"/>
          <w:sz w:val="24"/>
          <w:szCs w:val="24"/>
        </w:rPr>
        <w:t>I</w:t>
      </w:r>
      <w:r w:rsidRPr="00AC38FC" w:rsidR="00E25FDC">
        <w:rPr>
          <w:rFonts w:ascii="Times New Roman" w:hAnsi="Times New Roman" w:cs="Times New Roman"/>
          <w:sz w:val="24"/>
          <w:szCs w:val="24"/>
        </w:rPr>
        <w:t>ncome is not being used as a source of financing</w:t>
      </w:r>
      <w:r w:rsidR="000451BD">
        <w:rPr>
          <w:rFonts w:ascii="Times New Roman" w:hAnsi="Times New Roman" w:cs="Times New Roman"/>
          <w:sz w:val="24"/>
          <w:szCs w:val="24"/>
        </w:rPr>
        <w:t>.</w:t>
      </w:r>
      <w:r w:rsidR="000877C6">
        <w:rPr>
          <w:rFonts w:ascii="Times New Roman" w:hAnsi="Times New Roman" w:cs="Times New Roman"/>
          <w:sz w:val="24"/>
          <w:szCs w:val="24"/>
        </w:rPr>
        <w:t xml:space="preserve"> </w:t>
      </w:r>
      <w:r w:rsidR="00904DD5">
        <w:rPr>
          <w:rFonts w:ascii="Times New Roman" w:hAnsi="Times New Roman" w:cs="Times New Roman"/>
          <w:sz w:val="24"/>
          <w:szCs w:val="24"/>
        </w:rPr>
        <w:t xml:space="preserve">A </w:t>
      </w:r>
      <w:r w:rsidRPr="00DA556E" w:rsidR="00904DD5">
        <w:rPr>
          <w:rFonts w:ascii="Times New Roman" w:hAnsi="Times New Roman" w:cs="Times New Roman"/>
          <w:sz w:val="24"/>
          <w:szCs w:val="24"/>
        </w:rPr>
        <w:t>W</w:t>
      </w:r>
      <w:r w:rsidRPr="00DA556E" w:rsidR="000877C6">
        <w:rPr>
          <w:rFonts w:ascii="Times New Roman" w:hAnsi="Times New Roman" w:cs="Times New Roman"/>
          <w:sz w:val="24"/>
          <w:szCs w:val="24"/>
        </w:rPr>
        <w:t>aiver</w:t>
      </w:r>
      <w:r w:rsidRPr="00DA556E" w:rsidR="00904DD5">
        <w:rPr>
          <w:rFonts w:ascii="Times New Roman" w:hAnsi="Times New Roman" w:cs="Times New Roman"/>
          <w:sz w:val="24"/>
          <w:szCs w:val="24"/>
        </w:rPr>
        <w:t xml:space="preserve"> of the Working Capital Escrow</w:t>
      </w:r>
      <w:r w:rsidRPr="00DA556E" w:rsidR="000877C6">
        <w:rPr>
          <w:rFonts w:ascii="Times New Roman" w:hAnsi="Times New Roman" w:cs="Times New Roman"/>
          <w:sz w:val="24"/>
          <w:szCs w:val="24"/>
        </w:rPr>
        <w:t xml:space="preserve"> is </w:t>
      </w:r>
      <w:r w:rsidRPr="00DA556E" w:rsidR="00B36683">
        <w:rPr>
          <w:rFonts w:ascii="Times New Roman" w:hAnsi="Times New Roman" w:cs="Times New Roman"/>
          <w:sz w:val="24"/>
          <w:szCs w:val="24"/>
        </w:rPr>
        <w:t>only</w:t>
      </w:r>
      <w:r w:rsidRPr="00DA556E" w:rsidR="000877C6">
        <w:rPr>
          <w:rFonts w:ascii="Times New Roman" w:hAnsi="Times New Roman" w:cs="Times New Roman"/>
          <w:sz w:val="24"/>
          <w:szCs w:val="24"/>
        </w:rPr>
        <w:t xml:space="preserve"> </w:t>
      </w:r>
      <w:r w:rsidRPr="00DA556E" w:rsidR="00B36683">
        <w:rPr>
          <w:rFonts w:ascii="Times New Roman" w:hAnsi="Times New Roman" w:cs="Times New Roman"/>
          <w:sz w:val="24"/>
          <w:szCs w:val="24"/>
        </w:rPr>
        <w:t xml:space="preserve">available </w:t>
      </w:r>
      <w:r w:rsidRPr="00DA556E" w:rsidR="000877C6">
        <w:rPr>
          <w:rFonts w:ascii="Times New Roman" w:hAnsi="Times New Roman" w:cs="Times New Roman"/>
          <w:sz w:val="24"/>
          <w:szCs w:val="24"/>
        </w:rPr>
        <w:t>for LIHTC properties with 90%</w:t>
      </w:r>
      <w:r w:rsidRPr="00DA556E" w:rsidR="00030858">
        <w:rPr>
          <w:rFonts w:ascii="Times New Roman" w:hAnsi="Times New Roman" w:cs="Times New Roman"/>
          <w:sz w:val="24"/>
          <w:szCs w:val="24"/>
        </w:rPr>
        <w:t xml:space="preserve"> greater</w:t>
      </w:r>
      <w:r w:rsidRPr="00DA556E" w:rsidR="000877C6">
        <w:rPr>
          <w:rFonts w:ascii="Times New Roman" w:hAnsi="Times New Roman" w:cs="Times New Roman"/>
          <w:sz w:val="24"/>
          <w:szCs w:val="24"/>
        </w:rPr>
        <w:t xml:space="preserve"> rental assistance (LIHTC only is not sufficient)</w:t>
      </w:r>
      <w:r w:rsidRPr="00DA556E" w:rsidR="00904DD5">
        <w:rPr>
          <w:rFonts w:ascii="Times New Roman" w:hAnsi="Times New Roman" w:cs="Times New Roman"/>
          <w:sz w:val="24"/>
          <w:szCs w:val="24"/>
        </w:rPr>
        <w:t xml:space="preserve"> and can be approved by the Regional Production Division Director</w:t>
      </w:r>
      <w:r w:rsidRPr="00DA556E" w:rsidR="000877C6">
        <w:rPr>
          <w:rFonts w:ascii="Times New Roman" w:hAnsi="Times New Roman" w:cs="Times New Roman"/>
          <w:sz w:val="24"/>
          <w:szCs w:val="24"/>
        </w:rPr>
        <w:t xml:space="preserve">. </w:t>
      </w:r>
    </w:p>
    <w:p w:rsidRPr="005357A5" w:rsidR="00ED412D" w:rsidP="005357A5" w:rsidRDefault="00ED412D" w14:paraId="57BCBFF7" w14:textId="77777777">
      <w:pPr>
        <w:pStyle w:val="ListParagraph"/>
        <w:tabs>
          <w:tab w:val="left" w:pos="630"/>
        </w:tabs>
        <w:autoSpaceDE w:val="0"/>
        <w:autoSpaceDN w:val="0"/>
        <w:adjustRightInd w:val="0"/>
        <w:spacing w:line="276" w:lineRule="auto"/>
        <w:ind w:left="360"/>
        <w:jc w:val="both"/>
        <w:rPr>
          <w:rFonts w:ascii="Times New Roman" w:hAnsi="Times New Roman" w:cs="Times New Roman"/>
          <w:sz w:val="24"/>
          <w:szCs w:val="24"/>
        </w:rPr>
      </w:pPr>
    </w:p>
    <w:p w:rsidRPr="005357A5" w:rsidR="00D56665" w:rsidP="00D56665" w:rsidRDefault="00D56665" w14:paraId="63DA38C5" w14:textId="575006E7">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14.1</w:t>
      </w:r>
      <w:r w:rsidR="00145929">
        <w:rPr>
          <w:rFonts w:ascii="Times New Roman" w:hAnsi="Times New Roman" w:eastAsia="Times New Roman" w:cs="Times New Roman"/>
          <w:b/>
          <w:sz w:val="28"/>
          <w:szCs w:val="28"/>
        </w:rPr>
        <w:t>1</w:t>
      </w:r>
      <w:r w:rsidRPr="005357A5">
        <w:rPr>
          <w:rFonts w:ascii="Times New Roman" w:hAnsi="Times New Roman" w:eastAsia="Times New Roman" w:cs="Times New Roman"/>
          <w:b/>
          <w:sz w:val="28"/>
          <w:szCs w:val="28"/>
        </w:rPr>
        <w:tab/>
        <w:t xml:space="preserve">Structuring of Secondary Debt in </w:t>
      </w:r>
      <w:r w:rsidR="00A65051">
        <w:rPr>
          <w:rFonts w:ascii="Times New Roman" w:hAnsi="Times New Roman" w:eastAsia="Times New Roman" w:cs="Times New Roman"/>
          <w:b/>
          <w:sz w:val="28"/>
          <w:szCs w:val="28"/>
        </w:rPr>
        <w:t>LIHTC</w:t>
      </w:r>
      <w:r w:rsidRPr="005357A5">
        <w:rPr>
          <w:rFonts w:ascii="Times New Roman" w:hAnsi="Times New Roman" w:eastAsia="Times New Roman" w:cs="Times New Roman"/>
          <w:b/>
          <w:sz w:val="28"/>
          <w:szCs w:val="28"/>
        </w:rPr>
        <w:t xml:space="preserve"> Transactions</w:t>
      </w:r>
    </w:p>
    <w:p w:rsidRPr="00CB6138" w:rsidR="00D56665" w:rsidP="00D56665" w:rsidRDefault="00D56665" w14:paraId="63DA38C6" w14:textId="77777777">
      <w:pPr>
        <w:spacing w:line="276" w:lineRule="auto"/>
        <w:rPr>
          <w:rFonts w:ascii="Times New Roman" w:hAnsi="Times New Roman" w:cs="Times New Roman"/>
          <w:sz w:val="24"/>
          <w:szCs w:val="24"/>
          <w:u w:val="single"/>
        </w:rPr>
      </w:pPr>
    </w:p>
    <w:p w:rsidRPr="00436A73" w:rsidR="00436A73" w:rsidP="005357A5" w:rsidRDefault="00D56665" w14:paraId="7E90AF28" w14:textId="16E8FE0A">
      <w:pPr>
        <w:pStyle w:val="ListParagraph"/>
        <w:widowControl w:val="0"/>
        <w:numPr>
          <w:ilvl w:val="0"/>
          <w:numId w:val="26"/>
        </w:numPr>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5357A5">
        <w:rPr>
          <w:rFonts w:ascii="Times New Roman" w:hAnsi="Times New Roman" w:eastAsia="Times New Roman" w:cs="Times New Roman"/>
          <w:sz w:val="24"/>
          <w:szCs w:val="24"/>
        </w:rPr>
        <w:t xml:space="preserve">LTV Ratio and Private Secondary Debt. </w:t>
      </w:r>
      <w:r w:rsidRPr="005357A5">
        <w:rPr>
          <w:rFonts w:ascii="Times New Roman" w:hAnsi="Times New Roman" w:eastAsia="Times New Roman" w:cs="Times New Roman"/>
          <w:b/>
          <w:sz w:val="24"/>
          <w:szCs w:val="24"/>
        </w:rPr>
        <w:t xml:space="preserve"> </w:t>
      </w:r>
      <w:r w:rsidRPr="005357A5">
        <w:rPr>
          <w:rFonts w:ascii="Times New Roman" w:hAnsi="Times New Roman" w:eastAsia="Times New Roman" w:cs="Times New Roman"/>
          <w:sz w:val="24"/>
          <w:szCs w:val="24"/>
        </w:rPr>
        <w:t xml:space="preserve">For transactions that do not have </w:t>
      </w:r>
      <w:r w:rsidR="00E25A04">
        <w:rPr>
          <w:rFonts w:ascii="Times New Roman" w:hAnsi="Times New Roman" w:eastAsia="Times New Roman" w:cs="Times New Roman"/>
          <w:sz w:val="24"/>
          <w:szCs w:val="24"/>
        </w:rPr>
        <w:t>LIHTC</w:t>
      </w:r>
      <w:r w:rsidRPr="005357A5">
        <w:rPr>
          <w:rFonts w:ascii="Times New Roman" w:hAnsi="Times New Roman" w:eastAsia="Times New Roman" w:cs="Times New Roman"/>
          <w:sz w:val="24"/>
          <w:szCs w:val="24"/>
        </w:rPr>
        <w:t xml:space="preserve">, Section 223(f) limits the combination of FHA insured and secondary financing to a loan </w:t>
      </w:r>
      <w:r w:rsidRPr="005357A5">
        <w:rPr>
          <w:rFonts w:ascii="Times New Roman" w:hAnsi="Times New Roman" w:eastAsia="Times New Roman" w:cs="Times New Roman"/>
          <w:sz w:val="24"/>
          <w:szCs w:val="24"/>
        </w:rPr>
        <w:lastRenderedPageBreak/>
        <w:t xml:space="preserve">to value limit of 92.5% (except when the debt source is </w:t>
      </w:r>
      <w:r w:rsidR="00A4406F">
        <w:rPr>
          <w:rFonts w:ascii="Times New Roman" w:hAnsi="Times New Roman" w:eastAsia="Times New Roman" w:cs="Times New Roman"/>
          <w:sz w:val="24"/>
          <w:szCs w:val="24"/>
        </w:rPr>
        <w:t>a</w:t>
      </w:r>
      <w:r w:rsidR="005C4AA3">
        <w:rPr>
          <w:rFonts w:ascii="Times New Roman" w:hAnsi="Times New Roman" w:eastAsia="Times New Roman" w:cs="Times New Roman"/>
          <w:sz w:val="24"/>
          <w:szCs w:val="24"/>
        </w:rPr>
        <w:t xml:space="preserve"> public sector or quasi-public sector entity</w:t>
      </w:r>
      <w:r w:rsidRPr="005357A5">
        <w:rPr>
          <w:rFonts w:ascii="Times New Roman" w:hAnsi="Times New Roman" w:eastAsia="Times New Roman" w:cs="Times New Roman"/>
          <w:sz w:val="24"/>
          <w:szCs w:val="24"/>
        </w:rPr>
        <w:t xml:space="preserve">). </w:t>
      </w:r>
      <w:r w:rsidR="00436A73">
        <w:rPr>
          <w:rFonts w:ascii="Times New Roman" w:hAnsi="Times New Roman" w:eastAsia="Times New Roman" w:cs="Times New Roman"/>
          <w:sz w:val="24"/>
          <w:szCs w:val="24"/>
        </w:rPr>
        <w:t xml:space="preserve"> A Quasi-Public corporation is defined as a company in the private sector supported by the government with a public mandate to provide a given service, such as the Federal Home Loan Bank or utility companies. </w:t>
      </w:r>
    </w:p>
    <w:p w:rsidRPr="00436A73" w:rsidR="00436A73" w:rsidP="00436A73" w:rsidRDefault="00436A73" w14:paraId="72D4EA27" w14:textId="77777777">
      <w:pPr>
        <w:pStyle w:val="ListParagraph"/>
        <w:widowControl w:val="0"/>
        <w:overflowPunct w:val="0"/>
        <w:autoSpaceDE w:val="0"/>
        <w:autoSpaceDN w:val="0"/>
        <w:adjustRightInd w:val="0"/>
        <w:spacing w:before="80" w:after="80" w:line="276" w:lineRule="auto"/>
        <w:ind w:left="900"/>
        <w:jc w:val="both"/>
        <w:textAlignment w:val="baseline"/>
        <w:rPr>
          <w:rFonts w:ascii="Times New Roman" w:hAnsi="Times New Roman" w:cs="Times New Roman"/>
          <w:sz w:val="24"/>
          <w:szCs w:val="24"/>
        </w:rPr>
      </w:pPr>
    </w:p>
    <w:p w:rsidRPr="005357A5" w:rsidR="00D56665" w:rsidP="00436A73" w:rsidRDefault="00D56665" w14:paraId="63DA38C7" w14:textId="428EE269">
      <w:pPr>
        <w:pStyle w:val="ListParagraph"/>
        <w:widowControl w:val="0"/>
        <w:overflowPunct w:val="0"/>
        <w:autoSpaceDE w:val="0"/>
        <w:autoSpaceDN w:val="0"/>
        <w:adjustRightInd w:val="0"/>
        <w:spacing w:before="80" w:after="80" w:line="276" w:lineRule="auto"/>
        <w:ind w:left="900"/>
        <w:jc w:val="both"/>
        <w:textAlignment w:val="baseline"/>
        <w:rPr>
          <w:rFonts w:ascii="Times New Roman" w:hAnsi="Times New Roman" w:cs="Times New Roman"/>
          <w:sz w:val="24"/>
          <w:szCs w:val="24"/>
        </w:rPr>
      </w:pPr>
      <w:r w:rsidRPr="005357A5">
        <w:rPr>
          <w:rFonts w:ascii="Times New Roman" w:hAnsi="Times New Roman" w:eastAsia="Times New Roman" w:cs="Times New Roman"/>
          <w:sz w:val="24"/>
          <w:szCs w:val="24"/>
        </w:rPr>
        <w:t xml:space="preserve">For </w:t>
      </w:r>
      <w:r w:rsidR="00A65051">
        <w:rPr>
          <w:rFonts w:ascii="Times New Roman" w:hAnsi="Times New Roman" w:eastAsia="Times New Roman" w:cs="Times New Roman"/>
          <w:sz w:val="24"/>
          <w:szCs w:val="24"/>
        </w:rPr>
        <w:t>LIHTC</w:t>
      </w:r>
      <w:r w:rsidRPr="005357A5">
        <w:rPr>
          <w:rFonts w:ascii="Times New Roman" w:hAnsi="Times New Roman" w:eastAsia="Times New Roman" w:cs="Times New Roman"/>
          <w:sz w:val="24"/>
          <w:szCs w:val="24"/>
        </w:rPr>
        <w:t xml:space="preserve"> projects </w:t>
      </w:r>
      <w:r w:rsidRPr="005357A5" w:rsidR="0079676B">
        <w:rPr>
          <w:rFonts w:ascii="Times New Roman" w:hAnsi="Times New Roman" w:eastAsia="Times New Roman" w:cs="Times New Roman"/>
          <w:sz w:val="24"/>
          <w:szCs w:val="24"/>
        </w:rPr>
        <w:t>(new construction, substantial rehabilitation, and refinan</w:t>
      </w:r>
      <w:r w:rsidRPr="005357A5" w:rsidR="00380067">
        <w:rPr>
          <w:rFonts w:ascii="Times New Roman" w:hAnsi="Times New Roman" w:eastAsia="Times New Roman" w:cs="Times New Roman"/>
          <w:sz w:val="24"/>
          <w:szCs w:val="24"/>
        </w:rPr>
        <w:t xml:space="preserve">ce </w:t>
      </w:r>
      <w:r w:rsidRPr="005357A5" w:rsidR="00371A7E">
        <w:rPr>
          <w:rFonts w:ascii="Times New Roman" w:hAnsi="Times New Roman" w:eastAsia="Times New Roman" w:cs="Times New Roman"/>
          <w:sz w:val="24"/>
          <w:szCs w:val="24"/>
        </w:rPr>
        <w:t>transactions</w:t>
      </w:r>
      <w:r w:rsidRPr="005357A5" w:rsidR="00380067">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 debt limit</w:t>
      </w:r>
      <w:r w:rsidRPr="005357A5" w:rsidR="00737321">
        <w:rPr>
          <w:rFonts w:ascii="Times New Roman" w:hAnsi="Times New Roman" w:eastAsia="Times New Roman" w:cs="Times New Roman"/>
          <w:sz w:val="24"/>
          <w:szCs w:val="24"/>
        </w:rPr>
        <w:t>s</w:t>
      </w:r>
      <w:r w:rsidRPr="005357A5">
        <w:rPr>
          <w:rFonts w:ascii="Times New Roman" w:hAnsi="Times New Roman" w:eastAsia="Times New Roman" w:cs="Times New Roman"/>
          <w:sz w:val="24"/>
          <w:szCs w:val="24"/>
        </w:rPr>
        <w:t xml:space="preserve"> can restrict property basis and tax credit amounts unnecessarily.  </w:t>
      </w:r>
      <w:r w:rsidRPr="005357A5" w:rsidR="009F6F66">
        <w:rPr>
          <w:rFonts w:ascii="Times New Roman" w:hAnsi="Times New Roman" w:eastAsia="Times New Roman" w:cs="Times New Roman"/>
          <w:sz w:val="24"/>
          <w:szCs w:val="24"/>
        </w:rPr>
        <w:t xml:space="preserve">Accordingly, </w:t>
      </w:r>
      <w:r w:rsidR="009F6F66">
        <w:rPr>
          <w:rFonts w:ascii="Times New Roman" w:hAnsi="Times New Roman" w:eastAsia="Times New Roman" w:cs="Times New Roman"/>
          <w:sz w:val="24"/>
          <w:szCs w:val="24"/>
        </w:rPr>
        <w:t xml:space="preserve">for LIHTC projects only, </w:t>
      </w:r>
      <w:r w:rsidRPr="005357A5" w:rsidR="009F6F66">
        <w:rPr>
          <w:rFonts w:ascii="Times New Roman" w:hAnsi="Times New Roman" w:eastAsia="Times New Roman" w:cs="Times New Roman"/>
          <w:sz w:val="24"/>
          <w:szCs w:val="24"/>
        </w:rPr>
        <w:t xml:space="preserve">HUD </w:t>
      </w:r>
      <w:r w:rsidR="009F6F66">
        <w:rPr>
          <w:rFonts w:ascii="Times New Roman" w:hAnsi="Times New Roman" w:eastAsia="Times New Roman" w:cs="Times New Roman"/>
          <w:sz w:val="24"/>
          <w:szCs w:val="24"/>
        </w:rPr>
        <w:t>does</w:t>
      </w:r>
      <w:r w:rsidRPr="005357A5" w:rsidR="009F6F66">
        <w:rPr>
          <w:rFonts w:ascii="Times New Roman" w:hAnsi="Times New Roman" w:eastAsia="Times New Roman" w:cs="Times New Roman"/>
          <w:sz w:val="24"/>
          <w:szCs w:val="24"/>
        </w:rPr>
        <w:t xml:space="preserve"> not impose a loan to value limit on secondary </w:t>
      </w:r>
      <w:r w:rsidRPr="005357A5" w:rsidR="00444A29">
        <w:rPr>
          <w:rFonts w:ascii="Times New Roman" w:hAnsi="Times New Roman" w:eastAsia="Times New Roman" w:cs="Times New Roman"/>
          <w:sz w:val="24"/>
          <w:szCs w:val="24"/>
        </w:rPr>
        <w:t>financing</w:t>
      </w:r>
      <w:r w:rsidR="00444A29">
        <w:rPr>
          <w:rFonts w:ascii="Times New Roman" w:hAnsi="Times New Roman" w:eastAsia="Times New Roman" w:cs="Times New Roman"/>
          <w:sz w:val="24"/>
          <w:szCs w:val="24"/>
        </w:rPr>
        <w:t>,</w:t>
      </w:r>
      <w:r w:rsidRPr="005357A5" w:rsidR="009F6F66">
        <w:rPr>
          <w:rFonts w:ascii="Times New Roman" w:hAnsi="Times New Roman" w:eastAsia="Times New Roman" w:cs="Times New Roman"/>
          <w:sz w:val="24"/>
          <w:szCs w:val="24"/>
        </w:rPr>
        <w:t xml:space="preserve"> regardless of the source (public debt or private debt).  </w:t>
      </w:r>
      <w:r w:rsidRPr="005357A5">
        <w:rPr>
          <w:rFonts w:ascii="Times New Roman" w:hAnsi="Times New Roman" w:eastAsia="Times New Roman" w:cs="Times New Roman"/>
          <w:sz w:val="24"/>
          <w:szCs w:val="24"/>
        </w:rPr>
        <w:t xml:space="preserve">This means that in some cases debt </w:t>
      </w:r>
      <w:r w:rsidR="00E7670F">
        <w:rPr>
          <w:rFonts w:ascii="Times New Roman" w:hAnsi="Times New Roman" w:eastAsia="Times New Roman" w:cs="Times New Roman"/>
          <w:sz w:val="24"/>
          <w:szCs w:val="24"/>
        </w:rPr>
        <w:t>may</w:t>
      </w:r>
      <w:r w:rsidRPr="005357A5" w:rsidR="00E7670F">
        <w:rPr>
          <w:rFonts w:ascii="Times New Roman" w:hAnsi="Times New Roman" w:eastAsia="Times New Roman" w:cs="Times New Roman"/>
          <w:sz w:val="24"/>
          <w:szCs w:val="24"/>
        </w:rPr>
        <w:t xml:space="preserve"> </w:t>
      </w:r>
      <w:r w:rsidRPr="005357A5">
        <w:rPr>
          <w:rFonts w:ascii="Times New Roman" w:hAnsi="Times New Roman" w:eastAsia="Times New Roman" w:cs="Times New Roman"/>
          <w:sz w:val="24"/>
          <w:szCs w:val="24"/>
        </w:rPr>
        <w:t xml:space="preserve">exceed value.  </w:t>
      </w:r>
      <w:r w:rsidRPr="005357A5" w:rsidR="007D770B">
        <w:rPr>
          <w:rFonts w:ascii="Times New Roman" w:hAnsi="Times New Roman" w:eastAsia="Times New Roman" w:cs="Times New Roman"/>
          <w:sz w:val="24"/>
          <w:szCs w:val="24"/>
        </w:rPr>
        <w:t>However,</w:t>
      </w:r>
      <w:r w:rsidRPr="005357A5">
        <w:rPr>
          <w:rFonts w:ascii="Times New Roman" w:hAnsi="Times New Roman" w:eastAsia="Times New Roman" w:cs="Times New Roman"/>
          <w:sz w:val="24"/>
          <w:szCs w:val="24"/>
        </w:rPr>
        <w:t xml:space="preserve"> all such secondary debt </w:t>
      </w:r>
      <w:r w:rsidR="00E7670F">
        <w:rPr>
          <w:rFonts w:ascii="Times New Roman" w:hAnsi="Times New Roman" w:eastAsia="Times New Roman" w:cs="Times New Roman"/>
          <w:sz w:val="24"/>
          <w:szCs w:val="24"/>
        </w:rPr>
        <w:t>remains</w:t>
      </w:r>
      <w:r w:rsidRPr="005357A5" w:rsidR="00E7670F">
        <w:rPr>
          <w:rFonts w:ascii="Times New Roman" w:hAnsi="Times New Roman" w:eastAsia="Times New Roman" w:cs="Times New Roman"/>
          <w:sz w:val="24"/>
          <w:szCs w:val="24"/>
        </w:rPr>
        <w:t xml:space="preserve"> </w:t>
      </w:r>
      <w:r w:rsidRPr="005357A5">
        <w:rPr>
          <w:rFonts w:ascii="Times New Roman" w:hAnsi="Times New Roman" w:eastAsia="Times New Roman" w:cs="Times New Roman"/>
          <w:sz w:val="24"/>
          <w:szCs w:val="24"/>
        </w:rPr>
        <w:t xml:space="preserve">subject to </w:t>
      </w:r>
      <w:r w:rsidRPr="005357A5">
        <w:rPr>
          <w:rFonts w:ascii="Times New Roman" w:hAnsi="Times New Roman" w:cs="Times New Roman"/>
          <w:sz w:val="24"/>
          <w:szCs w:val="24"/>
        </w:rPr>
        <w:t>the following conditions:</w:t>
      </w:r>
    </w:p>
    <w:p w:rsidRPr="007805BC" w:rsidR="00D56665" w:rsidP="00D56665" w:rsidRDefault="00D56665" w14:paraId="63DA38C8" w14:textId="77777777">
      <w:pPr>
        <w:widowControl w:val="0"/>
        <w:overflowPunct w:val="0"/>
        <w:autoSpaceDE w:val="0"/>
        <w:autoSpaceDN w:val="0"/>
        <w:adjustRightInd w:val="0"/>
        <w:spacing w:before="80" w:after="80" w:line="276" w:lineRule="auto"/>
        <w:ind w:left="360"/>
        <w:contextualSpacing/>
        <w:jc w:val="both"/>
        <w:textAlignment w:val="baseline"/>
        <w:rPr>
          <w:rFonts w:ascii="Times New Roman" w:hAnsi="Times New Roman" w:eastAsia="Times New Roman" w:cs="Times New Roman"/>
          <w:sz w:val="24"/>
          <w:szCs w:val="24"/>
        </w:rPr>
      </w:pPr>
    </w:p>
    <w:p w:rsidRPr="007805BC" w:rsidR="00D56665" w:rsidP="00076201" w:rsidRDefault="00D56665" w14:paraId="63DA38C9" w14:textId="3831F76A">
      <w:pPr>
        <w:widowControl w:val="0"/>
        <w:numPr>
          <w:ilvl w:val="0"/>
          <w:numId w:val="32"/>
        </w:numPr>
        <w:overflowPunct w:val="0"/>
        <w:autoSpaceDE w:val="0"/>
        <w:autoSpaceDN w:val="0"/>
        <w:adjustRightInd w:val="0"/>
        <w:spacing w:before="80" w:after="80" w:line="276" w:lineRule="auto"/>
        <w:contextualSpacing/>
        <w:jc w:val="both"/>
        <w:textAlignment w:val="baseline"/>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Payments on all secondary debt are restricted to 75% or less of the annual surplus cash, </w:t>
      </w:r>
      <w:r w:rsidR="007C365E">
        <w:rPr>
          <w:rFonts w:ascii="Times New Roman" w:hAnsi="Times New Roman" w:eastAsia="Times New Roman" w:cs="Times New Roman"/>
          <w:sz w:val="24"/>
          <w:szCs w:val="24"/>
        </w:rPr>
        <w:t>and/</w:t>
      </w:r>
      <w:r w:rsidRPr="007805BC">
        <w:rPr>
          <w:rFonts w:ascii="Times New Roman" w:hAnsi="Times New Roman" w:eastAsia="Times New Roman" w:cs="Times New Roman"/>
          <w:sz w:val="24"/>
          <w:szCs w:val="24"/>
        </w:rPr>
        <w:t>or the proceeds of a sale or refinancing of the property. (See 24 CFR 200.85(b)</w:t>
      </w:r>
      <w:r w:rsidR="00535CAC">
        <w:rPr>
          <w:rFonts w:ascii="Times New Roman" w:hAnsi="Times New Roman" w:eastAsia="Times New Roman" w:cs="Times New Roman"/>
          <w:sz w:val="24"/>
          <w:szCs w:val="24"/>
        </w:rPr>
        <w:t>)</w:t>
      </w:r>
      <w:r w:rsidRPr="007805BC">
        <w:rPr>
          <w:rFonts w:ascii="Times New Roman" w:hAnsi="Times New Roman" w:eastAsia="Times New Roman" w:cs="Times New Roman"/>
          <w:sz w:val="24"/>
          <w:szCs w:val="24"/>
        </w:rPr>
        <w:t xml:space="preserve">. </w:t>
      </w:r>
      <w:r w:rsidRPr="007805BC">
        <w:rPr>
          <w:rFonts w:ascii="Times New Roman" w:hAnsi="Times New Roman" w:cs="Times New Roman"/>
          <w:sz w:val="24"/>
          <w:szCs w:val="24"/>
        </w:rPr>
        <w:t>This limit applies cumulatively to all secondary debt, private and public, to ensure that at least 25% of the surplus cash remains as an incentive to the owner.  Owners may make additional payments on the debt out of their remaining 25% of cash flow, or from other sources.</w:t>
      </w:r>
    </w:p>
    <w:p w:rsidRPr="007805BC" w:rsidR="00D56665" w:rsidP="00D56665" w:rsidRDefault="00D56665" w14:paraId="63DA38CA" w14:textId="77777777">
      <w:pPr>
        <w:widowControl w:val="0"/>
        <w:overflowPunct w:val="0"/>
        <w:autoSpaceDE w:val="0"/>
        <w:autoSpaceDN w:val="0"/>
        <w:adjustRightInd w:val="0"/>
        <w:spacing w:before="80" w:after="80" w:line="276" w:lineRule="auto"/>
        <w:ind w:left="720" w:hanging="360"/>
        <w:contextualSpacing/>
        <w:jc w:val="both"/>
        <w:textAlignment w:val="baseline"/>
        <w:rPr>
          <w:rFonts w:ascii="Times New Roman" w:hAnsi="Times New Roman" w:eastAsia="Times New Roman" w:cs="Times New Roman"/>
          <w:sz w:val="24"/>
          <w:szCs w:val="24"/>
        </w:rPr>
      </w:pPr>
    </w:p>
    <w:p w:rsidRPr="007805BC" w:rsidR="00D56665" w:rsidP="00076201" w:rsidRDefault="00D56665" w14:paraId="63DA38CB" w14:textId="0AD04EF2">
      <w:pPr>
        <w:widowControl w:val="0"/>
        <w:numPr>
          <w:ilvl w:val="0"/>
          <w:numId w:val="32"/>
        </w:numPr>
        <w:overflowPunct w:val="0"/>
        <w:autoSpaceDE w:val="0"/>
        <w:autoSpaceDN w:val="0"/>
        <w:adjustRightInd w:val="0"/>
        <w:spacing w:before="80" w:after="80" w:line="276" w:lineRule="auto"/>
        <w:contextualSpacing/>
        <w:jc w:val="both"/>
        <w:textAlignment w:val="baseline"/>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The </w:t>
      </w:r>
      <w:r w:rsidR="003F5688">
        <w:rPr>
          <w:rFonts w:ascii="Times New Roman" w:hAnsi="Times New Roman" w:eastAsia="Times New Roman" w:cs="Times New Roman"/>
          <w:sz w:val="24"/>
          <w:szCs w:val="24"/>
        </w:rPr>
        <w:t xml:space="preserve">FHA insured loan and the </w:t>
      </w:r>
      <w:r w:rsidRPr="007805BC">
        <w:rPr>
          <w:rFonts w:ascii="Times New Roman" w:hAnsi="Times New Roman" w:eastAsia="Times New Roman" w:cs="Times New Roman"/>
          <w:sz w:val="24"/>
          <w:szCs w:val="24"/>
        </w:rPr>
        <w:t xml:space="preserve">total combined </w:t>
      </w:r>
      <w:r w:rsidR="009F4C94">
        <w:rPr>
          <w:rFonts w:ascii="Times New Roman" w:hAnsi="Times New Roman" w:eastAsia="Times New Roman" w:cs="Times New Roman"/>
          <w:sz w:val="24"/>
          <w:szCs w:val="24"/>
        </w:rPr>
        <w:t xml:space="preserve">public and or </w:t>
      </w:r>
      <w:r w:rsidRPr="007805BC">
        <w:rPr>
          <w:rFonts w:ascii="Times New Roman" w:hAnsi="Times New Roman" w:eastAsia="Times New Roman" w:cs="Times New Roman"/>
          <w:sz w:val="24"/>
          <w:szCs w:val="24"/>
        </w:rPr>
        <w:t xml:space="preserve">private secondary debt </w:t>
      </w:r>
      <w:r w:rsidR="00467D6A">
        <w:rPr>
          <w:rFonts w:ascii="Times New Roman" w:hAnsi="Times New Roman" w:eastAsia="Times New Roman" w:cs="Times New Roman"/>
          <w:sz w:val="24"/>
          <w:szCs w:val="24"/>
        </w:rPr>
        <w:t>may</w:t>
      </w:r>
      <w:r w:rsidRPr="007805BC" w:rsidR="00467D6A">
        <w:rPr>
          <w:rFonts w:ascii="Times New Roman" w:hAnsi="Times New Roman" w:eastAsia="Times New Roman" w:cs="Times New Roman"/>
          <w:sz w:val="24"/>
          <w:szCs w:val="24"/>
        </w:rPr>
        <w:t xml:space="preserve"> </w:t>
      </w:r>
      <w:r w:rsidRPr="007805BC">
        <w:rPr>
          <w:rFonts w:ascii="Times New Roman" w:hAnsi="Times New Roman" w:eastAsia="Times New Roman" w:cs="Times New Roman"/>
          <w:sz w:val="24"/>
          <w:szCs w:val="24"/>
        </w:rPr>
        <w:t xml:space="preserve">not </w:t>
      </w:r>
      <w:r w:rsidRPr="007805BC" w:rsidR="00E02484">
        <w:rPr>
          <w:rFonts w:ascii="Times New Roman" w:hAnsi="Times New Roman" w:eastAsia="Times New Roman" w:cs="Times New Roman"/>
          <w:sz w:val="24"/>
          <w:szCs w:val="24"/>
        </w:rPr>
        <w:t>exceed 100</w:t>
      </w:r>
      <w:r w:rsidRPr="007805BC">
        <w:rPr>
          <w:rFonts w:ascii="Times New Roman" w:hAnsi="Times New Roman" w:eastAsia="Times New Roman" w:cs="Times New Roman"/>
          <w:sz w:val="24"/>
          <w:szCs w:val="24"/>
        </w:rPr>
        <w:t xml:space="preserve">% of total </w:t>
      </w:r>
      <w:r w:rsidRPr="007805BC" w:rsidR="00850756">
        <w:rPr>
          <w:rFonts w:ascii="Times New Roman" w:hAnsi="Times New Roman" w:eastAsia="Times New Roman" w:cs="Times New Roman"/>
          <w:sz w:val="24"/>
          <w:szCs w:val="24"/>
        </w:rPr>
        <w:t>mortgageable and nonmortgageable</w:t>
      </w:r>
      <w:r w:rsidRPr="007805BC" w:rsidR="00DA73A2">
        <w:rPr>
          <w:rFonts w:ascii="Times New Roman" w:hAnsi="Times New Roman" w:eastAsia="Times New Roman" w:cs="Times New Roman"/>
          <w:sz w:val="24"/>
          <w:szCs w:val="24"/>
        </w:rPr>
        <w:t xml:space="preserve"> </w:t>
      </w:r>
      <w:r w:rsidRPr="007805BC">
        <w:rPr>
          <w:rFonts w:ascii="Times New Roman" w:hAnsi="Times New Roman" w:eastAsia="Times New Roman" w:cs="Times New Roman"/>
          <w:sz w:val="24"/>
          <w:szCs w:val="24"/>
        </w:rPr>
        <w:t xml:space="preserve">project costs as confirmed by the HUD Underwriter’s analysis of a comprehensive Source and Uses of </w:t>
      </w:r>
      <w:r w:rsidRPr="007805BC" w:rsidR="007C379E">
        <w:rPr>
          <w:rFonts w:ascii="Times New Roman" w:hAnsi="Times New Roman" w:eastAsia="Times New Roman" w:cs="Times New Roman"/>
          <w:sz w:val="24"/>
          <w:szCs w:val="24"/>
        </w:rPr>
        <w:t>Funds Statement</w:t>
      </w:r>
      <w:r w:rsidRPr="007805BC">
        <w:rPr>
          <w:rFonts w:ascii="Times New Roman" w:hAnsi="Times New Roman" w:eastAsia="Times New Roman" w:cs="Times New Roman"/>
          <w:sz w:val="24"/>
          <w:szCs w:val="24"/>
        </w:rPr>
        <w:t xml:space="preserve">. </w:t>
      </w:r>
    </w:p>
    <w:p w:rsidRPr="007805BC" w:rsidR="00D56665" w:rsidP="00D56665" w:rsidRDefault="00D56665" w14:paraId="63DA38CC" w14:textId="77777777">
      <w:pPr>
        <w:spacing w:after="200" w:line="276" w:lineRule="auto"/>
        <w:ind w:left="720" w:hanging="360"/>
        <w:contextualSpacing/>
        <w:jc w:val="both"/>
        <w:rPr>
          <w:rFonts w:ascii="Times New Roman" w:hAnsi="Times New Roman" w:eastAsia="Times New Roman" w:cs="Times New Roman"/>
          <w:sz w:val="24"/>
          <w:szCs w:val="24"/>
        </w:rPr>
      </w:pPr>
    </w:p>
    <w:p w:rsidRPr="007805BC" w:rsidR="00D56665" w:rsidP="00076201" w:rsidRDefault="00D56665" w14:paraId="63DA38CD" w14:textId="5CE3A73E">
      <w:pPr>
        <w:numPr>
          <w:ilvl w:val="0"/>
          <w:numId w:val="32"/>
        </w:numPr>
        <w:spacing w:before="240" w:after="200" w:line="276" w:lineRule="auto"/>
        <w:contextualSpacing/>
        <w:jc w:val="both"/>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The maturity date of the secondary debt must be coterminous with, or later than that of the first mortgage. </w:t>
      </w:r>
      <w:r w:rsidRPr="007805BC" w:rsidR="00FC4FF1">
        <w:rPr>
          <w:rFonts w:ascii="Times New Roman" w:hAnsi="Times New Roman" w:eastAsia="Times New Roman" w:cs="Times New Roman"/>
          <w:sz w:val="24"/>
          <w:szCs w:val="24"/>
        </w:rPr>
        <w:t xml:space="preserve"> </w:t>
      </w:r>
      <w:r w:rsidRPr="007805BC" w:rsidR="002C0166">
        <w:rPr>
          <w:rFonts w:ascii="Times New Roman" w:hAnsi="Times New Roman" w:eastAsia="Times New Roman" w:cs="Times New Roman"/>
          <w:sz w:val="24"/>
          <w:szCs w:val="24"/>
        </w:rPr>
        <w:t xml:space="preserve">The HUD underwriter may consider exceptions on a case-by-case basis for public debt </w:t>
      </w:r>
      <w:r w:rsidRPr="007805BC" w:rsidR="00B22AFD">
        <w:rPr>
          <w:rFonts w:ascii="Times New Roman" w:hAnsi="Times New Roman" w:eastAsia="Times New Roman" w:cs="Times New Roman"/>
          <w:sz w:val="24"/>
          <w:szCs w:val="24"/>
        </w:rPr>
        <w:t xml:space="preserve">when other HUD programs (e.g., the HOME program) require shorter amortizations </w:t>
      </w:r>
      <w:r w:rsidRPr="00CB6138" w:rsidR="00B22AFD">
        <w:rPr>
          <w:rFonts w:ascii="Times New Roman" w:hAnsi="Times New Roman" w:eastAsia="Times New Roman" w:cs="Times New Roman"/>
          <w:sz w:val="24"/>
          <w:szCs w:val="24"/>
        </w:rPr>
        <w:t>and the risk is mitigated.  Examples of mitigants include</w:t>
      </w:r>
      <w:r w:rsidRPr="00CB6138" w:rsidR="00E915AA">
        <w:rPr>
          <w:rFonts w:ascii="Times New Roman" w:hAnsi="Times New Roman" w:eastAsia="Times New Roman" w:cs="Times New Roman"/>
          <w:sz w:val="24"/>
          <w:szCs w:val="24"/>
        </w:rPr>
        <w:t xml:space="preserve"> significant additional public funds, low loan-to-value or loan-to-cost ratios, below market rents or h</w:t>
      </w:r>
      <w:r w:rsidRPr="007805BC" w:rsidR="00E915AA">
        <w:rPr>
          <w:rFonts w:ascii="Times New Roman" w:hAnsi="Times New Roman" w:eastAsia="Times New Roman" w:cs="Times New Roman"/>
          <w:sz w:val="24"/>
          <w:szCs w:val="24"/>
        </w:rPr>
        <w:t xml:space="preserve">igher than minimum debt service coverage.  </w:t>
      </w:r>
    </w:p>
    <w:p w:rsidRPr="007805BC" w:rsidR="00D56665" w:rsidP="00D56665" w:rsidRDefault="00D56665" w14:paraId="63DA38CE" w14:textId="77777777">
      <w:pPr>
        <w:ind w:left="360"/>
        <w:jc w:val="both"/>
        <w:rPr>
          <w:rFonts w:ascii="Times New Roman" w:hAnsi="Times New Roman" w:eastAsia="Times New Roman" w:cs="Times New Roman"/>
          <w:sz w:val="24"/>
          <w:szCs w:val="24"/>
        </w:rPr>
      </w:pPr>
    </w:p>
    <w:p w:rsidRPr="00076201" w:rsidR="00D56665" w:rsidP="00076201" w:rsidRDefault="00D56665" w14:paraId="63DA38CF" w14:textId="37DAED93">
      <w:pPr>
        <w:pStyle w:val="ListParagraph"/>
        <w:numPr>
          <w:ilvl w:val="0"/>
          <w:numId w:val="32"/>
        </w:numPr>
        <w:jc w:val="both"/>
        <w:rPr>
          <w:rFonts w:ascii="Times New Roman" w:hAnsi="Times New Roman" w:eastAsia="Times New Roman" w:cs="Times New Roman"/>
          <w:sz w:val="24"/>
          <w:szCs w:val="24"/>
        </w:rPr>
      </w:pPr>
      <w:r w:rsidRPr="00076201">
        <w:rPr>
          <w:rFonts w:ascii="Times New Roman" w:hAnsi="Times New Roman" w:eastAsia="Times New Roman" w:cs="Times New Roman"/>
          <w:sz w:val="24"/>
          <w:szCs w:val="24"/>
        </w:rPr>
        <w:t xml:space="preserve">The secondary debt can reasonably be expected to be paid off over its term with 75% of the project’s surplus </w:t>
      </w:r>
      <w:r w:rsidRPr="00076201" w:rsidR="00AE652A">
        <w:rPr>
          <w:rFonts w:ascii="Times New Roman" w:hAnsi="Times New Roman" w:eastAsia="Times New Roman" w:cs="Times New Roman"/>
          <w:sz w:val="24"/>
          <w:szCs w:val="24"/>
        </w:rPr>
        <w:t>cash.</w:t>
      </w:r>
      <w:r w:rsidRPr="00076201">
        <w:rPr>
          <w:rFonts w:ascii="Times New Roman" w:hAnsi="Times New Roman" w:eastAsia="Times New Roman" w:cs="Times New Roman"/>
          <w:sz w:val="24"/>
          <w:szCs w:val="24"/>
        </w:rPr>
        <w:t xml:space="preserve"> </w:t>
      </w:r>
    </w:p>
    <w:p w:rsidRPr="007805BC" w:rsidR="00D56665" w:rsidP="00D56665" w:rsidRDefault="00D56665" w14:paraId="63DA38D0" w14:textId="77777777">
      <w:pPr>
        <w:ind w:left="720" w:hanging="360"/>
        <w:contextualSpacing/>
        <w:jc w:val="both"/>
        <w:rPr>
          <w:rFonts w:ascii="Times New Roman" w:hAnsi="Times New Roman" w:eastAsia="Times New Roman" w:cs="Times New Roman"/>
          <w:sz w:val="24"/>
          <w:szCs w:val="24"/>
        </w:rPr>
      </w:pPr>
    </w:p>
    <w:p w:rsidRPr="007805BC" w:rsidR="00D56665" w:rsidP="00076201" w:rsidRDefault="00D56665" w14:paraId="63DA38D1" w14:textId="098C8681">
      <w:pPr>
        <w:pStyle w:val="ListParagraph"/>
        <w:numPr>
          <w:ilvl w:val="0"/>
          <w:numId w:val="32"/>
        </w:numPr>
        <w:jc w:val="both"/>
        <w:rPr>
          <w:rFonts w:ascii="Times New Roman" w:hAnsi="Times New Roman" w:eastAsia="Times New Roman" w:cs="Times New Roman"/>
          <w:sz w:val="24"/>
          <w:szCs w:val="24"/>
          <w:u w:val="single"/>
        </w:rPr>
      </w:pPr>
      <w:r w:rsidRPr="007805BC">
        <w:rPr>
          <w:rFonts w:ascii="Times New Roman" w:hAnsi="Times New Roman" w:eastAsia="Times New Roman" w:cs="Times New Roman"/>
          <w:sz w:val="24"/>
          <w:szCs w:val="24"/>
        </w:rPr>
        <w:t>The debt is documented in HUD’s form of Surplus Cash Note (</w:t>
      </w:r>
      <w:r w:rsidRPr="007805BC" w:rsidR="009C6672">
        <w:rPr>
          <w:rFonts w:ascii="Times New Roman" w:hAnsi="Times New Roman" w:eastAsia="Times New Roman" w:cs="Times New Roman"/>
          <w:sz w:val="24"/>
          <w:szCs w:val="24"/>
        </w:rPr>
        <w:t>HUD-</w:t>
      </w:r>
      <w:r w:rsidRPr="007805BC">
        <w:rPr>
          <w:rFonts w:ascii="Times New Roman" w:hAnsi="Times New Roman" w:eastAsia="Times New Roman" w:cs="Times New Roman"/>
          <w:sz w:val="24"/>
          <w:szCs w:val="24"/>
        </w:rPr>
        <w:t>92223M) or subsequent version</w:t>
      </w:r>
      <w:r w:rsidRPr="007805BC" w:rsidR="00FD05EC">
        <w:rPr>
          <w:rFonts w:ascii="Times New Roman" w:hAnsi="Times New Roman" w:eastAsia="Times New Roman" w:cs="Times New Roman"/>
          <w:sz w:val="24"/>
          <w:szCs w:val="24"/>
        </w:rPr>
        <w:t xml:space="preserve"> with </w:t>
      </w:r>
      <w:r w:rsidRPr="007805BC">
        <w:rPr>
          <w:rFonts w:ascii="Times New Roman" w:hAnsi="Times New Roman" w:eastAsia="Times New Roman" w:cs="Times New Roman"/>
          <w:sz w:val="24"/>
          <w:szCs w:val="24"/>
        </w:rPr>
        <w:t>simple interest.</w:t>
      </w:r>
      <w:r w:rsidRPr="007805BC" w:rsidR="000916A2">
        <w:rPr>
          <w:rFonts w:ascii="Times New Roman" w:hAnsi="Times New Roman" w:eastAsia="Times New Roman" w:cs="Times New Roman"/>
          <w:sz w:val="24"/>
          <w:szCs w:val="24"/>
        </w:rPr>
        <w:t xml:space="preserve">  HUD will permit compounding of interest </w:t>
      </w:r>
      <w:r w:rsidRPr="00CB6138" w:rsidR="000916A2">
        <w:rPr>
          <w:rFonts w:ascii="Times New Roman" w:hAnsi="Times New Roman" w:eastAsia="Times New Roman" w:cs="Times New Roman"/>
          <w:sz w:val="24"/>
          <w:szCs w:val="24"/>
        </w:rPr>
        <w:t xml:space="preserve">if the </w:t>
      </w:r>
      <w:r w:rsidRPr="00CB6138">
        <w:rPr>
          <w:rFonts w:ascii="Times New Roman" w:hAnsi="Times New Roman" w:eastAsia="Times New Roman" w:cs="Times New Roman"/>
          <w:sz w:val="24"/>
          <w:szCs w:val="24"/>
        </w:rPr>
        <w:t xml:space="preserve">lender </w:t>
      </w:r>
      <w:r w:rsidRPr="00B70BD9">
        <w:rPr>
          <w:rFonts w:ascii="Times New Roman" w:hAnsi="Times New Roman" w:eastAsia="Times New Roman" w:cs="Times New Roman"/>
          <w:sz w:val="24"/>
          <w:szCs w:val="24"/>
        </w:rPr>
        <w:t>provide</w:t>
      </w:r>
      <w:r w:rsidRPr="00B70BD9" w:rsidR="000916A2">
        <w:rPr>
          <w:rFonts w:ascii="Times New Roman" w:hAnsi="Times New Roman" w:eastAsia="Times New Roman" w:cs="Times New Roman"/>
          <w:sz w:val="24"/>
          <w:szCs w:val="24"/>
        </w:rPr>
        <w:t>s</w:t>
      </w:r>
      <w:r w:rsidRPr="00C34ABE">
        <w:rPr>
          <w:rFonts w:ascii="Times New Roman" w:hAnsi="Times New Roman" w:eastAsia="Times New Roman" w:cs="Times New Roman"/>
          <w:sz w:val="24"/>
          <w:szCs w:val="24"/>
        </w:rPr>
        <w:t xml:space="preserve"> a thorough analysis demonstrating that project cash flow will be sufficient to avoid accruals of interest that would undermine the long term financial and physical integrity of the project, and all other risks have been adequately mitigated; </w:t>
      </w:r>
      <w:r w:rsidRPr="007805BC">
        <w:rPr>
          <w:rFonts w:ascii="Times New Roman" w:hAnsi="Times New Roman" w:eastAsia="Times New Roman" w:cs="Times New Roman"/>
          <w:sz w:val="24"/>
          <w:szCs w:val="24"/>
          <w:u w:val="single"/>
        </w:rPr>
        <w:t>and</w:t>
      </w:r>
    </w:p>
    <w:p w:rsidRPr="007805BC" w:rsidR="00D56665" w:rsidP="00D56665" w:rsidRDefault="00D56665" w14:paraId="63DA38D2" w14:textId="77777777">
      <w:pPr>
        <w:ind w:left="720" w:hanging="360"/>
        <w:contextualSpacing/>
        <w:jc w:val="both"/>
        <w:rPr>
          <w:rFonts w:ascii="Times New Roman" w:hAnsi="Times New Roman" w:eastAsia="Times New Roman" w:cs="Times New Roman"/>
          <w:sz w:val="24"/>
          <w:szCs w:val="24"/>
        </w:rPr>
      </w:pPr>
    </w:p>
    <w:p w:rsidRPr="007805BC" w:rsidR="00444A29" w:rsidP="00444A29" w:rsidRDefault="00444A29" w14:paraId="28365F04" w14:textId="34DF1E9A">
      <w:pPr>
        <w:pStyle w:val="ListParagraph"/>
        <w:numPr>
          <w:ilvl w:val="0"/>
          <w:numId w:val="32"/>
        </w:numPr>
        <w:jc w:val="both"/>
        <w:rPr>
          <w:rFonts w:ascii="Times New Roman" w:hAnsi="Times New Roman" w:eastAsia="Times New Roman" w:cs="Times New Roman"/>
          <w:sz w:val="24"/>
          <w:szCs w:val="24"/>
        </w:rPr>
      </w:pPr>
      <w:r w:rsidRPr="00444A29">
        <w:rPr>
          <w:rFonts w:ascii="Times New Roman" w:hAnsi="Times New Roman" w:eastAsia="Times New Roman" w:cs="Times New Roman"/>
          <w:sz w:val="24"/>
          <w:szCs w:val="24"/>
        </w:rPr>
        <w:lastRenderedPageBreak/>
        <w:t xml:space="preserve"> </w:t>
      </w:r>
      <w:r w:rsidR="00286947">
        <w:rPr>
          <w:rFonts w:ascii="Times New Roman" w:hAnsi="Times New Roman" w:eastAsia="Times New Roman" w:cs="Times New Roman"/>
          <w:sz w:val="24"/>
          <w:szCs w:val="24"/>
        </w:rPr>
        <w:t>P</w:t>
      </w:r>
      <w:r w:rsidRPr="007805BC">
        <w:rPr>
          <w:rFonts w:ascii="Times New Roman" w:hAnsi="Times New Roman" w:eastAsia="Times New Roman" w:cs="Times New Roman"/>
          <w:sz w:val="24"/>
          <w:szCs w:val="24"/>
        </w:rPr>
        <w:t xml:space="preserve">rivate debt </w:t>
      </w:r>
      <w:r w:rsidRPr="00286947">
        <w:rPr>
          <w:rFonts w:ascii="Times New Roman" w:hAnsi="Times New Roman" w:eastAsia="Times New Roman" w:cs="Times New Roman"/>
          <w:sz w:val="24"/>
          <w:szCs w:val="24"/>
        </w:rPr>
        <w:t>of up to 100% of Total Project Costs</w:t>
      </w:r>
      <w:r w:rsidRPr="007805BC">
        <w:rPr>
          <w:rFonts w:ascii="Times New Roman" w:hAnsi="Times New Roman" w:eastAsia="Times New Roman" w:cs="Times New Roman"/>
          <w:sz w:val="24"/>
          <w:szCs w:val="24"/>
        </w:rPr>
        <w:t xml:space="preserve"> may be secured with the project </w:t>
      </w:r>
      <w:r w:rsidR="00286947">
        <w:rPr>
          <w:rFonts w:ascii="Times New Roman" w:hAnsi="Times New Roman" w:eastAsia="Times New Roman" w:cs="Times New Roman"/>
          <w:sz w:val="24"/>
          <w:szCs w:val="24"/>
        </w:rPr>
        <w:t>under all S</w:t>
      </w:r>
      <w:r w:rsidR="007D7697">
        <w:rPr>
          <w:rFonts w:ascii="Times New Roman" w:hAnsi="Times New Roman" w:eastAsia="Times New Roman" w:cs="Times New Roman"/>
          <w:sz w:val="24"/>
          <w:szCs w:val="24"/>
        </w:rPr>
        <w:t xml:space="preserve">ections of the Act </w:t>
      </w:r>
      <w:r w:rsidRPr="007805BC">
        <w:rPr>
          <w:rFonts w:ascii="Times New Roman" w:hAnsi="Times New Roman" w:eastAsia="Times New Roman" w:cs="Times New Roman"/>
          <w:sz w:val="24"/>
          <w:szCs w:val="24"/>
        </w:rPr>
        <w:t>but it must be subject to automatic re-subordination in any refinancing of the first mortgage.</w:t>
      </w:r>
    </w:p>
    <w:p w:rsidRPr="007805BC" w:rsidR="00D56665" w:rsidP="00D56665" w:rsidRDefault="00D56665" w14:paraId="63DA38D4" w14:textId="77777777">
      <w:pPr>
        <w:widowControl w:val="0"/>
        <w:overflowPunct w:val="0"/>
        <w:autoSpaceDE w:val="0"/>
        <w:autoSpaceDN w:val="0"/>
        <w:adjustRightInd w:val="0"/>
        <w:spacing w:before="80" w:after="80" w:line="276" w:lineRule="auto"/>
        <w:ind w:left="360"/>
        <w:contextualSpacing/>
        <w:jc w:val="both"/>
        <w:textAlignment w:val="baseline"/>
        <w:rPr>
          <w:rFonts w:ascii="Times New Roman" w:hAnsi="Times New Roman" w:eastAsia="Times New Roman" w:cs="Times New Roman"/>
          <w:sz w:val="24"/>
          <w:szCs w:val="24"/>
        </w:rPr>
      </w:pPr>
    </w:p>
    <w:p w:rsidRPr="005357A5" w:rsidR="00D56665" w:rsidP="005357A5" w:rsidRDefault="00D56665" w14:paraId="63DA38D6" w14:textId="4C8B38B2">
      <w:pPr>
        <w:pStyle w:val="ListParagraph"/>
        <w:widowControl w:val="0"/>
        <w:numPr>
          <w:ilvl w:val="0"/>
          <w:numId w:val="26"/>
        </w:numPr>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5357A5">
        <w:rPr>
          <w:rFonts w:ascii="Times New Roman" w:hAnsi="Times New Roman" w:eastAsia="Times New Roman" w:cs="Times New Roman"/>
          <w:sz w:val="24"/>
          <w:szCs w:val="24"/>
        </w:rPr>
        <w:t xml:space="preserve">Bridge Loans.  Temporary bridge loans are treated differently </w:t>
      </w:r>
      <w:r w:rsidR="00EB30D5">
        <w:rPr>
          <w:rFonts w:ascii="Times New Roman" w:hAnsi="Times New Roman" w:eastAsia="Times New Roman" w:cs="Times New Roman"/>
          <w:sz w:val="24"/>
          <w:szCs w:val="24"/>
        </w:rPr>
        <w:t>from</w:t>
      </w:r>
      <w:r w:rsidRPr="005357A5" w:rsidR="00EB30D5">
        <w:rPr>
          <w:rFonts w:ascii="Times New Roman" w:hAnsi="Times New Roman" w:eastAsia="Times New Roman" w:cs="Times New Roman"/>
          <w:sz w:val="24"/>
          <w:szCs w:val="24"/>
        </w:rPr>
        <w:t xml:space="preserve"> </w:t>
      </w:r>
      <w:r w:rsidRPr="005357A5">
        <w:rPr>
          <w:rFonts w:ascii="Times New Roman" w:hAnsi="Times New Roman" w:eastAsia="Times New Roman" w:cs="Times New Roman"/>
          <w:sz w:val="24"/>
          <w:szCs w:val="24"/>
        </w:rPr>
        <w:t xml:space="preserve">other secondary </w:t>
      </w:r>
      <w:r w:rsidRPr="005357A5" w:rsidR="00A05D0A">
        <w:rPr>
          <w:rFonts w:ascii="Times New Roman" w:hAnsi="Times New Roman" w:eastAsia="Times New Roman" w:cs="Times New Roman"/>
          <w:sz w:val="24"/>
          <w:szCs w:val="24"/>
        </w:rPr>
        <w:t>financing and</w:t>
      </w:r>
      <w:r w:rsidRPr="005357A5">
        <w:rPr>
          <w:rFonts w:ascii="Times New Roman" w:hAnsi="Times New Roman" w:eastAsia="Times New Roman" w:cs="Times New Roman"/>
          <w:sz w:val="24"/>
          <w:szCs w:val="24"/>
        </w:rPr>
        <w:t xml:space="preserve"> are described in detail below in Part 14.16.</w:t>
      </w:r>
    </w:p>
    <w:p w:rsidRPr="007805BC" w:rsidR="00D56665" w:rsidP="00D56665" w:rsidRDefault="00D56665" w14:paraId="63DA38D7" w14:textId="77777777">
      <w:pPr>
        <w:widowControl w:val="0"/>
        <w:overflowPunct w:val="0"/>
        <w:autoSpaceDE w:val="0"/>
        <w:autoSpaceDN w:val="0"/>
        <w:adjustRightInd w:val="0"/>
        <w:spacing w:before="80" w:line="276" w:lineRule="auto"/>
        <w:ind w:left="360"/>
        <w:jc w:val="both"/>
        <w:textAlignment w:val="baseline"/>
        <w:rPr>
          <w:rFonts w:ascii="Times New Roman" w:hAnsi="Times New Roman" w:eastAsia="Times New Roman" w:cs="Times New Roman"/>
          <w:sz w:val="24"/>
          <w:szCs w:val="24"/>
          <w:u w:val="single"/>
        </w:rPr>
      </w:pPr>
    </w:p>
    <w:p w:rsidR="00D56665" w:rsidRDefault="00D56665" w14:paraId="63DA38D8" w14:textId="07180998">
      <w:pPr>
        <w:pStyle w:val="ListParagraph"/>
        <w:widowControl w:val="0"/>
        <w:numPr>
          <w:ilvl w:val="0"/>
          <w:numId w:val="26"/>
        </w:numPr>
        <w:tabs>
          <w:tab w:val="left" w:pos="810"/>
        </w:tab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5357A5">
        <w:rPr>
          <w:rFonts w:ascii="Times New Roman" w:hAnsi="Times New Roman" w:eastAsia="Times New Roman" w:cs="Times New Roman"/>
          <w:sz w:val="24"/>
          <w:szCs w:val="24"/>
        </w:rPr>
        <w:t>Publicly Funded Loans or Public Debt.   Loans funded with HOME Funds or other federal, state or local public sources, as well as those funded by quasi-public agency programs such as  the Federal Home Loan Bank’s Affordable Housing Program (AHP),</w:t>
      </w:r>
      <w:r w:rsidR="00960C22">
        <w:rPr>
          <w:rFonts w:ascii="Times New Roman" w:hAnsi="Times New Roman" w:eastAsia="Times New Roman" w:cs="Times New Roman"/>
          <w:sz w:val="24"/>
          <w:szCs w:val="24"/>
        </w:rPr>
        <w:t xml:space="preserve"> </w:t>
      </w:r>
      <w:r w:rsidRPr="005357A5">
        <w:rPr>
          <w:rFonts w:ascii="Times New Roman" w:hAnsi="Times New Roman" w:eastAsia="Times New Roman" w:cs="Times New Roman"/>
          <w:sz w:val="24"/>
          <w:szCs w:val="24"/>
        </w:rPr>
        <w:t>may be granted or lent directly to HUD’s  borrower, or to the GP or sponsor of the borrower, who will then loan it to HUD’s borrower.   All such sources will be treated as public secondary financing sources, and as such need not be included in the calculation of the 100% of total project cost limit applied to private secondary debt.  However, none of these sources may be substituted for Tax Credit Equity required by the pay-in schedule provided below and all remain subject to the 75% cap on payments from surplus cash.</w:t>
      </w:r>
    </w:p>
    <w:p w:rsidRPr="00145929" w:rsidR="00145929" w:rsidP="00145929" w:rsidRDefault="00145929" w14:paraId="0C4C1C7F" w14:textId="77777777">
      <w:pPr>
        <w:pStyle w:val="ListParagraph"/>
        <w:rPr>
          <w:rFonts w:ascii="Times New Roman" w:hAnsi="Times New Roman" w:eastAsia="Times New Roman" w:cs="Times New Roman"/>
          <w:sz w:val="24"/>
          <w:szCs w:val="24"/>
        </w:rPr>
      </w:pPr>
    </w:p>
    <w:p w:rsidRPr="006A3AE3" w:rsidR="00145929" w:rsidP="006A3AE3" w:rsidRDefault="00145929" w14:paraId="6F70F3CF" w14:textId="10B3600C">
      <w:pPr>
        <w:pStyle w:val="ListParagraph"/>
        <w:numPr>
          <w:ilvl w:val="1"/>
          <w:numId w:val="33"/>
        </w:numPr>
        <w:rPr>
          <w:rFonts w:eastAsia="Times New Roman"/>
          <w:b/>
          <w:sz w:val="28"/>
          <w:szCs w:val="28"/>
        </w:rPr>
      </w:pPr>
      <w:r w:rsidRPr="006A3AE3">
        <w:rPr>
          <w:rFonts w:eastAsia="Times New Roman"/>
          <w:b/>
          <w:sz w:val="28"/>
          <w:szCs w:val="28"/>
        </w:rPr>
        <w:tab/>
      </w:r>
      <w:r w:rsidRPr="006A3AE3">
        <w:rPr>
          <w:rFonts w:ascii="Times New Roman" w:hAnsi="Times New Roman" w:eastAsia="Times New Roman" w:cs="Times New Roman"/>
          <w:b/>
          <w:sz w:val="28"/>
          <w:szCs w:val="28"/>
        </w:rPr>
        <w:t>Developer Fees</w:t>
      </w:r>
      <w:r w:rsidRPr="006A3AE3">
        <w:rPr>
          <w:rFonts w:eastAsia="Times New Roman"/>
          <w:b/>
          <w:sz w:val="28"/>
          <w:szCs w:val="28"/>
        </w:rPr>
        <w:t xml:space="preserve"> </w:t>
      </w:r>
    </w:p>
    <w:p w:rsidRPr="00CB6138" w:rsidR="00145929" w:rsidP="00145929" w:rsidRDefault="00145929" w14:paraId="5B4639AB" w14:textId="77777777">
      <w:pPr>
        <w:tabs>
          <w:tab w:val="left" w:pos="2880"/>
        </w:tabs>
        <w:overflowPunct w:val="0"/>
        <w:autoSpaceDE w:val="0"/>
        <w:autoSpaceDN w:val="0"/>
        <w:adjustRightInd w:val="0"/>
        <w:spacing w:before="80" w:after="80" w:line="276" w:lineRule="auto"/>
        <w:ind w:left="3240" w:hanging="2700"/>
        <w:textAlignment w:val="baseline"/>
        <w:outlineLvl w:val="0"/>
        <w:rPr>
          <w:rFonts w:ascii="Times New Roman" w:hAnsi="Times New Roman" w:eastAsia="Times New Roman" w:cs="Times New Roman"/>
          <w:b/>
          <w:sz w:val="24"/>
          <w:szCs w:val="24"/>
        </w:rPr>
      </w:pPr>
    </w:p>
    <w:p w:rsidRPr="006A3AE3" w:rsidR="00145929" w:rsidP="006A3AE3" w:rsidRDefault="00145929" w14:paraId="301F3D7F" w14:textId="01F3D081">
      <w:pPr>
        <w:pStyle w:val="ListParagraph"/>
        <w:widowControl w:val="0"/>
        <w:numPr>
          <w:ilvl w:val="0"/>
          <w:numId w:val="34"/>
        </w:numPr>
        <w:overflowPunct w:val="0"/>
        <w:autoSpaceDE w:val="0"/>
        <w:autoSpaceDN w:val="0"/>
        <w:adjustRightInd w:val="0"/>
        <w:spacing w:line="276" w:lineRule="auto"/>
        <w:jc w:val="both"/>
        <w:textAlignment w:val="baseline"/>
        <w:rPr>
          <w:rFonts w:ascii="Times New Roman" w:hAnsi="Times New Roman" w:eastAsia="Times New Roman" w:cs="Times New Roman"/>
          <w:iCs/>
          <w:sz w:val="24"/>
          <w:szCs w:val="24"/>
        </w:rPr>
      </w:pPr>
      <w:r w:rsidRPr="006A3AE3">
        <w:rPr>
          <w:rFonts w:ascii="Times New Roman" w:hAnsi="Times New Roman" w:eastAsia="Times New Roman" w:cs="Times New Roman"/>
          <w:iCs/>
          <w:sz w:val="24"/>
          <w:szCs w:val="24"/>
        </w:rPr>
        <w:t xml:space="preserve">Treatment of Developer Fee.  Developer fees </w:t>
      </w:r>
      <w:r w:rsidR="00535CAC">
        <w:rPr>
          <w:rFonts w:ascii="Times New Roman" w:hAnsi="Times New Roman" w:eastAsia="Times New Roman" w:cs="Times New Roman"/>
          <w:iCs/>
          <w:sz w:val="24"/>
          <w:szCs w:val="24"/>
        </w:rPr>
        <w:t>may</w:t>
      </w:r>
      <w:r w:rsidRPr="006A3AE3">
        <w:rPr>
          <w:rFonts w:ascii="Times New Roman" w:hAnsi="Times New Roman" w:eastAsia="Times New Roman" w:cs="Times New Roman"/>
          <w:iCs/>
          <w:sz w:val="24"/>
          <w:szCs w:val="24"/>
        </w:rPr>
        <w:t>, though are not required to be, treated as mortgageable costs so long as they are 1) in amounts approved by the project’s LIHTC allocation agency and 2) scheduled for payment in amounts and at times agreed upon with the syndicator or investor.</w:t>
      </w:r>
    </w:p>
    <w:p w:rsidRPr="005357A5" w:rsidR="00145929" w:rsidP="005357A5" w:rsidRDefault="00145929" w14:paraId="0CE248D0" w14:textId="77777777">
      <w:pPr>
        <w:pStyle w:val="ListParagraph"/>
        <w:widowControl w:val="0"/>
        <w:overflowPunct w:val="0"/>
        <w:autoSpaceDE w:val="0"/>
        <w:autoSpaceDN w:val="0"/>
        <w:adjustRightInd w:val="0"/>
        <w:spacing w:line="276" w:lineRule="auto"/>
        <w:ind w:left="900"/>
        <w:jc w:val="both"/>
        <w:textAlignment w:val="baseline"/>
        <w:rPr>
          <w:rFonts w:ascii="Times New Roman" w:hAnsi="Times New Roman" w:eastAsia="Times New Roman" w:cs="Times New Roman"/>
          <w:iCs/>
          <w:sz w:val="24"/>
          <w:szCs w:val="24"/>
        </w:rPr>
      </w:pPr>
    </w:p>
    <w:p w:rsidRPr="003C2A0D" w:rsidR="00145929" w:rsidP="009969D3" w:rsidRDefault="00145929" w14:paraId="0F69CA9A" w14:textId="01928EFA">
      <w:pPr>
        <w:ind w:left="720"/>
        <w:jc w:val="both"/>
        <w:rPr>
          <w:rFonts w:ascii="Times New Roman" w:hAnsi="Times New Roman" w:cs="Times New Roman"/>
          <w:sz w:val="24"/>
          <w:szCs w:val="24"/>
        </w:rPr>
      </w:pPr>
      <w:r w:rsidRPr="003C2A0D">
        <w:rPr>
          <w:rFonts w:ascii="Times New Roman" w:hAnsi="Times New Roman" w:cs="Times New Roman"/>
          <w:sz w:val="24"/>
          <w:szCs w:val="24"/>
        </w:rPr>
        <w:t>Developer Fees for different project types and loan programs are addressed in greater detail in Appendices 3.B.1. and 2.</w:t>
      </w:r>
    </w:p>
    <w:p w:rsidR="006A3AE3" w:rsidP="009969D3" w:rsidRDefault="006A3AE3" w14:paraId="688E1C3B" w14:textId="77777777">
      <w:pPr>
        <w:pStyle w:val="ListParagraph"/>
        <w:ind w:left="900"/>
        <w:jc w:val="both"/>
        <w:rPr>
          <w:rFonts w:ascii="Times New Roman" w:hAnsi="Times New Roman" w:cs="Times New Roman"/>
          <w:sz w:val="24"/>
          <w:szCs w:val="24"/>
        </w:rPr>
      </w:pPr>
    </w:p>
    <w:p w:rsidR="00145929" w:rsidP="009969D3" w:rsidRDefault="00145929" w14:paraId="153301EB" w14:textId="58FADDA5">
      <w:pPr>
        <w:pStyle w:val="ListParagraph"/>
        <w:numPr>
          <w:ilvl w:val="0"/>
          <w:numId w:val="34"/>
        </w:numPr>
        <w:jc w:val="both"/>
        <w:rPr>
          <w:rFonts w:ascii="Times New Roman" w:hAnsi="Times New Roman" w:cs="Times New Roman"/>
          <w:sz w:val="24"/>
          <w:szCs w:val="24"/>
        </w:rPr>
      </w:pPr>
      <w:r w:rsidRPr="006A3AE3">
        <w:rPr>
          <w:rFonts w:ascii="Times New Roman" w:hAnsi="Times New Roman" w:cs="Times New Roman"/>
          <w:sz w:val="24"/>
          <w:szCs w:val="24"/>
        </w:rPr>
        <w:t>Neither BSPRA nor SPRA may be claimed when a Developer’s Fee is included in the project budget,</w:t>
      </w:r>
      <w:r w:rsidR="00F25E57">
        <w:rPr>
          <w:rFonts w:ascii="Times New Roman" w:hAnsi="Times New Roman" w:cs="Times New Roman"/>
          <w:sz w:val="24"/>
          <w:szCs w:val="24"/>
        </w:rPr>
        <w:t xml:space="preserve"> </w:t>
      </w:r>
      <w:r w:rsidRPr="006A3AE3" w:rsidR="00F25E57">
        <w:rPr>
          <w:rFonts w:ascii="Times New Roman" w:hAnsi="Times New Roman" w:cs="Times New Roman"/>
          <w:sz w:val="24"/>
          <w:szCs w:val="24"/>
        </w:rPr>
        <w:t>regardless of whether the Developer Fee is treated as a mortgageable cost</w:t>
      </w:r>
      <w:r w:rsidRPr="006A3AE3">
        <w:rPr>
          <w:rFonts w:ascii="Times New Roman" w:hAnsi="Times New Roman" w:cs="Times New Roman"/>
          <w:sz w:val="24"/>
          <w:szCs w:val="24"/>
        </w:rPr>
        <w:t xml:space="preserve">.  </w:t>
      </w:r>
    </w:p>
    <w:p w:rsidRPr="00571617" w:rsidR="00571617" w:rsidP="00571617" w:rsidRDefault="00571617" w14:paraId="60DD4705" w14:textId="77777777">
      <w:pPr>
        <w:pStyle w:val="ListParagraph"/>
        <w:rPr>
          <w:rFonts w:ascii="Times New Roman" w:hAnsi="Times New Roman" w:cs="Times New Roman"/>
          <w:sz w:val="24"/>
          <w:szCs w:val="24"/>
        </w:rPr>
      </w:pPr>
    </w:p>
    <w:p w:rsidR="00525F4A" w:rsidP="009969D3" w:rsidRDefault="00145929" w14:paraId="241D5CA6" w14:textId="78917BF0">
      <w:pPr>
        <w:pStyle w:val="ListParagraph"/>
        <w:numPr>
          <w:ilvl w:val="0"/>
          <w:numId w:val="34"/>
        </w:numPr>
        <w:jc w:val="both"/>
        <w:rPr>
          <w:rFonts w:ascii="Times New Roman" w:hAnsi="Times New Roman" w:eastAsia="Times New Roman" w:cs="Times New Roman"/>
          <w:sz w:val="24"/>
          <w:szCs w:val="24"/>
        </w:rPr>
      </w:pPr>
      <w:r w:rsidRPr="00525F4A">
        <w:rPr>
          <w:rFonts w:ascii="Times New Roman" w:hAnsi="Times New Roman" w:eastAsia="Times New Roman" w:cs="Times New Roman"/>
          <w:iCs/>
          <w:sz w:val="24"/>
          <w:szCs w:val="24"/>
        </w:rPr>
        <w:t xml:space="preserve">Relationship of Developer Fee to General Contractor Profit and Determination of Fees in Cases with an IOI Relationship between Contractor and Owner/Developer.  </w:t>
      </w:r>
      <w:r w:rsidRPr="00525F4A">
        <w:rPr>
          <w:rFonts w:ascii="Times New Roman" w:hAnsi="Times New Roman" w:eastAsia="Times New Roman" w:cs="Times New Roman"/>
          <w:sz w:val="24"/>
          <w:szCs w:val="24"/>
        </w:rPr>
        <w:t>An IOI between the GC and the owner is allowed and does not require a waiver, but it must be disclosed in the application and may affect the fee and profit structure</w:t>
      </w:r>
      <w:r w:rsidR="00781013">
        <w:rPr>
          <w:rFonts w:ascii="Times New Roman" w:hAnsi="Times New Roman" w:eastAsia="Times New Roman" w:cs="Times New Roman"/>
          <w:sz w:val="24"/>
          <w:szCs w:val="24"/>
        </w:rPr>
        <w:t xml:space="preserve"> </w:t>
      </w:r>
      <w:r w:rsidRPr="00B46C84" w:rsidR="00781013">
        <w:rPr>
          <w:rFonts w:ascii="Times New Roman" w:hAnsi="Times New Roman" w:cs="Times New Roman"/>
          <w:sz w:val="24"/>
          <w:szCs w:val="24"/>
        </w:rPr>
        <w:t>(may use Lump Sum or Cost-Plus form of Construction Contract and neither the General Contractor nor the Borrower need to cost certify if the project is exempt from providing a Cost Certification per Chapter 13 as determined at the time of Firm Commitment)</w:t>
      </w:r>
      <w:r w:rsidRPr="00781013">
        <w:rPr>
          <w:rFonts w:ascii="Times New Roman" w:hAnsi="Times New Roman" w:eastAsia="Times New Roman" w:cs="Times New Roman"/>
          <w:sz w:val="24"/>
          <w:szCs w:val="24"/>
        </w:rPr>
        <w:t>.</w:t>
      </w:r>
      <w:r w:rsidRPr="00542D01">
        <w:rPr>
          <w:rFonts w:ascii="Times New Roman" w:hAnsi="Times New Roman" w:eastAsia="Times New Roman" w:cs="Times New Roman"/>
          <w:iCs/>
          <w:sz w:val="24"/>
          <w:szCs w:val="24"/>
        </w:rPr>
        <w:t xml:space="preserve"> No blanket restriction has been imposed on the amount of General Contractor profit, except it must be reasonable based on the market and the scope of work.  HUD generally relies on the policies of the State tax credit allocation agencies, which often scale fees down when a single party or two related parties are receiving both the Developer Fee and the GC Profit</w:t>
      </w:r>
      <w:r w:rsidR="009969D3">
        <w:rPr>
          <w:rFonts w:ascii="Times New Roman" w:hAnsi="Times New Roman" w:eastAsia="Times New Roman" w:cs="Times New Roman"/>
          <w:iCs/>
          <w:strike/>
          <w:sz w:val="24"/>
          <w:szCs w:val="24"/>
        </w:rPr>
        <w:t>.</w:t>
      </w:r>
    </w:p>
    <w:p w:rsidRPr="00525F4A" w:rsidR="00571617" w:rsidP="00525F4A" w:rsidRDefault="00571617" w14:paraId="5D13F4ED" w14:textId="77777777">
      <w:pPr>
        <w:pStyle w:val="ListParagraph"/>
        <w:rPr>
          <w:rFonts w:ascii="Times New Roman" w:hAnsi="Times New Roman" w:eastAsia="Times New Roman" w:cs="Times New Roman"/>
          <w:sz w:val="24"/>
          <w:szCs w:val="24"/>
        </w:rPr>
      </w:pPr>
    </w:p>
    <w:p w:rsidR="00145929" w:rsidP="009969D3" w:rsidRDefault="00145929" w14:paraId="61A81ABC" w14:textId="6FF6E4B0">
      <w:pPr>
        <w:pStyle w:val="ListParagraph"/>
        <w:numPr>
          <w:ilvl w:val="0"/>
          <w:numId w:val="34"/>
        </w:numPr>
        <w:jc w:val="both"/>
        <w:rPr>
          <w:rFonts w:ascii="Times New Roman" w:hAnsi="Times New Roman" w:eastAsia="Times New Roman" w:cs="Times New Roman"/>
          <w:sz w:val="24"/>
          <w:szCs w:val="24"/>
        </w:rPr>
      </w:pPr>
      <w:r w:rsidRPr="00571617">
        <w:rPr>
          <w:rFonts w:ascii="Times New Roman" w:hAnsi="Times New Roman" w:eastAsia="Times New Roman" w:cs="Times New Roman"/>
          <w:sz w:val="24"/>
          <w:szCs w:val="24"/>
        </w:rPr>
        <w:lastRenderedPageBreak/>
        <w:t>Deferred Developer Fee (DDF).  If repayment of the DDF is an obligation of the Borrower, repayment terms must be identified in the Borrower’s Limited Partnership Agreement or Operating Agreement, and/or in a Note.  The DDF loan does not need to be documented in HUD’s form of Surplus Cash Note.  Whether the DDF loan is documented in the Borrower’s organizational documents or in a Note, language must be included specifying that repayment is restricted to Surplus Cash</w:t>
      </w:r>
      <w:r w:rsidR="00EE400E">
        <w:rPr>
          <w:rFonts w:ascii="Times New Roman" w:hAnsi="Times New Roman" w:eastAsia="Times New Roman" w:cs="Times New Roman"/>
          <w:sz w:val="24"/>
          <w:szCs w:val="24"/>
        </w:rPr>
        <w:t xml:space="preserve"> or non-project funds</w:t>
      </w:r>
      <w:r w:rsidRPr="00571617">
        <w:rPr>
          <w:rFonts w:ascii="Times New Roman" w:hAnsi="Times New Roman" w:eastAsia="Times New Roman" w:cs="Times New Roman"/>
          <w:sz w:val="24"/>
          <w:szCs w:val="24"/>
        </w:rPr>
        <w:t xml:space="preserve"> (as that term is defined in the Regulatory Agreement between the Borrower and HUD).  A DDF loan may not be secured by the project, and its term may be shorter than the term of the FHA mortgage.  The DDF loan is not subject to the limits on the amount of secondary debt, and it need not be combined with other private secondary debt to determine if the combined amount exceeds the limit of 100% of total project costs.  In the event of any conflict between the provisions of this section and other provisions of the MAP Guide, the provisions of this section control.</w:t>
      </w:r>
    </w:p>
    <w:p w:rsidRPr="0031799F" w:rsidR="0031799F" w:rsidP="0031799F" w:rsidRDefault="0031799F" w14:paraId="460AA44F" w14:textId="77777777">
      <w:pPr>
        <w:pStyle w:val="ListParagraph"/>
        <w:rPr>
          <w:rFonts w:ascii="Times New Roman" w:hAnsi="Times New Roman" w:eastAsia="Times New Roman" w:cs="Times New Roman"/>
          <w:sz w:val="24"/>
          <w:szCs w:val="24"/>
        </w:rPr>
      </w:pPr>
    </w:p>
    <w:p w:rsidR="00FA02B6" w:rsidP="003C2A0D" w:rsidRDefault="00FA02B6" w14:paraId="2DF25098" w14:textId="78BE4753">
      <w:pPr>
        <w:pStyle w:val="ListParagraph"/>
        <w:numPr>
          <w:ilvl w:val="0"/>
          <w:numId w:val="34"/>
        </w:numPr>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Regardless of whether the Deferred Developer Fee was structured as debt of the ownership entity as evidenced in a Note or if the Deferred Developer Fee was treated as equity (e.g. an obligation of one or more of the upper tier members and not the Borrower, as evidenced in the Limited Partnership Agreement or Operating Agreement), the Deferred Fee may be recognized as eligible debt and paid off in the same manner as other debt per Section 8.11.C.</w:t>
      </w:r>
      <w:r w:rsidR="00A76F44">
        <w:rPr>
          <w:rFonts w:ascii="Times New Roman" w:hAnsi="Times New Roman" w:eastAsia="Times New Roman" w:cs="Times New Roman"/>
          <w:iCs/>
          <w:sz w:val="24"/>
          <w:szCs w:val="24"/>
        </w:rPr>
        <w:t>, Determining Existing Indebtedness in a Refinancing Transaction</w:t>
      </w:r>
      <w:r>
        <w:rPr>
          <w:rFonts w:ascii="Times New Roman" w:hAnsi="Times New Roman" w:eastAsia="Times New Roman" w:cs="Times New Roman"/>
          <w:iCs/>
          <w:sz w:val="24"/>
          <w:szCs w:val="24"/>
        </w:rPr>
        <w:t>, subject to the following conditions:</w:t>
      </w:r>
    </w:p>
    <w:p w:rsidR="00FA02B6" w:rsidP="003C2A0D" w:rsidRDefault="00FA02B6" w14:paraId="3EF9742E" w14:textId="77777777">
      <w:pPr>
        <w:pStyle w:val="ListParagraph"/>
        <w:jc w:val="both"/>
        <w:rPr>
          <w:rFonts w:ascii="Times New Roman" w:hAnsi="Times New Roman" w:eastAsia="Times New Roman" w:cs="Times New Roman"/>
          <w:iCs/>
          <w:sz w:val="24"/>
          <w:szCs w:val="24"/>
        </w:rPr>
      </w:pPr>
    </w:p>
    <w:p w:rsidR="00FA02B6" w:rsidP="003C2A0D" w:rsidRDefault="00FA02B6" w14:paraId="440AB2DB" w14:textId="02C2CC5F">
      <w:pPr>
        <w:pStyle w:val="ListParagraph"/>
        <w:numPr>
          <w:ilvl w:val="1"/>
          <w:numId w:val="34"/>
        </w:numPr>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The amount of the outstanding Deferred Developer Fee is verified by documentation</w:t>
      </w:r>
      <w:r w:rsidR="00FA3841">
        <w:rPr>
          <w:rFonts w:ascii="Times New Roman" w:hAnsi="Times New Roman" w:eastAsia="Times New Roman" w:cs="Times New Roman"/>
          <w:iCs/>
          <w:sz w:val="24"/>
          <w:szCs w:val="24"/>
        </w:rPr>
        <w:t xml:space="preserve"> (</w:t>
      </w:r>
      <w:r w:rsidR="00A44C7A">
        <w:rPr>
          <w:rFonts w:ascii="Times New Roman" w:hAnsi="Times New Roman" w:eastAsia="Times New Roman" w:cs="Times New Roman"/>
          <w:iCs/>
          <w:sz w:val="24"/>
          <w:szCs w:val="24"/>
        </w:rPr>
        <w:t>e.g. Audited Financial Statemen</w:t>
      </w:r>
      <w:r w:rsidR="000B7D3E">
        <w:rPr>
          <w:rFonts w:ascii="Times New Roman" w:hAnsi="Times New Roman" w:eastAsia="Times New Roman" w:cs="Times New Roman"/>
          <w:iCs/>
          <w:sz w:val="24"/>
          <w:szCs w:val="24"/>
        </w:rPr>
        <w:t>t</w:t>
      </w:r>
      <w:r w:rsidR="00C251E1">
        <w:rPr>
          <w:rFonts w:ascii="Times New Roman" w:hAnsi="Times New Roman" w:eastAsia="Times New Roman" w:cs="Times New Roman"/>
          <w:iCs/>
          <w:sz w:val="24"/>
          <w:szCs w:val="24"/>
        </w:rPr>
        <w:t>s</w:t>
      </w:r>
      <w:r w:rsidR="000B7D3E">
        <w:rPr>
          <w:rFonts w:ascii="Times New Roman" w:hAnsi="Times New Roman" w:eastAsia="Times New Roman" w:cs="Times New Roman"/>
          <w:iCs/>
          <w:sz w:val="24"/>
          <w:szCs w:val="24"/>
        </w:rPr>
        <w:t>)</w:t>
      </w:r>
      <w:r>
        <w:rPr>
          <w:rFonts w:ascii="Times New Roman" w:hAnsi="Times New Roman" w:eastAsia="Times New Roman" w:cs="Times New Roman"/>
          <w:iCs/>
          <w:sz w:val="24"/>
          <w:szCs w:val="24"/>
        </w:rPr>
        <w:t xml:space="preserve"> from the </w:t>
      </w:r>
      <w:r w:rsidR="00DB5567">
        <w:rPr>
          <w:rFonts w:ascii="Times New Roman" w:hAnsi="Times New Roman" w:eastAsia="Times New Roman" w:cs="Times New Roman"/>
          <w:iCs/>
          <w:sz w:val="24"/>
          <w:szCs w:val="24"/>
        </w:rPr>
        <w:t>Borrower/</w:t>
      </w:r>
      <w:r>
        <w:rPr>
          <w:rFonts w:ascii="Times New Roman" w:hAnsi="Times New Roman" w:eastAsia="Times New Roman" w:cs="Times New Roman"/>
          <w:iCs/>
          <w:sz w:val="24"/>
          <w:szCs w:val="24"/>
        </w:rPr>
        <w:t>Limited Partner/Investor Member.</w:t>
      </w:r>
    </w:p>
    <w:p w:rsidR="00FA02B6" w:rsidP="003C2A0D" w:rsidRDefault="00FA02B6" w14:paraId="697C5B04" w14:textId="498E4EE6">
      <w:pPr>
        <w:pStyle w:val="ListParagraph"/>
        <w:numPr>
          <w:ilvl w:val="1"/>
          <w:numId w:val="34"/>
        </w:numPr>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The Limited Partner/Investor Member affirmatively consents to the use of loan proceeds and to the refinancing in general (if the Investor/Member currently maintains interest in the ownership structure or will remain as part of the proposed ownership structure post refinancing</w:t>
      </w:r>
      <w:r w:rsidR="00C251E1">
        <w:rPr>
          <w:rFonts w:ascii="Times New Roman" w:hAnsi="Times New Roman" w:eastAsia="Times New Roman" w:cs="Times New Roman"/>
          <w:iCs/>
          <w:sz w:val="24"/>
          <w:szCs w:val="24"/>
        </w:rPr>
        <w:t>)</w:t>
      </w:r>
      <w:r>
        <w:rPr>
          <w:rFonts w:ascii="Times New Roman" w:hAnsi="Times New Roman" w:eastAsia="Times New Roman" w:cs="Times New Roman"/>
          <w:iCs/>
          <w:sz w:val="24"/>
          <w:szCs w:val="24"/>
        </w:rPr>
        <w:t xml:space="preserve">, </w:t>
      </w:r>
      <w:r w:rsidR="001D77E0">
        <w:rPr>
          <w:rFonts w:ascii="Times New Roman" w:hAnsi="Times New Roman" w:eastAsia="Times New Roman" w:cs="Times New Roman"/>
          <w:iCs/>
          <w:sz w:val="24"/>
          <w:szCs w:val="24"/>
        </w:rPr>
        <w:t>and.</w:t>
      </w:r>
    </w:p>
    <w:p w:rsidR="00FA02B6" w:rsidP="003C2A0D" w:rsidRDefault="00FA02B6" w14:paraId="62BC9206" w14:textId="77777777">
      <w:pPr>
        <w:pStyle w:val="ListParagraph"/>
        <w:numPr>
          <w:ilvl w:val="1"/>
          <w:numId w:val="34"/>
        </w:numPr>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The lender’s underwriting must support the inclusion the Deferred Developer Fee as a cost to refinance, in addition to the first mortgage and/or any other eligible debt.</w:t>
      </w:r>
    </w:p>
    <w:p w:rsidRPr="00D04A3C" w:rsidR="00FA02B6" w:rsidP="003C2A0D" w:rsidRDefault="00FA02B6" w14:paraId="773AEDC2" w14:textId="77777777">
      <w:pPr>
        <w:pStyle w:val="ListParagraph"/>
        <w:numPr>
          <w:ilvl w:val="1"/>
          <w:numId w:val="34"/>
        </w:numPr>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In no event will Deferred Developer Fee be considered eligible debt in a Section 223(a)(7) transaction.</w:t>
      </w:r>
    </w:p>
    <w:p w:rsidRPr="005357A5" w:rsidR="00344524" w:rsidP="00145929" w:rsidRDefault="00344524" w14:paraId="12396C85" w14:textId="77777777">
      <w:pPr>
        <w:widowControl w:val="0"/>
        <w:tabs>
          <w:tab w:val="left" w:pos="810"/>
        </w:tab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p>
    <w:p w:rsidRPr="00CB6138" w:rsidR="00D56665" w:rsidP="005357A5" w:rsidRDefault="001A54B1" w14:paraId="63DA38DC" w14:textId="4006B95F">
      <w:pPr>
        <w:spacing w:line="276" w:lineRule="auto"/>
        <w:contextualSpacing/>
        <w:rPr>
          <w:rFonts w:ascii="Times New Roman" w:hAnsi="Times New Roman" w:eastAsia="Times New Roman" w:cs="Times New Roman"/>
          <w:sz w:val="24"/>
          <w:szCs w:val="24"/>
        </w:rPr>
      </w:pPr>
      <w:r w:rsidRPr="005357A5">
        <w:rPr>
          <w:rFonts w:ascii="Times New Roman" w:hAnsi="Times New Roman" w:eastAsia="Times New Roman" w:cs="Times New Roman"/>
          <w:b/>
          <w:bCs/>
          <w:sz w:val="28"/>
          <w:szCs w:val="28"/>
        </w:rPr>
        <w:t>14.1</w:t>
      </w:r>
      <w:r w:rsidRPr="005357A5" w:rsidR="002C070D">
        <w:rPr>
          <w:rFonts w:ascii="Times New Roman" w:hAnsi="Times New Roman" w:eastAsia="Times New Roman" w:cs="Times New Roman"/>
          <w:b/>
          <w:bCs/>
          <w:sz w:val="28"/>
          <w:szCs w:val="28"/>
        </w:rPr>
        <w:t>3</w:t>
      </w:r>
      <w:r w:rsidRPr="005357A5" w:rsidR="00D56665">
        <w:rPr>
          <w:rFonts w:ascii="Times New Roman" w:hAnsi="Times New Roman" w:eastAsia="Times New Roman" w:cs="Times New Roman"/>
          <w:b/>
          <w:bCs/>
          <w:sz w:val="28"/>
          <w:szCs w:val="28"/>
        </w:rPr>
        <w:t xml:space="preserve">    </w:t>
      </w:r>
      <w:r w:rsidR="0016623A">
        <w:rPr>
          <w:rFonts w:ascii="Times New Roman" w:hAnsi="Times New Roman" w:eastAsia="Times New Roman" w:cs="Times New Roman"/>
          <w:b/>
          <w:sz w:val="28"/>
          <w:szCs w:val="28"/>
        </w:rPr>
        <w:tab/>
      </w:r>
      <w:r w:rsidRPr="005357A5" w:rsidR="00D56665">
        <w:rPr>
          <w:rFonts w:ascii="Times New Roman" w:hAnsi="Times New Roman" w:eastAsia="Times New Roman" w:cs="Times New Roman"/>
          <w:b/>
          <w:sz w:val="28"/>
          <w:szCs w:val="28"/>
        </w:rPr>
        <w:t>Tax Credit Equity Pay-In Schedule</w:t>
      </w:r>
    </w:p>
    <w:p w:rsidRPr="007805BC" w:rsidR="00D56665" w:rsidP="00D56665" w:rsidRDefault="00D56665" w14:paraId="63DA38DD" w14:textId="77777777">
      <w:pPr>
        <w:widowControl w:val="0"/>
        <w:overflowPunct w:val="0"/>
        <w:autoSpaceDE w:val="0"/>
        <w:autoSpaceDN w:val="0"/>
        <w:adjustRightInd w:val="0"/>
        <w:spacing w:before="80" w:after="80" w:line="276" w:lineRule="auto"/>
        <w:textAlignment w:val="baseline"/>
        <w:rPr>
          <w:rFonts w:ascii="Times New Roman" w:hAnsi="Times New Roman" w:eastAsia="Times New Roman" w:cs="Times New Roman"/>
          <w:sz w:val="24"/>
          <w:szCs w:val="24"/>
          <w:highlight w:val="yellow"/>
        </w:rPr>
      </w:pPr>
    </w:p>
    <w:p w:rsidRPr="007805BC" w:rsidR="00D56665" w:rsidP="00D56665" w:rsidRDefault="00D56665" w14:paraId="63DA38DE" w14:textId="48CD742D">
      <w:pPr>
        <w:autoSpaceDE w:val="0"/>
        <w:autoSpaceDN w:val="0"/>
        <w:adjustRightInd w:val="0"/>
        <w:spacing w:line="276" w:lineRule="auto"/>
        <w:jc w:val="both"/>
        <w:rPr>
          <w:rFonts w:ascii="Times New Roman" w:hAnsi="Times New Roman" w:cs="Times New Roman"/>
          <w:color w:val="000000"/>
          <w:sz w:val="24"/>
          <w:szCs w:val="24"/>
        </w:rPr>
      </w:pPr>
      <w:r w:rsidRPr="007805BC">
        <w:rPr>
          <w:rFonts w:ascii="Times New Roman" w:hAnsi="Times New Roman" w:cs="Times New Roman"/>
          <w:color w:val="000000"/>
          <w:sz w:val="24"/>
          <w:szCs w:val="24"/>
        </w:rPr>
        <w:t>FHA requires minimum Tax Credit equity contributions according to the following pay-in schedule for all LIHTC transactions</w:t>
      </w:r>
      <w:r w:rsidRPr="005357A5">
        <w:rPr>
          <w:rFonts w:ascii="Times New Roman" w:hAnsi="Times New Roman" w:cs="Times New Roman"/>
          <w:vertAlign w:val="superscript"/>
        </w:rPr>
        <w:footnoteReference w:id="5"/>
      </w:r>
      <w:r w:rsidRPr="00CB6138" w:rsidR="00FB5C42">
        <w:rPr>
          <w:rFonts w:ascii="Times New Roman" w:hAnsi="Times New Roman" w:cs="Times New Roman"/>
          <w:color w:val="000000"/>
          <w:sz w:val="24"/>
          <w:szCs w:val="24"/>
        </w:rPr>
        <w:t>.</w:t>
      </w:r>
      <w:r w:rsidRPr="00CB6138">
        <w:rPr>
          <w:rFonts w:ascii="Times New Roman" w:hAnsi="Times New Roman" w:cs="Times New Roman"/>
          <w:color w:val="000000"/>
          <w:sz w:val="24"/>
          <w:szCs w:val="24"/>
        </w:rPr>
        <w:t xml:space="preserve">  </w:t>
      </w:r>
      <w:r w:rsidR="00155689">
        <w:rPr>
          <w:rFonts w:ascii="Times New Roman" w:hAnsi="Times New Roman" w:cs="Times New Roman"/>
          <w:color w:val="000000"/>
          <w:sz w:val="24"/>
          <w:szCs w:val="24"/>
        </w:rPr>
        <w:t>This sched</w:t>
      </w:r>
      <w:r w:rsidR="00384685">
        <w:rPr>
          <w:rFonts w:ascii="Times New Roman" w:hAnsi="Times New Roman" w:cs="Times New Roman"/>
          <w:color w:val="000000"/>
          <w:sz w:val="24"/>
          <w:szCs w:val="24"/>
        </w:rPr>
        <w:t xml:space="preserve">ule, </w:t>
      </w:r>
      <w:r w:rsidRPr="00CB6138">
        <w:rPr>
          <w:rFonts w:ascii="Times New Roman" w:hAnsi="Times New Roman" w:cs="Times New Roman"/>
          <w:color w:val="000000"/>
          <w:sz w:val="24"/>
          <w:szCs w:val="24"/>
        </w:rPr>
        <w:t>with actual total equity and net-equity amounts</w:t>
      </w:r>
      <w:r w:rsidR="00384685">
        <w:rPr>
          <w:rFonts w:ascii="Times New Roman" w:hAnsi="Times New Roman" w:cs="Times New Roman"/>
          <w:color w:val="000000"/>
          <w:sz w:val="24"/>
          <w:szCs w:val="24"/>
        </w:rPr>
        <w:t xml:space="preserve"> entered</w:t>
      </w:r>
      <w:r w:rsidRPr="00CB6138">
        <w:rPr>
          <w:rFonts w:ascii="Times New Roman" w:hAnsi="Times New Roman" w:cs="Times New Roman"/>
          <w:color w:val="000000"/>
          <w:sz w:val="24"/>
          <w:szCs w:val="24"/>
        </w:rPr>
        <w:t>,</w:t>
      </w:r>
      <w:r w:rsidR="001D0882">
        <w:rPr>
          <w:rFonts w:ascii="Times New Roman" w:hAnsi="Times New Roman" w:cs="Times New Roman"/>
          <w:color w:val="000000"/>
          <w:sz w:val="24"/>
          <w:szCs w:val="24"/>
        </w:rPr>
        <w:t xml:space="preserve"> is to be added as a special condition to the Firm Commitment for all </w:t>
      </w:r>
      <w:r w:rsidR="00F12CEE">
        <w:rPr>
          <w:rFonts w:ascii="Times New Roman" w:hAnsi="Times New Roman" w:cs="Times New Roman"/>
          <w:color w:val="000000"/>
          <w:sz w:val="24"/>
          <w:szCs w:val="24"/>
        </w:rPr>
        <w:t>LIHTC</w:t>
      </w:r>
      <w:r w:rsidR="001D0882">
        <w:rPr>
          <w:rFonts w:ascii="Times New Roman" w:hAnsi="Times New Roman" w:cs="Times New Roman"/>
          <w:color w:val="000000"/>
          <w:sz w:val="24"/>
          <w:szCs w:val="24"/>
        </w:rPr>
        <w:t xml:space="preserve"> Projects.  </w:t>
      </w:r>
      <w:r w:rsidRPr="00CB6138">
        <w:rPr>
          <w:rFonts w:ascii="Times New Roman" w:hAnsi="Times New Roman" w:cs="Times New Roman"/>
          <w:color w:val="000000"/>
          <w:sz w:val="24"/>
          <w:szCs w:val="24"/>
        </w:rPr>
        <w:t xml:space="preserve">Waivers of the </w:t>
      </w:r>
      <w:r w:rsidRPr="00B70BD9" w:rsidR="0018458E">
        <w:rPr>
          <w:rFonts w:ascii="Times New Roman" w:hAnsi="Times New Roman" w:cs="Times New Roman"/>
          <w:color w:val="000000"/>
          <w:sz w:val="24"/>
          <w:szCs w:val="24"/>
        </w:rPr>
        <w:t>requirements set forth below</w:t>
      </w:r>
      <w:r w:rsidRPr="00B70BD9">
        <w:rPr>
          <w:rFonts w:ascii="Times New Roman" w:hAnsi="Times New Roman" w:cs="Times New Roman"/>
          <w:color w:val="000000"/>
          <w:sz w:val="24"/>
          <w:szCs w:val="24"/>
        </w:rPr>
        <w:t xml:space="preserve"> will </w:t>
      </w:r>
      <w:r w:rsidRPr="00B70BD9" w:rsidR="00F43E99">
        <w:rPr>
          <w:rFonts w:ascii="Times New Roman" w:hAnsi="Times New Roman" w:cs="Times New Roman"/>
          <w:color w:val="000000"/>
          <w:sz w:val="24"/>
          <w:szCs w:val="24"/>
        </w:rPr>
        <w:t xml:space="preserve">generally </w:t>
      </w:r>
      <w:r w:rsidRPr="00B70BD9">
        <w:rPr>
          <w:rFonts w:ascii="Times New Roman" w:hAnsi="Times New Roman" w:cs="Times New Roman"/>
          <w:color w:val="000000"/>
          <w:sz w:val="24"/>
          <w:szCs w:val="24"/>
        </w:rPr>
        <w:t>not be considered</w:t>
      </w:r>
      <w:r w:rsidRPr="00C34ABE" w:rsidR="0013167C">
        <w:rPr>
          <w:rFonts w:ascii="Times New Roman" w:hAnsi="Times New Roman" w:cs="Times New Roman"/>
          <w:color w:val="000000"/>
          <w:sz w:val="24"/>
          <w:szCs w:val="24"/>
        </w:rPr>
        <w:t>.</w:t>
      </w:r>
    </w:p>
    <w:p w:rsidRPr="007805BC" w:rsidR="00D56665" w:rsidP="00D56665" w:rsidRDefault="00D56665" w14:paraId="63DA38DF" w14:textId="77777777">
      <w:pPr>
        <w:autoSpaceDE w:val="0"/>
        <w:autoSpaceDN w:val="0"/>
        <w:adjustRightInd w:val="0"/>
        <w:spacing w:line="276" w:lineRule="auto"/>
        <w:rPr>
          <w:rFonts w:ascii="Times New Roman" w:hAnsi="Times New Roman" w:cs="Times New Roman"/>
          <w:color w:val="000000"/>
          <w:sz w:val="24"/>
          <w:szCs w:val="24"/>
          <w:highlight w:val="yellow"/>
        </w:rPr>
      </w:pPr>
    </w:p>
    <w:tbl>
      <w:tblPr>
        <w:tblStyle w:val="TableGrid5"/>
        <w:tblW w:w="0" w:type="auto"/>
        <w:tblInd w:w="108" w:type="dxa"/>
        <w:tblLook w:val="04A0" w:firstRow="1" w:lastRow="0" w:firstColumn="1" w:lastColumn="0" w:noHBand="0" w:noVBand="1"/>
      </w:tblPr>
      <w:tblGrid>
        <w:gridCol w:w="5939"/>
        <w:gridCol w:w="2881"/>
      </w:tblGrid>
      <w:tr w:rsidRPr="00CB6138" w:rsidR="00D56665" w:rsidTr="004E7D11" w14:paraId="63DA38E2" w14:textId="77777777">
        <w:trPr>
          <w:trHeight w:val="489"/>
        </w:trPr>
        <w:tc>
          <w:tcPr>
            <w:tcW w:w="5939" w:type="dxa"/>
          </w:tcPr>
          <w:p w:rsidRPr="007805BC" w:rsidR="00D56665" w:rsidP="004E7D11" w:rsidRDefault="00D56665" w14:paraId="63DA38E0" w14:textId="77777777">
            <w:pPr>
              <w:autoSpaceDE w:val="0"/>
              <w:autoSpaceDN w:val="0"/>
              <w:adjustRightInd w:val="0"/>
              <w:spacing w:line="276" w:lineRule="auto"/>
              <w:rPr>
                <w:rFonts w:ascii="Times New Roman" w:hAnsi="Times New Roman" w:cs="Times New Roman"/>
                <w:b/>
                <w:color w:val="000000"/>
                <w:sz w:val="24"/>
                <w:szCs w:val="24"/>
              </w:rPr>
            </w:pPr>
            <w:r w:rsidRPr="007805BC">
              <w:rPr>
                <w:rFonts w:ascii="Times New Roman" w:hAnsi="Times New Roman" w:cs="Times New Roman"/>
                <w:b/>
                <w:color w:val="000000"/>
                <w:sz w:val="24"/>
                <w:szCs w:val="24"/>
              </w:rPr>
              <w:lastRenderedPageBreak/>
              <w:t>Benchmarks for Equity Installments</w:t>
            </w:r>
          </w:p>
        </w:tc>
        <w:tc>
          <w:tcPr>
            <w:tcW w:w="2881" w:type="dxa"/>
          </w:tcPr>
          <w:p w:rsidRPr="00CB6138" w:rsidR="00D56665" w:rsidP="004E7D11" w:rsidRDefault="00D56665" w14:paraId="63DA38E1" w14:textId="02414042">
            <w:pPr>
              <w:autoSpaceDE w:val="0"/>
              <w:autoSpaceDN w:val="0"/>
              <w:adjustRightInd w:val="0"/>
              <w:spacing w:line="276" w:lineRule="auto"/>
              <w:rPr>
                <w:rFonts w:ascii="Times New Roman" w:hAnsi="Times New Roman" w:cs="Times New Roman"/>
                <w:b/>
                <w:color w:val="000000"/>
                <w:sz w:val="24"/>
                <w:szCs w:val="24"/>
              </w:rPr>
            </w:pPr>
            <w:r w:rsidRPr="007805BC">
              <w:rPr>
                <w:rFonts w:ascii="Times New Roman" w:hAnsi="Times New Roman" w:cs="Times New Roman"/>
                <w:b/>
                <w:color w:val="000000"/>
                <w:sz w:val="24"/>
                <w:szCs w:val="24"/>
              </w:rPr>
              <w:t>Minimum Equity Installment</w:t>
            </w:r>
            <w:r w:rsidRPr="007805BC">
              <w:rPr>
                <w:rFonts w:ascii="Times New Roman" w:hAnsi="Times New Roman" w:cs="Times New Roman"/>
                <w:b/>
                <w:color w:val="000000"/>
                <w:sz w:val="24"/>
                <w:szCs w:val="24"/>
                <w:vertAlign w:val="superscript"/>
              </w:rPr>
              <w:t xml:space="preserve"> </w:t>
            </w:r>
            <w:r w:rsidRPr="00CB6138">
              <w:rPr>
                <w:rFonts w:ascii="Times New Roman" w:hAnsi="Times New Roman" w:cs="Times New Roman"/>
                <w:b/>
                <w:color w:val="000000"/>
                <w:sz w:val="24"/>
                <w:szCs w:val="24"/>
                <w:vertAlign w:val="superscript"/>
              </w:rPr>
              <w:footnoteReference w:id="6"/>
            </w:r>
            <w:r w:rsidR="004E06C1">
              <w:rPr>
                <w:rFonts w:ascii="Times New Roman" w:hAnsi="Times New Roman" w:cs="Times New Roman"/>
                <w:b/>
                <w:color w:val="000000"/>
                <w:sz w:val="24"/>
                <w:szCs w:val="24"/>
                <w:vertAlign w:val="superscript"/>
              </w:rPr>
              <w:t>,</w:t>
            </w:r>
            <w:r w:rsidRPr="00CB6138">
              <w:rPr>
                <w:rFonts w:ascii="Times New Roman" w:hAnsi="Times New Roman" w:cs="Times New Roman"/>
                <w:b/>
                <w:color w:val="000000"/>
                <w:sz w:val="24"/>
                <w:szCs w:val="24"/>
                <w:vertAlign w:val="superscript"/>
              </w:rPr>
              <w:footnoteReference w:id="7"/>
            </w:r>
          </w:p>
        </w:tc>
      </w:tr>
      <w:tr w:rsidRPr="00CB6138" w:rsidR="00D56665" w:rsidTr="004E7D11" w14:paraId="63DA38E5" w14:textId="77777777">
        <w:trPr>
          <w:trHeight w:val="481"/>
        </w:trPr>
        <w:tc>
          <w:tcPr>
            <w:tcW w:w="5939" w:type="dxa"/>
            <w:vAlign w:val="center"/>
          </w:tcPr>
          <w:p w:rsidRPr="007805BC" w:rsidR="00D56665" w:rsidP="004E7D11" w:rsidRDefault="00D56665" w14:paraId="63DA38E3" w14:textId="7FC60F77">
            <w:pPr>
              <w:autoSpaceDE w:val="0"/>
              <w:autoSpaceDN w:val="0"/>
              <w:adjustRightInd w:val="0"/>
              <w:spacing w:line="276" w:lineRule="auto"/>
              <w:rPr>
                <w:rFonts w:ascii="Times New Roman" w:hAnsi="Times New Roman" w:cs="Times New Roman"/>
                <w:color w:val="000000"/>
                <w:sz w:val="24"/>
                <w:szCs w:val="24"/>
              </w:rPr>
            </w:pPr>
            <w:r w:rsidRPr="00CB6138">
              <w:rPr>
                <w:rFonts w:ascii="Times New Roman" w:hAnsi="Times New Roman" w:cs="Times New Roman"/>
                <w:color w:val="000000"/>
                <w:sz w:val="24"/>
                <w:szCs w:val="24"/>
              </w:rPr>
              <w:t xml:space="preserve">On </w:t>
            </w:r>
            <w:r w:rsidRPr="00B70BD9" w:rsidR="00ED4D9A">
              <w:rPr>
                <w:rFonts w:ascii="Times New Roman" w:hAnsi="Times New Roman" w:cs="Times New Roman"/>
                <w:color w:val="000000"/>
                <w:sz w:val="24"/>
                <w:szCs w:val="24"/>
              </w:rPr>
              <w:t>o</w:t>
            </w:r>
            <w:r w:rsidRPr="00B70BD9">
              <w:rPr>
                <w:rFonts w:ascii="Times New Roman" w:hAnsi="Times New Roman" w:cs="Times New Roman"/>
                <w:color w:val="000000"/>
                <w:sz w:val="24"/>
                <w:szCs w:val="24"/>
              </w:rPr>
              <w:t xml:space="preserve">r Before </w:t>
            </w:r>
            <w:r w:rsidRPr="00B70BD9" w:rsidR="00ED4D9A">
              <w:rPr>
                <w:rFonts w:ascii="Times New Roman" w:hAnsi="Times New Roman" w:cs="Times New Roman"/>
                <w:color w:val="000000"/>
                <w:sz w:val="24"/>
                <w:szCs w:val="24"/>
              </w:rPr>
              <w:t xml:space="preserve">Initial/Final </w:t>
            </w:r>
            <w:r w:rsidRPr="00B70BD9">
              <w:rPr>
                <w:rFonts w:ascii="Times New Roman" w:hAnsi="Times New Roman" w:cs="Times New Roman"/>
                <w:color w:val="000000"/>
                <w:sz w:val="24"/>
                <w:szCs w:val="24"/>
              </w:rPr>
              <w:t xml:space="preserve">Closing </w:t>
            </w:r>
            <w:r w:rsidRPr="00B70BD9" w:rsidR="00FA63B4">
              <w:rPr>
                <w:rFonts w:ascii="Times New Roman" w:hAnsi="Times New Roman" w:cs="Times New Roman"/>
                <w:color w:val="000000"/>
                <w:sz w:val="24"/>
                <w:szCs w:val="24"/>
              </w:rPr>
              <w:t xml:space="preserve">for Section </w:t>
            </w:r>
            <w:r w:rsidRPr="00C34ABE">
              <w:rPr>
                <w:rFonts w:ascii="Times New Roman" w:hAnsi="Times New Roman" w:cs="Times New Roman"/>
                <w:color w:val="000000"/>
                <w:sz w:val="24"/>
                <w:szCs w:val="24"/>
              </w:rPr>
              <w:t>223(f)</w:t>
            </w:r>
            <w:r w:rsidRPr="00CB6138" w:rsidR="007E1251">
              <w:rPr>
                <w:rStyle w:val="FootnoteReference"/>
                <w:rFonts w:ascii="Times New Roman" w:hAnsi="Times New Roman" w:cs="Times New Roman"/>
                <w:color w:val="000000"/>
                <w:sz w:val="24"/>
                <w:szCs w:val="24"/>
              </w:rPr>
              <w:footnoteReference w:id="8"/>
            </w:r>
            <w:r w:rsidRPr="00CB6138">
              <w:rPr>
                <w:rFonts w:ascii="Times New Roman" w:hAnsi="Times New Roman" w:cs="Times New Roman"/>
                <w:color w:val="000000"/>
                <w:sz w:val="24"/>
                <w:szCs w:val="24"/>
              </w:rPr>
              <w:t xml:space="preserve"> </w:t>
            </w:r>
            <w:r w:rsidRPr="00CB6138" w:rsidR="00ED4D9A">
              <w:rPr>
                <w:rFonts w:ascii="Times New Roman" w:hAnsi="Times New Roman" w:cs="Times New Roman"/>
                <w:color w:val="000000"/>
                <w:sz w:val="24"/>
                <w:szCs w:val="24"/>
              </w:rPr>
              <w:t xml:space="preserve">deals </w:t>
            </w:r>
            <w:r w:rsidR="00037D3E">
              <w:rPr>
                <w:rFonts w:ascii="Times New Roman" w:hAnsi="Times New Roman" w:cs="Times New Roman"/>
                <w:color w:val="000000"/>
                <w:sz w:val="24"/>
                <w:szCs w:val="24"/>
              </w:rPr>
              <w:t>and</w:t>
            </w:r>
            <w:r w:rsidRPr="00B70BD9" w:rsidR="00ED4D9A">
              <w:rPr>
                <w:rFonts w:ascii="Times New Roman" w:hAnsi="Times New Roman" w:cs="Times New Roman"/>
                <w:color w:val="000000"/>
                <w:sz w:val="24"/>
                <w:szCs w:val="24"/>
              </w:rPr>
              <w:t xml:space="preserve"> by </w:t>
            </w:r>
            <w:r w:rsidRPr="00B70BD9">
              <w:rPr>
                <w:rFonts w:ascii="Times New Roman" w:hAnsi="Times New Roman" w:cs="Times New Roman"/>
                <w:color w:val="000000"/>
                <w:sz w:val="24"/>
                <w:szCs w:val="24"/>
              </w:rPr>
              <w:t xml:space="preserve">Initial </w:t>
            </w:r>
            <w:r w:rsidRPr="00C34ABE" w:rsidR="00FA1621">
              <w:rPr>
                <w:rFonts w:ascii="Times New Roman" w:hAnsi="Times New Roman" w:cs="Times New Roman"/>
                <w:color w:val="000000"/>
                <w:sz w:val="24"/>
                <w:szCs w:val="24"/>
              </w:rPr>
              <w:t xml:space="preserve">Closing for Section </w:t>
            </w:r>
            <w:r w:rsidRPr="007805BC">
              <w:rPr>
                <w:rFonts w:ascii="Times New Roman" w:hAnsi="Times New Roman" w:cs="Times New Roman"/>
                <w:color w:val="000000"/>
                <w:sz w:val="24"/>
                <w:szCs w:val="24"/>
              </w:rPr>
              <w:t>221(d)(4)</w:t>
            </w:r>
            <w:r w:rsidRPr="007805BC" w:rsidR="00FA1621">
              <w:rPr>
                <w:rFonts w:ascii="Times New Roman" w:hAnsi="Times New Roman" w:cs="Times New Roman"/>
                <w:color w:val="000000"/>
                <w:sz w:val="24"/>
                <w:szCs w:val="24"/>
              </w:rPr>
              <w:t xml:space="preserve"> deals</w:t>
            </w:r>
            <w:r w:rsidR="009A0E63">
              <w:rPr>
                <w:rFonts w:ascii="Times New Roman" w:hAnsi="Times New Roman" w:cs="Times New Roman"/>
                <w:color w:val="000000"/>
                <w:sz w:val="24"/>
                <w:szCs w:val="24"/>
              </w:rPr>
              <w:t>:</w:t>
            </w:r>
          </w:p>
        </w:tc>
        <w:tc>
          <w:tcPr>
            <w:tcW w:w="2881" w:type="dxa"/>
            <w:vAlign w:val="center"/>
          </w:tcPr>
          <w:p w:rsidRPr="007805BC" w:rsidR="00D56665" w:rsidP="004E7D11" w:rsidRDefault="00D56665" w14:paraId="7F313482" w14:textId="77777777">
            <w:pPr>
              <w:autoSpaceDE w:val="0"/>
              <w:autoSpaceDN w:val="0"/>
              <w:adjustRightInd w:val="0"/>
              <w:spacing w:line="276" w:lineRule="auto"/>
              <w:rPr>
                <w:rFonts w:ascii="Times New Roman" w:hAnsi="Times New Roman" w:cs="Times New Roman"/>
                <w:color w:val="000000"/>
                <w:sz w:val="24"/>
                <w:szCs w:val="24"/>
              </w:rPr>
            </w:pPr>
            <w:r w:rsidRPr="007805BC">
              <w:rPr>
                <w:rFonts w:ascii="Times New Roman" w:hAnsi="Times New Roman" w:cs="Times New Roman"/>
                <w:color w:val="000000"/>
                <w:sz w:val="24"/>
                <w:szCs w:val="24"/>
              </w:rPr>
              <w:t>20% of Total Equity</w:t>
            </w:r>
          </w:p>
          <w:p w:rsidRPr="007805BC" w:rsidR="0002719C" w:rsidP="004E7D11" w:rsidRDefault="0002719C" w14:paraId="63DA38E4" w14:textId="606D6581">
            <w:pPr>
              <w:autoSpaceDE w:val="0"/>
              <w:autoSpaceDN w:val="0"/>
              <w:adjustRightInd w:val="0"/>
              <w:spacing w:line="276" w:lineRule="auto"/>
              <w:rPr>
                <w:rFonts w:ascii="Times New Roman" w:hAnsi="Times New Roman" w:cs="Times New Roman"/>
                <w:color w:val="000000"/>
                <w:sz w:val="24"/>
                <w:szCs w:val="24"/>
              </w:rPr>
            </w:pPr>
            <w:r w:rsidRPr="007805BC">
              <w:rPr>
                <w:rFonts w:ascii="Times New Roman" w:hAnsi="Times New Roman" w:cs="Times New Roman"/>
                <w:color w:val="000000"/>
                <w:sz w:val="24"/>
                <w:szCs w:val="24"/>
              </w:rPr>
              <w:t>(</w:t>
            </w:r>
            <w:r w:rsidR="0031051F">
              <w:rPr>
                <w:rFonts w:ascii="Times New Roman" w:hAnsi="Times New Roman" w:cs="Times New Roman"/>
                <w:color w:val="000000"/>
                <w:sz w:val="24"/>
                <w:szCs w:val="24"/>
              </w:rPr>
              <w:t xml:space="preserve">of this amount, </w:t>
            </w:r>
            <w:r w:rsidRPr="007805BC">
              <w:rPr>
                <w:rFonts w:ascii="Times New Roman" w:hAnsi="Times New Roman" w:cs="Times New Roman"/>
                <w:color w:val="000000"/>
                <w:sz w:val="24"/>
                <w:szCs w:val="24"/>
              </w:rPr>
              <w:t>10% may be funded with an Equity Bridge Loan)</w:t>
            </w:r>
          </w:p>
        </w:tc>
      </w:tr>
      <w:tr w:rsidRPr="00CB6138" w:rsidR="00D56665" w:rsidTr="004E7D11" w14:paraId="63DA38E8" w14:textId="77777777">
        <w:trPr>
          <w:trHeight w:val="489"/>
        </w:trPr>
        <w:tc>
          <w:tcPr>
            <w:tcW w:w="5939" w:type="dxa"/>
            <w:vAlign w:val="center"/>
          </w:tcPr>
          <w:p w:rsidRPr="007805BC" w:rsidR="00D56665" w:rsidP="004E7D11" w:rsidRDefault="00D56665" w14:paraId="63DA38E6" w14:textId="5A2E974F">
            <w:pPr>
              <w:autoSpaceDE w:val="0"/>
              <w:autoSpaceDN w:val="0"/>
              <w:adjustRightInd w:val="0"/>
              <w:spacing w:line="276" w:lineRule="auto"/>
              <w:rPr>
                <w:rFonts w:ascii="Times New Roman" w:hAnsi="Times New Roman" w:cs="Times New Roman"/>
                <w:color w:val="000000"/>
                <w:sz w:val="24"/>
                <w:szCs w:val="24"/>
              </w:rPr>
            </w:pPr>
            <w:r w:rsidRPr="00CB6138">
              <w:rPr>
                <w:rFonts w:ascii="Times New Roman" w:hAnsi="Times New Roman" w:cs="Times New Roman"/>
                <w:color w:val="000000"/>
                <w:sz w:val="24"/>
                <w:szCs w:val="24"/>
              </w:rPr>
              <w:t xml:space="preserve">At 65% Completion of Repairs </w:t>
            </w:r>
            <w:r w:rsidRPr="00CB6138" w:rsidR="00A0600B">
              <w:rPr>
                <w:rFonts w:ascii="Times New Roman" w:hAnsi="Times New Roman" w:cs="Times New Roman"/>
                <w:color w:val="000000"/>
                <w:sz w:val="24"/>
                <w:szCs w:val="24"/>
              </w:rPr>
              <w:t xml:space="preserve">for Section </w:t>
            </w:r>
            <w:r w:rsidRPr="00B70BD9">
              <w:rPr>
                <w:rFonts w:ascii="Times New Roman" w:hAnsi="Times New Roman" w:cs="Times New Roman"/>
                <w:color w:val="000000"/>
                <w:sz w:val="24"/>
                <w:szCs w:val="24"/>
              </w:rPr>
              <w:t>223(f)</w:t>
            </w:r>
            <w:r w:rsidRPr="00B70BD9" w:rsidR="00A0600B">
              <w:rPr>
                <w:rFonts w:ascii="Times New Roman" w:hAnsi="Times New Roman" w:cs="Times New Roman"/>
                <w:color w:val="000000"/>
                <w:sz w:val="24"/>
                <w:szCs w:val="24"/>
              </w:rPr>
              <w:t xml:space="preserve"> deals </w:t>
            </w:r>
            <w:r w:rsidR="00037D3E">
              <w:rPr>
                <w:rFonts w:ascii="Times New Roman" w:hAnsi="Times New Roman" w:cs="Times New Roman"/>
                <w:color w:val="000000"/>
                <w:sz w:val="24"/>
                <w:szCs w:val="24"/>
              </w:rPr>
              <w:t>and</w:t>
            </w:r>
            <w:r w:rsidRPr="00B70BD9" w:rsidR="00A0600B">
              <w:rPr>
                <w:rFonts w:ascii="Times New Roman" w:hAnsi="Times New Roman" w:cs="Times New Roman"/>
                <w:color w:val="000000"/>
                <w:sz w:val="24"/>
                <w:szCs w:val="24"/>
              </w:rPr>
              <w:t xml:space="preserve"> at </w:t>
            </w:r>
            <w:r w:rsidR="00AD506C">
              <w:rPr>
                <w:rFonts w:ascii="Times New Roman" w:hAnsi="Times New Roman" w:cs="Times New Roman"/>
                <w:color w:val="000000"/>
                <w:sz w:val="24"/>
                <w:szCs w:val="24"/>
              </w:rPr>
              <w:t xml:space="preserve">65% </w:t>
            </w:r>
            <w:r w:rsidRPr="00C34ABE">
              <w:rPr>
                <w:rFonts w:ascii="Times New Roman" w:hAnsi="Times New Roman" w:cs="Times New Roman"/>
                <w:color w:val="000000"/>
                <w:sz w:val="24"/>
                <w:szCs w:val="24"/>
              </w:rPr>
              <w:t xml:space="preserve">Construction Completion </w:t>
            </w:r>
            <w:r w:rsidRPr="00C34ABE" w:rsidR="00A0600B">
              <w:rPr>
                <w:rFonts w:ascii="Times New Roman" w:hAnsi="Times New Roman" w:cs="Times New Roman"/>
                <w:color w:val="000000"/>
                <w:sz w:val="24"/>
                <w:szCs w:val="24"/>
              </w:rPr>
              <w:t xml:space="preserve">for Section </w:t>
            </w:r>
            <w:r w:rsidRPr="007805BC">
              <w:rPr>
                <w:rFonts w:ascii="Times New Roman" w:hAnsi="Times New Roman" w:cs="Times New Roman"/>
                <w:color w:val="000000"/>
                <w:sz w:val="24"/>
                <w:szCs w:val="24"/>
              </w:rPr>
              <w:t>221(d)(4)</w:t>
            </w:r>
            <w:r w:rsidRPr="007805BC" w:rsidR="00A0600B">
              <w:rPr>
                <w:rFonts w:ascii="Times New Roman" w:hAnsi="Times New Roman" w:cs="Times New Roman"/>
                <w:color w:val="000000"/>
                <w:sz w:val="24"/>
                <w:szCs w:val="24"/>
              </w:rPr>
              <w:t xml:space="preserve"> deals</w:t>
            </w:r>
            <w:r w:rsidR="00476912">
              <w:rPr>
                <w:rFonts w:ascii="Times New Roman" w:hAnsi="Times New Roman" w:cs="Times New Roman"/>
                <w:color w:val="000000"/>
                <w:sz w:val="24"/>
                <w:szCs w:val="24"/>
              </w:rPr>
              <w:t>:</w:t>
            </w:r>
          </w:p>
        </w:tc>
        <w:tc>
          <w:tcPr>
            <w:tcW w:w="2881" w:type="dxa"/>
            <w:vAlign w:val="center"/>
          </w:tcPr>
          <w:p w:rsidRPr="007805BC" w:rsidR="00D56665" w:rsidP="004E7D11" w:rsidRDefault="00D56665" w14:paraId="38C316C2" w14:textId="23F89D12">
            <w:pPr>
              <w:spacing w:after="100" w:line="276" w:lineRule="auto"/>
              <w:rPr>
                <w:rFonts w:ascii="Times New Roman" w:hAnsi="Times New Roman" w:cs="Times New Roman"/>
                <w:sz w:val="24"/>
                <w:szCs w:val="24"/>
              </w:rPr>
            </w:pPr>
            <w:r w:rsidRPr="007805BC">
              <w:rPr>
                <w:rFonts w:ascii="Times New Roman" w:hAnsi="Times New Roman" w:cs="Times New Roman"/>
                <w:sz w:val="24"/>
                <w:szCs w:val="24"/>
              </w:rPr>
              <w:t>37.5</w:t>
            </w:r>
            <w:r w:rsidRPr="007805BC" w:rsidR="00AE239C">
              <w:rPr>
                <w:rFonts w:ascii="Times New Roman" w:hAnsi="Times New Roman" w:cs="Times New Roman"/>
                <w:sz w:val="24"/>
                <w:szCs w:val="24"/>
              </w:rPr>
              <w:t>% of</w:t>
            </w:r>
            <w:r w:rsidRPr="007805BC">
              <w:rPr>
                <w:rFonts w:ascii="Times New Roman" w:hAnsi="Times New Roman" w:cs="Times New Roman"/>
                <w:sz w:val="24"/>
                <w:szCs w:val="24"/>
              </w:rPr>
              <w:t xml:space="preserve"> Net Equity</w:t>
            </w:r>
          </w:p>
          <w:p w:rsidRPr="007805BC" w:rsidR="00C75979" w:rsidP="004E7D11" w:rsidRDefault="00C75979" w14:paraId="63DA38E7" w14:textId="3DEE5AF0">
            <w:pPr>
              <w:spacing w:after="100" w:line="276" w:lineRule="auto"/>
              <w:rPr>
                <w:rFonts w:ascii="Times New Roman" w:hAnsi="Times New Roman" w:cs="Times New Roman"/>
                <w:sz w:val="24"/>
                <w:szCs w:val="24"/>
              </w:rPr>
            </w:pPr>
            <w:r w:rsidRPr="007805BC">
              <w:rPr>
                <w:rFonts w:ascii="Times New Roman" w:hAnsi="Times New Roman" w:cs="Times New Roman"/>
                <w:sz w:val="24"/>
                <w:szCs w:val="24"/>
              </w:rPr>
              <w:t>remaining after initial installment</w:t>
            </w:r>
          </w:p>
        </w:tc>
      </w:tr>
      <w:tr w:rsidRPr="00CB6138" w:rsidR="00D56665" w:rsidTr="004E7D11" w14:paraId="63DA38EB" w14:textId="77777777">
        <w:trPr>
          <w:trHeight w:val="450"/>
        </w:trPr>
        <w:tc>
          <w:tcPr>
            <w:tcW w:w="5939" w:type="dxa"/>
            <w:vAlign w:val="center"/>
          </w:tcPr>
          <w:p w:rsidRPr="007805BC" w:rsidR="00D56665" w:rsidP="004E7D11" w:rsidRDefault="00052842" w14:paraId="63DA38E9" w14:textId="48C28519">
            <w:pPr>
              <w:autoSpaceDE w:val="0"/>
              <w:autoSpaceDN w:val="0"/>
              <w:adjustRightInd w:val="0"/>
              <w:spacing w:line="276" w:lineRule="auto"/>
              <w:rPr>
                <w:rFonts w:ascii="Times New Roman" w:hAnsi="Times New Roman" w:cs="Times New Roman"/>
                <w:color w:val="000000"/>
                <w:sz w:val="24"/>
                <w:szCs w:val="24"/>
              </w:rPr>
            </w:pPr>
            <w:r w:rsidRPr="00CB6138">
              <w:rPr>
                <w:rFonts w:ascii="Times New Roman" w:hAnsi="Times New Roman" w:cs="Times New Roman"/>
                <w:color w:val="000000"/>
                <w:sz w:val="24"/>
                <w:szCs w:val="24"/>
              </w:rPr>
              <w:t>At 100</w:t>
            </w:r>
            <w:r w:rsidRPr="00CB6138" w:rsidR="00D56665">
              <w:rPr>
                <w:rFonts w:ascii="Times New Roman" w:hAnsi="Times New Roman" w:cs="Times New Roman"/>
                <w:color w:val="000000"/>
                <w:sz w:val="24"/>
                <w:szCs w:val="24"/>
              </w:rPr>
              <w:t>% Completion of Repairs</w:t>
            </w:r>
            <w:r w:rsidRPr="00CB6138" w:rsidR="00C77F23">
              <w:rPr>
                <w:rFonts w:ascii="Times New Roman" w:hAnsi="Times New Roman" w:cs="Times New Roman"/>
                <w:color w:val="000000"/>
                <w:sz w:val="24"/>
                <w:szCs w:val="24"/>
              </w:rPr>
              <w:t xml:space="preserve"> for Section </w:t>
            </w:r>
            <w:r w:rsidRPr="00B70BD9" w:rsidR="00C77F23">
              <w:rPr>
                <w:rFonts w:ascii="Times New Roman" w:hAnsi="Times New Roman" w:cs="Times New Roman"/>
                <w:color w:val="000000"/>
                <w:sz w:val="24"/>
                <w:szCs w:val="24"/>
              </w:rPr>
              <w:t>2</w:t>
            </w:r>
            <w:r w:rsidRPr="00B70BD9" w:rsidR="00D56665">
              <w:rPr>
                <w:rFonts w:ascii="Times New Roman" w:hAnsi="Times New Roman" w:cs="Times New Roman"/>
                <w:color w:val="000000"/>
                <w:sz w:val="24"/>
                <w:szCs w:val="24"/>
              </w:rPr>
              <w:t>23(f)</w:t>
            </w:r>
            <w:r w:rsidRPr="00B70BD9" w:rsidR="00C77F23">
              <w:rPr>
                <w:rFonts w:ascii="Times New Roman" w:hAnsi="Times New Roman" w:cs="Times New Roman"/>
                <w:color w:val="000000"/>
                <w:sz w:val="24"/>
                <w:szCs w:val="24"/>
              </w:rPr>
              <w:t xml:space="preserve"> deals </w:t>
            </w:r>
            <w:r w:rsidR="00D56947">
              <w:rPr>
                <w:rFonts w:ascii="Times New Roman" w:hAnsi="Times New Roman" w:cs="Times New Roman"/>
                <w:color w:val="000000"/>
                <w:sz w:val="24"/>
                <w:szCs w:val="24"/>
              </w:rPr>
              <w:t>and</w:t>
            </w:r>
            <w:r w:rsidRPr="00B70BD9" w:rsidR="00C77F23">
              <w:rPr>
                <w:rFonts w:ascii="Times New Roman" w:hAnsi="Times New Roman" w:cs="Times New Roman"/>
                <w:color w:val="000000"/>
                <w:sz w:val="24"/>
                <w:szCs w:val="24"/>
              </w:rPr>
              <w:t xml:space="preserve"> at </w:t>
            </w:r>
            <w:r w:rsidRPr="00C34ABE" w:rsidR="00D56665">
              <w:rPr>
                <w:rFonts w:ascii="Times New Roman" w:hAnsi="Times New Roman" w:cs="Times New Roman"/>
                <w:color w:val="000000"/>
                <w:sz w:val="24"/>
                <w:szCs w:val="24"/>
              </w:rPr>
              <w:t xml:space="preserve">Final Endorsement </w:t>
            </w:r>
            <w:r w:rsidRPr="00C34ABE" w:rsidR="00C77F23">
              <w:rPr>
                <w:rFonts w:ascii="Times New Roman" w:hAnsi="Times New Roman" w:cs="Times New Roman"/>
                <w:color w:val="000000"/>
                <w:sz w:val="24"/>
                <w:szCs w:val="24"/>
              </w:rPr>
              <w:t xml:space="preserve">for Section </w:t>
            </w:r>
            <w:r w:rsidRPr="007805BC" w:rsidR="00D56665">
              <w:rPr>
                <w:rFonts w:ascii="Times New Roman" w:hAnsi="Times New Roman" w:cs="Times New Roman"/>
                <w:color w:val="000000"/>
                <w:sz w:val="24"/>
                <w:szCs w:val="24"/>
              </w:rPr>
              <w:t>221(d)(4)</w:t>
            </w:r>
            <w:r w:rsidRPr="007805BC" w:rsidR="00C77F23">
              <w:rPr>
                <w:rFonts w:ascii="Times New Roman" w:hAnsi="Times New Roman" w:cs="Times New Roman"/>
                <w:color w:val="000000"/>
                <w:sz w:val="24"/>
                <w:szCs w:val="24"/>
              </w:rPr>
              <w:t xml:space="preserve"> deals</w:t>
            </w:r>
            <w:r w:rsidR="00476912">
              <w:rPr>
                <w:rFonts w:ascii="Times New Roman" w:hAnsi="Times New Roman" w:cs="Times New Roman"/>
                <w:color w:val="000000"/>
                <w:sz w:val="24"/>
                <w:szCs w:val="24"/>
              </w:rPr>
              <w:t>:</w:t>
            </w:r>
          </w:p>
        </w:tc>
        <w:tc>
          <w:tcPr>
            <w:tcW w:w="2881" w:type="dxa"/>
            <w:vAlign w:val="center"/>
          </w:tcPr>
          <w:p w:rsidRPr="007805BC" w:rsidR="00D56665" w:rsidP="004E7D11" w:rsidRDefault="00D56665" w14:paraId="2E9D7CB5" w14:textId="77777777">
            <w:pPr>
              <w:spacing w:after="100" w:line="276" w:lineRule="auto"/>
              <w:rPr>
                <w:rFonts w:ascii="Times New Roman" w:hAnsi="Times New Roman" w:cs="Times New Roman"/>
                <w:sz w:val="24"/>
                <w:szCs w:val="24"/>
              </w:rPr>
            </w:pPr>
            <w:r w:rsidRPr="007805BC">
              <w:rPr>
                <w:rFonts w:ascii="Times New Roman" w:hAnsi="Times New Roman" w:cs="Times New Roman"/>
                <w:sz w:val="24"/>
                <w:szCs w:val="24"/>
              </w:rPr>
              <w:t>62.5% of Net Equity</w:t>
            </w:r>
          </w:p>
          <w:p w:rsidRPr="007805BC" w:rsidR="00C75979" w:rsidP="004E7D11" w:rsidRDefault="00C75979" w14:paraId="63DA38EA" w14:textId="4E24B511">
            <w:pPr>
              <w:spacing w:after="100" w:line="276" w:lineRule="auto"/>
              <w:rPr>
                <w:rFonts w:ascii="Times New Roman" w:hAnsi="Times New Roman" w:cs="Times New Roman"/>
                <w:sz w:val="24"/>
                <w:szCs w:val="24"/>
              </w:rPr>
            </w:pPr>
            <w:r w:rsidRPr="007805BC">
              <w:rPr>
                <w:rFonts w:ascii="Times New Roman" w:hAnsi="Times New Roman" w:cs="Times New Roman"/>
                <w:sz w:val="24"/>
                <w:szCs w:val="24"/>
              </w:rPr>
              <w:t>remaining after initial installment (cumulative)</w:t>
            </w:r>
          </w:p>
        </w:tc>
      </w:tr>
    </w:tbl>
    <w:p w:rsidRPr="00CB6138" w:rsidR="00D56665" w:rsidP="00D56665" w:rsidRDefault="00D56665" w14:paraId="63DA38EC" w14:textId="77777777">
      <w:pPr>
        <w:spacing w:line="276" w:lineRule="auto"/>
        <w:contextualSpacing/>
        <w:rPr>
          <w:rFonts w:ascii="Times New Roman" w:hAnsi="Times New Roman" w:cs="Times New Roman"/>
          <w:sz w:val="24"/>
          <w:szCs w:val="24"/>
          <w:highlight w:val="yellow"/>
        </w:rPr>
      </w:pPr>
    </w:p>
    <w:p w:rsidRPr="00AC1142" w:rsidR="00CD582C" w:rsidP="003C2A0D" w:rsidRDefault="00D56665" w14:paraId="5BCCBF8F" w14:textId="036684E0">
      <w:pPr>
        <w:jc w:val="both"/>
        <w:rPr>
          <w:rFonts w:ascii="Times New Roman" w:hAnsi="Times New Roman" w:cs="Times New Roman"/>
          <w:sz w:val="24"/>
          <w:szCs w:val="24"/>
        </w:rPr>
      </w:pPr>
      <w:r w:rsidRPr="00C34ABE">
        <w:rPr>
          <w:rFonts w:ascii="Times New Roman" w:hAnsi="Times New Roman" w:cs="Times New Roman"/>
          <w:sz w:val="24"/>
          <w:szCs w:val="24"/>
        </w:rPr>
        <w:t xml:space="preserve">Equity investors may fund all or part of the required equity pay-ins defined above, </w:t>
      </w:r>
      <w:r w:rsidR="003D0829">
        <w:rPr>
          <w:rFonts w:ascii="Times New Roman" w:hAnsi="Times New Roman" w:cs="Times New Roman"/>
          <w:sz w:val="24"/>
          <w:szCs w:val="24"/>
        </w:rPr>
        <w:t>except for</w:t>
      </w:r>
      <w:r w:rsidRPr="00C34ABE">
        <w:rPr>
          <w:rFonts w:ascii="Times New Roman" w:hAnsi="Times New Roman" w:cs="Times New Roman"/>
          <w:sz w:val="24"/>
          <w:szCs w:val="24"/>
        </w:rPr>
        <w:t xml:space="preserve"> </w:t>
      </w:r>
      <w:r w:rsidRPr="007805BC" w:rsidR="00472BEC">
        <w:rPr>
          <w:rFonts w:ascii="Times New Roman" w:hAnsi="Times New Roman" w:cs="Times New Roman"/>
          <w:sz w:val="24"/>
          <w:szCs w:val="24"/>
        </w:rPr>
        <w:t xml:space="preserve">half of </w:t>
      </w:r>
      <w:r w:rsidRPr="007805BC">
        <w:rPr>
          <w:rFonts w:ascii="Times New Roman" w:hAnsi="Times New Roman" w:cs="Times New Roman"/>
          <w:sz w:val="24"/>
          <w:szCs w:val="24"/>
        </w:rPr>
        <w:t>the first 20% payment</w:t>
      </w:r>
      <w:r w:rsidRPr="007805BC" w:rsidR="001E1E8B">
        <w:rPr>
          <w:rFonts w:ascii="Times New Roman" w:hAnsi="Times New Roman" w:cs="Times New Roman"/>
          <w:sz w:val="24"/>
          <w:szCs w:val="24"/>
        </w:rPr>
        <w:t xml:space="preserve"> (10% of Total Equity)</w:t>
      </w:r>
      <w:r w:rsidRPr="007805BC">
        <w:rPr>
          <w:rFonts w:ascii="Times New Roman" w:hAnsi="Times New Roman" w:cs="Times New Roman"/>
          <w:sz w:val="24"/>
          <w:szCs w:val="24"/>
        </w:rPr>
        <w:t xml:space="preserve">, with </w:t>
      </w:r>
      <w:r w:rsidRPr="007805BC" w:rsidR="001E1E8B">
        <w:rPr>
          <w:rFonts w:ascii="Times New Roman" w:hAnsi="Times New Roman" w:cs="Times New Roman"/>
          <w:sz w:val="24"/>
          <w:szCs w:val="24"/>
        </w:rPr>
        <w:t>E</w:t>
      </w:r>
      <w:r w:rsidRPr="007805BC">
        <w:rPr>
          <w:rFonts w:ascii="Times New Roman" w:hAnsi="Times New Roman" w:cs="Times New Roman"/>
          <w:sz w:val="24"/>
          <w:szCs w:val="24"/>
        </w:rPr>
        <w:t xml:space="preserve">quity </w:t>
      </w:r>
      <w:r w:rsidRPr="007805BC" w:rsidR="001E1E8B">
        <w:rPr>
          <w:rFonts w:ascii="Times New Roman" w:hAnsi="Times New Roman" w:cs="Times New Roman"/>
          <w:sz w:val="24"/>
          <w:szCs w:val="24"/>
        </w:rPr>
        <w:t>B</w:t>
      </w:r>
      <w:r w:rsidRPr="007805BC">
        <w:rPr>
          <w:rFonts w:ascii="Times New Roman" w:hAnsi="Times New Roman" w:cs="Times New Roman"/>
          <w:sz w:val="24"/>
          <w:szCs w:val="24"/>
        </w:rPr>
        <w:t xml:space="preserve">ridge </w:t>
      </w:r>
      <w:r w:rsidRPr="007805BC" w:rsidR="001E1E8B">
        <w:rPr>
          <w:rFonts w:ascii="Times New Roman" w:hAnsi="Times New Roman" w:cs="Times New Roman"/>
          <w:sz w:val="24"/>
          <w:szCs w:val="24"/>
        </w:rPr>
        <w:t>L</w:t>
      </w:r>
      <w:r w:rsidRPr="007805BC">
        <w:rPr>
          <w:rFonts w:ascii="Times New Roman" w:hAnsi="Times New Roman" w:cs="Times New Roman"/>
          <w:sz w:val="24"/>
          <w:szCs w:val="24"/>
        </w:rPr>
        <w:t>oan</w:t>
      </w:r>
      <w:r w:rsidRPr="007805BC" w:rsidR="001E1E8B">
        <w:rPr>
          <w:rFonts w:ascii="Times New Roman" w:hAnsi="Times New Roman" w:cs="Times New Roman"/>
          <w:sz w:val="24"/>
          <w:szCs w:val="24"/>
        </w:rPr>
        <w:t xml:space="preserve"> proceeds</w:t>
      </w:r>
      <w:r w:rsidRPr="007805BC">
        <w:rPr>
          <w:rFonts w:ascii="Times New Roman" w:hAnsi="Times New Roman" w:cs="Times New Roman"/>
          <w:sz w:val="24"/>
          <w:szCs w:val="24"/>
        </w:rPr>
        <w:t xml:space="preserve"> that meet the requirements described in </w:t>
      </w:r>
      <w:r w:rsidR="000D48B0">
        <w:rPr>
          <w:rFonts w:ascii="Times New Roman" w:hAnsi="Times New Roman" w:cs="Times New Roman"/>
          <w:sz w:val="24"/>
          <w:szCs w:val="24"/>
        </w:rPr>
        <w:t>Section</w:t>
      </w:r>
      <w:r w:rsidRPr="007805BC" w:rsidR="00910C50">
        <w:rPr>
          <w:rFonts w:ascii="Times New Roman" w:hAnsi="Times New Roman" w:cs="Times New Roman"/>
          <w:sz w:val="24"/>
          <w:szCs w:val="24"/>
        </w:rPr>
        <w:t xml:space="preserve"> </w:t>
      </w:r>
      <w:r w:rsidRPr="007805BC" w:rsidR="00CD582C">
        <w:rPr>
          <w:rFonts w:ascii="Times New Roman" w:hAnsi="Times New Roman" w:cs="Times New Roman"/>
          <w:sz w:val="24"/>
          <w:szCs w:val="24"/>
        </w:rPr>
        <w:t>14.1</w:t>
      </w:r>
      <w:r w:rsidR="008A5700">
        <w:rPr>
          <w:rFonts w:ascii="Times New Roman" w:hAnsi="Times New Roman" w:cs="Times New Roman"/>
          <w:sz w:val="24"/>
          <w:szCs w:val="24"/>
        </w:rPr>
        <w:t>5</w:t>
      </w:r>
      <w:r w:rsidRPr="007805BC" w:rsidR="00CD582C">
        <w:rPr>
          <w:rFonts w:ascii="Times New Roman" w:hAnsi="Times New Roman" w:cs="Times New Roman"/>
          <w:sz w:val="24"/>
          <w:szCs w:val="24"/>
        </w:rPr>
        <w:t xml:space="preserve"> below</w:t>
      </w:r>
      <w:r w:rsidRPr="007805BC">
        <w:rPr>
          <w:rFonts w:ascii="Times New Roman" w:hAnsi="Times New Roman" w:cs="Times New Roman"/>
          <w:sz w:val="24"/>
          <w:szCs w:val="24"/>
        </w:rPr>
        <w:t xml:space="preserve">.  </w:t>
      </w:r>
      <w:r w:rsidR="003D0829">
        <w:rPr>
          <w:rFonts w:ascii="Times New Roman" w:hAnsi="Times New Roman" w:cs="Times New Roman"/>
          <w:sz w:val="24"/>
          <w:szCs w:val="24"/>
        </w:rPr>
        <w:t>I</w:t>
      </w:r>
      <w:r w:rsidRPr="007805BC" w:rsidR="00CD582C">
        <w:rPr>
          <w:rFonts w:ascii="Times New Roman" w:hAnsi="Times New Roman" w:cs="Times New Roman"/>
          <w:sz w:val="24"/>
          <w:szCs w:val="24"/>
        </w:rPr>
        <w:t>nvestors</w:t>
      </w:r>
      <w:r w:rsidRPr="007805BC">
        <w:rPr>
          <w:rFonts w:ascii="Times New Roman" w:hAnsi="Times New Roman" w:cs="Times New Roman"/>
          <w:sz w:val="24"/>
          <w:szCs w:val="24"/>
        </w:rPr>
        <w:t xml:space="preserve"> may not substitute any grant or loan funds, other than funds in the form of Equity Bridge Loans as described in </w:t>
      </w:r>
      <w:r w:rsidR="00CA46DC">
        <w:rPr>
          <w:rFonts w:ascii="Times New Roman" w:hAnsi="Times New Roman" w:cs="Times New Roman"/>
          <w:sz w:val="24"/>
          <w:szCs w:val="24"/>
        </w:rPr>
        <w:t>Section</w:t>
      </w:r>
      <w:r w:rsidRPr="007805BC">
        <w:rPr>
          <w:rFonts w:ascii="Times New Roman" w:hAnsi="Times New Roman" w:cs="Times New Roman"/>
          <w:sz w:val="24"/>
          <w:szCs w:val="24"/>
        </w:rPr>
        <w:t xml:space="preserve"> 14.1</w:t>
      </w:r>
      <w:r w:rsidR="004E06C1">
        <w:rPr>
          <w:rFonts w:ascii="Times New Roman" w:hAnsi="Times New Roman" w:cs="Times New Roman"/>
          <w:sz w:val="24"/>
          <w:szCs w:val="24"/>
        </w:rPr>
        <w:t>4</w:t>
      </w:r>
      <w:r w:rsidRPr="007805BC">
        <w:rPr>
          <w:rFonts w:ascii="Times New Roman" w:hAnsi="Times New Roman" w:cs="Times New Roman"/>
          <w:sz w:val="24"/>
          <w:szCs w:val="24"/>
        </w:rPr>
        <w:t xml:space="preserve"> below, for the equity payments.  </w:t>
      </w:r>
      <w:r w:rsidRPr="007805BC" w:rsidR="00DD6EBB">
        <w:rPr>
          <w:rFonts w:ascii="Times New Roman" w:hAnsi="Times New Roman" w:cs="Times New Roman"/>
          <w:sz w:val="24"/>
          <w:szCs w:val="24"/>
        </w:rPr>
        <w:t xml:space="preserve">The </w:t>
      </w:r>
      <w:r w:rsidRPr="007805BC" w:rsidR="004010A1">
        <w:rPr>
          <w:rFonts w:ascii="Times New Roman" w:hAnsi="Times New Roman" w:cs="Times New Roman"/>
          <w:sz w:val="24"/>
          <w:szCs w:val="24"/>
        </w:rPr>
        <w:t>equity</w:t>
      </w:r>
      <w:r w:rsidRPr="007805BC" w:rsidR="00DD6EBB">
        <w:rPr>
          <w:rFonts w:ascii="Times New Roman" w:hAnsi="Times New Roman" w:cs="Times New Roman"/>
          <w:sz w:val="24"/>
          <w:szCs w:val="24"/>
        </w:rPr>
        <w:t xml:space="preserve"> installments noted above </w:t>
      </w:r>
      <w:r w:rsidR="00090551">
        <w:rPr>
          <w:rFonts w:ascii="Times New Roman" w:hAnsi="Times New Roman" w:cs="Times New Roman"/>
          <w:sz w:val="24"/>
          <w:szCs w:val="24"/>
        </w:rPr>
        <w:t>may</w:t>
      </w:r>
      <w:r w:rsidRPr="007805BC" w:rsidR="00DD6EBB">
        <w:rPr>
          <w:rFonts w:ascii="Times New Roman" w:hAnsi="Times New Roman" w:cs="Times New Roman"/>
          <w:sz w:val="24"/>
          <w:szCs w:val="24"/>
        </w:rPr>
        <w:t xml:space="preserve"> be used for mortgageable or non-mortgageable</w:t>
      </w:r>
      <w:r w:rsidR="005C2649">
        <w:rPr>
          <w:rFonts w:ascii="Times New Roman" w:hAnsi="Times New Roman" w:cs="Times New Roman"/>
          <w:sz w:val="24"/>
          <w:szCs w:val="24"/>
        </w:rPr>
        <w:t xml:space="preserve"> costs</w:t>
      </w:r>
      <w:r w:rsidR="005B3CA2">
        <w:rPr>
          <w:rFonts w:ascii="Times New Roman" w:hAnsi="Times New Roman" w:cs="Times New Roman"/>
          <w:sz w:val="24"/>
          <w:szCs w:val="24"/>
        </w:rPr>
        <w:t xml:space="preserve">. </w:t>
      </w:r>
    </w:p>
    <w:p w:rsidRPr="00CB6138" w:rsidR="00D56665" w:rsidP="00D56665" w:rsidRDefault="00D56665" w14:paraId="63DA38ED" w14:textId="47705AB5">
      <w:pPr>
        <w:spacing w:line="276" w:lineRule="auto"/>
        <w:contextualSpacing/>
        <w:jc w:val="both"/>
        <w:rPr>
          <w:rFonts w:ascii="Times New Roman" w:hAnsi="Times New Roman" w:cs="Times New Roman"/>
          <w:sz w:val="24"/>
          <w:szCs w:val="24"/>
        </w:rPr>
      </w:pPr>
    </w:p>
    <w:p w:rsidRPr="002A504C" w:rsidR="00D56665" w:rsidP="00D56665" w:rsidRDefault="00D56665" w14:paraId="63DA38EF" w14:textId="0F04448B">
      <w:pPr>
        <w:numPr>
          <w:ilvl w:val="0"/>
          <w:numId w:val="12"/>
        </w:numPr>
        <w:spacing w:line="276" w:lineRule="auto"/>
        <w:ind w:left="360"/>
        <w:contextualSpacing/>
        <w:jc w:val="both"/>
        <w:rPr>
          <w:rFonts w:ascii="Times New Roman" w:hAnsi="Times New Roman" w:cs="Times New Roman"/>
          <w:sz w:val="24"/>
          <w:szCs w:val="24"/>
        </w:rPr>
      </w:pPr>
      <w:r w:rsidRPr="005357A5">
        <w:rPr>
          <w:rFonts w:ascii="Times New Roman" w:hAnsi="Times New Roman" w:cs="Times New Roman"/>
          <w:sz w:val="24"/>
          <w:szCs w:val="24"/>
        </w:rPr>
        <w:t xml:space="preserve">Definition of “Net Equity”.  </w:t>
      </w:r>
      <w:r w:rsidRPr="002A504C">
        <w:rPr>
          <w:rFonts w:ascii="Times New Roman" w:hAnsi="Times New Roman" w:cs="Times New Roman"/>
          <w:sz w:val="24"/>
          <w:szCs w:val="24"/>
        </w:rPr>
        <w:t>The term “Net Equity” is equal to Total Equity</w:t>
      </w:r>
      <w:r w:rsidR="005F1825">
        <w:rPr>
          <w:rFonts w:ascii="Times New Roman" w:hAnsi="Times New Roman" w:cs="Times New Roman"/>
          <w:sz w:val="24"/>
          <w:szCs w:val="24"/>
        </w:rPr>
        <w:t xml:space="preserve"> less the init</w:t>
      </w:r>
      <w:r w:rsidRPr="002A504C" w:rsidR="004010A1">
        <w:rPr>
          <w:rFonts w:ascii="Times New Roman" w:hAnsi="Times New Roman" w:cs="Times New Roman"/>
          <w:sz w:val="24"/>
          <w:szCs w:val="24"/>
        </w:rPr>
        <w:t xml:space="preserve">ial 20% installment </w:t>
      </w:r>
      <w:r w:rsidRPr="002A504C">
        <w:rPr>
          <w:rFonts w:ascii="Times New Roman" w:hAnsi="Times New Roman" w:cs="Times New Roman"/>
          <w:sz w:val="24"/>
          <w:szCs w:val="24"/>
        </w:rPr>
        <w:t xml:space="preserve">less 1) “Delayed” Developer Fees for amounts due after the completion of repairs or construction and </w:t>
      </w:r>
      <w:r w:rsidRPr="002A504C" w:rsidR="008C29FF">
        <w:rPr>
          <w:rFonts w:ascii="Times New Roman" w:hAnsi="Times New Roman" w:cs="Times New Roman"/>
          <w:sz w:val="24"/>
          <w:szCs w:val="24"/>
        </w:rPr>
        <w:t>2</w:t>
      </w:r>
      <w:r w:rsidRPr="002A504C">
        <w:rPr>
          <w:rFonts w:ascii="Times New Roman" w:hAnsi="Times New Roman" w:cs="Times New Roman"/>
          <w:sz w:val="24"/>
          <w:szCs w:val="24"/>
        </w:rPr>
        <w:t>) predetermined reserve amounts to be held by the investor for project uses after the time of the final pay</w:t>
      </w:r>
      <w:r w:rsidR="00C3365E">
        <w:rPr>
          <w:rFonts w:ascii="Times New Roman" w:hAnsi="Times New Roman" w:cs="Times New Roman"/>
          <w:sz w:val="24"/>
          <w:szCs w:val="24"/>
        </w:rPr>
        <w:t>-</w:t>
      </w:r>
      <w:r w:rsidRPr="002A504C">
        <w:rPr>
          <w:rFonts w:ascii="Times New Roman" w:hAnsi="Times New Roman" w:cs="Times New Roman"/>
          <w:sz w:val="24"/>
          <w:szCs w:val="24"/>
        </w:rPr>
        <w:t>in noted in the schedule above.  Reserves allowed for this calculation may include only amounts that are required in the project’s Partnership Agreement or LLC Operating Agreement</w:t>
      </w:r>
      <w:r w:rsidRPr="002A504C" w:rsidR="001B35AE">
        <w:rPr>
          <w:rFonts w:ascii="Times New Roman" w:hAnsi="Times New Roman" w:cs="Times New Roman"/>
          <w:sz w:val="24"/>
          <w:szCs w:val="24"/>
        </w:rPr>
        <w:t xml:space="preserve"> </w:t>
      </w:r>
      <w:r w:rsidRPr="002A504C" w:rsidR="00E42041">
        <w:rPr>
          <w:rFonts w:ascii="Times New Roman" w:hAnsi="Times New Roman" w:cs="Times New Roman"/>
          <w:sz w:val="24"/>
          <w:szCs w:val="24"/>
        </w:rPr>
        <w:t>but excludes</w:t>
      </w:r>
      <w:r w:rsidRPr="002A504C" w:rsidR="001B35AE">
        <w:rPr>
          <w:rFonts w:ascii="Times New Roman" w:hAnsi="Times New Roman" w:cs="Times New Roman"/>
          <w:sz w:val="24"/>
          <w:szCs w:val="24"/>
        </w:rPr>
        <w:t xml:space="preserve"> those specifically required by HUD</w:t>
      </w:r>
      <w:r w:rsidRPr="002A504C">
        <w:rPr>
          <w:rFonts w:ascii="Times New Roman" w:hAnsi="Times New Roman" w:cs="Times New Roman"/>
          <w:sz w:val="24"/>
          <w:szCs w:val="24"/>
        </w:rPr>
        <w:t xml:space="preserve">.  </w:t>
      </w:r>
      <w:r w:rsidRPr="002A504C" w:rsidR="00A11093">
        <w:rPr>
          <w:rFonts w:ascii="Times New Roman" w:hAnsi="Times New Roman" w:cs="Times New Roman"/>
          <w:sz w:val="24"/>
          <w:szCs w:val="24"/>
        </w:rPr>
        <w:t xml:space="preserve">Allowable items </w:t>
      </w:r>
      <w:r w:rsidRPr="002A504C">
        <w:rPr>
          <w:rFonts w:ascii="Times New Roman" w:hAnsi="Times New Roman" w:cs="Times New Roman"/>
          <w:sz w:val="24"/>
          <w:szCs w:val="24"/>
        </w:rPr>
        <w:t>include Lease Up Fees and Escrows, Operating and Debt Service Reserves, Section 8 HAP Contract Transition Reserves, Replacement Reserves, and State Agency Administrative Fees or Escrows</w:t>
      </w:r>
      <w:r w:rsidRPr="002A504C" w:rsidR="00C04E4C">
        <w:rPr>
          <w:rFonts w:ascii="Times New Roman" w:hAnsi="Times New Roman" w:cs="Times New Roman"/>
          <w:sz w:val="24"/>
          <w:szCs w:val="24"/>
        </w:rPr>
        <w:t>, not otherwise required by HUD</w:t>
      </w:r>
      <w:r w:rsidRPr="002A504C">
        <w:rPr>
          <w:rFonts w:ascii="Times New Roman" w:hAnsi="Times New Roman" w:cs="Times New Roman"/>
          <w:sz w:val="24"/>
          <w:szCs w:val="24"/>
        </w:rPr>
        <w:t xml:space="preserve">.  </w:t>
      </w:r>
      <w:r w:rsidRPr="002A504C" w:rsidR="00F57650">
        <w:rPr>
          <w:rFonts w:ascii="Times New Roman" w:hAnsi="Times New Roman" w:cs="Times New Roman"/>
          <w:sz w:val="24"/>
          <w:szCs w:val="24"/>
        </w:rPr>
        <w:t xml:space="preserve">The total deductions used to determine Net Equity may not exceed 25% of Total Equity.  </w:t>
      </w:r>
      <w:r w:rsidRPr="002A504C">
        <w:rPr>
          <w:rFonts w:ascii="Times New Roman" w:hAnsi="Times New Roman" w:cs="Times New Roman"/>
          <w:sz w:val="24"/>
          <w:szCs w:val="24"/>
        </w:rPr>
        <w:t>When calculating the pay-in amounts</w:t>
      </w:r>
      <w:r w:rsidR="003F4F8B">
        <w:rPr>
          <w:rFonts w:ascii="Times New Roman" w:hAnsi="Times New Roman" w:cs="Times New Roman"/>
          <w:sz w:val="24"/>
          <w:szCs w:val="24"/>
        </w:rPr>
        <w:t xml:space="preserve"> due at the benchmarks </w:t>
      </w:r>
      <w:r w:rsidR="0082597B">
        <w:rPr>
          <w:rFonts w:ascii="Times New Roman" w:hAnsi="Times New Roman" w:cs="Times New Roman"/>
          <w:sz w:val="24"/>
          <w:szCs w:val="24"/>
        </w:rPr>
        <w:t xml:space="preserve">listed </w:t>
      </w:r>
      <w:r w:rsidR="003F4F8B">
        <w:rPr>
          <w:rFonts w:ascii="Times New Roman" w:hAnsi="Times New Roman" w:cs="Times New Roman"/>
          <w:sz w:val="24"/>
          <w:szCs w:val="24"/>
        </w:rPr>
        <w:t>on the chart above</w:t>
      </w:r>
      <w:r w:rsidRPr="002A504C">
        <w:rPr>
          <w:rFonts w:ascii="Times New Roman" w:hAnsi="Times New Roman" w:cs="Times New Roman"/>
          <w:sz w:val="24"/>
          <w:szCs w:val="24"/>
        </w:rPr>
        <w:t xml:space="preserve">, owners must first reduce the total amount of equity committed to the project by the </w:t>
      </w:r>
      <w:r w:rsidR="00B051FB">
        <w:rPr>
          <w:rFonts w:ascii="Times New Roman" w:hAnsi="Times New Roman" w:cs="Times New Roman"/>
          <w:sz w:val="24"/>
          <w:szCs w:val="24"/>
        </w:rPr>
        <w:t xml:space="preserve">initial installment and the </w:t>
      </w:r>
      <w:r w:rsidR="0082597B">
        <w:rPr>
          <w:rFonts w:ascii="Times New Roman" w:hAnsi="Times New Roman" w:cs="Times New Roman"/>
          <w:sz w:val="24"/>
          <w:szCs w:val="24"/>
        </w:rPr>
        <w:t>allowable deductions</w:t>
      </w:r>
      <w:r w:rsidRPr="002A504C">
        <w:rPr>
          <w:rFonts w:ascii="Times New Roman" w:hAnsi="Times New Roman" w:cs="Times New Roman"/>
          <w:sz w:val="24"/>
          <w:szCs w:val="24"/>
        </w:rPr>
        <w:t xml:space="preserve">, and apply the </w:t>
      </w:r>
      <w:r w:rsidRPr="002A504C">
        <w:rPr>
          <w:rFonts w:ascii="Times New Roman" w:hAnsi="Times New Roman" w:cs="Times New Roman"/>
          <w:sz w:val="24"/>
          <w:szCs w:val="24"/>
        </w:rPr>
        <w:lastRenderedPageBreak/>
        <w:t>payment percentages above</w:t>
      </w:r>
      <w:r w:rsidR="0078638F">
        <w:rPr>
          <w:rFonts w:ascii="Times New Roman" w:hAnsi="Times New Roman" w:cs="Times New Roman"/>
          <w:sz w:val="24"/>
          <w:szCs w:val="24"/>
        </w:rPr>
        <w:t xml:space="preserve"> (37.5% and 62.5%</w:t>
      </w:r>
      <w:r w:rsidR="00D44A97">
        <w:rPr>
          <w:rFonts w:ascii="Times New Roman" w:hAnsi="Times New Roman" w:cs="Times New Roman"/>
          <w:sz w:val="24"/>
          <w:szCs w:val="24"/>
        </w:rPr>
        <w:t xml:space="preserve"> respectively)</w:t>
      </w:r>
      <w:r w:rsidRPr="002A504C">
        <w:rPr>
          <w:rFonts w:ascii="Times New Roman" w:hAnsi="Times New Roman" w:cs="Times New Roman"/>
          <w:sz w:val="24"/>
          <w:szCs w:val="24"/>
        </w:rPr>
        <w:t xml:space="preserve"> to the remaining or “Net” Equity. </w:t>
      </w:r>
      <w:r w:rsidR="00D44A97">
        <w:rPr>
          <w:rFonts w:ascii="Times New Roman" w:hAnsi="Times New Roman" w:cs="Times New Roman"/>
          <w:sz w:val="24"/>
          <w:szCs w:val="24"/>
        </w:rPr>
        <w:t xml:space="preserve"> </w:t>
      </w:r>
      <w:r w:rsidRPr="002A504C">
        <w:rPr>
          <w:rFonts w:ascii="Times New Roman" w:hAnsi="Times New Roman" w:cs="Times New Roman"/>
          <w:sz w:val="24"/>
          <w:szCs w:val="24"/>
        </w:rPr>
        <w:t xml:space="preserve">This calculation, specifying each applicable use, must be provided to HUD </w:t>
      </w:r>
      <w:r w:rsidRPr="002A504C" w:rsidR="00D40CD5">
        <w:rPr>
          <w:rFonts w:ascii="Times New Roman" w:hAnsi="Times New Roman" w:cs="Times New Roman"/>
          <w:sz w:val="24"/>
          <w:szCs w:val="24"/>
        </w:rPr>
        <w:t xml:space="preserve">on the </w:t>
      </w:r>
      <w:r w:rsidR="002D43CA">
        <w:rPr>
          <w:rFonts w:ascii="Times New Roman" w:hAnsi="Times New Roman" w:cs="Times New Roman"/>
          <w:sz w:val="24"/>
          <w:szCs w:val="24"/>
        </w:rPr>
        <w:t xml:space="preserve">HUD-92013-C, LIHTC Summary Report </w:t>
      </w:r>
      <w:r w:rsidRPr="002A504C" w:rsidR="000B072E">
        <w:rPr>
          <w:rFonts w:ascii="Times New Roman" w:hAnsi="Times New Roman" w:cs="Times New Roman"/>
          <w:sz w:val="24"/>
          <w:szCs w:val="24"/>
        </w:rPr>
        <w:t xml:space="preserve">included </w:t>
      </w:r>
      <w:r w:rsidRPr="002A504C">
        <w:rPr>
          <w:rFonts w:ascii="Times New Roman" w:hAnsi="Times New Roman" w:cs="Times New Roman"/>
          <w:sz w:val="24"/>
          <w:szCs w:val="24"/>
        </w:rPr>
        <w:t xml:space="preserve">in the FHA insurance application. </w:t>
      </w:r>
    </w:p>
    <w:p w:rsidRPr="007805BC" w:rsidR="00D56665" w:rsidP="00D56665" w:rsidRDefault="00D56665" w14:paraId="63DA38F0" w14:textId="77777777">
      <w:pPr>
        <w:spacing w:line="276" w:lineRule="auto"/>
        <w:ind w:left="360"/>
        <w:contextualSpacing/>
        <w:jc w:val="both"/>
        <w:rPr>
          <w:rFonts w:ascii="Times New Roman" w:hAnsi="Times New Roman" w:cs="Times New Roman"/>
          <w:sz w:val="24"/>
          <w:szCs w:val="24"/>
        </w:rPr>
      </w:pPr>
    </w:p>
    <w:p w:rsidRPr="007805BC" w:rsidR="00D56665" w:rsidP="00D56665" w:rsidRDefault="00D56665" w14:paraId="63DA38F1" w14:textId="77777777">
      <w:pPr>
        <w:numPr>
          <w:ilvl w:val="0"/>
          <w:numId w:val="12"/>
        </w:numPr>
        <w:spacing w:line="276" w:lineRule="auto"/>
        <w:ind w:left="360"/>
        <w:contextualSpacing/>
        <w:jc w:val="both"/>
        <w:rPr>
          <w:rFonts w:ascii="Times New Roman" w:hAnsi="Times New Roman" w:cs="Times New Roman"/>
          <w:sz w:val="24"/>
          <w:szCs w:val="24"/>
        </w:rPr>
      </w:pPr>
      <w:r w:rsidRPr="007805BC">
        <w:rPr>
          <w:rFonts w:ascii="Times New Roman" w:hAnsi="Times New Roman" w:cs="Times New Roman"/>
          <w:sz w:val="24"/>
          <w:szCs w:val="24"/>
        </w:rPr>
        <w:t>An example of the calculation of the Net Equity amount, and the resultant pay-in schedule, is provided below:</w:t>
      </w:r>
    </w:p>
    <w:p w:rsidRPr="007805BC" w:rsidR="00D56665" w:rsidP="00D56665" w:rsidRDefault="00D56665" w14:paraId="63DA38F2" w14:textId="77777777">
      <w:pPr>
        <w:spacing w:line="276" w:lineRule="auto"/>
        <w:rPr>
          <w:rFonts w:ascii="Times New Roman" w:hAnsi="Times New Roman" w:cs="Times New Roman"/>
          <w:sz w:val="24"/>
          <w:szCs w:val="24"/>
        </w:rPr>
      </w:pPr>
    </w:p>
    <w:p w:rsidRPr="007805BC" w:rsidR="00D56665" w:rsidP="00D56665" w:rsidRDefault="00D56665" w14:paraId="63DA38F5" w14:textId="091950D0">
      <w:pPr>
        <w:tabs>
          <w:tab w:val="left" w:pos="1080"/>
        </w:tabs>
        <w:spacing w:line="276" w:lineRule="auto"/>
        <w:rPr>
          <w:rFonts w:ascii="Times New Roman" w:hAnsi="Times New Roman" w:cs="Times New Roman"/>
          <w:sz w:val="24"/>
          <w:szCs w:val="24"/>
          <w:u w:val="single"/>
        </w:rPr>
      </w:pPr>
      <w:r w:rsidRPr="007805BC">
        <w:rPr>
          <w:rFonts w:ascii="Times New Roman" w:hAnsi="Times New Roman" w:cs="Times New Roman"/>
          <w:sz w:val="24"/>
          <w:szCs w:val="24"/>
          <w:u w:val="single"/>
        </w:rPr>
        <w:t xml:space="preserve">Net Equity = </w:t>
      </w:r>
      <w:r w:rsidRPr="007805BC" w:rsidR="009D5D54">
        <w:rPr>
          <w:rFonts w:ascii="Times New Roman" w:hAnsi="Times New Roman" w:cs="Times New Roman"/>
          <w:sz w:val="24"/>
          <w:szCs w:val="24"/>
          <w:u w:val="single"/>
        </w:rPr>
        <w:t>(</w:t>
      </w:r>
      <w:r w:rsidRPr="007805BC">
        <w:rPr>
          <w:rFonts w:ascii="Times New Roman" w:hAnsi="Times New Roman" w:cs="Times New Roman"/>
          <w:sz w:val="24"/>
          <w:szCs w:val="24"/>
          <w:u w:val="single"/>
        </w:rPr>
        <w:t>Total Equity</w:t>
      </w:r>
      <w:r w:rsidRPr="007805BC" w:rsidR="009D5D54">
        <w:rPr>
          <w:rFonts w:ascii="Times New Roman" w:hAnsi="Times New Roman" w:cs="Times New Roman"/>
          <w:sz w:val="24"/>
          <w:szCs w:val="24"/>
          <w:u w:val="single"/>
        </w:rPr>
        <w:t>) –</w:t>
      </w:r>
      <w:r w:rsidRPr="007805BC">
        <w:rPr>
          <w:rFonts w:ascii="Times New Roman" w:hAnsi="Times New Roman" w:cs="Times New Roman"/>
          <w:sz w:val="24"/>
          <w:szCs w:val="24"/>
          <w:u w:val="single"/>
        </w:rPr>
        <w:t xml:space="preserve"> </w:t>
      </w:r>
      <w:r w:rsidRPr="007805BC" w:rsidR="009D5D54">
        <w:rPr>
          <w:rFonts w:ascii="Times New Roman" w:hAnsi="Times New Roman" w:cs="Times New Roman"/>
          <w:sz w:val="24"/>
          <w:szCs w:val="24"/>
          <w:u w:val="single"/>
        </w:rPr>
        <w:t>(</w:t>
      </w:r>
      <w:r w:rsidRPr="007805BC">
        <w:rPr>
          <w:rFonts w:ascii="Times New Roman" w:hAnsi="Times New Roman" w:cs="Times New Roman"/>
          <w:sz w:val="24"/>
          <w:szCs w:val="24"/>
          <w:u w:val="single"/>
        </w:rPr>
        <w:t>Equity Pay In #1</w:t>
      </w:r>
      <w:r w:rsidRPr="007805BC" w:rsidR="009D5D54">
        <w:rPr>
          <w:rFonts w:ascii="Times New Roman" w:hAnsi="Times New Roman" w:cs="Times New Roman"/>
          <w:sz w:val="24"/>
          <w:szCs w:val="24"/>
          <w:u w:val="single"/>
        </w:rPr>
        <w:t>) – (</w:t>
      </w:r>
      <w:r w:rsidRPr="007805BC" w:rsidR="00595628">
        <w:rPr>
          <w:rFonts w:ascii="Times New Roman" w:hAnsi="Times New Roman" w:cs="Times New Roman"/>
          <w:sz w:val="24"/>
          <w:szCs w:val="24"/>
          <w:u w:val="single"/>
        </w:rPr>
        <w:t xml:space="preserve">Allowed </w:t>
      </w:r>
      <w:r w:rsidR="00585A87">
        <w:rPr>
          <w:rFonts w:ascii="Times New Roman" w:hAnsi="Times New Roman" w:cs="Times New Roman"/>
          <w:sz w:val="24"/>
          <w:szCs w:val="24"/>
          <w:u w:val="single"/>
        </w:rPr>
        <w:t>D</w:t>
      </w:r>
      <w:r w:rsidRPr="007805BC" w:rsidR="00595628">
        <w:rPr>
          <w:rFonts w:ascii="Times New Roman" w:hAnsi="Times New Roman" w:cs="Times New Roman"/>
          <w:sz w:val="24"/>
          <w:szCs w:val="24"/>
          <w:u w:val="single"/>
        </w:rPr>
        <w:t>eductions</w:t>
      </w:r>
      <w:r w:rsidRPr="007805BC" w:rsidR="009D5D54">
        <w:rPr>
          <w:rFonts w:ascii="Times New Roman" w:hAnsi="Times New Roman" w:cs="Times New Roman"/>
          <w:sz w:val="24"/>
          <w:szCs w:val="24"/>
          <w:u w:val="single"/>
        </w:rPr>
        <w:t>)</w:t>
      </w:r>
      <w:r w:rsidRPr="007805BC" w:rsidR="006C4B3C">
        <w:rPr>
          <w:rFonts w:ascii="Times New Roman" w:hAnsi="Times New Roman" w:cs="Times New Roman"/>
          <w:sz w:val="24"/>
          <w:szCs w:val="24"/>
          <w:u w:val="single"/>
        </w:rPr>
        <w:t xml:space="preserve"> </w:t>
      </w:r>
    </w:p>
    <w:p w:rsidRPr="007805BC" w:rsidR="009D5D54" w:rsidP="006C4B3C" w:rsidRDefault="009D5D54" w14:paraId="0072B68E" w14:textId="77777777">
      <w:pPr>
        <w:tabs>
          <w:tab w:val="left" w:pos="720"/>
        </w:tabs>
        <w:spacing w:line="276" w:lineRule="auto"/>
        <w:rPr>
          <w:rFonts w:ascii="Times New Roman" w:hAnsi="Times New Roman" w:cs="Times New Roman"/>
          <w:b/>
          <w:sz w:val="24"/>
          <w:szCs w:val="24"/>
          <w:u w:val="single"/>
        </w:rPr>
      </w:pPr>
    </w:p>
    <w:p w:rsidRPr="005357A5" w:rsidR="006C4B3C" w:rsidP="006C4B3C" w:rsidRDefault="006C4B3C" w14:paraId="3DD357B7" w14:textId="4FD9CEBF">
      <w:pPr>
        <w:tabs>
          <w:tab w:val="left" w:pos="720"/>
        </w:tabs>
        <w:spacing w:line="276" w:lineRule="auto"/>
        <w:rPr>
          <w:rFonts w:ascii="Times New Roman" w:hAnsi="Times New Roman" w:cs="Times New Roman"/>
          <w:b/>
          <w:sz w:val="24"/>
          <w:szCs w:val="24"/>
        </w:rPr>
      </w:pPr>
      <w:r w:rsidRPr="005357A5">
        <w:rPr>
          <w:rFonts w:ascii="Times New Roman" w:hAnsi="Times New Roman" w:cs="Times New Roman"/>
          <w:b/>
          <w:sz w:val="24"/>
          <w:szCs w:val="24"/>
        </w:rPr>
        <w:t xml:space="preserve">Total Equity or Gross </w:t>
      </w:r>
      <w:r w:rsidRPr="005357A5" w:rsidR="0040053E">
        <w:rPr>
          <w:rFonts w:ascii="Times New Roman" w:hAnsi="Times New Roman" w:cs="Times New Roman"/>
          <w:b/>
          <w:sz w:val="24"/>
          <w:szCs w:val="24"/>
        </w:rPr>
        <w:t xml:space="preserve">Proceeds </w:t>
      </w:r>
      <w:r w:rsidRPr="005357A5" w:rsidR="0040053E">
        <w:rPr>
          <w:rFonts w:ascii="Times New Roman" w:hAnsi="Times New Roman" w:cs="Times New Roman"/>
          <w:b/>
          <w:sz w:val="24"/>
          <w:szCs w:val="24"/>
        </w:rPr>
        <w:tab/>
      </w:r>
      <w:r w:rsidRPr="005357A5">
        <w:rPr>
          <w:rFonts w:ascii="Times New Roman" w:hAnsi="Times New Roman" w:cs="Times New Roman"/>
          <w:b/>
          <w:sz w:val="24"/>
          <w:szCs w:val="24"/>
        </w:rPr>
        <w:t>$7,500,000</w:t>
      </w:r>
    </w:p>
    <w:p w:rsidRPr="00960C22" w:rsidR="00960C22" w:rsidP="00D56665" w:rsidRDefault="00960C22" w14:paraId="07CD1AD6" w14:textId="045BB1FB">
      <w:pPr>
        <w:tabs>
          <w:tab w:val="left" w:pos="1080"/>
        </w:tabs>
        <w:spacing w:line="276" w:lineRule="auto"/>
        <w:rPr>
          <w:rFonts w:ascii="Times New Roman" w:hAnsi="Times New Roman" w:cs="Times New Roman"/>
          <w:sz w:val="24"/>
          <w:szCs w:val="24"/>
        </w:rPr>
      </w:pPr>
      <w:r>
        <w:rPr>
          <w:rFonts w:ascii="Times New Roman" w:hAnsi="Times New Roman" w:cs="Times New Roman"/>
          <w:sz w:val="24"/>
          <w:szCs w:val="24"/>
        </w:rPr>
        <w:t>Less Payment #1a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$1,500,000 (20% of Total Equity)</w:t>
      </w:r>
    </w:p>
    <w:p w:rsidRPr="007805BC" w:rsidR="00D56665" w:rsidP="00960C22" w:rsidRDefault="00D56665" w14:paraId="63DA38F6" w14:textId="4870646E">
      <w:pPr>
        <w:tabs>
          <w:tab w:val="left" w:pos="1080"/>
        </w:tabs>
        <w:spacing w:line="276" w:lineRule="auto"/>
        <w:ind w:left="3600" w:hanging="3600"/>
        <w:rPr>
          <w:rFonts w:ascii="Times New Roman" w:hAnsi="Times New Roman" w:cs="Times New Roman"/>
          <w:sz w:val="24"/>
          <w:szCs w:val="24"/>
          <w:u w:val="single"/>
        </w:rPr>
      </w:pPr>
      <w:r w:rsidRPr="007805BC">
        <w:rPr>
          <w:rFonts w:ascii="Times New Roman" w:hAnsi="Times New Roman" w:cs="Times New Roman"/>
          <w:sz w:val="24"/>
          <w:szCs w:val="24"/>
          <w:u w:val="single"/>
        </w:rPr>
        <w:t>Less Payment #1</w:t>
      </w:r>
      <w:r w:rsidR="00960C22">
        <w:rPr>
          <w:rFonts w:ascii="Times New Roman" w:hAnsi="Times New Roman" w:cs="Times New Roman"/>
          <w:sz w:val="24"/>
          <w:szCs w:val="24"/>
          <w:u w:val="single"/>
        </w:rPr>
        <w:t>b</w:t>
      </w:r>
      <w:r w:rsidRPr="007805BC">
        <w:rPr>
          <w:rFonts w:ascii="Times New Roman" w:hAnsi="Times New Roman" w:cs="Times New Roman"/>
          <w:sz w:val="24"/>
          <w:szCs w:val="24"/>
          <w:u w:val="single"/>
        </w:rPr>
        <w:tab/>
        <w:t>$1,500,000 (</w:t>
      </w:r>
      <w:r w:rsidR="00165B7E">
        <w:rPr>
          <w:rFonts w:ascii="Times New Roman" w:hAnsi="Times New Roman" w:cs="Times New Roman"/>
          <w:sz w:val="24"/>
          <w:szCs w:val="24"/>
          <w:u w:val="single"/>
        </w:rPr>
        <w:t xml:space="preserve">any </w:t>
      </w:r>
      <w:r w:rsidR="00960C22">
        <w:rPr>
          <w:rFonts w:ascii="Times New Roman" w:hAnsi="Times New Roman" w:cs="Times New Roman"/>
          <w:sz w:val="24"/>
          <w:szCs w:val="24"/>
          <w:u w:val="single"/>
        </w:rPr>
        <w:t>combination of at least 1</w:t>
      </w:r>
      <w:r w:rsidRPr="007805BC">
        <w:rPr>
          <w:rFonts w:ascii="Times New Roman" w:hAnsi="Times New Roman" w:cs="Times New Roman"/>
          <w:sz w:val="24"/>
          <w:szCs w:val="24"/>
          <w:u w:val="single"/>
        </w:rPr>
        <w:t>0% Total Equi</w:t>
      </w:r>
      <w:r w:rsidR="00960C22">
        <w:rPr>
          <w:rFonts w:ascii="Times New Roman" w:hAnsi="Times New Roman" w:cs="Times New Roman"/>
          <w:sz w:val="24"/>
          <w:szCs w:val="24"/>
          <w:u w:val="single"/>
        </w:rPr>
        <w:t xml:space="preserve">ty </w:t>
      </w:r>
      <w:r w:rsidR="009969D3">
        <w:rPr>
          <w:rFonts w:ascii="Times New Roman" w:hAnsi="Times New Roman" w:cs="Times New Roman"/>
          <w:sz w:val="24"/>
          <w:szCs w:val="24"/>
          <w:u w:val="single"/>
        </w:rPr>
        <w:t xml:space="preserve">  </w:t>
      </w:r>
      <w:r w:rsidR="00960C22">
        <w:rPr>
          <w:rFonts w:ascii="Times New Roman" w:hAnsi="Times New Roman" w:cs="Times New Roman"/>
          <w:sz w:val="24"/>
          <w:szCs w:val="24"/>
          <w:u w:val="single"/>
        </w:rPr>
        <w:t>&amp; 10% or less Equity Bridge Loan</w:t>
      </w:r>
      <w:r w:rsidRPr="007805BC">
        <w:rPr>
          <w:rFonts w:ascii="Times New Roman" w:hAnsi="Times New Roman" w:cs="Times New Roman"/>
          <w:sz w:val="24"/>
          <w:szCs w:val="24"/>
          <w:u w:val="single"/>
        </w:rPr>
        <w:t>)</w:t>
      </w:r>
    </w:p>
    <w:p w:rsidR="004E1C97" w:rsidP="00E43564" w:rsidRDefault="00D56665" w14:paraId="13E5C928" w14:textId="21C4ADD6">
      <w:pPr>
        <w:tabs>
          <w:tab w:val="left" w:pos="1080"/>
        </w:tabs>
        <w:spacing w:line="276" w:lineRule="auto"/>
        <w:rPr>
          <w:rFonts w:ascii="Times New Roman" w:hAnsi="Times New Roman" w:cs="Times New Roman"/>
          <w:sz w:val="24"/>
          <w:szCs w:val="24"/>
        </w:rPr>
      </w:pPr>
      <w:r w:rsidRPr="007805BC">
        <w:rPr>
          <w:rFonts w:ascii="Times New Roman" w:hAnsi="Times New Roman" w:cs="Times New Roman"/>
          <w:sz w:val="24"/>
          <w:szCs w:val="24"/>
        </w:rPr>
        <w:t xml:space="preserve">Less Allowed </w:t>
      </w:r>
      <w:r w:rsidR="00C71A9A">
        <w:rPr>
          <w:rFonts w:ascii="Times New Roman" w:hAnsi="Times New Roman" w:cs="Times New Roman"/>
          <w:sz w:val="24"/>
          <w:szCs w:val="24"/>
        </w:rPr>
        <w:t>D</w:t>
      </w:r>
      <w:r w:rsidRPr="007805BC">
        <w:rPr>
          <w:rFonts w:ascii="Times New Roman" w:hAnsi="Times New Roman" w:cs="Times New Roman"/>
          <w:sz w:val="24"/>
          <w:szCs w:val="24"/>
        </w:rPr>
        <w:t xml:space="preserve">eductions Not to </w:t>
      </w:r>
    </w:p>
    <w:p w:rsidR="004E1C97" w:rsidRDefault="00D56665" w14:paraId="26F088CB" w14:textId="77777777">
      <w:pPr>
        <w:tabs>
          <w:tab w:val="left" w:pos="1080"/>
        </w:tabs>
        <w:spacing w:line="276" w:lineRule="auto"/>
        <w:rPr>
          <w:rFonts w:ascii="Times New Roman" w:hAnsi="Times New Roman" w:cs="Times New Roman"/>
          <w:sz w:val="24"/>
          <w:szCs w:val="24"/>
        </w:rPr>
      </w:pPr>
      <w:r w:rsidRPr="007805BC">
        <w:rPr>
          <w:rFonts w:ascii="Times New Roman" w:hAnsi="Times New Roman" w:cs="Times New Roman"/>
          <w:sz w:val="24"/>
          <w:szCs w:val="24"/>
        </w:rPr>
        <w:t>Exceed 25% of Total Equity</w:t>
      </w:r>
    </w:p>
    <w:p w:rsidRPr="007805BC" w:rsidR="00D56665" w:rsidP="005357A5" w:rsidRDefault="00D56665" w14:paraId="63DA38F8" w14:textId="187CC794">
      <w:pPr>
        <w:tabs>
          <w:tab w:val="left" w:pos="1080"/>
        </w:tabs>
        <w:spacing w:line="276" w:lineRule="auto"/>
        <w:rPr>
          <w:rFonts w:ascii="Times New Roman" w:hAnsi="Times New Roman" w:cs="Times New Roman"/>
          <w:sz w:val="24"/>
          <w:szCs w:val="24"/>
        </w:rPr>
      </w:pPr>
      <w:r w:rsidRPr="007805BC">
        <w:rPr>
          <w:rFonts w:ascii="Times New Roman" w:hAnsi="Times New Roman" w:cs="Times New Roman"/>
          <w:sz w:val="24"/>
          <w:szCs w:val="24"/>
        </w:rPr>
        <w:t>(25% x $7,500,000</w:t>
      </w:r>
      <w:r w:rsidR="00C71A9A">
        <w:rPr>
          <w:rFonts w:ascii="Times New Roman" w:hAnsi="Times New Roman" w:cs="Times New Roman"/>
          <w:sz w:val="24"/>
          <w:szCs w:val="24"/>
        </w:rPr>
        <w:t xml:space="preserve">)                        </w:t>
      </w:r>
      <w:r w:rsidRPr="007805BC">
        <w:rPr>
          <w:rFonts w:ascii="Times New Roman" w:hAnsi="Times New Roman" w:cs="Times New Roman"/>
          <w:sz w:val="24"/>
          <w:szCs w:val="24"/>
        </w:rPr>
        <w:t xml:space="preserve"> = $1,875,000)</w:t>
      </w:r>
    </w:p>
    <w:p w:rsidRPr="007805BC" w:rsidR="002A2B28" w:rsidP="002A2B28" w:rsidRDefault="002A2B28" w14:paraId="073CB101" w14:textId="77777777">
      <w:pPr>
        <w:tabs>
          <w:tab w:val="left" w:pos="1080"/>
        </w:tabs>
        <w:spacing w:line="276" w:lineRule="auto"/>
        <w:rPr>
          <w:rFonts w:ascii="Times New Roman" w:hAnsi="Times New Roman" w:cs="Times New Roman"/>
          <w:sz w:val="24"/>
          <w:szCs w:val="24"/>
        </w:rPr>
      </w:pPr>
    </w:p>
    <w:p w:rsidRPr="007805BC" w:rsidR="00D56665" w:rsidP="005357A5" w:rsidRDefault="00D56665" w14:paraId="63DA38F9" w14:textId="35B24A44">
      <w:pPr>
        <w:tabs>
          <w:tab w:val="left" w:pos="1080"/>
        </w:tabs>
        <w:spacing w:line="276" w:lineRule="auto"/>
        <w:rPr>
          <w:rFonts w:ascii="Times New Roman" w:hAnsi="Times New Roman" w:cs="Times New Roman"/>
          <w:sz w:val="24"/>
          <w:szCs w:val="24"/>
        </w:rPr>
      </w:pPr>
      <w:r w:rsidRPr="007805BC">
        <w:rPr>
          <w:rFonts w:ascii="Times New Roman" w:hAnsi="Times New Roman" w:cs="Times New Roman"/>
          <w:sz w:val="24"/>
          <w:szCs w:val="24"/>
        </w:rPr>
        <w:t>Minimum Net Equity = $7,500,000</w:t>
      </w:r>
      <w:r w:rsidRPr="007805BC" w:rsidR="00392647">
        <w:rPr>
          <w:rFonts w:ascii="Times New Roman" w:hAnsi="Times New Roman" w:cs="Times New Roman"/>
          <w:sz w:val="24"/>
          <w:szCs w:val="24"/>
        </w:rPr>
        <w:t xml:space="preserve"> </w:t>
      </w:r>
      <w:r w:rsidRPr="007805BC">
        <w:rPr>
          <w:rFonts w:ascii="Times New Roman" w:hAnsi="Times New Roman" w:cs="Times New Roman"/>
          <w:sz w:val="24"/>
          <w:szCs w:val="24"/>
        </w:rPr>
        <w:t>-</w:t>
      </w:r>
      <w:r w:rsidRPr="007805BC" w:rsidR="00392647">
        <w:rPr>
          <w:rFonts w:ascii="Times New Roman" w:hAnsi="Times New Roman" w:cs="Times New Roman"/>
          <w:sz w:val="24"/>
          <w:szCs w:val="24"/>
        </w:rPr>
        <w:t xml:space="preserve"> </w:t>
      </w:r>
      <w:r w:rsidRPr="007805BC">
        <w:rPr>
          <w:rFonts w:ascii="Times New Roman" w:hAnsi="Times New Roman" w:cs="Times New Roman"/>
          <w:sz w:val="24"/>
          <w:szCs w:val="24"/>
        </w:rPr>
        <w:t>$1,500,000</w:t>
      </w:r>
      <w:r w:rsidRPr="007805BC" w:rsidR="00392647">
        <w:rPr>
          <w:rFonts w:ascii="Times New Roman" w:hAnsi="Times New Roman" w:cs="Times New Roman"/>
          <w:sz w:val="24"/>
          <w:szCs w:val="24"/>
        </w:rPr>
        <w:t xml:space="preserve"> </w:t>
      </w:r>
      <w:r w:rsidRPr="007805BC">
        <w:rPr>
          <w:rFonts w:ascii="Times New Roman" w:hAnsi="Times New Roman" w:cs="Times New Roman"/>
          <w:sz w:val="24"/>
          <w:szCs w:val="24"/>
        </w:rPr>
        <w:t>-</w:t>
      </w:r>
      <w:r w:rsidRPr="007805BC" w:rsidR="00392647">
        <w:rPr>
          <w:rFonts w:ascii="Times New Roman" w:hAnsi="Times New Roman" w:cs="Times New Roman"/>
          <w:sz w:val="24"/>
          <w:szCs w:val="24"/>
        </w:rPr>
        <w:t xml:space="preserve"> </w:t>
      </w:r>
      <w:r w:rsidRPr="007805BC">
        <w:rPr>
          <w:rFonts w:ascii="Times New Roman" w:hAnsi="Times New Roman" w:cs="Times New Roman"/>
          <w:sz w:val="24"/>
          <w:szCs w:val="24"/>
        </w:rPr>
        <w:t>$1,875,000 =</w:t>
      </w:r>
      <w:r w:rsidRPr="007805BC" w:rsidR="00392647">
        <w:rPr>
          <w:rFonts w:ascii="Times New Roman" w:hAnsi="Times New Roman" w:cs="Times New Roman"/>
          <w:sz w:val="24"/>
          <w:szCs w:val="24"/>
        </w:rPr>
        <w:t xml:space="preserve"> </w:t>
      </w:r>
      <w:r w:rsidRPr="007805BC">
        <w:rPr>
          <w:rFonts w:ascii="Times New Roman" w:hAnsi="Times New Roman" w:cs="Times New Roman"/>
          <w:sz w:val="24"/>
          <w:szCs w:val="24"/>
        </w:rPr>
        <w:t>$4,125,000</w:t>
      </w:r>
    </w:p>
    <w:p w:rsidRPr="007805BC" w:rsidR="00D56665" w:rsidP="00D56665" w:rsidRDefault="00D56665" w14:paraId="63DA38FA" w14:textId="77777777">
      <w:pPr>
        <w:tabs>
          <w:tab w:val="left" w:pos="720"/>
          <w:tab w:val="left" w:pos="6480"/>
        </w:tabs>
        <w:spacing w:line="276" w:lineRule="auto"/>
        <w:ind w:left="720"/>
        <w:rPr>
          <w:rFonts w:ascii="Times New Roman" w:hAnsi="Times New Roman" w:cs="Times New Roman"/>
          <w:b/>
          <w:sz w:val="24"/>
          <w:szCs w:val="24"/>
        </w:rPr>
      </w:pPr>
    </w:p>
    <w:p w:rsidRPr="007805BC" w:rsidR="00D56665" w:rsidP="00D56665" w:rsidRDefault="00D56665" w14:paraId="63DA38FB" w14:textId="77777777">
      <w:pPr>
        <w:tabs>
          <w:tab w:val="left" w:pos="720"/>
          <w:tab w:val="left" w:pos="6480"/>
        </w:tabs>
        <w:spacing w:line="276" w:lineRule="auto"/>
        <w:ind w:left="720"/>
        <w:rPr>
          <w:rFonts w:ascii="Times New Roman" w:hAnsi="Times New Roman" w:cs="Times New Roman"/>
          <w:b/>
          <w:sz w:val="24"/>
          <w:szCs w:val="24"/>
        </w:rPr>
      </w:pPr>
      <w:r w:rsidRPr="007805BC">
        <w:rPr>
          <w:rFonts w:ascii="Times New Roman" w:hAnsi="Times New Roman" w:cs="Times New Roman"/>
          <w:b/>
          <w:sz w:val="24"/>
          <w:szCs w:val="24"/>
        </w:rPr>
        <w:t>Sample Owner’s Proposed Reductions:</w:t>
      </w:r>
    </w:p>
    <w:p w:rsidRPr="007805BC" w:rsidR="00D56665" w:rsidP="00D56665" w:rsidRDefault="00D56665" w14:paraId="63DA38FC" w14:textId="77777777">
      <w:pPr>
        <w:tabs>
          <w:tab w:val="left" w:pos="720"/>
        </w:tabs>
        <w:spacing w:line="276" w:lineRule="auto"/>
        <w:ind w:left="720"/>
        <w:rPr>
          <w:rFonts w:ascii="Times New Roman" w:hAnsi="Times New Roman" w:cs="Times New Roman"/>
          <w:b/>
          <w:sz w:val="24"/>
          <w:szCs w:val="24"/>
        </w:rPr>
      </w:pPr>
    </w:p>
    <w:p w:rsidRPr="007805BC" w:rsidR="00D56665" w:rsidP="00D56665" w:rsidRDefault="00D56665" w14:paraId="63DA38FD" w14:textId="06013DA1">
      <w:pPr>
        <w:tabs>
          <w:tab w:val="left" w:pos="108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Delayed Developer Fee</w:t>
      </w:r>
      <w:r w:rsidRPr="007805BC">
        <w:rPr>
          <w:rFonts w:ascii="Times New Roman" w:hAnsi="Times New Roman" w:cs="Times New Roman"/>
          <w:sz w:val="24"/>
          <w:szCs w:val="24"/>
        </w:rPr>
        <w:tab/>
      </w:r>
      <w:r w:rsidRPr="007805BC">
        <w:rPr>
          <w:rFonts w:ascii="Times New Roman" w:hAnsi="Times New Roman" w:cs="Times New Roman"/>
          <w:sz w:val="24"/>
          <w:szCs w:val="24"/>
        </w:rPr>
        <w:tab/>
      </w:r>
      <w:r w:rsidRPr="007805BC">
        <w:rPr>
          <w:rFonts w:ascii="Times New Roman" w:hAnsi="Times New Roman" w:cs="Times New Roman"/>
          <w:sz w:val="24"/>
          <w:szCs w:val="24"/>
        </w:rPr>
        <w:tab/>
        <w:t xml:space="preserve">        </w:t>
      </w:r>
      <w:r w:rsidRPr="007805BC" w:rsidR="00392647">
        <w:rPr>
          <w:rFonts w:ascii="Times New Roman" w:hAnsi="Times New Roman" w:cs="Times New Roman"/>
          <w:sz w:val="24"/>
          <w:szCs w:val="24"/>
        </w:rPr>
        <w:tab/>
      </w:r>
      <w:r w:rsidRPr="007805BC">
        <w:rPr>
          <w:rFonts w:ascii="Times New Roman" w:hAnsi="Times New Roman" w:cs="Times New Roman"/>
          <w:sz w:val="24"/>
          <w:szCs w:val="24"/>
        </w:rPr>
        <w:t>$</w:t>
      </w:r>
      <w:r w:rsidRPr="007805BC" w:rsidR="004D5D40">
        <w:rPr>
          <w:rFonts w:ascii="Times New Roman" w:hAnsi="Times New Roman" w:cs="Times New Roman"/>
          <w:sz w:val="24"/>
          <w:szCs w:val="24"/>
        </w:rPr>
        <w:t>8</w:t>
      </w:r>
      <w:r w:rsidRPr="007805BC">
        <w:rPr>
          <w:rFonts w:ascii="Times New Roman" w:hAnsi="Times New Roman" w:cs="Times New Roman"/>
          <w:sz w:val="24"/>
          <w:szCs w:val="24"/>
        </w:rPr>
        <w:t>00,000</w:t>
      </w:r>
    </w:p>
    <w:p w:rsidRPr="007805BC" w:rsidR="00D56665" w:rsidP="00D56665" w:rsidRDefault="00D56665" w14:paraId="63DA38FF" w14:textId="5D9D420A">
      <w:pPr>
        <w:tabs>
          <w:tab w:val="left" w:pos="108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Lease Up Fees and Escrows</w:t>
      </w:r>
      <w:r w:rsidRPr="007805BC">
        <w:rPr>
          <w:rFonts w:ascii="Times New Roman" w:hAnsi="Times New Roman" w:cs="Times New Roman"/>
          <w:sz w:val="24"/>
          <w:szCs w:val="24"/>
        </w:rPr>
        <w:tab/>
      </w:r>
      <w:r w:rsidRPr="007805BC">
        <w:rPr>
          <w:rFonts w:ascii="Times New Roman" w:hAnsi="Times New Roman" w:cs="Times New Roman"/>
          <w:sz w:val="24"/>
          <w:szCs w:val="24"/>
        </w:rPr>
        <w:tab/>
        <w:t xml:space="preserve">        </w:t>
      </w:r>
      <w:r w:rsidRPr="007805BC" w:rsidR="00392647">
        <w:rPr>
          <w:rFonts w:ascii="Times New Roman" w:hAnsi="Times New Roman" w:cs="Times New Roman"/>
          <w:sz w:val="24"/>
          <w:szCs w:val="24"/>
        </w:rPr>
        <w:tab/>
      </w:r>
      <w:r w:rsidRPr="007805BC" w:rsidR="00392647">
        <w:rPr>
          <w:rFonts w:ascii="Times New Roman" w:hAnsi="Times New Roman" w:cs="Times New Roman"/>
          <w:sz w:val="24"/>
          <w:szCs w:val="24"/>
        </w:rPr>
        <w:tab/>
      </w:r>
      <w:r w:rsidRPr="007805BC">
        <w:rPr>
          <w:rFonts w:ascii="Times New Roman" w:hAnsi="Times New Roman" w:cs="Times New Roman"/>
          <w:sz w:val="24"/>
          <w:szCs w:val="24"/>
        </w:rPr>
        <w:t>$175,000</w:t>
      </w:r>
    </w:p>
    <w:p w:rsidRPr="007805BC" w:rsidR="00D56665" w:rsidP="00D56665" w:rsidRDefault="00D56665" w14:paraId="63DA3900" w14:textId="5CF352B0">
      <w:pPr>
        <w:tabs>
          <w:tab w:val="left" w:pos="108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Operating Reserves</w:t>
      </w:r>
      <w:r w:rsidRPr="007805BC">
        <w:rPr>
          <w:rFonts w:ascii="Times New Roman" w:hAnsi="Times New Roman" w:cs="Times New Roman"/>
          <w:sz w:val="24"/>
          <w:szCs w:val="24"/>
        </w:rPr>
        <w:tab/>
      </w:r>
      <w:r w:rsidRPr="007805BC">
        <w:rPr>
          <w:rFonts w:ascii="Times New Roman" w:hAnsi="Times New Roman" w:cs="Times New Roman"/>
          <w:sz w:val="24"/>
          <w:szCs w:val="24"/>
        </w:rPr>
        <w:tab/>
      </w:r>
      <w:r w:rsidRPr="007805BC">
        <w:rPr>
          <w:rFonts w:ascii="Times New Roman" w:hAnsi="Times New Roman" w:cs="Times New Roman"/>
          <w:sz w:val="24"/>
          <w:szCs w:val="24"/>
        </w:rPr>
        <w:tab/>
        <w:t xml:space="preserve">        </w:t>
      </w:r>
      <w:r w:rsidRPr="007805BC" w:rsidR="00392647">
        <w:rPr>
          <w:rFonts w:ascii="Times New Roman" w:hAnsi="Times New Roman" w:cs="Times New Roman"/>
          <w:sz w:val="24"/>
          <w:szCs w:val="24"/>
        </w:rPr>
        <w:tab/>
      </w:r>
      <w:r w:rsidRPr="007805BC" w:rsidR="004D5D40">
        <w:rPr>
          <w:rFonts w:ascii="Times New Roman" w:hAnsi="Times New Roman" w:cs="Times New Roman"/>
          <w:sz w:val="24"/>
          <w:szCs w:val="24"/>
        </w:rPr>
        <w:tab/>
      </w:r>
      <w:r w:rsidRPr="007805BC">
        <w:rPr>
          <w:rFonts w:ascii="Times New Roman" w:hAnsi="Times New Roman" w:cs="Times New Roman"/>
          <w:sz w:val="24"/>
          <w:szCs w:val="24"/>
        </w:rPr>
        <w:t>$145,000</w:t>
      </w:r>
    </w:p>
    <w:p w:rsidRPr="007805BC" w:rsidR="00D56665" w:rsidP="00D56665" w:rsidRDefault="00D56665" w14:paraId="63DA3901" w14:textId="7DB82078">
      <w:pPr>
        <w:tabs>
          <w:tab w:val="left" w:pos="108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Debt Service Reserves</w:t>
      </w:r>
      <w:r w:rsidRPr="007805BC">
        <w:rPr>
          <w:rFonts w:ascii="Times New Roman" w:hAnsi="Times New Roman" w:cs="Times New Roman"/>
          <w:sz w:val="24"/>
          <w:szCs w:val="24"/>
        </w:rPr>
        <w:tab/>
      </w:r>
      <w:r w:rsidRPr="007805BC">
        <w:rPr>
          <w:rFonts w:ascii="Times New Roman" w:hAnsi="Times New Roman" w:cs="Times New Roman"/>
          <w:sz w:val="24"/>
          <w:szCs w:val="24"/>
        </w:rPr>
        <w:tab/>
      </w:r>
      <w:r w:rsidRPr="007805BC">
        <w:rPr>
          <w:rFonts w:ascii="Times New Roman" w:hAnsi="Times New Roman" w:cs="Times New Roman"/>
          <w:sz w:val="24"/>
          <w:szCs w:val="24"/>
        </w:rPr>
        <w:tab/>
        <w:t xml:space="preserve">        </w:t>
      </w:r>
      <w:r w:rsidRPr="007805BC" w:rsidR="004D5D40">
        <w:rPr>
          <w:rFonts w:ascii="Times New Roman" w:hAnsi="Times New Roman" w:cs="Times New Roman"/>
          <w:sz w:val="24"/>
          <w:szCs w:val="24"/>
        </w:rPr>
        <w:tab/>
      </w:r>
      <w:r w:rsidRPr="007805BC">
        <w:rPr>
          <w:rFonts w:ascii="Times New Roman" w:hAnsi="Times New Roman" w:cs="Times New Roman"/>
          <w:sz w:val="24"/>
          <w:szCs w:val="24"/>
        </w:rPr>
        <w:t>$200,000</w:t>
      </w:r>
    </w:p>
    <w:p w:rsidRPr="007805BC" w:rsidR="00D56665" w:rsidP="00D56665" w:rsidRDefault="00D56665" w14:paraId="63DA3902" w14:textId="541DDFC1">
      <w:pPr>
        <w:tabs>
          <w:tab w:val="left" w:pos="108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 xml:space="preserve">Section 8 HAP Contract Transition </w:t>
      </w:r>
      <w:r w:rsidRPr="007805BC" w:rsidR="0040053E">
        <w:rPr>
          <w:rFonts w:ascii="Times New Roman" w:hAnsi="Times New Roman" w:cs="Times New Roman"/>
          <w:sz w:val="24"/>
          <w:szCs w:val="24"/>
        </w:rPr>
        <w:t xml:space="preserve">Reserves </w:t>
      </w:r>
      <w:r w:rsidRPr="007805BC" w:rsidR="0040053E">
        <w:rPr>
          <w:rFonts w:ascii="Times New Roman" w:hAnsi="Times New Roman" w:cs="Times New Roman"/>
          <w:sz w:val="24"/>
          <w:szCs w:val="24"/>
        </w:rPr>
        <w:tab/>
      </w:r>
      <w:r w:rsidRPr="007805BC">
        <w:rPr>
          <w:rFonts w:ascii="Times New Roman" w:hAnsi="Times New Roman" w:cs="Times New Roman"/>
          <w:sz w:val="24"/>
          <w:szCs w:val="24"/>
        </w:rPr>
        <w:t xml:space="preserve">$235,000   </w:t>
      </w:r>
    </w:p>
    <w:p w:rsidRPr="007805BC" w:rsidR="00D56665" w:rsidP="00D56665" w:rsidRDefault="00D56665" w14:paraId="63DA3903" w14:textId="6DECA404">
      <w:pPr>
        <w:tabs>
          <w:tab w:val="left" w:pos="1080"/>
          <w:tab w:val="left" w:pos="540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 xml:space="preserve">Replacement Reserves                                     </w:t>
      </w:r>
      <w:r w:rsidRPr="007805BC" w:rsidR="004D5D40">
        <w:rPr>
          <w:rFonts w:ascii="Times New Roman" w:hAnsi="Times New Roman" w:cs="Times New Roman"/>
          <w:sz w:val="24"/>
          <w:szCs w:val="24"/>
        </w:rPr>
        <w:tab/>
      </w:r>
      <w:r w:rsidRPr="007805BC" w:rsidR="004D5D40">
        <w:rPr>
          <w:rFonts w:ascii="Times New Roman" w:hAnsi="Times New Roman" w:cs="Times New Roman"/>
          <w:sz w:val="24"/>
          <w:szCs w:val="24"/>
        </w:rPr>
        <w:tab/>
      </w:r>
      <w:r w:rsidRPr="007805BC">
        <w:rPr>
          <w:rFonts w:ascii="Times New Roman" w:hAnsi="Times New Roman" w:cs="Times New Roman"/>
          <w:sz w:val="24"/>
          <w:szCs w:val="24"/>
        </w:rPr>
        <w:t>$300,000</w:t>
      </w:r>
    </w:p>
    <w:p w:rsidRPr="007805BC" w:rsidR="00D56665" w:rsidP="00D56665" w:rsidRDefault="00D56665" w14:paraId="63DA3904" w14:textId="2AE05A34">
      <w:pPr>
        <w:tabs>
          <w:tab w:val="left" w:pos="1080"/>
          <w:tab w:val="left" w:pos="5400"/>
          <w:tab w:val="left" w:pos="5580"/>
          <w:tab w:val="left" w:pos="576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 xml:space="preserve">State Agency Administrative Fees or </w:t>
      </w:r>
      <w:r w:rsidRPr="007805BC" w:rsidR="0040053E">
        <w:rPr>
          <w:rFonts w:ascii="Times New Roman" w:hAnsi="Times New Roman" w:cs="Times New Roman"/>
          <w:sz w:val="24"/>
          <w:szCs w:val="24"/>
        </w:rPr>
        <w:t xml:space="preserve">Escrows </w:t>
      </w:r>
      <w:r w:rsidRPr="007805BC" w:rsidR="0040053E">
        <w:rPr>
          <w:rFonts w:ascii="Times New Roman" w:hAnsi="Times New Roman" w:cs="Times New Roman"/>
          <w:sz w:val="24"/>
          <w:szCs w:val="24"/>
        </w:rPr>
        <w:tab/>
      </w:r>
      <w:r w:rsidRPr="007805BC" w:rsidR="004D5D40">
        <w:rPr>
          <w:rFonts w:ascii="Times New Roman" w:hAnsi="Times New Roman" w:cs="Times New Roman"/>
          <w:sz w:val="24"/>
          <w:szCs w:val="24"/>
        </w:rPr>
        <w:tab/>
      </w:r>
      <w:r w:rsidRPr="007805BC" w:rsidR="004D5D40">
        <w:rPr>
          <w:rFonts w:ascii="Times New Roman" w:hAnsi="Times New Roman" w:cs="Times New Roman"/>
          <w:sz w:val="24"/>
          <w:szCs w:val="24"/>
        </w:rPr>
        <w:tab/>
      </w:r>
      <w:r w:rsidRPr="007805BC">
        <w:rPr>
          <w:rFonts w:ascii="Times New Roman" w:hAnsi="Times New Roman" w:cs="Times New Roman"/>
          <w:sz w:val="24"/>
          <w:szCs w:val="24"/>
        </w:rPr>
        <w:t>$45,000</w:t>
      </w:r>
    </w:p>
    <w:p w:rsidRPr="007805BC" w:rsidR="00D56665" w:rsidP="00D56665" w:rsidRDefault="00D56665" w14:paraId="63DA3905" w14:textId="77777777">
      <w:pPr>
        <w:tabs>
          <w:tab w:val="left" w:pos="720"/>
        </w:tabs>
        <w:spacing w:line="276" w:lineRule="auto"/>
        <w:ind w:left="720"/>
        <w:rPr>
          <w:rFonts w:ascii="Times New Roman" w:hAnsi="Times New Roman" w:cs="Times New Roman"/>
          <w:sz w:val="24"/>
          <w:szCs w:val="24"/>
        </w:rPr>
      </w:pPr>
    </w:p>
    <w:p w:rsidRPr="007805BC" w:rsidR="00D56665" w:rsidP="00D56665" w:rsidRDefault="00D56665" w14:paraId="63DA3906" w14:textId="653D5A3D">
      <w:pPr>
        <w:tabs>
          <w:tab w:val="left" w:pos="720"/>
        </w:tabs>
        <w:spacing w:line="276" w:lineRule="auto"/>
        <w:ind w:left="720"/>
        <w:rPr>
          <w:rFonts w:ascii="Times New Roman" w:hAnsi="Times New Roman" w:cs="Times New Roman"/>
          <w:sz w:val="24"/>
          <w:szCs w:val="24"/>
        </w:rPr>
      </w:pPr>
      <w:r w:rsidRPr="007805BC">
        <w:rPr>
          <w:rFonts w:ascii="Times New Roman" w:hAnsi="Times New Roman" w:cs="Times New Roman"/>
          <w:sz w:val="24"/>
          <w:szCs w:val="24"/>
        </w:rPr>
        <w:t>Total</w:t>
      </w:r>
      <w:r w:rsidRPr="007805BC">
        <w:rPr>
          <w:rFonts w:ascii="Times New Roman" w:hAnsi="Times New Roman" w:cs="Times New Roman"/>
          <w:sz w:val="24"/>
          <w:szCs w:val="24"/>
        </w:rPr>
        <w:tab/>
      </w:r>
      <w:r w:rsidRPr="007805BC">
        <w:rPr>
          <w:rFonts w:ascii="Times New Roman" w:hAnsi="Times New Roman" w:cs="Times New Roman"/>
          <w:sz w:val="24"/>
          <w:szCs w:val="24"/>
        </w:rPr>
        <w:tab/>
      </w:r>
      <w:r w:rsidRPr="007805BC">
        <w:rPr>
          <w:rFonts w:ascii="Times New Roman" w:hAnsi="Times New Roman" w:cs="Times New Roman"/>
          <w:sz w:val="24"/>
          <w:szCs w:val="24"/>
        </w:rPr>
        <w:tab/>
      </w:r>
      <w:r w:rsidRPr="007805BC">
        <w:rPr>
          <w:rFonts w:ascii="Times New Roman" w:hAnsi="Times New Roman" w:cs="Times New Roman"/>
          <w:sz w:val="24"/>
          <w:szCs w:val="24"/>
        </w:rPr>
        <w:tab/>
      </w:r>
      <w:r w:rsidRPr="007805BC">
        <w:rPr>
          <w:rFonts w:ascii="Times New Roman" w:hAnsi="Times New Roman" w:cs="Times New Roman"/>
          <w:sz w:val="24"/>
          <w:szCs w:val="24"/>
        </w:rPr>
        <w:tab/>
      </w:r>
      <w:r w:rsidRPr="007805BC">
        <w:rPr>
          <w:rFonts w:ascii="Times New Roman" w:hAnsi="Times New Roman" w:cs="Times New Roman"/>
          <w:sz w:val="24"/>
          <w:szCs w:val="24"/>
        </w:rPr>
        <w:tab/>
        <w:t xml:space="preserve">    </w:t>
      </w:r>
      <w:r w:rsidRPr="007805BC" w:rsidR="004D5D40">
        <w:rPr>
          <w:rFonts w:ascii="Times New Roman" w:hAnsi="Times New Roman" w:cs="Times New Roman"/>
          <w:sz w:val="24"/>
          <w:szCs w:val="24"/>
        </w:rPr>
        <w:tab/>
      </w:r>
      <w:r w:rsidRPr="007805BC">
        <w:rPr>
          <w:rFonts w:ascii="Times New Roman" w:hAnsi="Times New Roman" w:cs="Times New Roman"/>
          <w:sz w:val="24"/>
          <w:szCs w:val="24"/>
        </w:rPr>
        <w:t>$1,900,000</w:t>
      </w:r>
    </w:p>
    <w:p w:rsidRPr="007805BC" w:rsidR="00D56665" w:rsidP="00D56665" w:rsidRDefault="00D56665" w14:paraId="63DA3907" w14:textId="77777777">
      <w:pPr>
        <w:tabs>
          <w:tab w:val="left" w:pos="720"/>
        </w:tabs>
        <w:spacing w:line="276" w:lineRule="auto"/>
        <w:ind w:left="720"/>
        <w:rPr>
          <w:rFonts w:ascii="Times New Roman" w:hAnsi="Times New Roman" w:cs="Times New Roman"/>
          <w:sz w:val="24"/>
          <w:szCs w:val="24"/>
        </w:rPr>
      </w:pPr>
    </w:p>
    <w:p w:rsidRPr="005357A5" w:rsidR="001968E4" w:rsidP="00D56665" w:rsidRDefault="00D56665" w14:paraId="791E0062" w14:textId="3B0637EE">
      <w:pPr>
        <w:spacing w:line="276" w:lineRule="auto"/>
        <w:jc w:val="both"/>
        <w:rPr>
          <w:rFonts w:ascii="Times New Roman" w:hAnsi="Times New Roman" w:cs="Times New Roman"/>
          <w:i/>
          <w:iCs/>
          <w:sz w:val="24"/>
          <w:szCs w:val="24"/>
        </w:rPr>
      </w:pPr>
      <w:r w:rsidRPr="005357A5">
        <w:rPr>
          <w:rFonts w:ascii="Times New Roman" w:hAnsi="Times New Roman" w:cs="Times New Roman"/>
          <w:i/>
          <w:iCs/>
          <w:sz w:val="24"/>
          <w:szCs w:val="24"/>
        </w:rPr>
        <w:t xml:space="preserve">This total would be disallowed, as the $1.9 million exceeds the 25% of total equity ($1.875 million) allowed. </w:t>
      </w:r>
      <w:r w:rsidRPr="005357A5" w:rsidR="008B287E">
        <w:rPr>
          <w:rFonts w:ascii="Times New Roman" w:hAnsi="Times New Roman" w:cs="Times New Roman"/>
          <w:i/>
          <w:iCs/>
          <w:sz w:val="24"/>
          <w:szCs w:val="24"/>
        </w:rPr>
        <w:t>Accordingly,</w:t>
      </w:r>
      <w:r w:rsidRPr="005357A5">
        <w:rPr>
          <w:rFonts w:ascii="Times New Roman" w:hAnsi="Times New Roman" w:cs="Times New Roman"/>
          <w:i/>
          <w:iCs/>
          <w:sz w:val="24"/>
          <w:szCs w:val="24"/>
        </w:rPr>
        <w:t xml:space="preserve"> it is reduced by $25,000 in the following calculations.  </w:t>
      </w:r>
    </w:p>
    <w:p w:rsidR="001968E4" w:rsidP="00D56665" w:rsidRDefault="001968E4" w14:paraId="5F3FC8B2" w14:textId="77777777">
      <w:pPr>
        <w:spacing w:line="276" w:lineRule="auto"/>
        <w:jc w:val="both"/>
        <w:rPr>
          <w:rFonts w:ascii="Times New Roman" w:hAnsi="Times New Roman" w:cs="Times New Roman"/>
          <w:sz w:val="24"/>
          <w:szCs w:val="24"/>
        </w:rPr>
      </w:pPr>
    </w:p>
    <w:p w:rsidRPr="007805BC" w:rsidR="00D56665" w:rsidP="00D56665" w:rsidRDefault="00D56665" w14:paraId="63DA3908" w14:textId="28332E6A">
      <w:pPr>
        <w:spacing w:line="276" w:lineRule="auto"/>
        <w:jc w:val="both"/>
        <w:rPr>
          <w:rFonts w:ascii="Times New Roman" w:hAnsi="Times New Roman" w:cs="Times New Roman"/>
          <w:sz w:val="24"/>
          <w:szCs w:val="24"/>
        </w:rPr>
      </w:pPr>
      <w:r w:rsidRPr="007805BC">
        <w:rPr>
          <w:rFonts w:ascii="Times New Roman" w:hAnsi="Times New Roman" w:cs="Times New Roman"/>
          <w:sz w:val="24"/>
          <w:szCs w:val="24"/>
        </w:rPr>
        <w:t xml:space="preserve">Net Equity is the Balance, after Total Equity is reduced by Payment #1, and the Allowed </w:t>
      </w:r>
      <w:r w:rsidR="00A9341F">
        <w:rPr>
          <w:rFonts w:ascii="Times New Roman" w:hAnsi="Times New Roman" w:cs="Times New Roman"/>
          <w:sz w:val="24"/>
          <w:szCs w:val="24"/>
        </w:rPr>
        <w:t>D</w:t>
      </w:r>
      <w:r w:rsidRPr="007805BC">
        <w:rPr>
          <w:rFonts w:ascii="Times New Roman" w:hAnsi="Times New Roman" w:cs="Times New Roman"/>
          <w:sz w:val="24"/>
          <w:szCs w:val="24"/>
        </w:rPr>
        <w:t xml:space="preserve">eductions of $1,875,000, or $4,125,000. This number would be adjusted if the owner were to claim less than the maximum Allowed </w:t>
      </w:r>
      <w:r w:rsidR="00F52C9E">
        <w:rPr>
          <w:rFonts w:ascii="Times New Roman" w:hAnsi="Times New Roman" w:cs="Times New Roman"/>
          <w:sz w:val="24"/>
          <w:szCs w:val="24"/>
        </w:rPr>
        <w:t>D</w:t>
      </w:r>
      <w:r w:rsidRPr="007805BC">
        <w:rPr>
          <w:rFonts w:ascii="Times New Roman" w:hAnsi="Times New Roman" w:cs="Times New Roman"/>
          <w:sz w:val="24"/>
          <w:szCs w:val="24"/>
        </w:rPr>
        <w:t xml:space="preserve">eductions. </w:t>
      </w:r>
    </w:p>
    <w:p w:rsidRPr="007805BC" w:rsidR="00D56665" w:rsidP="00D56665" w:rsidRDefault="00D56665" w14:paraId="63DA3909" w14:textId="77777777">
      <w:pPr>
        <w:tabs>
          <w:tab w:val="left" w:pos="360"/>
        </w:tabs>
        <w:spacing w:line="276" w:lineRule="auto"/>
        <w:ind w:left="360"/>
        <w:rPr>
          <w:rFonts w:ascii="Times New Roman" w:hAnsi="Times New Roman" w:cs="Times New Roman"/>
          <w:sz w:val="24"/>
          <w:szCs w:val="24"/>
        </w:rPr>
      </w:pPr>
    </w:p>
    <w:p w:rsidRPr="007805BC" w:rsidR="00D56665" w:rsidP="00D56665" w:rsidRDefault="00D56665" w14:paraId="63DA390B" w14:textId="77777777">
      <w:pPr>
        <w:spacing w:line="276" w:lineRule="auto"/>
        <w:rPr>
          <w:rFonts w:ascii="Times New Roman" w:hAnsi="Times New Roman" w:cs="Times New Roman"/>
          <w:sz w:val="24"/>
          <w:szCs w:val="24"/>
        </w:rPr>
      </w:pPr>
    </w:p>
    <w:tbl>
      <w:tblPr>
        <w:tblStyle w:val="TableGrid"/>
        <w:tblW w:w="0" w:type="auto"/>
        <w:tblInd w:w="468" w:type="dxa"/>
        <w:tblLook w:val="04A0" w:firstRow="1" w:lastRow="0" w:firstColumn="1" w:lastColumn="0" w:noHBand="0" w:noVBand="1"/>
      </w:tblPr>
      <w:tblGrid>
        <w:gridCol w:w="1846"/>
        <w:gridCol w:w="2796"/>
        <w:gridCol w:w="2120"/>
        <w:gridCol w:w="2120"/>
      </w:tblGrid>
      <w:tr w:rsidRPr="00CB6138" w:rsidR="00D56665" w:rsidTr="004E7D11" w14:paraId="63DA3910" w14:textId="77777777">
        <w:tc>
          <w:tcPr>
            <w:tcW w:w="1890" w:type="dxa"/>
          </w:tcPr>
          <w:p w:rsidRPr="007805BC" w:rsidR="00D56665" w:rsidP="004E7D11" w:rsidRDefault="00D56665" w14:paraId="63DA390C"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4"/>
                <w:szCs w:val="24"/>
              </w:rPr>
            </w:pPr>
            <w:r w:rsidRPr="007805BC">
              <w:rPr>
                <w:rFonts w:ascii="Times New Roman" w:hAnsi="Times New Roman" w:eastAsia="Times New Roman" w:cs="Times New Roman"/>
                <w:b/>
                <w:sz w:val="24"/>
                <w:szCs w:val="24"/>
              </w:rPr>
              <w:t>Payment</w:t>
            </w:r>
          </w:p>
        </w:tc>
        <w:tc>
          <w:tcPr>
            <w:tcW w:w="2878" w:type="dxa"/>
          </w:tcPr>
          <w:p w:rsidRPr="007805BC" w:rsidR="00D56665" w:rsidP="004E7D11" w:rsidRDefault="00D56665" w14:paraId="63DA390D"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4"/>
                <w:szCs w:val="24"/>
              </w:rPr>
            </w:pPr>
            <w:r w:rsidRPr="007805BC">
              <w:rPr>
                <w:rFonts w:ascii="Times New Roman" w:hAnsi="Times New Roman" w:eastAsia="Times New Roman" w:cs="Times New Roman"/>
                <w:b/>
                <w:sz w:val="24"/>
                <w:szCs w:val="24"/>
              </w:rPr>
              <w:t>Description</w:t>
            </w:r>
          </w:p>
        </w:tc>
        <w:tc>
          <w:tcPr>
            <w:tcW w:w="2170" w:type="dxa"/>
          </w:tcPr>
          <w:p w:rsidRPr="007805BC" w:rsidR="00D56665" w:rsidP="004E7D11" w:rsidRDefault="00D56665" w14:paraId="63DA390E"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4"/>
                <w:szCs w:val="24"/>
              </w:rPr>
            </w:pPr>
            <w:r w:rsidRPr="007805BC">
              <w:rPr>
                <w:rFonts w:ascii="Times New Roman" w:hAnsi="Times New Roman" w:eastAsia="Times New Roman" w:cs="Times New Roman"/>
                <w:b/>
                <w:sz w:val="24"/>
                <w:szCs w:val="24"/>
              </w:rPr>
              <w:t>Formula</w:t>
            </w:r>
          </w:p>
        </w:tc>
        <w:tc>
          <w:tcPr>
            <w:tcW w:w="2170" w:type="dxa"/>
          </w:tcPr>
          <w:p w:rsidRPr="007805BC" w:rsidR="00D56665" w:rsidP="004E7D11" w:rsidRDefault="00D56665" w14:paraId="63DA390F"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4"/>
                <w:szCs w:val="24"/>
              </w:rPr>
            </w:pPr>
            <w:r w:rsidRPr="007805BC">
              <w:rPr>
                <w:rFonts w:ascii="Times New Roman" w:hAnsi="Times New Roman" w:eastAsia="Times New Roman" w:cs="Times New Roman"/>
                <w:b/>
                <w:sz w:val="24"/>
                <w:szCs w:val="24"/>
              </w:rPr>
              <w:t>Amount</w:t>
            </w:r>
          </w:p>
        </w:tc>
      </w:tr>
      <w:tr w:rsidRPr="00CB6138" w:rsidR="00D56665" w:rsidTr="004E7D11" w14:paraId="63DA3915" w14:textId="77777777">
        <w:tc>
          <w:tcPr>
            <w:tcW w:w="1890" w:type="dxa"/>
          </w:tcPr>
          <w:p w:rsidRPr="00C34ABE" w:rsidR="00D56665" w:rsidP="004E7D11" w:rsidRDefault="00D56665" w14:paraId="63DA3911" w14:textId="1A5C8601">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CB6138">
              <w:rPr>
                <w:rFonts w:ascii="Times New Roman" w:hAnsi="Times New Roman" w:eastAsia="Times New Roman" w:cs="Times New Roman"/>
                <w:sz w:val="24"/>
                <w:szCs w:val="24"/>
              </w:rPr>
              <w:lastRenderedPageBreak/>
              <w:t>Equity Pay I</w:t>
            </w:r>
            <w:r w:rsidRPr="00CB6138" w:rsidR="00552D2A">
              <w:rPr>
                <w:rFonts w:ascii="Times New Roman" w:hAnsi="Times New Roman" w:eastAsia="Times New Roman" w:cs="Times New Roman"/>
                <w:sz w:val="24"/>
                <w:szCs w:val="24"/>
              </w:rPr>
              <w:t>n</w:t>
            </w:r>
            <w:r w:rsidRPr="00CB6138">
              <w:rPr>
                <w:rFonts w:ascii="Times New Roman" w:hAnsi="Times New Roman" w:eastAsia="Times New Roman" w:cs="Times New Roman"/>
                <w:sz w:val="24"/>
                <w:szCs w:val="24"/>
              </w:rPr>
              <w:t xml:space="preserve"> #1</w:t>
            </w:r>
            <w:r w:rsidR="00960C22">
              <w:rPr>
                <w:rFonts w:ascii="Times New Roman" w:hAnsi="Times New Roman" w:eastAsia="Times New Roman" w:cs="Times New Roman"/>
                <w:sz w:val="24"/>
                <w:szCs w:val="24"/>
              </w:rPr>
              <w:t>a</w:t>
            </w:r>
          </w:p>
        </w:tc>
        <w:tc>
          <w:tcPr>
            <w:tcW w:w="2878" w:type="dxa"/>
          </w:tcPr>
          <w:p w:rsidRPr="007805BC" w:rsidR="00D56665" w:rsidP="004E7D11" w:rsidRDefault="00D56665" w14:paraId="63DA3912"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20% of Total Equity</w:t>
            </w:r>
          </w:p>
        </w:tc>
        <w:tc>
          <w:tcPr>
            <w:tcW w:w="2170" w:type="dxa"/>
          </w:tcPr>
          <w:p w:rsidRPr="007805BC" w:rsidR="00D56665" w:rsidP="004E7D11" w:rsidRDefault="00D56665" w14:paraId="63DA3913" w14:textId="47DC7599">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20% x </w:t>
            </w:r>
            <w:r w:rsidRPr="007805BC" w:rsidR="00372824">
              <w:rPr>
                <w:rFonts w:ascii="Times New Roman" w:hAnsi="Times New Roman" w:eastAsia="Times New Roman" w:cs="Times New Roman"/>
                <w:sz w:val="24"/>
                <w:szCs w:val="24"/>
              </w:rPr>
              <w:t>$</w:t>
            </w:r>
            <w:r w:rsidRPr="007805BC">
              <w:rPr>
                <w:rFonts w:ascii="Times New Roman" w:hAnsi="Times New Roman" w:eastAsia="Times New Roman" w:cs="Times New Roman"/>
                <w:sz w:val="24"/>
                <w:szCs w:val="24"/>
              </w:rPr>
              <w:t xml:space="preserve">7,500,000 </w:t>
            </w:r>
          </w:p>
        </w:tc>
        <w:tc>
          <w:tcPr>
            <w:tcW w:w="2170" w:type="dxa"/>
          </w:tcPr>
          <w:p w:rsidRPr="007805BC" w:rsidR="00D56665" w:rsidP="004E7D11" w:rsidRDefault="00D56665" w14:paraId="63DA3914"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$1,500,000</w:t>
            </w:r>
          </w:p>
        </w:tc>
      </w:tr>
      <w:tr w:rsidRPr="00CB6138" w:rsidR="00D56665" w:rsidTr="004E7D11" w14:paraId="63DA391A" w14:textId="77777777">
        <w:tc>
          <w:tcPr>
            <w:tcW w:w="1890" w:type="dxa"/>
          </w:tcPr>
          <w:p w:rsidRPr="00CB6138" w:rsidR="00D56665" w:rsidP="004E7D11" w:rsidRDefault="00D56665" w14:paraId="63DA3916"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CB6138">
              <w:rPr>
                <w:rFonts w:ascii="Times New Roman" w:hAnsi="Times New Roman" w:eastAsia="Times New Roman" w:cs="Times New Roman"/>
                <w:sz w:val="24"/>
                <w:szCs w:val="24"/>
              </w:rPr>
              <w:t>Equity Pay In #2</w:t>
            </w:r>
          </w:p>
        </w:tc>
        <w:tc>
          <w:tcPr>
            <w:tcW w:w="2878" w:type="dxa"/>
          </w:tcPr>
          <w:p w:rsidRPr="007805BC" w:rsidR="00D56665" w:rsidP="004E7D11" w:rsidRDefault="00D56665" w14:paraId="63DA3917" w14:textId="4E885DE4">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37.5% of Net Equity ($4,125,000) </w:t>
            </w:r>
          </w:p>
        </w:tc>
        <w:tc>
          <w:tcPr>
            <w:tcW w:w="2170" w:type="dxa"/>
          </w:tcPr>
          <w:p w:rsidRPr="007805BC" w:rsidR="00D56665" w:rsidP="004E7D11" w:rsidRDefault="00D56665" w14:paraId="63DA3918"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37.5% x $4,125,000 </w:t>
            </w:r>
          </w:p>
        </w:tc>
        <w:tc>
          <w:tcPr>
            <w:tcW w:w="2170" w:type="dxa"/>
          </w:tcPr>
          <w:p w:rsidRPr="007805BC" w:rsidR="00D56665" w:rsidP="004E7D11" w:rsidRDefault="00D56665" w14:paraId="63DA3919"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$1,546,875 </w:t>
            </w:r>
          </w:p>
        </w:tc>
      </w:tr>
      <w:tr w:rsidRPr="00CB6138" w:rsidR="00D56665" w:rsidTr="004E7D11" w14:paraId="63DA391F" w14:textId="77777777">
        <w:tc>
          <w:tcPr>
            <w:tcW w:w="1890" w:type="dxa"/>
          </w:tcPr>
          <w:p w:rsidRPr="00CB6138" w:rsidR="00D56665" w:rsidP="004E7D11" w:rsidRDefault="00D56665" w14:paraId="63DA391B"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4"/>
                <w:szCs w:val="24"/>
              </w:rPr>
            </w:pPr>
            <w:r w:rsidRPr="00CB6138">
              <w:rPr>
                <w:rFonts w:ascii="Times New Roman" w:hAnsi="Times New Roman" w:eastAsia="Times New Roman" w:cs="Times New Roman"/>
                <w:sz w:val="24"/>
                <w:szCs w:val="24"/>
              </w:rPr>
              <w:t>Equity Pay In #3</w:t>
            </w:r>
          </w:p>
        </w:tc>
        <w:tc>
          <w:tcPr>
            <w:tcW w:w="2878" w:type="dxa"/>
          </w:tcPr>
          <w:p w:rsidRPr="007805BC" w:rsidR="00D56665" w:rsidP="004E7D11" w:rsidRDefault="00D56665" w14:paraId="63DA391C"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62.5% of Net Equity ($4,125,000)</w:t>
            </w:r>
          </w:p>
        </w:tc>
        <w:tc>
          <w:tcPr>
            <w:tcW w:w="2170" w:type="dxa"/>
          </w:tcPr>
          <w:p w:rsidRPr="007805BC" w:rsidR="00D56665" w:rsidP="004E7D11" w:rsidRDefault="00D56665" w14:paraId="63DA391D"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62.5% x $4,125,000</w:t>
            </w:r>
          </w:p>
        </w:tc>
        <w:tc>
          <w:tcPr>
            <w:tcW w:w="2170" w:type="dxa"/>
          </w:tcPr>
          <w:p w:rsidRPr="007805BC" w:rsidR="00D56665" w:rsidP="004E7D11" w:rsidRDefault="00D56665" w14:paraId="63DA391E" w14:textId="77777777">
            <w:pPr>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$2,578,125 </w:t>
            </w:r>
          </w:p>
        </w:tc>
      </w:tr>
    </w:tbl>
    <w:p w:rsidRPr="00CB6138" w:rsidR="00D56665" w:rsidP="00D56665" w:rsidRDefault="00D56665" w14:paraId="63DA3920" w14:textId="637DC348">
      <w:pPr>
        <w:tabs>
          <w:tab w:val="left" w:pos="2880"/>
        </w:tabs>
        <w:overflowPunct w:val="0"/>
        <w:autoSpaceDE w:val="0"/>
        <w:autoSpaceDN w:val="0"/>
        <w:adjustRightInd w:val="0"/>
        <w:spacing w:before="80" w:after="80" w:line="276" w:lineRule="auto"/>
        <w:ind w:left="900"/>
        <w:textAlignment w:val="baseline"/>
        <w:outlineLvl w:val="0"/>
        <w:rPr>
          <w:rFonts w:ascii="Times New Roman" w:hAnsi="Times New Roman" w:eastAsia="Times New Roman" w:cs="Times New Roman"/>
          <w:b/>
          <w:sz w:val="24"/>
          <w:szCs w:val="24"/>
        </w:rPr>
      </w:pPr>
    </w:p>
    <w:p w:rsidRPr="005357A5" w:rsidR="00165456" w:rsidP="005357A5" w:rsidRDefault="00165456" w14:paraId="7FED0EAA" w14:textId="4BDB0C31">
      <w:pPr>
        <w:pStyle w:val="ListParagraph"/>
        <w:numPr>
          <w:ilvl w:val="0"/>
          <w:numId w:val="12"/>
        </w:numPr>
        <w:spacing w:before="120" w:after="120" w:line="276" w:lineRule="auto"/>
        <w:jc w:val="both"/>
        <w:rPr>
          <w:rFonts w:ascii="Times New Roman" w:hAnsi="Times New Roman" w:cs="Times New Roman"/>
          <w:color w:val="000000"/>
          <w:sz w:val="24"/>
          <w:szCs w:val="24"/>
        </w:rPr>
      </w:pPr>
      <w:r w:rsidRPr="005357A5">
        <w:rPr>
          <w:rFonts w:ascii="Times New Roman" w:hAnsi="Times New Roman" w:cs="Times New Roman"/>
          <w:color w:val="000000"/>
          <w:sz w:val="24"/>
          <w:szCs w:val="24"/>
        </w:rPr>
        <w:t>There is no change in the computation to determine the cash requirements and/or front money escrow on Form HUD-92264-A.  The remaining cash requirements not being satisfied with LIHTC equity will be satisfied in accordance with outstanding instructions.  The Borrower must pay out-of-pocket when there is no available cash from mortgage proceeds</w:t>
      </w:r>
      <w:r w:rsidR="00267CB4">
        <w:rPr>
          <w:rFonts w:ascii="Times New Roman" w:hAnsi="Times New Roman" w:cs="Times New Roman"/>
          <w:color w:val="000000"/>
          <w:sz w:val="24"/>
          <w:szCs w:val="24"/>
        </w:rPr>
        <w:t xml:space="preserve"> or other committed sources</w:t>
      </w:r>
      <w:r w:rsidRPr="005357A5">
        <w:rPr>
          <w:rFonts w:ascii="Times New Roman" w:hAnsi="Times New Roman" w:cs="Times New Roman"/>
          <w:color w:val="000000"/>
          <w:sz w:val="24"/>
          <w:szCs w:val="24"/>
        </w:rPr>
        <w:t xml:space="preserve">.  </w:t>
      </w:r>
    </w:p>
    <w:p w:rsidRPr="005357A5" w:rsidR="000632F3" w:rsidP="005357A5" w:rsidRDefault="000632F3" w14:paraId="6AB994B2" w14:textId="24E64B08">
      <w:pPr>
        <w:pStyle w:val="ListParagraph"/>
        <w:tabs>
          <w:tab w:val="left" w:pos="2880"/>
        </w:tabs>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4"/>
          <w:szCs w:val="24"/>
        </w:rPr>
      </w:pPr>
    </w:p>
    <w:p w:rsidRPr="005357A5" w:rsidR="00D56665" w:rsidP="00D56665" w:rsidRDefault="00D56665" w14:paraId="63DA3922" w14:textId="6086D54F">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14.1</w:t>
      </w:r>
      <w:r w:rsidR="002C070D">
        <w:rPr>
          <w:rFonts w:ascii="Times New Roman" w:hAnsi="Times New Roman" w:eastAsia="Times New Roman" w:cs="Times New Roman"/>
          <w:b/>
          <w:sz w:val="28"/>
          <w:szCs w:val="28"/>
        </w:rPr>
        <w:t>4</w:t>
      </w:r>
      <w:r w:rsidRPr="005357A5">
        <w:rPr>
          <w:rFonts w:ascii="Times New Roman" w:hAnsi="Times New Roman" w:eastAsia="Times New Roman" w:cs="Times New Roman"/>
          <w:b/>
          <w:sz w:val="28"/>
          <w:szCs w:val="28"/>
        </w:rPr>
        <w:tab/>
        <w:t>Equity Bridge Loans (“EBLs”) in Tax Credit Projects</w:t>
      </w:r>
    </w:p>
    <w:p w:rsidRPr="009E6DDB" w:rsidR="009E6DDB" w:rsidP="009E6DDB" w:rsidRDefault="009E6DDB" w14:paraId="6ED4A082" w14:textId="77777777">
      <w:pPr>
        <w:pStyle w:val="ListParagraph"/>
        <w:tabs>
          <w:tab w:val="left" w:pos="2880"/>
        </w:tabs>
        <w:overflowPunct w:val="0"/>
        <w:autoSpaceDE w:val="0"/>
        <w:autoSpaceDN w:val="0"/>
        <w:adjustRightInd w:val="0"/>
        <w:spacing w:line="276" w:lineRule="auto"/>
        <w:ind w:left="675"/>
        <w:jc w:val="both"/>
        <w:textAlignment w:val="baseline"/>
        <w:outlineLvl w:val="0"/>
        <w:rPr>
          <w:rFonts w:ascii="Times New Roman" w:hAnsi="Times New Roman" w:eastAsia="Times New Roman" w:cs="Times New Roman"/>
          <w:sz w:val="24"/>
          <w:szCs w:val="24"/>
        </w:rPr>
      </w:pPr>
      <w:bookmarkStart w:name="_Hlk11232355" w:id="3"/>
    </w:p>
    <w:p w:rsidRPr="007805BC" w:rsidR="00CB7C00" w:rsidP="00D56665" w:rsidRDefault="006B6AAB" w14:paraId="17803851" w14:textId="00FE8451">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sz w:val="24"/>
          <w:szCs w:val="24"/>
        </w:rPr>
      </w:pPr>
      <w:r w:rsidRPr="00CB6138">
        <w:rPr>
          <w:rFonts w:ascii="Times New Roman" w:hAnsi="Times New Roman" w:eastAsia="Times New Roman" w:cs="Times New Roman"/>
          <w:sz w:val="24"/>
          <w:szCs w:val="24"/>
        </w:rPr>
        <w:t xml:space="preserve">Equity </w:t>
      </w:r>
      <w:r w:rsidRPr="00CB6138" w:rsidR="00D56665">
        <w:rPr>
          <w:rFonts w:ascii="Times New Roman" w:hAnsi="Times New Roman" w:eastAsia="Times New Roman" w:cs="Times New Roman"/>
          <w:sz w:val="24"/>
          <w:szCs w:val="24"/>
        </w:rPr>
        <w:t xml:space="preserve">Bridge </w:t>
      </w:r>
      <w:r w:rsidRPr="00C34ABE" w:rsidR="007C5C1C">
        <w:rPr>
          <w:rFonts w:ascii="Times New Roman" w:hAnsi="Times New Roman" w:eastAsia="Times New Roman" w:cs="Times New Roman"/>
          <w:sz w:val="24"/>
          <w:szCs w:val="24"/>
        </w:rPr>
        <w:t>L</w:t>
      </w:r>
      <w:r w:rsidRPr="007805BC" w:rsidR="00D56665">
        <w:rPr>
          <w:rFonts w:ascii="Times New Roman" w:hAnsi="Times New Roman" w:eastAsia="Times New Roman" w:cs="Times New Roman"/>
          <w:sz w:val="24"/>
          <w:szCs w:val="24"/>
        </w:rPr>
        <w:t xml:space="preserve">oans may be used by </w:t>
      </w:r>
      <w:r w:rsidRPr="007805BC" w:rsidR="007C5C1C">
        <w:rPr>
          <w:rFonts w:ascii="Times New Roman" w:hAnsi="Times New Roman" w:eastAsia="Times New Roman" w:cs="Times New Roman"/>
          <w:sz w:val="24"/>
          <w:szCs w:val="24"/>
        </w:rPr>
        <w:t>Borrowers and/or t</w:t>
      </w:r>
      <w:r w:rsidRPr="007805BC" w:rsidR="00D56665">
        <w:rPr>
          <w:rFonts w:ascii="Times New Roman" w:hAnsi="Times New Roman" w:eastAsia="Times New Roman" w:cs="Times New Roman"/>
          <w:sz w:val="24"/>
          <w:szCs w:val="24"/>
        </w:rPr>
        <w:t xml:space="preserve">ax </w:t>
      </w:r>
      <w:r w:rsidRPr="007805BC" w:rsidR="007C5C1C">
        <w:rPr>
          <w:rFonts w:ascii="Times New Roman" w:hAnsi="Times New Roman" w:eastAsia="Times New Roman" w:cs="Times New Roman"/>
          <w:sz w:val="24"/>
          <w:szCs w:val="24"/>
        </w:rPr>
        <w:t>c</w:t>
      </w:r>
      <w:r w:rsidRPr="007805BC" w:rsidR="00D56665">
        <w:rPr>
          <w:rFonts w:ascii="Times New Roman" w:hAnsi="Times New Roman" w:eastAsia="Times New Roman" w:cs="Times New Roman"/>
          <w:sz w:val="24"/>
          <w:szCs w:val="24"/>
        </w:rPr>
        <w:t xml:space="preserve">redit investors </w:t>
      </w:r>
      <w:r w:rsidRPr="007805BC" w:rsidR="007C5C1C">
        <w:rPr>
          <w:rFonts w:ascii="Times New Roman" w:hAnsi="Times New Roman" w:eastAsia="Times New Roman" w:cs="Times New Roman"/>
          <w:sz w:val="24"/>
          <w:szCs w:val="24"/>
        </w:rPr>
        <w:t xml:space="preserve">as a substitute </w:t>
      </w:r>
      <w:r w:rsidRPr="007805BC" w:rsidR="00B95F29">
        <w:rPr>
          <w:rFonts w:ascii="Times New Roman" w:hAnsi="Times New Roman" w:eastAsia="Times New Roman" w:cs="Times New Roman"/>
          <w:sz w:val="24"/>
          <w:szCs w:val="24"/>
        </w:rPr>
        <w:t xml:space="preserve">for </w:t>
      </w:r>
      <w:r w:rsidRPr="007805BC" w:rsidR="00D56665">
        <w:rPr>
          <w:rFonts w:ascii="Times New Roman" w:hAnsi="Times New Roman" w:eastAsia="Times New Roman" w:cs="Times New Roman"/>
          <w:sz w:val="24"/>
          <w:szCs w:val="24"/>
        </w:rPr>
        <w:t>the pay-in of equity during a project’s development and stabilization phases</w:t>
      </w:r>
      <w:bookmarkEnd w:id="3"/>
      <w:r w:rsidRPr="007805BC" w:rsidR="00D56665">
        <w:rPr>
          <w:rFonts w:ascii="Times New Roman" w:hAnsi="Times New Roman" w:eastAsia="Times New Roman" w:cs="Times New Roman"/>
          <w:sz w:val="24"/>
          <w:szCs w:val="24"/>
        </w:rPr>
        <w:t xml:space="preserve">, thereby </w:t>
      </w:r>
      <w:r w:rsidRPr="007805BC" w:rsidR="00B95F29">
        <w:rPr>
          <w:rFonts w:ascii="Times New Roman" w:hAnsi="Times New Roman" w:eastAsia="Times New Roman" w:cs="Times New Roman"/>
          <w:sz w:val="24"/>
          <w:szCs w:val="24"/>
        </w:rPr>
        <w:t xml:space="preserve">deferring the pay-in of equity and </w:t>
      </w:r>
      <w:r w:rsidRPr="007805BC" w:rsidR="00D56665">
        <w:rPr>
          <w:rFonts w:ascii="Times New Roman" w:hAnsi="Times New Roman" w:eastAsia="Times New Roman" w:cs="Times New Roman"/>
          <w:sz w:val="24"/>
          <w:szCs w:val="24"/>
        </w:rPr>
        <w:t xml:space="preserve">increasing the return on equity.   The </w:t>
      </w:r>
      <w:r w:rsidRPr="007805BC" w:rsidR="001B56A2">
        <w:rPr>
          <w:rFonts w:ascii="Times New Roman" w:hAnsi="Times New Roman" w:eastAsia="Times New Roman" w:cs="Times New Roman"/>
          <w:sz w:val="24"/>
          <w:szCs w:val="24"/>
        </w:rPr>
        <w:t>EBL</w:t>
      </w:r>
      <w:r w:rsidRPr="007805BC" w:rsidR="00D56665">
        <w:rPr>
          <w:rFonts w:ascii="Times New Roman" w:hAnsi="Times New Roman" w:eastAsia="Times New Roman" w:cs="Times New Roman"/>
          <w:sz w:val="24"/>
          <w:szCs w:val="24"/>
        </w:rPr>
        <w:t xml:space="preserve"> may </w:t>
      </w:r>
      <w:r w:rsidRPr="007805BC" w:rsidR="00E80942">
        <w:rPr>
          <w:rFonts w:ascii="Times New Roman" w:hAnsi="Times New Roman" w:eastAsia="Times New Roman" w:cs="Times New Roman"/>
          <w:sz w:val="24"/>
          <w:szCs w:val="24"/>
        </w:rPr>
        <w:t>be the</w:t>
      </w:r>
      <w:r w:rsidRPr="007805BC" w:rsidR="00D56665">
        <w:rPr>
          <w:rFonts w:ascii="Times New Roman" w:hAnsi="Times New Roman" w:eastAsia="Times New Roman" w:cs="Times New Roman"/>
          <w:sz w:val="24"/>
          <w:szCs w:val="24"/>
        </w:rPr>
        <w:t xml:space="preserve"> obligation of one or more of the investors or other upper</w:t>
      </w:r>
      <w:r w:rsidR="005C76D1">
        <w:rPr>
          <w:rFonts w:ascii="Times New Roman" w:hAnsi="Times New Roman" w:eastAsia="Times New Roman" w:cs="Times New Roman"/>
          <w:sz w:val="24"/>
          <w:szCs w:val="24"/>
        </w:rPr>
        <w:t>-</w:t>
      </w:r>
      <w:r w:rsidRPr="007805BC" w:rsidR="00D56665">
        <w:rPr>
          <w:rFonts w:ascii="Times New Roman" w:hAnsi="Times New Roman" w:eastAsia="Times New Roman" w:cs="Times New Roman"/>
          <w:sz w:val="24"/>
          <w:szCs w:val="24"/>
        </w:rPr>
        <w:t>tier partners to the ownership entity (i.e. the limited or general partners), or an obligation of the project ownership entity/single-asset mortgagor itself.</w:t>
      </w:r>
    </w:p>
    <w:p w:rsidRPr="007805BC" w:rsidR="00CB7C00" w:rsidP="00D56665" w:rsidRDefault="00CB7C00" w14:paraId="0A502AD3" w14:textId="77777777">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sz w:val="24"/>
          <w:szCs w:val="24"/>
        </w:rPr>
      </w:pPr>
    </w:p>
    <w:p w:rsidRPr="007805BC" w:rsidR="00D56665" w:rsidP="00D56665" w:rsidRDefault="00D56665" w14:paraId="63DA3924" w14:textId="6C3BCAB2">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In </w:t>
      </w:r>
      <w:r w:rsidRPr="007805BC" w:rsidR="00300AC8">
        <w:rPr>
          <w:rFonts w:ascii="Times New Roman" w:hAnsi="Times New Roman" w:eastAsia="Times New Roman" w:cs="Times New Roman"/>
          <w:sz w:val="24"/>
          <w:szCs w:val="24"/>
        </w:rPr>
        <w:t>addition,</w:t>
      </w:r>
      <w:r w:rsidRPr="007805BC">
        <w:rPr>
          <w:rFonts w:ascii="Times New Roman" w:hAnsi="Times New Roman" w:eastAsia="Times New Roman" w:cs="Times New Roman"/>
          <w:sz w:val="24"/>
          <w:szCs w:val="24"/>
        </w:rPr>
        <w:t xml:space="preserve"> the following conditions must be met:</w:t>
      </w:r>
    </w:p>
    <w:p w:rsidRPr="00B57551" w:rsidR="00D56665" w:rsidP="00D56665" w:rsidRDefault="00D56665" w14:paraId="63DA3925" w14:textId="77777777">
      <w:pPr>
        <w:spacing w:line="276" w:lineRule="auto"/>
        <w:ind w:left="408"/>
        <w:contextualSpacing/>
        <w:jc w:val="both"/>
        <w:rPr>
          <w:rFonts w:ascii="Times New Roman" w:hAnsi="Times New Roman" w:cs="Times New Roman" w:eastAsiaTheme="minorEastAsia"/>
          <w:sz w:val="24"/>
          <w:szCs w:val="24"/>
        </w:rPr>
      </w:pPr>
    </w:p>
    <w:p w:rsidRPr="00B57551" w:rsidR="0015702A" w:rsidP="00B57551" w:rsidRDefault="00B57551" w14:paraId="4CCC2C5A" w14:textId="6D3F6A4A">
      <w:pPr>
        <w:pStyle w:val="ListParagraph"/>
        <w:numPr>
          <w:ilvl w:val="0"/>
          <w:numId w:val="29"/>
        </w:numPr>
        <w:jc w:val="both"/>
        <w:rPr>
          <w:rFonts w:ascii="Times New Roman" w:hAnsi="Times New Roman" w:cs="Times New Roman"/>
          <w:sz w:val="24"/>
          <w:szCs w:val="24"/>
        </w:rPr>
      </w:pPr>
      <w:bookmarkStart w:name="_Hlk37678273" w:id="4"/>
      <w:r w:rsidRPr="00B57551">
        <w:rPr>
          <w:rFonts w:ascii="Times New Roman" w:hAnsi="Times New Roman" w:cs="Times New Roman"/>
          <w:sz w:val="24"/>
          <w:szCs w:val="24"/>
        </w:rPr>
        <w:t xml:space="preserve">EBLs must be made expressly subordinate to the HUD insured first mortgage through use of the Equity Bridge Loan Rider, </w:t>
      </w:r>
      <w:r w:rsidRPr="00B57551">
        <w:rPr>
          <w:rFonts w:ascii="Times New Roman" w:hAnsi="Times New Roman" w:cs="Times New Roman"/>
          <w:i/>
          <w:iCs/>
          <w:sz w:val="24"/>
          <w:szCs w:val="24"/>
        </w:rPr>
        <w:t xml:space="preserve">see </w:t>
      </w:r>
      <w:r w:rsidRPr="00B57551">
        <w:rPr>
          <w:rFonts w:ascii="Times New Roman" w:hAnsi="Times New Roman" w:cs="Times New Roman"/>
          <w:sz w:val="24"/>
          <w:szCs w:val="24"/>
        </w:rPr>
        <w:t>Section 19.3.19.  EBLs may not be secured by a lien on the real estate or on any other “Mortgaged Property” as defined in the Security Instrument, and do not require a subordination agreement. T</w:t>
      </w:r>
      <w:r w:rsidRPr="00B57551" w:rsidR="00D56665">
        <w:rPr>
          <w:rFonts w:ascii="Times New Roman" w:hAnsi="Times New Roman" w:cs="Times New Roman"/>
          <w:sz w:val="24"/>
          <w:szCs w:val="24"/>
        </w:rPr>
        <w:t xml:space="preserve">hey </w:t>
      </w:r>
      <w:r w:rsidRPr="00B57551" w:rsidR="00D56665">
        <w:rPr>
          <w:rFonts w:ascii="Times New Roman" w:hAnsi="Times New Roman" w:cs="Times New Roman" w:eastAsiaTheme="minorEastAsia"/>
          <w:sz w:val="24"/>
          <w:szCs w:val="24"/>
        </w:rPr>
        <w:t xml:space="preserve">may be secured </w:t>
      </w:r>
      <w:r w:rsidRPr="00B57551" w:rsidR="00184F3A">
        <w:rPr>
          <w:rFonts w:ascii="Times New Roman" w:hAnsi="Times New Roman" w:cs="Times New Roman" w:eastAsiaTheme="minorEastAsia"/>
          <w:sz w:val="24"/>
          <w:szCs w:val="24"/>
        </w:rPr>
        <w:t>by</w:t>
      </w:r>
      <w:r w:rsidRPr="00B57551" w:rsidR="00D56665">
        <w:rPr>
          <w:rFonts w:ascii="Times New Roman" w:hAnsi="Times New Roman" w:cs="Times New Roman" w:eastAsiaTheme="minorEastAsia"/>
          <w:sz w:val="24"/>
          <w:szCs w:val="24"/>
        </w:rPr>
        <w:t xml:space="preserve"> a pledge of </w:t>
      </w:r>
      <w:r w:rsidRPr="00B57551" w:rsidR="00E76EA4">
        <w:rPr>
          <w:rFonts w:ascii="Times New Roman" w:hAnsi="Times New Roman" w:cs="Times New Roman" w:eastAsiaTheme="minorEastAsia"/>
          <w:sz w:val="24"/>
          <w:szCs w:val="24"/>
        </w:rPr>
        <w:t>t</w:t>
      </w:r>
      <w:r w:rsidRPr="00B57551" w:rsidR="00D56665">
        <w:rPr>
          <w:rFonts w:ascii="Times New Roman" w:hAnsi="Times New Roman" w:cs="Times New Roman" w:eastAsiaTheme="minorEastAsia"/>
          <w:sz w:val="24"/>
          <w:szCs w:val="24"/>
        </w:rPr>
        <w:t xml:space="preserve">ax </w:t>
      </w:r>
      <w:r w:rsidRPr="00B57551" w:rsidR="00E76EA4">
        <w:rPr>
          <w:rFonts w:ascii="Times New Roman" w:hAnsi="Times New Roman" w:cs="Times New Roman" w:eastAsiaTheme="minorEastAsia"/>
          <w:sz w:val="24"/>
          <w:szCs w:val="24"/>
        </w:rPr>
        <w:t>c</w:t>
      </w:r>
      <w:r w:rsidRPr="00B57551" w:rsidR="00D56665">
        <w:rPr>
          <w:rFonts w:ascii="Times New Roman" w:hAnsi="Times New Roman" w:cs="Times New Roman" w:eastAsiaTheme="minorEastAsia"/>
          <w:sz w:val="24"/>
          <w:szCs w:val="24"/>
        </w:rPr>
        <w:t>redits</w:t>
      </w:r>
      <w:r w:rsidRPr="00B57551" w:rsidR="004E4DFD">
        <w:rPr>
          <w:rFonts w:ascii="Times New Roman" w:hAnsi="Times New Roman" w:cs="Times New Roman" w:eastAsiaTheme="minorEastAsia"/>
          <w:sz w:val="24"/>
          <w:szCs w:val="24"/>
        </w:rPr>
        <w:t>, tax credit equity,</w:t>
      </w:r>
      <w:r w:rsidRPr="00B57551" w:rsidR="00D56665">
        <w:rPr>
          <w:rFonts w:ascii="Times New Roman" w:hAnsi="Times New Roman" w:cs="Times New Roman" w:eastAsiaTheme="minorEastAsia"/>
          <w:sz w:val="24"/>
          <w:szCs w:val="24"/>
        </w:rPr>
        <w:t xml:space="preserve"> and/or </w:t>
      </w:r>
      <w:r w:rsidRPr="00B57551" w:rsidR="0063562A">
        <w:rPr>
          <w:rFonts w:ascii="Times New Roman" w:hAnsi="Times New Roman" w:cs="Times New Roman" w:eastAsiaTheme="minorEastAsia"/>
          <w:sz w:val="24"/>
          <w:szCs w:val="24"/>
        </w:rPr>
        <w:t>an upper tier (i.e.</w:t>
      </w:r>
      <w:r w:rsidRPr="00B57551" w:rsidR="009738E7">
        <w:rPr>
          <w:rFonts w:ascii="Times New Roman" w:hAnsi="Times New Roman" w:cs="Times New Roman" w:eastAsiaTheme="minorEastAsia"/>
          <w:sz w:val="24"/>
          <w:szCs w:val="24"/>
        </w:rPr>
        <w:t>,</w:t>
      </w:r>
      <w:r w:rsidRPr="00B57551" w:rsidR="0063562A">
        <w:rPr>
          <w:rFonts w:ascii="Times New Roman" w:hAnsi="Times New Roman" w:cs="Times New Roman" w:eastAsiaTheme="minorEastAsia"/>
          <w:sz w:val="24"/>
          <w:szCs w:val="24"/>
        </w:rPr>
        <w:t xml:space="preserve"> the limited or general partner</w:t>
      </w:r>
      <w:r w:rsidRPr="00B57551" w:rsidR="004A0B5E">
        <w:rPr>
          <w:rFonts w:ascii="Times New Roman" w:hAnsi="Times New Roman" w:cs="Times New Roman" w:eastAsiaTheme="minorEastAsia"/>
          <w:sz w:val="24"/>
          <w:szCs w:val="24"/>
        </w:rPr>
        <w:t xml:space="preserve"> or managing member</w:t>
      </w:r>
      <w:r w:rsidRPr="00B57551" w:rsidR="0063562A">
        <w:rPr>
          <w:rFonts w:ascii="Times New Roman" w:hAnsi="Times New Roman" w:cs="Times New Roman" w:eastAsiaTheme="minorEastAsia"/>
          <w:sz w:val="24"/>
          <w:szCs w:val="24"/>
        </w:rPr>
        <w:t>)</w:t>
      </w:r>
      <w:r w:rsidRPr="00B57551" w:rsidR="00D56665">
        <w:rPr>
          <w:rFonts w:ascii="Times New Roman" w:hAnsi="Times New Roman" w:cs="Times New Roman" w:eastAsiaTheme="minorEastAsia"/>
          <w:sz w:val="24"/>
          <w:szCs w:val="24"/>
        </w:rPr>
        <w:t xml:space="preserve"> or investor members’ interests in the project’s ownership entity</w:t>
      </w:r>
      <w:r w:rsidRPr="00B57551" w:rsidR="00192AF8">
        <w:rPr>
          <w:rFonts w:ascii="Times New Roman" w:hAnsi="Times New Roman" w:cs="Times New Roman" w:eastAsiaTheme="minorEastAsia"/>
          <w:sz w:val="24"/>
          <w:szCs w:val="24"/>
        </w:rPr>
        <w:t xml:space="preserve">.  </w:t>
      </w:r>
      <w:r w:rsidRPr="00B57551" w:rsidR="002434D2">
        <w:rPr>
          <w:rFonts w:ascii="Times New Roman" w:hAnsi="Times New Roman" w:eastAsia="Times New Roman" w:cs="Times New Roman"/>
          <w:sz w:val="24"/>
          <w:szCs w:val="24"/>
        </w:rPr>
        <w:t>Any security for the EBL may be held</w:t>
      </w:r>
      <w:r w:rsidRPr="00B57551" w:rsidR="00D07BBC">
        <w:rPr>
          <w:rFonts w:ascii="Times New Roman" w:hAnsi="Times New Roman" w:eastAsia="Times New Roman" w:cs="Times New Roman"/>
          <w:sz w:val="24"/>
          <w:szCs w:val="24"/>
        </w:rPr>
        <w:t xml:space="preserve"> by the Borrower</w:t>
      </w:r>
      <w:r w:rsidRPr="00B57551" w:rsidR="002434D2">
        <w:rPr>
          <w:rFonts w:ascii="Times New Roman" w:hAnsi="Times New Roman" w:eastAsia="Times New Roman" w:cs="Times New Roman"/>
          <w:sz w:val="24"/>
          <w:szCs w:val="24"/>
        </w:rPr>
        <w:t xml:space="preserve"> in a </w:t>
      </w:r>
      <w:r w:rsidRPr="00B57551" w:rsidR="00F464AE">
        <w:rPr>
          <w:rFonts w:ascii="Times New Roman" w:hAnsi="Times New Roman" w:eastAsia="Times New Roman" w:cs="Times New Roman"/>
          <w:sz w:val="24"/>
          <w:szCs w:val="24"/>
        </w:rPr>
        <w:t>separate, segregated account, specifically labe</w:t>
      </w:r>
      <w:r w:rsidRPr="00B57551" w:rsidR="005119CE">
        <w:rPr>
          <w:rFonts w:ascii="Times New Roman" w:hAnsi="Times New Roman" w:eastAsia="Times New Roman" w:cs="Times New Roman"/>
          <w:sz w:val="24"/>
          <w:szCs w:val="24"/>
        </w:rPr>
        <w:t xml:space="preserve">led as </w:t>
      </w:r>
      <w:r w:rsidRPr="00B57551" w:rsidR="002434D2">
        <w:rPr>
          <w:rFonts w:ascii="Times New Roman" w:hAnsi="Times New Roman" w:eastAsia="Times New Roman" w:cs="Times New Roman"/>
          <w:sz w:val="24"/>
          <w:szCs w:val="24"/>
        </w:rPr>
        <w:t xml:space="preserve">non-project </w:t>
      </w:r>
      <w:r w:rsidRPr="00B57551" w:rsidR="00DA48D6">
        <w:rPr>
          <w:rFonts w:ascii="Times New Roman" w:hAnsi="Times New Roman" w:eastAsia="Times New Roman" w:cs="Times New Roman"/>
          <w:sz w:val="24"/>
          <w:szCs w:val="24"/>
        </w:rPr>
        <w:t xml:space="preserve">funds, and </w:t>
      </w:r>
      <w:r w:rsidRPr="00B57551" w:rsidR="007A4C0B">
        <w:rPr>
          <w:rFonts w:ascii="Times New Roman" w:hAnsi="Times New Roman" w:eastAsia="Times New Roman" w:cs="Times New Roman"/>
          <w:sz w:val="24"/>
          <w:szCs w:val="24"/>
        </w:rPr>
        <w:t xml:space="preserve">which are not part of the </w:t>
      </w:r>
      <w:r w:rsidRPr="00B57551" w:rsidR="002434D2">
        <w:rPr>
          <w:rFonts w:ascii="Times New Roman" w:hAnsi="Times New Roman" w:eastAsia="Times New Roman" w:cs="Times New Roman"/>
          <w:sz w:val="24"/>
          <w:szCs w:val="24"/>
        </w:rPr>
        <w:t>Mortgaged Property in Section 1(w) of the Security Instrument</w:t>
      </w:r>
      <w:r w:rsidRPr="00B57551" w:rsidR="002F4904">
        <w:rPr>
          <w:rFonts w:ascii="Times New Roman" w:hAnsi="Times New Roman" w:eastAsia="Times New Roman" w:cs="Times New Roman"/>
          <w:sz w:val="24"/>
          <w:szCs w:val="24"/>
        </w:rPr>
        <w:t>.</w:t>
      </w:r>
      <w:r w:rsidRPr="00B57551" w:rsidR="00D20E9F">
        <w:rPr>
          <w:rFonts w:ascii="Times New Roman" w:hAnsi="Times New Roman" w:eastAsia="Times New Roman" w:cs="Times New Roman"/>
          <w:sz w:val="24"/>
          <w:szCs w:val="24"/>
        </w:rPr>
        <w:t xml:space="preserve"> </w:t>
      </w:r>
    </w:p>
    <w:bookmarkEnd w:id="4"/>
    <w:p w:rsidR="0015702A" w:rsidP="003C2A0D" w:rsidRDefault="0015702A" w14:paraId="063663BD" w14:textId="77777777">
      <w:pPr>
        <w:pStyle w:val="ListParagraph"/>
        <w:autoSpaceDE w:val="0"/>
        <w:autoSpaceDN w:val="0"/>
        <w:spacing w:after="160" w:line="252" w:lineRule="auto"/>
        <w:jc w:val="both"/>
        <w:rPr>
          <w:rFonts w:ascii="Times New Roman" w:hAnsi="Times New Roman" w:eastAsia="Times New Roman" w:cs="Times New Roman"/>
          <w:sz w:val="24"/>
          <w:szCs w:val="24"/>
        </w:rPr>
      </w:pPr>
    </w:p>
    <w:p w:rsidRPr="005357A5" w:rsidR="002434D2" w:rsidP="003C2A0D" w:rsidRDefault="00D20E9F" w14:paraId="06238680" w14:textId="23D6E5B0">
      <w:pPr>
        <w:pStyle w:val="ListParagraph"/>
        <w:autoSpaceDE w:val="0"/>
        <w:autoSpaceDN w:val="0"/>
        <w:spacing w:after="160" w:line="252" w:lineRule="auto"/>
        <w:jc w:val="both"/>
        <w:rPr>
          <w:rFonts w:ascii="Times New Roman" w:hAnsi="Times New Roman" w:eastAsia="Times New Roman" w:cs="Times New Roman"/>
          <w:sz w:val="24"/>
          <w:szCs w:val="24"/>
        </w:rPr>
      </w:pPr>
      <w:r w:rsidRPr="000C4A68">
        <w:rPr>
          <w:rFonts w:ascii="Times New Roman" w:hAnsi="Times New Roman" w:cs="Times New Roman"/>
          <w:sz w:val="24"/>
          <w:szCs w:val="24"/>
        </w:rPr>
        <w:t>As with any transfer of the controlling partner of an ownership entity, any entity that intends to acquire the general partner’s position in the ownership entity whether under certain triggering default conditions set forth in the Borrower’s partnership or operating agreement or otherwise, is subject to HUD approval under the modified Transfer of Physical Assets process and Previous Participation Certification (Form HUD–2530) clearance, including financial statement review</w:t>
      </w:r>
    </w:p>
    <w:p w:rsidRPr="005357A5" w:rsidR="0071322C" w:rsidP="005357A5" w:rsidRDefault="0071322C" w14:paraId="17B05570" w14:textId="77777777">
      <w:pPr>
        <w:pStyle w:val="ListParagraph"/>
        <w:autoSpaceDE w:val="0"/>
        <w:autoSpaceDN w:val="0"/>
        <w:spacing w:after="160" w:line="252" w:lineRule="auto"/>
        <w:rPr>
          <w:rFonts w:ascii="Times New Roman" w:hAnsi="Times New Roman" w:eastAsia="Times New Roman" w:cs="Times New Roman"/>
          <w:sz w:val="24"/>
          <w:szCs w:val="24"/>
        </w:rPr>
      </w:pPr>
    </w:p>
    <w:p w:rsidRPr="005357A5" w:rsidR="00D56665" w:rsidP="003C2A0D" w:rsidRDefault="00D56665" w14:paraId="63DA3928" w14:textId="2FF3B510">
      <w:pPr>
        <w:pStyle w:val="ListParagraph"/>
        <w:numPr>
          <w:ilvl w:val="0"/>
          <w:numId w:val="29"/>
        </w:numPr>
        <w:jc w:val="both"/>
        <w:rPr>
          <w:rFonts w:ascii="Times New Roman" w:hAnsi="Times New Roman" w:cs="Times New Roman"/>
          <w:i/>
          <w:sz w:val="24"/>
          <w:szCs w:val="24"/>
        </w:rPr>
      </w:pPr>
      <w:r w:rsidRPr="005357A5">
        <w:rPr>
          <w:rFonts w:ascii="Times New Roman" w:hAnsi="Times New Roman" w:cs="Times New Roman"/>
          <w:sz w:val="24"/>
          <w:szCs w:val="24"/>
        </w:rPr>
        <w:t xml:space="preserve">EBLs must be non-recourse </w:t>
      </w:r>
      <w:r w:rsidRPr="000C4A68">
        <w:rPr>
          <w:rFonts w:ascii="Times New Roman" w:hAnsi="Times New Roman" w:cs="Times New Roman"/>
          <w:sz w:val="24"/>
          <w:szCs w:val="24"/>
        </w:rPr>
        <w:t>to the Borrower</w:t>
      </w:r>
      <w:r w:rsidRPr="000C4A68" w:rsidR="00F47031">
        <w:rPr>
          <w:rFonts w:ascii="Times New Roman" w:hAnsi="Times New Roman" w:cs="Times New Roman"/>
          <w:sz w:val="24"/>
          <w:szCs w:val="24"/>
        </w:rPr>
        <w:t xml:space="preserve"> (except for Surplus Cash or residual Receipts, as applicable, of the Borrower)</w:t>
      </w:r>
      <w:r w:rsidRPr="000C4A68">
        <w:rPr>
          <w:rFonts w:ascii="Times New Roman" w:hAnsi="Times New Roman" w:cs="Times New Roman"/>
          <w:sz w:val="24"/>
          <w:szCs w:val="24"/>
        </w:rPr>
        <w:t>, and the bridge lender shall have no claim even in an event of default against the Project, FHA</w:t>
      </w:r>
      <w:r w:rsidRPr="005357A5">
        <w:rPr>
          <w:rFonts w:ascii="Times New Roman" w:hAnsi="Times New Roman" w:cs="Times New Roman"/>
          <w:sz w:val="24"/>
          <w:szCs w:val="24"/>
        </w:rPr>
        <w:t xml:space="preserve"> mortgage loan proceeds, </w:t>
      </w:r>
      <w:r w:rsidR="00937AB5">
        <w:rPr>
          <w:rFonts w:ascii="Times New Roman" w:hAnsi="Times New Roman" w:cs="Times New Roman"/>
          <w:sz w:val="24"/>
          <w:szCs w:val="24"/>
        </w:rPr>
        <w:t xml:space="preserve">the Mortgaged Property, </w:t>
      </w:r>
      <w:r w:rsidRPr="005357A5">
        <w:rPr>
          <w:rFonts w:ascii="Times New Roman" w:hAnsi="Times New Roman" w:cs="Times New Roman"/>
          <w:sz w:val="24"/>
          <w:szCs w:val="24"/>
        </w:rPr>
        <w:t xml:space="preserve">or any reserve or deposit </w:t>
      </w:r>
      <w:r w:rsidR="008D7532">
        <w:rPr>
          <w:rFonts w:ascii="Times New Roman" w:hAnsi="Times New Roman" w:cs="Times New Roman"/>
          <w:sz w:val="24"/>
          <w:szCs w:val="24"/>
        </w:rPr>
        <w:t>with respect to the project required by Program Obligations</w:t>
      </w:r>
      <w:r w:rsidR="00937AB5">
        <w:rPr>
          <w:rFonts w:ascii="Times New Roman" w:hAnsi="Times New Roman" w:cs="Times New Roman"/>
          <w:sz w:val="24"/>
          <w:szCs w:val="24"/>
        </w:rPr>
        <w:t>.</w:t>
      </w:r>
    </w:p>
    <w:p w:rsidRPr="005357A5" w:rsidR="007267BA" w:rsidP="005357A5" w:rsidRDefault="007267BA" w14:paraId="4A526639" w14:textId="77777777">
      <w:pPr>
        <w:pStyle w:val="ListParagraph"/>
        <w:rPr>
          <w:rFonts w:ascii="Times New Roman" w:hAnsi="Times New Roman" w:cs="Times New Roman"/>
          <w:i/>
          <w:sz w:val="24"/>
          <w:szCs w:val="24"/>
        </w:rPr>
      </w:pPr>
    </w:p>
    <w:p w:rsidRPr="005357A5" w:rsidR="00D56665" w:rsidP="003C2A0D" w:rsidRDefault="00D56665" w14:paraId="63DA392A" w14:textId="180FA4E9">
      <w:pPr>
        <w:pStyle w:val="ListParagraph"/>
        <w:numPr>
          <w:ilvl w:val="0"/>
          <w:numId w:val="29"/>
        </w:numPr>
        <w:jc w:val="both"/>
        <w:rPr>
          <w:rFonts w:ascii="Times New Roman" w:hAnsi="Times New Roman" w:cs="Times New Roman" w:eastAsiaTheme="minorEastAsia"/>
          <w:i/>
          <w:sz w:val="24"/>
          <w:szCs w:val="24"/>
        </w:rPr>
      </w:pPr>
      <w:r w:rsidRPr="005357A5">
        <w:rPr>
          <w:rFonts w:ascii="Times New Roman" w:hAnsi="Times New Roman" w:cs="Times New Roman" w:eastAsiaTheme="minorEastAsia"/>
          <w:sz w:val="24"/>
          <w:szCs w:val="24"/>
        </w:rPr>
        <w:t xml:space="preserve">In the event HUD acquires title to the Project by foreclosure or deed in lieu of foreclosure, the </w:t>
      </w:r>
      <w:r w:rsidRPr="005357A5" w:rsidR="00925125">
        <w:rPr>
          <w:rFonts w:ascii="Times New Roman" w:hAnsi="Times New Roman" w:cs="Times New Roman" w:eastAsiaTheme="minorEastAsia"/>
          <w:sz w:val="24"/>
          <w:szCs w:val="24"/>
        </w:rPr>
        <w:t xml:space="preserve">equity </w:t>
      </w:r>
      <w:r w:rsidRPr="005357A5">
        <w:rPr>
          <w:rFonts w:ascii="Times New Roman" w:hAnsi="Times New Roman" w:cs="Times New Roman" w:eastAsiaTheme="minorEastAsia"/>
          <w:sz w:val="24"/>
          <w:szCs w:val="24"/>
        </w:rPr>
        <w:t xml:space="preserve">bridge loan documents </w:t>
      </w:r>
      <w:r w:rsidRPr="005357A5" w:rsidR="0047562D">
        <w:rPr>
          <w:rFonts w:ascii="Times New Roman" w:hAnsi="Times New Roman" w:cs="Times New Roman" w:eastAsiaTheme="minorEastAsia"/>
          <w:sz w:val="24"/>
          <w:szCs w:val="24"/>
        </w:rPr>
        <w:t>shall be discharged with respect to the FHA Borrower</w:t>
      </w:r>
      <w:r w:rsidR="00C932B4">
        <w:rPr>
          <w:rFonts w:ascii="Times New Roman" w:hAnsi="Times New Roman" w:cs="Times New Roman" w:eastAsiaTheme="minorEastAsia"/>
          <w:sz w:val="24"/>
          <w:szCs w:val="24"/>
        </w:rPr>
        <w:t>,</w:t>
      </w:r>
      <w:r w:rsidRPr="005357A5" w:rsidR="0047562D">
        <w:rPr>
          <w:rFonts w:ascii="Times New Roman" w:hAnsi="Times New Roman" w:cs="Times New Roman" w:eastAsiaTheme="minorEastAsia"/>
          <w:sz w:val="24"/>
          <w:szCs w:val="24"/>
        </w:rPr>
        <w:t xml:space="preserve"> and the FHA Borrower shall be released of all of its obligation with respect to the EBL.  </w:t>
      </w:r>
      <w:r w:rsidRPr="005357A5" w:rsidR="00D06313">
        <w:rPr>
          <w:rFonts w:ascii="Times New Roman" w:hAnsi="Times New Roman" w:cs="Times New Roman" w:eastAsiaTheme="minorEastAsia"/>
          <w:sz w:val="24"/>
          <w:szCs w:val="24"/>
        </w:rPr>
        <w:t>Notwithstanding</w:t>
      </w:r>
      <w:r w:rsidRPr="005357A5" w:rsidR="00D47058">
        <w:rPr>
          <w:rFonts w:ascii="Times New Roman" w:hAnsi="Times New Roman" w:cs="Times New Roman" w:eastAsiaTheme="minorEastAsia"/>
          <w:sz w:val="24"/>
          <w:szCs w:val="24"/>
        </w:rPr>
        <w:t xml:space="preserve"> the required discharge of the FHA Borrower imposed by this paragraph, the equity bridge loan documents may provide that such </w:t>
      </w:r>
      <w:r w:rsidRPr="005357A5" w:rsidR="00C576FF">
        <w:rPr>
          <w:rFonts w:ascii="Times New Roman" w:hAnsi="Times New Roman" w:cs="Times New Roman" w:eastAsiaTheme="minorEastAsia"/>
          <w:sz w:val="24"/>
          <w:szCs w:val="24"/>
        </w:rPr>
        <w:t xml:space="preserve">discharge neither:  (1) excuses or </w:t>
      </w:r>
      <w:r w:rsidRPr="005357A5" w:rsidR="0013056B">
        <w:rPr>
          <w:rFonts w:ascii="Times New Roman" w:hAnsi="Times New Roman" w:cs="Times New Roman" w:eastAsiaTheme="minorEastAsia"/>
          <w:sz w:val="24"/>
          <w:szCs w:val="24"/>
        </w:rPr>
        <w:t>relieves</w:t>
      </w:r>
      <w:r w:rsidRPr="005357A5" w:rsidR="00C576FF">
        <w:rPr>
          <w:rFonts w:ascii="Times New Roman" w:hAnsi="Times New Roman" w:cs="Times New Roman" w:eastAsiaTheme="minorEastAsia"/>
          <w:sz w:val="24"/>
          <w:szCs w:val="24"/>
        </w:rPr>
        <w:t xml:space="preserve"> any co-signer, guarantor or any other party from the obligation to repay the indebtedness evidenced by the bridge loan note and bridge loan documents; nor, (2) affects, </w:t>
      </w:r>
      <w:r w:rsidRPr="005357A5" w:rsidR="00D82CDB">
        <w:rPr>
          <w:rFonts w:ascii="Times New Roman" w:hAnsi="Times New Roman" w:cs="Times New Roman" w:eastAsiaTheme="minorEastAsia"/>
          <w:sz w:val="24"/>
          <w:szCs w:val="24"/>
        </w:rPr>
        <w:t>limits, or impairs the bridge lender’s ability to seek a monetary judgment and pursue other remedies</w:t>
      </w:r>
      <w:r w:rsidR="007F28A7">
        <w:rPr>
          <w:rFonts w:ascii="Times New Roman" w:hAnsi="Times New Roman" w:cs="Times New Roman" w:eastAsiaTheme="minorEastAsia"/>
          <w:sz w:val="24"/>
          <w:szCs w:val="24"/>
        </w:rPr>
        <w:t xml:space="preserve"> </w:t>
      </w:r>
      <w:r w:rsidRPr="00DA556E" w:rsidR="007F28A7">
        <w:rPr>
          <w:rFonts w:ascii="Times New Roman" w:hAnsi="Times New Roman" w:cs="Times New Roman"/>
          <w:sz w:val="24"/>
          <w:szCs w:val="24"/>
        </w:rPr>
        <w:t>against any co-signer, guarantor or other party</w:t>
      </w:r>
      <w:r w:rsidRPr="00DA556E" w:rsidR="002F4904">
        <w:rPr>
          <w:rFonts w:ascii="Times New Roman" w:hAnsi="Times New Roman" w:cs="Times New Roman" w:eastAsiaTheme="minorEastAsia"/>
          <w:sz w:val="24"/>
          <w:szCs w:val="24"/>
        </w:rPr>
        <w:t>.</w:t>
      </w:r>
    </w:p>
    <w:p w:rsidRPr="005357A5" w:rsidR="00E52C73" w:rsidP="003C2A0D" w:rsidRDefault="00E52C73" w14:paraId="5FC02E9E" w14:textId="77777777">
      <w:pPr>
        <w:pStyle w:val="ListParagraph"/>
        <w:jc w:val="both"/>
        <w:rPr>
          <w:rFonts w:ascii="Times New Roman" w:hAnsi="Times New Roman" w:cs="Times New Roman" w:eastAsiaTheme="minorEastAsia"/>
          <w:i/>
          <w:sz w:val="24"/>
          <w:szCs w:val="24"/>
        </w:rPr>
      </w:pPr>
    </w:p>
    <w:p w:rsidRPr="005357A5" w:rsidR="00D56665" w:rsidP="003C2A0D" w:rsidRDefault="00D56665" w14:paraId="63DA392C" w14:textId="23B33DA4">
      <w:pPr>
        <w:pStyle w:val="ListParagraph"/>
        <w:numPr>
          <w:ilvl w:val="0"/>
          <w:numId w:val="29"/>
        </w:numPr>
        <w:jc w:val="both"/>
        <w:rPr>
          <w:rFonts w:ascii="Times New Roman" w:hAnsi="Times New Roman" w:cs="Times New Roman" w:eastAsiaTheme="minorEastAsia"/>
          <w:i/>
          <w:sz w:val="24"/>
          <w:szCs w:val="24"/>
        </w:rPr>
      </w:pPr>
      <w:r w:rsidRPr="005357A5">
        <w:rPr>
          <w:rFonts w:ascii="Times New Roman" w:hAnsi="Times New Roman" w:cs="Times New Roman"/>
          <w:sz w:val="24"/>
          <w:szCs w:val="24"/>
        </w:rPr>
        <w:t>The obligation must be evidenced by a promissory note</w:t>
      </w:r>
      <w:r w:rsidRPr="002F5D4E" w:rsidR="00203B95">
        <w:rPr>
          <w:rFonts w:ascii="Times New Roman" w:hAnsi="Times New Roman" w:cs="Times New Roman"/>
          <w:sz w:val="24"/>
          <w:szCs w:val="24"/>
        </w:rPr>
        <w:t xml:space="preserve"> </w:t>
      </w:r>
      <w:r w:rsidRPr="005357A5" w:rsidR="00203B95">
        <w:rPr>
          <w:rFonts w:ascii="TimesNewRomanPSMT" w:hAnsi="TimesNewRomanPSMT" w:eastAsia="Times New Roman"/>
          <w:sz w:val="24"/>
          <w:szCs w:val="24"/>
        </w:rPr>
        <w:t>with appropriate subordination provisions and limitations on recourse against the Borrower</w:t>
      </w:r>
      <w:r w:rsidR="002F4904">
        <w:rPr>
          <w:rFonts w:ascii="TimesNewRomanPSMT" w:hAnsi="TimesNewRomanPSMT" w:eastAsia="Times New Roman"/>
          <w:sz w:val="24"/>
          <w:szCs w:val="24"/>
        </w:rPr>
        <w:t>.</w:t>
      </w:r>
    </w:p>
    <w:p w:rsidRPr="005357A5" w:rsidR="00440419" w:rsidP="005357A5" w:rsidRDefault="00440419" w14:paraId="6DF4B5CE" w14:textId="77777777">
      <w:pPr>
        <w:pStyle w:val="ListParagraph"/>
        <w:rPr>
          <w:rFonts w:ascii="Times New Roman" w:hAnsi="Times New Roman" w:cs="Times New Roman" w:eastAsiaTheme="minorEastAsia"/>
          <w:i/>
          <w:sz w:val="24"/>
          <w:szCs w:val="24"/>
          <w:highlight w:val="yellow"/>
        </w:rPr>
      </w:pPr>
    </w:p>
    <w:p w:rsidRPr="005357A5" w:rsidR="00D56665" w:rsidP="003C2A0D" w:rsidRDefault="00D56665" w14:paraId="63DA392E" w14:textId="6083CF19">
      <w:pPr>
        <w:pStyle w:val="ListParagraph"/>
        <w:numPr>
          <w:ilvl w:val="0"/>
          <w:numId w:val="29"/>
        </w:numPr>
        <w:jc w:val="both"/>
        <w:rPr>
          <w:rFonts w:ascii="Times New Roman" w:hAnsi="Times New Roman" w:cs="Times New Roman" w:eastAsiaTheme="minorEastAsia"/>
          <w:i/>
          <w:sz w:val="24"/>
          <w:szCs w:val="24"/>
        </w:rPr>
      </w:pPr>
      <w:r w:rsidRPr="005357A5">
        <w:rPr>
          <w:rFonts w:ascii="Times New Roman" w:hAnsi="Times New Roman" w:cs="Times New Roman"/>
          <w:sz w:val="24"/>
          <w:szCs w:val="24"/>
        </w:rPr>
        <w:t>The term of the note may last through the construction or rehabilitation period but must be paid in full no later than the following dates:</w:t>
      </w:r>
    </w:p>
    <w:p w:rsidRPr="007805BC" w:rsidR="00D56665" w:rsidP="00D56665" w:rsidRDefault="00D56665" w14:paraId="63DA392F" w14:textId="77777777">
      <w:pPr>
        <w:spacing w:line="276" w:lineRule="auto"/>
        <w:jc w:val="both"/>
        <w:rPr>
          <w:rFonts w:ascii="Times New Roman" w:hAnsi="Times New Roman" w:cs="Times New Roman"/>
          <w:sz w:val="24"/>
          <w:szCs w:val="24"/>
        </w:rPr>
      </w:pPr>
    </w:p>
    <w:p w:rsidRPr="00937AB5" w:rsidR="00D56665" w:rsidP="009C0F94" w:rsidRDefault="00D56665" w14:paraId="63DA3930" w14:textId="6A5D5EAA">
      <w:pPr>
        <w:pStyle w:val="ListParagraph"/>
        <w:numPr>
          <w:ilvl w:val="0"/>
          <w:numId w:val="30"/>
        </w:numPr>
        <w:spacing w:after="200" w:afterAutospacing="1" w:line="276" w:lineRule="auto"/>
        <w:jc w:val="both"/>
        <w:rPr>
          <w:rFonts w:ascii="Times New Roman" w:hAnsi="Times New Roman" w:cs="Times New Roman"/>
          <w:sz w:val="24"/>
          <w:szCs w:val="24"/>
        </w:rPr>
      </w:pPr>
      <w:r w:rsidRPr="00937AB5">
        <w:rPr>
          <w:rFonts w:ascii="Times New Roman" w:hAnsi="Times New Roman" w:cs="Times New Roman"/>
          <w:sz w:val="24"/>
          <w:szCs w:val="24"/>
        </w:rPr>
        <w:t>In the case of EBLs provided by private, for-profit lenders,</w:t>
      </w:r>
      <w:r w:rsidRPr="00937AB5" w:rsidR="00074138">
        <w:rPr>
          <w:rFonts w:ascii="Times New Roman" w:hAnsi="Times New Roman" w:cs="Times New Roman"/>
          <w:sz w:val="24"/>
          <w:szCs w:val="24"/>
        </w:rPr>
        <w:t xml:space="preserve"> </w:t>
      </w:r>
      <w:r w:rsidR="00DF38E4">
        <w:rPr>
          <w:rFonts w:ascii="Times New Roman" w:hAnsi="Times New Roman" w:cs="Times New Roman"/>
          <w:sz w:val="24"/>
          <w:szCs w:val="24"/>
        </w:rPr>
        <w:t>the earlier of</w:t>
      </w:r>
      <w:r w:rsidR="004E77DB">
        <w:rPr>
          <w:rFonts w:ascii="Times New Roman" w:hAnsi="Times New Roman" w:cs="Times New Roman"/>
          <w:sz w:val="24"/>
          <w:szCs w:val="24"/>
        </w:rPr>
        <w:t xml:space="preserve"> the filing of Form</w:t>
      </w:r>
      <w:r w:rsidR="00DF38E4">
        <w:rPr>
          <w:rFonts w:ascii="Times New Roman" w:hAnsi="Times New Roman" w:cs="Times New Roman"/>
          <w:sz w:val="24"/>
          <w:szCs w:val="24"/>
        </w:rPr>
        <w:t xml:space="preserve"> </w:t>
      </w:r>
      <w:r w:rsidR="00A73EF3">
        <w:rPr>
          <w:rFonts w:ascii="Times New Roman" w:hAnsi="Times New Roman" w:cs="Times New Roman"/>
          <w:sz w:val="24"/>
          <w:szCs w:val="24"/>
        </w:rPr>
        <w:t xml:space="preserve">8609 </w:t>
      </w:r>
      <w:r w:rsidR="00DF38E4">
        <w:rPr>
          <w:rFonts w:ascii="Times New Roman" w:hAnsi="Times New Roman" w:cs="Times New Roman"/>
          <w:sz w:val="24"/>
          <w:szCs w:val="24"/>
        </w:rPr>
        <w:t xml:space="preserve">or </w:t>
      </w:r>
      <w:r w:rsidRPr="00937AB5" w:rsidR="00E8668D">
        <w:rPr>
          <w:rFonts w:ascii="Times New Roman" w:hAnsi="Times New Roman" w:cs="Times New Roman"/>
          <w:sz w:val="24"/>
          <w:szCs w:val="24"/>
        </w:rPr>
        <w:t xml:space="preserve"> </w:t>
      </w:r>
      <w:r w:rsidRPr="00937AB5" w:rsidR="002B03C3">
        <w:rPr>
          <w:rFonts w:ascii="Times New Roman" w:hAnsi="Times New Roman" w:cs="Times New Roman"/>
          <w:sz w:val="24"/>
          <w:szCs w:val="24"/>
        </w:rPr>
        <w:t xml:space="preserve">(a) </w:t>
      </w:r>
      <w:r w:rsidRPr="00937AB5" w:rsidR="001353FF">
        <w:rPr>
          <w:rFonts w:ascii="Times New Roman" w:hAnsi="Times New Roman" w:cs="Times New Roman"/>
          <w:color w:val="000000"/>
          <w:sz w:val="24"/>
          <w:szCs w:val="24"/>
        </w:rPr>
        <w:t xml:space="preserve">one year after </w:t>
      </w:r>
      <w:r w:rsidRPr="00937AB5" w:rsidR="00EF1874">
        <w:rPr>
          <w:rFonts w:ascii="Times New Roman" w:hAnsi="Times New Roman" w:cs="Times New Roman"/>
          <w:color w:val="000000"/>
          <w:sz w:val="24"/>
          <w:szCs w:val="24"/>
        </w:rPr>
        <w:t xml:space="preserve">(a) </w:t>
      </w:r>
      <w:r w:rsidRPr="00937AB5" w:rsidR="001353FF">
        <w:rPr>
          <w:rFonts w:ascii="Times New Roman" w:hAnsi="Times New Roman" w:cs="Times New Roman"/>
          <w:color w:val="000000"/>
          <w:sz w:val="24"/>
          <w:szCs w:val="24"/>
        </w:rPr>
        <w:t xml:space="preserve">Final Endorsement </w:t>
      </w:r>
      <w:r w:rsidRPr="00937AB5" w:rsidR="005779AD">
        <w:rPr>
          <w:rFonts w:ascii="Times New Roman" w:hAnsi="Times New Roman" w:cs="Times New Roman"/>
          <w:color w:val="000000"/>
          <w:sz w:val="24"/>
          <w:szCs w:val="24"/>
        </w:rPr>
        <w:t>for Section 221(d)(4)/220 loans</w:t>
      </w:r>
      <w:r w:rsidRPr="00937AB5" w:rsidR="00352AAA">
        <w:rPr>
          <w:rFonts w:ascii="Times New Roman" w:hAnsi="Times New Roman" w:cs="Times New Roman"/>
          <w:color w:val="000000"/>
          <w:sz w:val="24"/>
          <w:szCs w:val="24"/>
        </w:rPr>
        <w:t>,</w:t>
      </w:r>
      <w:r w:rsidRPr="00937AB5" w:rsidR="005779AD">
        <w:rPr>
          <w:rFonts w:ascii="Times New Roman" w:hAnsi="Times New Roman" w:cs="Times New Roman"/>
          <w:color w:val="000000"/>
          <w:sz w:val="24"/>
          <w:szCs w:val="24"/>
        </w:rPr>
        <w:t xml:space="preserve"> </w:t>
      </w:r>
      <w:r w:rsidRPr="00937AB5" w:rsidR="00305956">
        <w:rPr>
          <w:rFonts w:ascii="Times New Roman" w:hAnsi="Times New Roman" w:cs="Times New Roman"/>
          <w:color w:val="000000"/>
          <w:sz w:val="24"/>
          <w:szCs w:val="24"/>
        </w:rPr>
        <w:t>or</w:t>
      </w:r>
      <w:r w:rsidRPr="00937AB5" w:rsidR="00074138">
        <w:rPr>
          <w:rFonts w:ascii="Times New Roman" w:hAnsi="Times New Roman" w:cs="Times New Roman"/>
          <w:color w:val="000000"/>
          <w:sz w:val="24"/>
          <w:szCs w:val="24"/>
        </w:rPr>
        <w:t xml:space="preserve"> </w:t>
      </w:r>
      <w:r w:rsidRPr="00937AB5" w:rsidR="00B60F50">
        <w:rPr>
          <w:rFonts w:ascii="Times New Roman" w:hAnsi="Times New Roman" w:cs="Times New Roman"/>
          <w:color w:val="000000"/>
          <w:sz w:val="24"/>
          <w:szCs w:val="24"/>
        </w:rPr>
        <w:t xml:space="preserve">(b) </w:t>
      </w:r>
      <w:r w:rsidRPr="00937AB5" w:rsidR="002B03C3">
        <w:rPr>
          <w:rFonts w:ascii="Times New Roman" w:hAnsi="Times New Roman" w:cs="Times New Roman"/>
          <w:color w:val="000000"/>
          <w:sz w:val="24"/>
          <w:szCs w:val="24"/>
        </w:rPr>
        <w:t xml:space="preserve">one year after </w:t>
      </w:r>
      <w:r w:rsidR="00DF38E4">
        <w:rPr>
          <w:rFonts w:ascii="Times New Roman" w:hAnsi="Times New Roman" w:cs="Times New Roman"/>
          <w:color w:val="000000"/>
          <w:sz w:val="24"/>
          <w:szCs w:val="24"/>
        </w:rPr>
        <w:t>the end of the repair period</w:t>
      </w:r>
      <w:r w:rsidRPr="00CC2381" w:rsidR="00305956">
        <w:rPr>
          <w:rFonts w:ascii="Times New Roman" w:hAnsi="Times New Roman" w:cs="Times New Roman"/>
          <w:color w:val="000000"/>
          <w:sz w:val="24"/>
          <w:szCs w:val="24"/>
        </w:rPr>
        <w:t xml:space="preserve"> </w:t>
      </w:r>
      <w:r w:rsidRPr="000C3B4B">
        <w:rPr>
          <w:rFonts w:ascii="Times New Roman" w:hAnsi="Times New Roman" w:cs="Times New Roman"/>
          <w:color w:val="000000"/>
          <w:sz w:val="24"/>
          <w:szCs w:val="24"/>
        </w:rPr>
        <w:t>for 223(f) loans</w:t>
      </w:r>
      <w:r w:rsidRPr="00937AB5">
        <w:rPr>
          <w:rFonts w:ascii="Times New Roman" w:hAnsi="Times New Roman" w:cs="Times New Roman"/>
          <w:sz w:val="24"/>
          <w:szCs w:val="24"/>
        </w:rPr>
        <w:t xml:space="preserve">; and </w:t>
      </w:r>
    </w:p>
    <w:p w:rsidRPr="005357A5" w:rsidR="00D56665" w:rsidRDefault="00D56665" w14:paraId="63DA3932" w14:textId="7725971D">
      <w:pPr>
        <w:pStyle w:val="ListParagraph"/>
        <w:numPr>
          <w:ilvl w:val="0"/>
          <w:numId w:val="30"/>
        </w:numPr>
        <w:spacing w:after="200" w:afterAutospacing="1" w:line="276" w:lineRule="auto"/>
        <w:jc w:val="both"/>
        <w:rPr>
          <w:rFonts w:ascii="Times New Roman" w:hAnsi="Times New Roman" w:cs="Times New Roman"/>
          <w:sz w:val="24"/>
          <w:szCs w:val="24"/>
        </w:rPr>
      </w:pPr>
      <w:r w:rsidRPr="005357A5">
        <w:rPr>
          <w:rFonts w:ascii="Times New Roman" w:hAnsi="Times New Roman" w:cs="Times New Roman"/>
          <w:sz w:val="24"/>
          <w:szCs w:val="24"/>
        </w:rPr>
        <w:t>In the case of EBLs provided by not-for-profit, public sector or quasi-public sector entities, no later</w:t>
      </w:r>
      <w:r w:rsidR="003F084A">
        <w:rPr>
          <w:rFonts w:ascii="Times New Roman" w:hAnsi="Times New Roman" w:cs="Times New Roman"/>
          <w:sz w:val="24"/>
          <w:szCs w:val="24"/>
        </w:rPr>
        <w:t xml:space="preserve"> </w:t>
      </w:r>
      <w:r w:rsidRPr="005357A5">
        <w:rPr>
          <w:rFonts w:ascii="Times New Roman" w:hAnsi="Times New Roman" w:cs="Times New Roman"/>
          <w:sz w:val="24"/>
          <w:szCs w:val="24"/>
        </w:rPr>
        <w:t xml:space="preserve">than </w:t>
      </w:r>
      <w:r w:rsidRPr="005357A5" w:rsidR="004D2878">
        <w:rPr>
          <w:rFonts w:ascii="Times New Roman" w:hAnsi="Times New Roman" w:cs="Times New Roman"/>
          <w:sz w:val="24"/>
          <w:szCs w:val="24"/>
        </w:rPr>
        <w:t>ten years</w:t>
      </w:r>
      <w:r w:rsidRPr="005357A5">
        <w:rPr>
          <w:rFonts w:ascii="Times New Roman" w:hAnsi="Times New Roman" w:cs="Times New Roman"/>
          <w:sz w:val="24"/>
          <w:szCs w:val="24"/>
        </w:rPr>
        <w:t xml:space="preserve"> following </w:t>
      </w:r>
      <w:r w:rsidRPr="005357A5" w:rsidR="001A7499">
        <w:rPr>
          <w:rFonts w:ascii="Times New Roman" w:hAnsi="Times New Roman" w:cs="Times New Roman"/>
          <w:sz w:val="24"/>
          <w:szCs w:val="24"/>
        </w:rPr>
        <w:t xml:space="preserve">(a) </w:t>
      </w:r>
      <w:r w:rsidR="00E34DEE">
        <w:rPr>
          <w:rFonts w:ascii="Times New Roman" w:hAnsi="Times New Roman" w:cs="Times New Roman"/>
          <w:color w:val="000000"/>
          <w:sz w:val="24"/>
          <w:szCs w:val="24"/>
        </w:rPr>
        <w:t>the end of the repair period</w:t>
      </w:r>
      <w:r w:rsidRPr="005357A5">
        <w:rPr>
          <w:rFonts w:ascii="Times New Roman" w:hAnsi="Times New Roman" w:cs="Times New Roman"/>
          <w:color w:val="000000"/>
          <w:sz w:val="24"/>
          <w:szCs w:val="24"/>
        </w:rPr>
        <w:t xml:space="preserve"> for 223(f) loans, or </w:t>
      </w:r>
      <w:r w:rsidRPr="005357A5" w:rsidR="001A7499">
        <w:rPr>
          <w:rFonts w:ascii="Times New Roman" w:hAnsi="Times New Roman" w:cs="Times New Roman"/>
          <w:color w:val="000000"/>
          <w:sz w:val="24"/>
          <w:szCs w:val="24"/>
        </w:rPr>
        <w:t xml:space="preserve">(b) </w:t>
      </w:r>
      <w:r w:rsidRPr="005357A5">
        <w:rPr>
          <w:rFonts w:ascii="Times New Roman" w:hAnsi="Times New Roman" w:cs="Times New Roman"/>
          <w:color w:val="000000"/>
          <w:sz w:val="24"/>
          <w:szCs w:val="24"/>
        </w:rPr>
        <w:t xml:space="preserve">Final </w:t>
      </w:r>
      <w:r w:rsidRPr="005357A5" w:rsidR="00300AC8">
        <w:rPr>
          <w:rFonts w:ascii="Times New Roman" w:hAnsi="Times New Roman" w:cs="Times New Roman"/>
          <w:color w:val="000000"/>
          <w:sz w:val="24"/>
          <w:szCs w:val="24"/>
        </w:rPr>
        <w:t>Endorsement for</w:t>
      </w:r>
      <w:r w:rsidRPr="005357A5">
        <w:rPr>
          <w:rFonts w:ascii="Times New Roman" w:hAnsi="Times New Roman" w:cs="Times New Roman"/>
          <w:color w:val="000000"/>
          <w:sz w:val="24"/>
          <w:szCs w:val="24"/>
        </w:rPr>
        <w:t xml:space="preserve"> 221(d)(4) loans.</w:t>
      </w:r>
    </w:p>
    <w:p w:rsidRPr="005357A5" w:rsidR="00B77E14" w:rsidP="005357A5" w:rsidRDefault="00B77E14" w14:paraId="60819DF6" w14:textId="77777777">
      <w:pPr>
        <w:pStyle w:val="ListParagraph"/>
        <w:spacing w:after="200" w:afterAutospacing="1" w:line="276" w:lineRule="auto"/>
        <w:ind w:left="1080"/>
        <w:jc w:val="both"/>
        <w:rPr>
          <w:rFonts w:ascii="Times New Roman" w:hAnsi="Times New Roman" w:cs="Times New Roman"/>
          <w:sz w:val="24"/>
          <w:szCs w:val="24"/>
        </w:rPr>
      </w:pPr>
    </w:p>
    <w:p w:rsidR="00E4031E" w:rsidP="003C2A0D" w:rsidRDefault="00B77E14" w14:paraId="441FF7B3" w14:textId="31C640B2">
      <w:pPr>
        <w:pStyle w:val="ListParagraph"/>
        <w:numPr>
          <w:ilvl w:val="0"/>
          <w:numId w:val="29"/>
        </w:numPr>
        <w:jc w:val="both"/>
      </w:pPr>
      <w:r w:rsidRPr="0041155D">
        <w:rPr>
          <w:rFonts w:ascii="Times New Roman" w:hAnsi="Times New Roman" w:cs="Times New Roman"/>
          <w:sz w:val="24"/>
          <w:szCs w:val="24"/>
        </w:rPr>
        <w:t>The FHA Borrowe</w:t>
      </w:r>
      <w:r w:rsidRPr="0041155D" w:rsidR="0041155D">
        <w:rPr>
          <w:rFonts w:ascii="Times New Roman" w:hAnsi="Times New Roman" w:cs="Times New Roman"/>
          <w:sz w:val="24"/>
          <w:szCs w:val="24"/>
        </w:rPr>
        <w:t xml:space="preserve">r </w:t>
      </w:r>
      <w:r w:rsidRPr="005357A5" w:rsidR="00D56665">
        <w:rPr>
          <w:rFonts w:ascii="Times New Roman" w:hAnsi="Times New Roman" w:cs="Times New Roman"/>
          <w:sz w:val="24"/>
          <w:szCs w:val="24"/>
        </w:rPr>
        <w:t xml:space="preserve">must provide evidence to the lender’s </w:t>
      </w:r>
      <w:r w:rsidRPr="005357A5" w:rsidR="006D13D6">
        <w:rPr>
          <w:rFonts w:ascii="Times New Roman" w:hAnsi="Times New Roman" w:cs="Times New Roman"/>
          <w:sz w:val="24"/>
          <w:szCs w:val="24"/>
        </w:rPr>
        <w:t xml:space="preserve">and HUD’s </w:t>
      </w:r>
      <w:r w:rsidRPr="005357A5" w:rsidR="00D56665">
        <w:rPr>
          <w:rFonts w:ascii="Times New Roman" w:hAnsi="Times New Roman" w:cs="Times New Roman"/>
          <w:sz w:val="24"/>
          <w:szCs w:val="24"/>
        </w:rPr>
        <w:t xml:space="preserve">satisfaction that the bridge loan </w:t>
      </w:r>
      <w:r w:rsidRPr="005357A5" w:rsidR="00A97B3B">
        <w:rPr>
          <w:rFonts w:ascii="Times New Roman" w:hAnsi="Times New Roman" w:cs="Times New Roman"/>
          <w:sz w:val="24"/>
          <w:szCs w:val="24"/>
        </w:rPr>
        <w:t>will be</w:t>
      </w:r>
      <w:r w:rsidRPr="005357A5" w:rsidR="00D56665">
        <w:rPr>
          <w:rFonts w:ascii="Times New Roman" w:hAnsi="Times New Roman" w:cs="Times New Roman"/>
          <w:sz w:val="24"/>
          <w:szCs w:val="24"/>
        </w:rPr>
        <w:t xml:space="preserve"> paid in full </w:t>
      </w:r>
      <w:r w:rsidRPr="005357A5" w:rsidR="00ED0FC5">
        <w:rPr>
          <w:rFonts w:ascii="Times New Roman" w:hAnsi="Times New Roman" w:cs="Times New Roman"/>
          <w:sz w:val="24"/>
          <w:szCs w:val="24"/>
        </w:rPr>
        <w:t xml:space="preserve">by </w:t>
      </w:r>
      <w:r w:rsidRPr="005357A5" w:rsidR="00D56665">
        <w:rPr>
          <w:rFonts w:ascii="Times New Roman" w:hAnsi="Times New Roman" w:cs="Times New Roman"/>
          <w:sz w:val="24"/>
          <w:szCs w:val="24"/>
        </w:rPr>
        <w:t>the time</w:t>
      </w:r>
      <w:r w:rsidRPr="005357A5" w:rsidR="00303BE1">
        <w:rPr>
          <w:rFonts w:ascii="Times New Roman" w:hAnsi="Times New Roman" w:cs="Times New Roman"/>
          <w:sz w:val="24"/>
          <w:szCs w:val="24"/>
        </w:rPr>
        <w:t>frames</w:t>
      </w:r>
      <w:r w:rsidRPr="005357A5" w:rsidR="00D56665">
        <w:rPr>
          <w:rFonts w:ascii="Times New Roman" w:hAnsi="Times New Roman" w:cs="Times New Roman"/>
          <w:sz w:val="24"/>
          <w:szCs w:val="24"/>
        </w:rPr>
        <w:t xml:space="preserve"> noted above</w:t>
      </w:r>
      <w:r w:rsidRPr="000C6528" w:rsidR="004A0125">
        <w:rPr>
          <w:rFonts w:ascii="Times New Roman" w:hAnsi="Times New Roman" w:cs="Times New Roman"/>
          <w:sz w:val="24"/>
          <w:szCs w:val="24"/>
        </w:rPr>
        <w:t xml:space="preserve">. </w:t>
      </w:r>
      <w:r w:rsidRPr="00D87962" w:rsidR="004754D0">
        <w:rPr>
          <w:rFonts w:ascii="Times New Roman" w:hAnsi="Times New Roman" w:cs="Times New Roman"/>
          <w:sz w:val="24"/>
          <w:szCs w:val="24"/>
        </w:rPr>
        <w:t xml:space="preserve">At application, HUD </w:t>
      </w:r>
      <w:r w:rsidR="008922D3">
        <w:rPr>
          <w:rFonts w:ascii="Times New Roman" w:hAnsi="Times New Roman" w:cs="Times New Roman"/>
          <w:sz w:val="24"/>
          <w:szCs w:val="24"/>
        </w:rPr>
        <w:t>will accept the</w:t>
      </w:r>
      <w:r w:rsidRPr="007F3393" w:rsidR="004754D0">
        <w:rPr>
          <w:rFonts w:ascii="Times New Roman" w:hAnsi="Times New Roman" w:cs="Times New Roman"/>
          <w:sz w:val="24"/>
          <w:szCs w:val="24"/>
        </w:rPr>
        <w:t xml:space="preserve"> Lender’s review of the </w:t>
      </w:r>
      <w:r w:rsidR="009747DA">
        <w:rPr>
          <w:rFonts w:ascii="Times New Roman" w:hAnsi="Times New Roman" w:cs="Times New Roman"/>
          <w:sz w:val="24"/>
          <w:szCs w:val="24"/>
        </w:rPr>
        <w:t xml:space="preserve">LPA </w:t>
      </w:r>
      <w:r w:rsidRPr="007F3393" w:rsidR="004754D0">
        <w:rPr>
          <w:rFonts w:ascii="Times New Roman" w:hAnsi="Times New Roman" w:cs="Times New Roman"/>
          <w:sz w:val="24"/>
          <w:szCs w:val="24"/>
        </w:rPr>
        <w:t>pay-in schedule/EBL term sheet and sources, uses and draw schedule</w:t>
      </w:r>
      <w:r w:rsidR="008B7425">
        <w:rPr>
          <w:rFonts w:ascii="Times New Roman" w:hAnsi="Times New Roman" w:cs="Times New Roman"/>
          <w:sz w:val="24"/>
          <w:szCs w:val="24"/>
        </w:rPr>
        <w:t xml:space="preserve"> in the HUD-92013-C, LIHTC Summary Report</w:t>
      </w:r>
      <w:r w:rsidRPr="007F3393" w:rsidR="004754D0">
        <w:rPr>
          <w:rFonts w:ascii="Times New Roman" w:hAnsi="Times New Roman" w:cs="Times New Roman"/>
          <w:sz w:val="24"/>
          <w:szCs w:val="24"/>
        </w:rPr>
        <w:t xml:space="preserve">. Following </w:t>
      </w:r>
      <w:r w:rsidRPr="007F3393" w:rsidR="0065066D">
        <w:rPr>
          <w:rFonts w:ascii="Times New Roman" w:hAnsi="Times New Roman" w:cs="Times New Roman"/>
          <w:sz w:val="24"/>
          <w:szCs w:val="24"/>
        </w:rPr>
        <w:t>endorsement,</w:t>
      </w:r>
      <w:r w:rsidRPr="007F3393" w:rsidR="004754D0">
        <w:rPr>
          <w:rFonts w:ascii="Times New Roman" w:hAnsi="Times New Roman" w:cs="Times New Roman"/>
          <w:sz w:val="24"/>
          <w:szCs w:val="24"/>
        </w:rPr>
        <w:t xml:space="preserve"> HUD will accept the Bridge Loan documents and a </w:t>
      </w:r>
      <w:r w:rsidRPr="007F3393" w:rsidR="009B634E">
        <w:rPr>
          <w:rFonts w:ascii="Times New Roman" w:hAnsi="Times New Roman" w:cs="Times New Roman"/>
          <w:sz w:val="24"/>
          <w:szCs w:val="24"/>
        </w:rPr>
        <w:t xml:space="preserve">loan </w:t>
      </w:r>
      <w:r w:rsidRPr="007F3393" w:rsidR="004754D0">
        <w:rPr>
          <w:rFonts w:ascii="Times New Roman" w:hAnsi="Times New Roman" w:cs="Times New Roman"/>
          <w:sz w:val="24"/>
          <w:szCs w:val="24"/>
        </w:rPr>
        <w:t>satisfaction.</w:t>
      </w:r>
      <w:r w:rsidR="004754D0">
        <w:t xml:space="preserve"> </w:t>
      </w:r>
      <w:r w:rsidR="00472E3C">
        <w:rPr>
          <w:rFonts w:ascii="Times New Roman" w:hAnsi="Times New Roman" w:cs="Times New Roman"/>
          <w:sz w:val="24"/>
          <w:szCs w:val="24"/>
        </w:rPr>
        <w:t>When applicable</w:t>
      </w:r>
      <w:r w:rsidRPr="005357A5" w:rsidR="004A0125">
        <w:rPr>
          <w:rFonts w:ascii="Times New Roman" w:hAnsi="Times New Roman" w:cs="Times New Roman"/>
          <w:sz w:val="24"/>
          <w:szCs w:val="24"/>
        </w:rPr>
        <w:t xml:space="preserve">, </w:t>
      </w:r>
      <w:r w:rsidRPr="005357A5" w:rsidR="00130783">
        <w:rPr>
          <w:rFonts w:ascii="Times New Roman" w:hAnsi="Times New Roman" w:cs="Times New Roman"/>
          <w:sz w:val="24"/>
          <w:szCs w:val="24"/>
        </w:rPr>
        <w:t>the Borrower’s audited financial statement</w:t>
      </w:r>
      <w:r w:rsidRPr="005357A5" w:rsidR="00E24406">
        <w:rPr>
          <w:rFonts w:ascii="Times New Roman" w:hAnsi="Times New Roman" w:cs="Times New Roman"/>
          <w:sz w:val="24"/>
          <w:szCs w:val="24"/>
        </w:rPr>
        <w:t xml:space="preserve"> (AFS)</w:t>
      </w:r>
      <w:r w:rsidRPr="005357A5" w:rsidR="00130783">
        <w:rPr>
          <w:rFonts w:ascii="Times New Roman" w:hAnsi="Times New Roman" w:cs="Times New Roman"/>
          <w:sz w:val="24"/>
          <w:szCs w:val="24"/>
        </w:rPr>
        <w:t xml:space="preserve"> must reflect that the EBL </w:t>
      </w:r>
      <w:r w:rsidRPr="005357A5" w:rsidR="0061530E">
        <w:rPr>
          <w:rFonts w:ascii="Times New Roman" w:hAnsi="Times New Roman" w:cs="Times New Roman"/>
          <w:sz w:val="24"/>
          <w:szCs w:val="24"/>
        </w:rPr>
        <w:t xml:space="preserve">was paid </w:t>
      </w:r>
      <w:r w:rsidRPr="005357A5" w:rsidR="001D16CC">
        <w:rPr>
          <w:rFonts w:ascii="Times New Roman" w:hAnsi="Times New Roman" w:cs="Times New Roman"/>
          <w:sz w:val="24"/>
          <w:szCs w:val="24"/>
        </w:rPr>
        <w:t>on time</w:t>
      </w:r>
      <w:r w:rsidRPr="005357A5" w:rsidR="002A38DA">
        <w:rPr>
          <w:rFonts w:ascii="Times New Roman" w:hAnsi="Times New Roman" w:cs="Times New Roman"/>
          <w:sz w:val="24"/>
          <w:szCs w:val="24"/>
        </w:rPr>
        <w:t xml:space="preserve">.  </w:t>
      </w:r>
      <w:r w:rsidRPr="005357A5" w:rsidR="00CC5C8C">
        <w:rPr>
          <w:rFonts w:ascii="Times New Roman" w:hAnsi="Times New Roman" w:cs="Times New Roman"/>
          <w:sz w:val="24"/>
          <w:szCs w:val="24"/>
        </w:rPr>
        <w:t>This must be reflected in the</w:t>
      </w:r>
      <w:r w:rsidRPr="005357A5" w:rsidR="00E24406">
        <w:rPr>
          <w:rFonts w:ascii="Times New Roman" w:hAnsi="Times New Roman" w:cs="Times New Roman"/>
          <w:sz w:val="24"/>
          <w:szCs w:val="24"/>
        </w:rPr>
        <w:t xml:space="preserve"> AFS </w:t>
      </w:r>
      <w:r w:rsidRPr="005357A5" w:rsidR="00CA59B2">
        <w:rPr>
          <w:rFonts w:ascii="Times New Roman" w:hAnsi="Times New Roman" w:cs="Times New Roman"/>
          <w:sz w:val="24"/>
          <w:szCs w:val="24"/>
        </w:rPr>
        <w:t xml:space="preserve">due in the reporting period </w:t>
      </w:r>
      <w:r w:rsidRPr="005357A5" w:rsidR="007168D9">
        <w:rPr>
          <w:rFonts w:ascii="Times New Roman" w:hAnsi="Times New Roman" w:cs="Times New Roman"/>
          <w:sz w:val="24"/>
          <w:szCs w:val="24"/>
        </w:rPr>
        <w:t xml:space="preserve">after </w:t>
      </w:r>
      <w:r w:rsidRPr="005357A5" w:rsidR="00665579">
        <w:rPr>
          <w:rFonts w:ascii="Times New Roman" w:hAnsi="Times New Roman" w:cs="Times New Roman"/>
          <w:sz w:val="24"/>
          <w:szCs w:val="24"/>
        </w:rPr>
        <w:t xml:space="preserve">the due dates </w:t>
      </w:r>
      <w:r w:rsidRPr="005357A5" w:rsidR="00373DCD">
        <w:rPr>
          <w:rFonts w:ascii="Times New Roman" w:hAnsi="Times New Roman" w:cs="Times New Roman"/>
          <w:sz w:val="24"/>
          <w:szCs w:val="24"/>
        </w:rPr>
        <w:t>for full EBL repayment noted abov</w:t>
      </w:r>
      <w:r w:rsidRPr="005357A5" w:rsidR="00E06844">
        <w:rPr>
          <w:rFonts w:ascii="Times New Roman" w:hAnsi="Times New Roman" w:cs="Times New Roman"/>
          <w:sz w:val="24"/>
          <w:szCs w:val="24"/>
        </w:rPr>
        <w:t>e.</w:t>
      </w:r>
      <w:r w:rsidRPr="00115D8C" w:rsidR="00D56665">
        <w:t xml:space="preserve">  </w:t>
      </w:r>
    </w:p>
    <w:p w:rsidRPr="00502AA9" w:rsidR="00502AA9" w:rsidP="00502AA9" w:rsidRDefault="00502AA9" w14:paraId="58B7300D" w14:textId="77777777">
      <w:pPr>
        <w:pStyle w:val="ListParagraph"/>
      </w:pPr>
    </w:p>
    <w:p w:rsidRPr="007F3393" w:rsidR="00D56665" w:rsidP="003C2A0D" w:rsidRDefault="00D56665" w14:paraId="63DA3935" w14:textId="0D9DD929">
      <w:pPr>
        <w:pStyle w:val="ListParagraph"/>
        <w:numPr>
          <w:ilvl w:val="0"/>
          <w:numId w:val="29"/>
        </w:numPr>
        <w:jc w:val="both"/>
      </w:pPr>
      <w:r w:rsidRPr="00502AA9">
        <w:rPr>
          <w:rFonts w:ascii="Times New Roman" w:hAnsi="Times New Roman" w:cs="Times New Roman"/>
          <w:sz w:val="24"/>
          <w:szCs w:val="24"/>
        </w:rPr>
        <w:t xml:space="preserve">At Firm Application, or as soon as the need for </w:t>
      </w:r>
      <w:r w:rsidRPr="00502AA9" w:rsidR="00F032A3">
        <w:rPr>
          <w:rFonts w:ascii="Times New Roman" w:hAnsi="Times New Roman" w:cs="Times New Roman"/>
          <w:sz w:val="24"/>
          <w:szCs w:val="24"/>
        </w:rPr>
        <w:t>an EBL</w:t>
      </w:r>
      <w:r w:rsidRPr="00502AA9">
        <w:rPr>
          <w:rFonts w:ascii="Times New Roman" w:hAnsi="Times New Roman" w:cs="Times New Roman"/>
          <w:sz w:val="24"/>
          <w:szCs w:val="24"/>
        </w:rPr>
        <w:t xml:space="preserve"> is known, the lender must submit </w:t>
      </w:r>
      <w:r w:rsidRPr="00502AA9" w:rsidR="0060706D">
        <w:rPr>
          <w:rFonts w:ascii="Times New Roman" w:hAnsi="Times New Roman" w:cs="Times New Roman"/>
          <w:sz w:val="24"/>
          <w:szCs w:val="24"/>
        </w:rPr>
        <w:t xml:space="preserve">for HUD’s approval </w:t>
      </w:r>
      <w:r w:rsidRPr="00502AA9">
        <w:rPr>
          <w:rFonts w:ascii="Times New Roman" w:hAnsi="Times New Roman" w:cs="Times New Roman"/>
          <w:sz w:val="24"/>
          <w:szCs w:val="24"/>
        </w:rPr>
        <w:t>a term sheet describing the key terms of the bridge loan, as well as a certification that a) the loan will be secured only by a</w:t>
      </w:r>
      <w:r w:rsidRPr="002B03C3" w:rsidR="002B03C3">
        <w:rPr>
          <w:rFonts w:ascii="Times New Roman" w:hAnsi="Times New Roman" w:cs="Times New Roman"/>
          <w:sz w:val="24"/>
          <w:szCs w:val="24"/>
        </w:rPr>
        <w:t xml:space="preserve"> </w:t>
      </w:r>
      <w:r w:rsidR="008B37FF">
        <w:rPr>
          <w:rFonts w:ascii="Times New Roman" w:hAnsi="Times New Roman" w:cs="Times New Roman"/>
          <w:sz w:val="24"/>
          <w:szCs w:val="24"/>
        </w:rPr>
        <w:t>pledge of tax credits, tax credit equity, and/or an upper tier (i.e.</w:t>
      </w:r>
      <w:r w:rsidR="0093444B">
        <w:rPr>
          <w:rFonts w:ascii="Times New Roman" w:hAnsi="Times New Roman" w:cs="Times New Roman"/>
          <w:sz w:val="24"/>
          <w:szCs w:val="24"/>
        </w:rPr>
        <w:t>,</w:t>
      </w:r>
      <w:r w:rsidR="008B37FF">
        <w:rPr>
          <w:rFonts w:ascii="Times New Roman" w:hAnsi="Times New Roman" w:cs="Times New Roman"/>
          <w:sz w:val="24"/>
          <w:szCs w:val="24"/>
        </w:rPr>
        <w:t xml:space="preserve"> the limited partner or general partner of managing member) or investor members’ interests in the project’s ownership entity </w:t>
      </w:r>
      <w:r w:rsidRPr="00502AA9">
        <w:rPr>
          <w:rFonts w:ascii="Times New Roman" w:hAnsi="Times New Roman" w:cs="Times New Roman"/>
          <w:sz w:val="24"/>
          <w:szCs w:val="24"/>
        </w:rPr>
        <w:t xml:space="preserve">and b) that the bridge lender will have no claim against the </w:t>
      </w:r>
      <w:r w:rsidR="00937AB5">
        <w:rPr>
          <w:rFonts w:ascii="Times New Roman" w:hAnsi="Times New Roman" w:cs="Times New Roman"/>
          <w:sz w:val="24"/>
          <w:szCs w:val="24"/>
        </w:rPr>
        <w:t xml:space="preserve">Project, the </w:t>
      </w:r>
      <w:r w:rsidR="005E6CD7">
        <w:rPr>
          <w:rFonts w:ascii="Times New Roman" w:hAnsi="Times New Roman" w:cs="Times New Roman"/>
          <w:sz w:val="24"/>
          <w:szCs w:val="24"/>
        </w:rPr>
        <w:t>M</w:t>
      </w:r>
      <w:r w:rsidRPr="00502AA9">
        <w:rPr>
          <w:rFonts w:ascii="Times New Roman" w:hAnsi="Times New Roman" w:cs="Times New Roman"/>
          <w:sz w:val="24"/>
          <w:szCs w:val="24"/>
        </w:rPr>
        <w:t xml:space="preserve">ortgaged </w:t>
      </w:r>
      <w:r w:rsidR="005E6CD7">
        <w:rPr>
          <w:rFonts w:ascii="Times New Roman" w:hAnsi="Times New Roman" w:cs="Times New Roman"/>
          <w:sz w:val="24"/>
          <w:szCs w:val="24"/>
        </w:rPr>
        <w:t>P</w:t>
      </w:r>
      <w:r w:rsidRPr="00502AA9">
        <w:rPr>
          <w:rFonts w:ascii="Times New Roman" w:hAnsi="Times New Roman" w:cs="Times New Roman"/>
          <w:sz w:val="24"/>
          <w:szCs w:val="24"/>
        </w:rPr>
        <w:t xml:space="preserve">roperty, mortgage proceeds, </w:t>
      </w:r>
      <w:r w:rsidR="00937AB5">
        <w:rPr>
          <w:rFonts w:ascii="Times New Roman" w:hAnsi="Times New Roman" w:cs="Times New Roman"/>
          <w:sz w:val="24"/>
          <w:szCs w:val="24"/>
        </w:rPr>
        <w:t xml:space="preserve">or </w:t>
      </w:r>
      <w:r w:rsidRPr="00502AA9">
        <w:rPr>
          <w:rFonts w:ascii="Times New Roman" w:hAnsi="Times New Roman" w:cs="Times New Roman"/>
          <w:sz w:val="24"/>
          <w:szCs w:val="24"/>
        </w:rPr>
        <w:t>any reserves or deposits</w:t>
      </w:r>
      <w:r w:rsidR="00937AB5">
        <w:rPr>
          <w:rFonts w:ascii="Times New Roman" w:hAnsi="Times New Roman" w:cs="Times New Roman"/>
          <w:sz w:val="24"/>
          <w:szCs w:val="24"/>
        </w:rPr>
        <w:t xml:space="preserve"> with respect to the Project</w:t>
      </w:r>
      <w:r w:rsidRPr="00502AA9">
        <w:rPr>
          <w:rFonts w:ascii="Times New Roman" w:hAnsi="Times New Roman" w:cs="Times New Roman"/>
          <w:sz w:val="24"/>
          <w:szCs w:val="24"/>
        </w:rPr>
        <w:t>, for repayment of the bridge loan.</w:t>
      </w:r>
    </w:p>
    <w:p w:rsidRPr="007F3393" w:rsidR="00937AB5" w:rsidP="003C2A0D" w:rsidRDefault="00937AB5" w14:paraId="6D385000" w14:textId="77777777">
      <w:pPr>
        <w:pStyle w:val="ListParagraph"/>
        <w:jc w:val="both"/>
        <w:rPr>
          <w:rFonts w:ascii="Times New Roman" w:hAnsi="Times New Roman" w:cs="Times New Roman"/>
          <w:sz w:val="24"/>
          <w:szCs w:val="24"/>
        </w:rPr>
      </w:pPr>
    </w:p>
    <w:p w:rsidR="00937AB5" w:rsidP="003C2A0D" w:rsidRDefault="00937AB5" w14:paraId="2E85E0DB" w14:textId="7921968C">
      <w:pPr>
        <w:pStyle w:val="ListParagraph"/>
        <w:jc w:val="both"/>
      </w:pPr>
      <w:r w:rsidRPr="007F3393">
        <w:rPr>
          <w:rFonts w:ascii="Times New Roman" w:hAnsi="Times New Roman" w:cs="Times New Roman"/>
          <w:sz w:val="24"/>
          <w:szCs w:val="24"/>
        </w:rPr>
        <w:t>H.  The EBL Documents may not be amended, assigned, transferred, sold, or otherwise held without the prior written consent of HUD.</w:t>
      </w:r>
    </w:p>
    <w:p w:rsidRPr="00937AB5" w:rsidR="00937AB5" w:rsidP="00937AB5" w:rsidRDefault="00937AB5" w14:paraId="1FAD98F5" w14:textId="77777777">
      <w:pPr>
        <w:ind w:left="360"/>
        <w:contextualSpacing/>
        <w:rPr>
          <w:rFonts w:ascii="Times New Roman" w:hAnsi="Times New Roman" w:cs="Calibri"/>
          <w:sz w:val="24"/>
        </w:rPr>
      </w:pPr>
    </w:p>
    <w:p w:rsidRPr="00F95CB9" w:rsidR="00937AB5" w:rsidP="003C2A0D" w:rsidRDefault="000C3B4B" w14:paraId="772F1E1F" w14:textId="7D0CB2C5">
      <w:pPr>
        <w:pStyle w:val="ListParagraph"/>
        <w:numPr>
          <w:ilvl w:val="0"/>
          <w:numId w:val="39"/>
        </w:numPr>
        <w:jc w:val="both"/>
        <w:rPr>
          <w:rFonts w:ascii="Times New Roman" w:hAnsi="Times New Roman" w:cs="Calibri"/>
          <w:sz w:val="24"/>
        </w:rPr>
      </w:pPr>
      <w:r>
        <w:rPr>
          <w:rFonts w:ascii="Times New Roman" w:hAnsi="Times New Roman" w:cs="Calibri"/>
          <w:sz w:val="24"/>
        </w:rPr>
        <w:t xml:space="preserve"> </w:t>
      </w:r>
      <w:bookmarkStart w:name="_Hlk24120290" w:id="5"/>
      <w:r w:rsidRPr="00F95CB9" w:rsidR="00937AB5">
        <w:rPr>
          <w:rFonts w:ascii="Times New Roman" w:hAnsi="Times New Roman" w:cs="Calibri"/>
          <w:sz w:val="24"/>
        </w:rPr>
        <w:t>For identity of interest Bridge Lenders:  Indemnification provisions in the EBL Documents shall not be construed to require the HUD Borrower to</w:t>
      </w:r>
      <w:r w:rsidR="00C266E2">
        <w:rPr>
          <w:rFonts w:ascii="Times New Roman" w:hAnsi="Times New Roman" w:cs="Calibri"/>
          <w:sz w:val="24"/>
        </w:rPr>
        <w:t xml:space="preserve"> make</w:t>
      </w:r>
      <w:r w:rsidRPr="00F95CB9" w:rsidR="00937AB5">
        <w:rPr>
          <w:rFonts w:ascii="Times New Roman" w:hAnsi="Times New Roman" w:cs="Calibri"/>
          <w:sz w:val="24"/>
        </w:rPr>
        <w:t xml:space="preserve"> indemnification payments beyond those permitted by </w:t>
      </w:r>
      <w:r w:rsidR="00353E78">
        <w:rPr>
          <w:rFonts w:ascii="Times New Roman" w:hAnsi="Times New Roman" w:cs="Calibri"/>
          <w:sz w:val="24"/>
        </w:rPr>
        <w:t xml:space="preserve">the </w:t>
      </w:r>
      <w:r w:rsidRPr="00F95CB9" w:rsidR="00353E78">
        <w:rPr>
          <w:rFonts w:ascii="Times New Roman" w:hAnsi="Times New Roman" w:cs="Calibri"/>
          <w:sz w:val="24"/>
        </w:rPr>
        <w:t>HUD</w:t>
      </w:r>
      <w:r w:rsidRPr="00F95CB9" w:rsidR="00937AB5">
        <w:rPr>
          <w:rFonts w:ascii="Times New Roman" w:hAnsi="Times New Roman" w:cs="Calibri"/>
          <w:sz w:val="24"/>
        </w:rPr>
        <w:t xml:space="preserve"> </w:t>
      </w:r>
      <w:r w:rsidR="008E6F4D">
        <w:rPr>
          <w:rFonts w:ascii="Times New Roman" w:hAnsi="Times New Roman" w:cs="Calibri"/>
          <w:sz w:val="24"/>
        </w:rPr>
        <w:t>required p</w:t>
      </w:r>
      <w:r w:rsidRPr="00F95CB9" w:rsidR="00937AB5">
        <w:rPr>
          <w:rFonts w:ascii="Times New Roman" w:hAnsi="Times New Roman" w:cs="Calibri"/>
          <w:sz w:val="24"/>
        </w:rPr>
        <w:t>rovision</w:t>
      </w:r>
      <w:r w:rsidR="008E6F4D">
        <w:rPr>
          <w:rFonts w:ascii="Times New Roman" w:hAnsi="Times New Roman" w:cs="Calibri"/>
          <w:sz w:val="24"/>
        </w:rPr>
        <w:t>s</w:t>
      </w:r>
      <w:r w:rsidRPr="00F95CB9" w:rsidR="00937AB5">
        <w:rPr>
          <w:rFonts w:ascii="Times New Roman" w:hAnsi="Times New Roman" w:cs="Calibri"/>
          <w:sz w:val="24"/>
        </w:rPr>
        <w:t xml:space="preserve"> </w:t>
      </w:r>
      <w:r w:rsidR="008B5A2E">
        <w:rPr>
          <w:rFonts w:ascii="Times New Roman" w:hAnsi="Times New Roman" w:cs="Calibri"/>
          <w:sz w:val="24"/>
        </w:rPr>
        <w:t>to be added</w:t>
      </w:r>
      <w:r w:rsidR="00B80E87">
        <w:rPr>
          <w:rFonts w:ascii="Times New Roman" w:hAnsi="Times New Roman" w:cs="Calibri"/>
          <w:sz w:val="24"/>
        </w:rPr>
        <w:t xml:space="preserve"> to</w:t>
      </w:r>
      <w:r w:rsidRPr="00F95CB9" w:rsidR="00937AB5">
        <w:rPr>
          <w:rFonts w:ascii="Times New Roman" w:hAnsi="Times New Roman" w:cs="Calibri"/>
          <w:sz w:val="24"/>
        </w:rPr>
        <w:t xml:space="preserve"> the Borrower’s Organizational Documents.</w:t>
      </w:r>
      <w:bookmarkEnd w:id="5"/>
    </w:p>
    <w:p w:rsidRPr="005357A5" w:rsidR="00937AB5" w:rsidP="005357A5" w:rsidRDefault="00937AB5" w14:paraId="27605774" w14:textId="77777777">
      <w:pPr>
        <w:pStyle w:val="ListParagraph"/>
        <w:rPr>
          <w:rFonts w:ascii="Times New Roman" w:hAnsi="Times New Roman" w:cs="Times New Roman"/>
        </w:rPr>
      </w:pPr>
    </w:p>
    <w:p w:rsidRPr="00C95103" w:rsidR="00D56665" w:rsidP="003C2A0D" w:rsidRDefault="00D56665" w14:paraId="63DA3936" w14:textId="593636AB">
      <w:pPr>
        <w:spacing w:line="276" w:lineRule="auto"/>
        <w:rPr>
          <w:rFonts w:ascii="Times New Roman" w:hAnsi="Times New Roman" w:cs="Times New Roman" w:eastAsiaTheme="minorEastAsia"/>
          <w:sz w:val="24"/>
          <w:szCs w:val="24"/>
        </w:rPr>
      </w:pPr>
      <w:r w:rsidRPr="00C95103">
        <w:rPr>
          <w:rFonts w:ascii="Times New Roman" w:hAnsi="Times New Roman" w:cs="Times New Roman" w:eastAsiaTheme="minorEastAsia"/>
          <w:sz w:val="24"/>
          <w:szCs w:val="24"/>
        </w:rPr>
        <w:t xml:space="preserve">Bridge loans for other purposes, (i.e. that are not used to advance equity in tax credit </w:t>
      </w:r>
      <w:r w:rsidRPr="00C95103" w:rsidR="009046B3">
        <w:rPr>
          <w:rFonts w:ascii="Times New Roman" w:hAnsi="Times New Roman" w:cs="Times New Roman" w:eastAsiaTheme="minorEastAsia"/>
          <w:sz w:val="24"/>
          <w:szCs w:val="24"/>
        </w:rPr>
        <w:t>p</w:t>
      </w:r>
      <w:r w:rsidRPr="00C95103">
        <w:rPr>
          <w:rFonts w:ascii="Times New Roman" w:hAnsi="Times New Roman" w:cs="Times New Roman" w:eastAsiaTheme="minorEastAsia"/>
          <w:sz w:val="24"/>
          <w:szCs w:val="24"/>
        </w:rPr>
        <w:t>rojects)</w:t>
      </w:r>
      <w:r w:rsidR="003C2A0D">
        <w:rPr>
          <w:rFonts w:ascii="Times New Roman" w:hAnsi="Times New Roman" w:cs="Times New Roman" w:eastAsiaTheme="minorEastAsia"/>
          <w:sz w:val="24"/>
          <w:szCs w:val="24"/>
        </w:rPr>
        <w:t xml:space="preserve"> </w:t>
      </w:r>
      <w:r w:rsidRPr="00C95103">
        <w:rPr>
          <w:rFonts w:ascii="Times New Roman" w:hAnsi="Times New Roman" w:cs="Times New Roman" w:eastAsiaTheme="minorEastAsia"/>
          <w:sz w:val="24"/>
          <w:szCs w:val="24"/>
        </w:rPr>
        <w:t>are</w:t>
      </w:r>
      <w:r w:rsidRPr="00C95103" w:rsidR="009046B3">
        <w:rPr>
          <w:rFonts w:ascii="Times New Roman" w:hAnsi="Times New Roman" w:cs="Times New Roman" w:eastAsiaTheme="minorEastAsia"/>
          <w:sz w:val="24"/>
          <w:szCs w:val="24"/>
        </w:rPr>
        <w:t xml:space="preserve"> </w:t>
      </w:r>
      <w:r w:rsidRPr="00C95103" w:rsidR="00AF7173">
        <w:rPr>
          <w:rFonts w:ascii="Times New Roman" w:hAnsi="Times New Roman" w:cs="Times New Roman" w:eastAsiaTheme="minorEastAsia"/>
          <w:sz w:val="24"/>
          <w:szCs w:val="24"/>
        </w:rPr>
        <w:t>d</w:t>
      </w:r>
      <w:r w:rsidRPr="00C95103">
        <w:rPr>
          <w:rFonts w:ascii="Times New Roman" w:hAnsi="Times New Roman" w:cs="Times New Roman" w:eastAsiaTheme="minorEastAsia"/>
          <w:sz w:val="24"/>
          <w:szCs w:val="24"/>
        </w:rPr>
        <w:t xml:space="preserve">escribed in Chapter 8. </w:t>
      </w:r>
    </w:p>
    <w:p w:rsidRPr="007805BC" w:rsidR="00D56665" w:rsidP="00D56665" w:rsidRDefault="00D56665" w14:paraId="63DA3937" w14:textId="77777777">
      <w:pPr>
        <w:widowControl w:val="0"/>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p>
    <w:p w:rsidRPr="005357A5" w:rsidR="00D56665" w:rsidP="00D56665" w:rsidRDefault="00300AC8" w14:paraId="63DA3939" w14:textId="6FE3E17D">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b/>
          <w:sz w:val="28"/>
          <w:szCs w:val="28"/>
        </w:rPr>
      </w:pPr>
      <w:r w:rsidRPr="005357A5">
        <w:rPr>
          <w:rFonts w:ascii="Times New Roman" w:hAnsi="Times New Roman" w:eastAsia="Times New Roman" w:cs="Times New Roman"/>
          <w:b/>
          <w:sz w:val="28"/>
          <w:szCs w:val="28"/>
        </w:rPr>
        <w:t>14.1</w:t>
      </w:r>
      <w:r>
        <w:rPr>
          <w:rFonts w:ascii="Times New Roman" w:hAnsi="Times New Roman" w:eastAsia="Times New Roman" w:cs="Times New Roman"/>
          <w:b/>
          <w:sz w:val="28"/>
          <w:szCs w:val="28"/>
        </w:rPr>
        <w:t>5</w:t>
      </w:r>
      <w:r w:rsidRPr="005357A5">
        <w:rPr>
          <w:rFonts w:ascii="Times New Roman" w:hAnsi="Times New Roman" w:eastAsia="Times New Roman" w:cs="Times New Roman"/>
          <w:b/>
          <w:sz w:val="28"/>
          <w:szCs w:val="28"/>
        </w:rPr>
        <w:t xml:space="preserve"> </w:t>
      </w:r>
      <w:r w:rsidRPr="005357A5">
        <w:rPr>
          <w:rFonts w:ascii="Times New Roman" w:hAnsi="Times New Roman" w:eastAsia="Times New Roman" w:cs="Times New Roman"/>
          <w:b/>
          <w:sz w:val="28"/>
          <w:szCs w:val="28"/>
        </w:rPr>
        <w:tab/>
      </w:r>
      <w:r w:rsidRPr="005357A5" w:rsidR="00D56665">
        <w:rPr>
          <w:rFonts w:ascii="Times New Roman" w:hAnsi="Times New Roman" w:eastAsia="Times New Roman" w:cs="Times New Roman"/>
          <w:b/>
          <w:sz w:val="28"/>
          <w:szCs w:val="28"/>
        </w:rPr>
        <w:t>Syndicator and Investor Fees Paid from Operations</w:t>
      </w:r>
    </w:p>
    <w:p w:rsidRPr="00CB6138" w:rsidR="00D56665" w:rsidP="00D56665" w:rsidRDefault="00D56665" w14:paraId="63DA393A" w14:textId="77777777">
      <w:pPr>
        <w:tabs>
          <w:tab w:val="left" w:pos="2880"/>
        </w:tabs>
        <w:overflowPunct w:val="0"/>
        <w:autoSpaceDE w:val="0"/>
        <w:autoSpaceDN w:val="0"/>
        <w:adjustRightInd w:val="0"/>
        <w:spacing w:before="80" w:after="80" w:line="276" w:lineRule="auto"/>
        <w:ind w:left="420"/>
        <w:jc w:val="both"/>
        <w:textAlignment w:val="baseline"/>
        <w:outlineLvl w:val="0"/>
        <w:rPr>
          <w:rFonts w:ascii="Times New Roman" w:hAnsi="Times New Roman" w:eastAsia="Times New Roman" w:cs="Times New Roman"/>
          <w:b/>
          <w:sz w:val="24"/>
          <w:szCs w:val="24"/>
        </w:rPr>
      </w:pPr>
    </w:p>
    <w:p w:rsidRPr="007805BC" w:rsidR="00D56665" w:rsidP="00D56665" w:rsidRDefault="00D56665" w14:paraId="63DA393B" w14:textId="659F3B9E">
      <w:pPr>
        <w:tabs>
          <w:tab w:val="left" w:pos="288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r w:rsidRPr="00CB6138">
        <w:rPr>
          <w:rFonts w:ascii="Times New Roman" w:hAnsi="Times New Roman" w:eastAsia="Times New Roman" w:cs="Times New Roman"/>
          <w:sz w:val="24"/>
          <w:szCs w:val="24"/>
        </w:rPr>
        <w:t>Tax Credit projects often involve annual asset management</w:t>
      </w:r>
      <w:r w:rsidR="007B69C5">
        <w:rPr>
          <w:rFonts w:ascii="Times New Roman" w:hAnsi="Times New Roman" w:eastAsia="Times New Roman" w:cs="Times New Roman"/>
          <w:sz w:val="24"/>
          <w:szCs w:val="24"/>
        </w:rPr>
        <w:t>-</w:t>
      </w:r>
      <w:r w:rsidRPr="00CB6138">
        <w:rPr>
          <w:rFonts w:ascii="Times New Roman" w:hAnsi="Times New Roman" w:eastAsia="Times New Roman" w:cs="Times New Roman"/>
          <w:sz w:val="24"/>
          <w:szCs w:val="24"/>
        </w:rPr>
        <w:t>related fees paid to the syndicator or an investor representative.  HUD’s Office of Asset Management and Portfolio Oversight allows usual and customary fees and expenses for operating a Tax Credit project, including payment of a syndicator</w:t>
      </w:r>
      <w:r w:rsidR="005C09B8">
        <w:rPr>
          <w:rFonts w:ascii="Times New Roman" w:hAnsi="Times New Roman" w:eastAsia="Times New Roman" w:cs="Times New Roman"/>
          <w:sz w:val="24"/>
          <w:szCs w:val="24"/>
        </w:rPr>
        <w:t>’</w:t>
      </w:r>
      <w:r w:rsidRPr="00CB6138">
        <w:rPr>
          <w:rFonts w:ascii="Times New Roman" w:hAnsi="Times New Roman" w:eastAsia="Times New Roman" w:cs="Times New Roman"/>
          <w:sz w:val="24"/>
          <w:szCs w:val="24"/>
        </w:rPr>
        <w:t>s and/or investor’s asset management fee, state allocation agency compliance and asset monitoring fees, and mandatory interest payments of up to one percent on sub</w:t>
      </w:r>
      <w:r w:rsidRPr="00C34ABE">
        <w:rPr>
          <w:rFonts w:ascii="Times New Roman" w:hAnsi="Times New Roman" w:eastAsia="Times New Roman" w:cs="Times New Roman"/>
          <w:sz w:val="24"/>
          <w:szCs w:val="24"/>
        </w:rPr>
        <w:t xml:space="preserve">ordinate debt provided by a government lender to be paid from the operating </w:t>
      </w:r>
      <w:r w:rsidR="00D5548E">
        <w:rPr>
          <w:rFonts w:ascii="Times New Roman" w:hAnsi="Times New Roman" w:eastAsia="Times New Roman" w:cs="Times New Roman"/>
          <w:sz w:val="24"/>
          <w:szCs w:val="24"/>
        </w:rPr>
        <w:t>revenues</w:t>
      </w:r>
      <w:r w:rsidRPr="00C34ABE" w:rsidR="00965D78">
        <w:rPr>
          <w:rFonts w:ascii="Times New Roman" w:hAnsi="Times New Roman" w:eastAsia="Times New Roman" w:cs="Times New Roman"/>
          <w:sz w:val="24"/>
          <w:szCs w:val="24"/>
        </w:rPr>
        <w:t xml:space="preserve">.  </w:t>
      </w:r>
      <w:r w:rsidRPr="007805BC">
        <w:rPr>
          <w:rFonts w:ascii="Times New Roman" w:hAnsi="Times New Roman" w:eastAsia="Times New Roman" w:cs="Times New Roman"/>
          <w:sz w:val="24"/>
          <w:szCs w:val="24"/>
        </w:rPr>
        <w:t>If the expenses described above are included in the operating budget</w:t>
      </w:r>
      <w:r w:rsidR="00EB39ED">
        <w:rPr>
          <w:rFonts w:ascii="Times New Roman" w:hAnsi="Times New Roman" w:eastAsia="Times New Roman" w:cs="Times New Roman"/>
          <w:sz w:val="24"/>
          <w:szCs w:val="24"/>
        </w:rPr>
        <w:t>,</w:t>
      </w:r>
      <w:r w:rsidRPr="007805BC">
        <w:rPr>
          <w:rFonts w:ascii="Times New Roman" w:hAnsi="Times New Roman" w:eastAsia="Times New Roman" w:cs="Times New Roman"/>
          <w:sz w:val="24"/>
          <w:szCs w:val="24"/>
        </w:rPr>
        <w:t xml:space="preserve"> however, the loan must be sized accordingly by the lender, and the chosen treatment of the expenses must be documented in the closing documents.  Fees paid with surplus cash should not be included in the operating budget.  HUD generally requires that at least 25% of surplus cash remains available as an owner incentive, though the remaining 75% may be obligated to payment of secondary debt.</w:t>
      </w:r>
    </w:p>
    <w:p w:rsidRPr="007805BC" w:rsidR="00D56665" w:rsidP="00D56665" w:rsidRDefault="00D56665" w14:paraId="63DA393C" w14:textId="77777777">
      <w:pPr>
        <w:tabs>
          <w:tab w:val="left" w:pos="288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p>
    <w:p w:rsidR="00D56665" w:rsidP="00D56665" w:rsidRDefault="00D56665" w14:paraId="63DA393D" w14:textId="35D5DDBC">
      <w:pPr>
        <w:tabs>
          <w:tab w:val="left" w:pos="288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r w:rsidRPr="007805BC">
        <w:rPr>
          <w:rFonts w:ascii="Times New Roman" w:hAnsi="Times New Roman" w:eastAsia="Times New Roman" w:cs="Times New Roman"/>
          <w:sz w:val="24"/>
          <w:szCs w:val="24"/>
        </w:rPr>
        <w:t xml:space="preserve">Mark to Market </w:t>
      </w:r>
      <w:r w:rsidR="00623207">
        <w:rPr>
          <w:rFonts w:ascii="Times New Roman" w:hAnsi="Times New Roman" w:eastAsia="Times New Roman" w:cs="Times New Roman"/>
          <w:sz w:val="24"/>
          <w:szCs w:val="24"/>
        </w:rPr>
        <w:t xml:space="preserve">(M2M) </w:t>
      </w:r>
      <w:r w:rsidRPr="007805BC">
        <w:rPr>
          <w:rFonts w:ascii="Times New Roman" w:hAnsi="Times New Roman" w:eastAsia="Times New Roman" w:cs="Times New Roman"/>
          <w:sz w:val="24"/>
          <w:szCs w:val="24"/>
        </w:rPr>
        <w:t>Transactions</w:t>
      </w:r>
      <w:r w:rsidR="00623207">
        <w:rPr>
          <w:rFonts w:ascii="Times New Roman" w:hAnsi="Times New Roman" w:eastAsia="Times New Roman" w:cs="Times New Roman"/>
          <w:sz w:val="24"/>
          <w:szCs w:val="24"/>
        </w:rPr>
        <w:t xml:space="preserve">:  </w:t>
      </w:r>
      <w:r w:rsidRPr="007805BC">
        <w:rPr>
          <w:rFonts w:ascii="Times New Roman" w:hAnsi="Times New Roman" w:eastAsia="Times New Roman" w:cs="Times New Roman"/>
          <w:sz w:val="24"/>
          <w:szCs w:val="24"/>
        </w:rPr>
        <w:t xml:space="preserve">Owners </w:t>
      </w:r>
      <w:r w:rsidR="00623207">
        <w:rPr>
          <w:rFonts w:ascii="Times New Roman" w:hAnsi="Times New Roman" w:eastAsia="Times New Roman" w:cs="Times New Roman"/>
          <w:sz w:val="24"/>
          <w:szCs w:val="24"/>
        </w:rPr>
        <w:t>may</w:t>
      </w:r>
      <w:r w:rsidRPr="007805BC">
        <w:rPr>
          <w:rFonts w:ascii="Times New Roman" w:hAnsi="Times New Roman" w:eastAsia="Times New Roman" w:cs="Times New Roman"/>
          <w:sz w:val="24"/>
          <w:szCs w:val="24"/>
        </w:rPr>
        <w:t xml:space="preserve"> receive an Incentive Performance Fee (IPF), and this is paid before the 25%/75% split is calculated. Thus</w:t>
      </w:r>
      <w:r w:rsidR="00EF115C">
        <w:rPr>
          <w:rFonts w:ascii="Times New Roman" w:hAnsi="Times New Roman" w:eastAsia="Times New Roman" w:cs="Times New Roman"/>
          <w:sz w:val="24"/>
          <w:szCs w:val="24"/>
        </w:rPr>
        <w:t>,</w:t>
      </w:r>
      <w:r w:rsidRPr="007805BC">
        <w:rPr>
          <w:rFonts w:ascii="Times New Roman" w:hAnsi="Times New Roman" w:eastAsia="Times New Roman" w:cs="Times New Roman"/>
          <w:sz w:val="24"/>
          <w:szCs w:val="24"/>
        </w:rPr>
        <w:t xml:space="preserve"> the IPF is paid first and may be realized in addition to the owner’s 25% of surplus cash.  </w:t>
      </w:r>
      <w:r w:rsidR="00EF115C">
        <w:rPr>
          <w:rFonts w:ascii="Times New Roman" w:hAnsi="Times New Roman" w:eastAsia="Times New Roman" w:cs="Times New Roman"/>
          <w:sz w:val="24"/>
          <w:szCs w:val="24"/>
        </w:rPr>
        <w:t>M2M</w:t>
      </w:r>
      <w:r w:rsidRPr="007805BC">
        <w:rPr>
          <w:rFonts w:ascii="Times New Roman" w:hAnsi="Times New Roman" w:eastAsia="Times New Roman" w:cs="Times New Roman"/>
          <w:sz w:val="24"/>
          <w:szCs w:val="24"/>
        </w:rPr>
        <w:t xml:space="preserve"> also obligates the owner to use the full 75% of surplus cash to pay down the program’s secondary M2M loans.  Accordingly</w:t>
      </w:r>
      <w:r w:rsidR="00775392">
        <w:rPr>
          <w:rFonts w:ascii="Times New Roman" w:hAnsi="Times New Roman" w:eastAsia="Times New Roman" w:cs="Times New Roman"/>
          <w:sz w:val="24"/>
          <w:szCs w:val="24"/>
        </w:rPr>
        <w:t>,</w:t>
      </w:r>
      <w:r w:rsidRPr="007805BC">
        <w:rPr>
          <w:rFonts w:ascii="Times New Roman" w:hAnsi="Times New Roman" w:eastAsia="Times New Roman" w:cs="Times New Roman"/>
          <w:sz w:val="24"/>
          <w:szCs w:val="24"/>
        </w:rPr>
        <w:t xml:space="preserve"> in M2M transactions the payment of syndicators’ and investors’ fees must be limited to the 25% that is not committed for loan repayment.  </w:t>
      </w:r>
    </w:p>
    <w:p w:rsidR="007F2C28" w:rsidP="00D56665" w:rsidRDefault="007F2C28" w14:paraId="1E38AC9D" w14:textId="7F42CEB6">
      <w:pPr>
        <w:tabs>
          <w:tab w:val="left" w:pos="2880"/>
        </w:tabs>
        <w:overflowPunct w:val="0"/>
        <w:autoSpaceDE w:val="0"/>
        <w:autoSpaceDN w:val="0"/>
        <w:adjustRightInd w:val="0"/>
        <w:spacing w:before="80" w:after="80" w:line="276" w:lineRule="auto"/>
        <w:jc w:val="both"/>
        <w:textAlignment w:val="baseline"/>
        <w:outlineLvl w:val="0"/>
        <w:rPr>
          <w:rFonts w:ascii="Times New Roman" w:hAnsi="Times New Roman" w:eastAsia="Times New Roman" w:cs="Times New Roman"/>
          <w:sz w:val="24"/>
          <w:szCs w:val="24"/>
        </w:rPr>
      </w:pPr>
    </w:p>
    <w:p w:rsidR="00957606" w:rsidP="00957606" w:rsidRDefault="007F2C28" w14:paraId="4BBFC80B" w14:textId="5D50BA43">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b/>
          <w:bCs/>
          <w:sz w:val="28"/>
          <w:szCs w:val="28"/>
        </w:rPr>
      </w:pPr>
      <w:r w:rsidRPr="009B5AEF">
        <w:rPr>
          <w:rFonts w:ascii="Times New Roman" w:hAnsi="Times New Roman" w:eastAsia="Times New Roman" w:cs="Times New Roman"/>
          <w:b/>
          <w:bCs/>
          <w:sz w:val="28"/>
          <w:szCs w:val="28"/>
        </w:rPr>
        <w:t xml:space="preserve">14.16     </w:t>
      </w:r>
      <w:r w:rsidRPr="00957606">
        <w:rPr>
          <w:rFonts w:ascii="Times New Roman" w:hAnsi="Times New Roman" w:eastAsia="Times New Roman" w:cs="Times New Roman"/>
          <w:b/>
          <w:bCs/>
          <w:sz w:val="28"/>
          <w:szCs w:val="28"/>
        </w:rPr>
        <w:t xml:space="preserve">Firm Commitment </w:t>
      </w:r>
      <w:r w:rsidR="00121799">
        <w:rPr>
          <w:rFonts w:ascii="Times New Roman" w:hAnsi="Times New Roman" w:eastAsia="Times New Roman" w:cs="Times New Roman"/>
          <w:b/>
          <w:bCs/>
          <w:sz w:val="28"/>
          <w:szCs w:val="28"/>
        </w:rPr>
        <w:t>Additional</w:t>
      </w:r>
      <w:r w:rsidRPr="00957606">
        <w:rPr>
          <w:rFonts w:ascii="Times New Roman" w:hAnsi="Times New Roman" w:eastAsia="Times New Roman" w:cs="Times New Roman"/>
          <w:b/>
          <w:bCs/>
          <w:sz w:val="28"/>
          <w:szCs w:val="28"/>
        </w:rPr>
        <w:t xml:space="preserve"> Conditions for Tax Credit and Projects </w:t>
      </w:r>
    </w:p>
    <w:p w:rsidR="007F2C28" w:rsidP="00957606" w:rsidRDefault="00957606" w14:paraId="5883DB44" w14:textId="4004DAAE">
      <w:pPr>
        <w:tabs>
          <w:tab w:val="left" w:pos="2880"/>
        </w:tabs>
        <w:overflowPunct w:val="0"/>
        <w:autoSpaceDE w:val="0"/>
        <w:autoSpaceDN w:val="0"/>
        <w:adjustRightInd w:val="0"/>
        <w:spacing w:line="276" w:lineRule="auto"/>
        <w:jc w:val="both"/>
        <w:textAlignment w:val="baseline"/>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w:t>
      </w:r>
      <w:r w:rsidRPr="00957606" w:rsidR="007F2C28">
        <w:rPr>
          <w:rFonts w:ascii="Times New Roman" w:hAnsi="Times New Roman" w:eastAsia="Times New Roman" w:cs="Times New Roman"/>
          <w:b/>
          <w:bCs/>
          <w:sz w:val="28"/>
          <w:szCs w:val="28"/>
        </w:rPr>
        <w:t>with Master Leases</w:t>
      </w:r>
    </w:p>
    <w:p w:rsidR="00235690" w:rsidP="007F2C28" w:rsidRDefault="00235690" w14:paraId="3315081C" w14:textId="77777777">
      <w:pPr>
        <w:jc w:val="both"/>
        <w:rPr>
          <w:rFonts w:ascii="Times New Roman" w:hAnsi="Times New Roman" w:cs="Times New Roman" w:eastAsiaTheme="minorEastAsia"/>
          <w:sz w:val="24"/>
          <w:szCs w:val="24"/>
        </w:rPr>
      </w:pPr>
    </w:p>
    <w:p w:rsidR="007F2C28" w:rsidP="007F2C28" w:rsidRDefault="007F2C28" w14:paraId="557F944C" w14:textId="27D9B3C8">
      <w:pPr>
        <w:jc w:val="both"/>
        <w:rPr>
          <w:rFonts w:ascii="Times New Roman" w:hAnsi="Times New Roman" w:cs="Times New Roman" w:eastAsiaTheme="minorEastAsia"/>
          <w:sz w:val="24"/>
          <w:szCs w:val="24"/>
        </w:rPr>
      </w:pPr>
      <w:r w:rsidRPr="005357A5">
        <w:rPr>
          <w:rFonts w:ascii="Times New Roman" w:hAnsi="Times New Roman" w:cs="Times New Roman" w:eastAsiaTheme="minorEastAsia"/>
          <w:sz w:val="24"/>
          <w:szCs w:val="24"/>
        </w:rPr>
        <w:t xml:space="preserve">The following </w:t>
      </w:r>
      <w:r w:rsidR="00121799">
        <w:rPr>
          <w:rFonts w:ascii="Times New Roman" w:hAnsi="Times New Roman" w:cs="Times New Roman" w:eastAsiaTheme="minorEastAsia"/>
          <w:sz w:val="24"/>
          <w:szCs w:val="24"/>
        </w:rPr>
        <w:t>additional</w:t>
      </w:r>
      <w:r w:rsidRPr="005357A5">
        <w:rPr>
          <w:rFonts w:ascii="Times New Roman" w:hAnsi="Times New Roman" w:cs="Times New Roman" w:eastAsiaTheme="minorEastAsia"/>
          <w:sz w:val="24"/>
          <w:szCs w:val="24"/>
        </w:rPr>
        <w:t xml:space="preserve"> conditions must be added to the Firm Commitment as </w:t>
      </w:r>
      <w:r w:rsidR="00D5548E">
        <w:rPr>
          <w:rFonts w:ascii="Times New Roman" w:hAnsi="Times New Roman" w:cs="Times New Roman" w:eastAsiaTheme="minorEastAsia"/>
          <w:sz w:val="24"/>
          <w:szCs w:val="24"/>
        </w:rPr>
        <w:t>applicable</w:t>
      </w:r>
      <w:r w:rsidRPr="005357A5">
        <w:rPr>
          <w:rFonts w:ascii="Times New Roman" w:hAnsi="Times New Roman" w:cs="Times New Roman" w:eastAsiaTheme="minorEastAsia"/>
          <w:sz w:val="24"/>
          <w:szCs w:val="24"/>
        </w:rPr>
        <w:t xml:space="preserve"> to applications for mortgage insurance for projects </w:t>
      </w:r>
      <w:r w:rsidR="00533646">
        <w:rPr>
          <w:rFonts w:ascii="Times New Roman" w:hAnsi="Times New Roman" w:cs="Times New Roman" w:eastAsiaTheme="minorEastAsia"/>
          <w:sz w:val="24"/>
          <w:szCs w:val="24"/>
        </w:rPr>
        <w:t>that</w:t>
      </w:r>
      <w:r w:rsidRPr="005357A5">
        <w:rPr>
          <w:rFonts w:ascii="Times New Roman" w:hAnsi="Times New Roman" w:cs="Times New Roman" w:eastAsiaTheme="minorEastAsia"/>
          <w:sz w:val="24"/>
          <w:szCs w:val="24"/>
        </w:rPr>
        <w:t xml:space="preserve"> will have equity funded from Tax Credit proceeds:</w:t>
      </w:r>
    </w:p>
    <w:p w:rsidR="002B7D69" w:rsidP="007F2C28" w:rsidRDefault="002B7D69" w14:paraId="42CBF617" w14:textId="25ACA134">
      <w:pPr>
        <w:jc w:val="both"/>
        <w:rPr>
          <w:rFonts w:ascii="Times New Roman" w:hAnsi="Times New Roman" w:cs="Times New Roman" w:eastAsiaTheme="minorEastAsia"/>
          <w:sz w:val="24"/>
          <w:szCs w:val="24"/>
        </w:rPr>
      </w:pPr>
    </w:p>
    <w:p w:rsidRPr="00621ACA" w:rsidR="007F2C28" w:rsidP="00621ACA" w:rsidRDefault="007F2C28" w14:paraId="4D463DF6" w14:textId="1DACA8FC">
      <w:pPr>
        <w:pStyle w:val="ListParagraph"/>
        <w:widowControl w:val="0"/>
        <w:numPr>
          <w:ilvl w:val="0"/>
          <w:numId w:val="31"/>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621ACA">
        <w:rPr>
          <w:rFonts w:ascii="Times New Roman" w:hAnsi="Times New Roman" w:eastAsia="Times New Roman" w:cs="Times New Roman"/>
          <w:sz w:val="24"/>
          <w:szCs w:val="24"/>
        </w:rPr>
        <w:lastRenderedPageBreak/>
        <w:t xml:space="preserve">This Commitment is conditioned on the availability of the tax credit equity contribution described above and in the Equity Contribution Schedule provided with the firm commitment application and approved by HUD, attached as </w:t>
      </w:r>
      <w:r w:rsidRPr="00621ACA">
        <w:rPr>
          <w:rFonts w:ascii="Times New Roman" w:hAnsi="Times New Roman" w:eastAsia="Times New Roman" w:cs="Times New Roman"/>
          <w:b/>
          <w:sz w:val="24"/>
          <w:szCs w:val="24"/>
          <w:u w:val="single"/>
        </w:rPr>
        <w:t>Exhibit G</w:t>
      </w:r>
      <w:r w:rsidRPr="00621ACA">
        <w:rPr>
          <w:rFonts w:ascii="Times New Roman" w:hAnsi="Times New Roman" w:eastAsia="Times New Roman" w:cs="Times New Roman"/>
          <w:sz w:val="24"/>
          <w:szCs w:val="24"/>
        </w:rPr>
        <w:t xml:space="preserve">.  </w:t>
      </w:r>
      <w:r w:rsidRPr="00621ACA" w:rsidR="003649A6">
        <w:rPr>
          <w:rFonts w:ascii="Times New Roman" w:hAnsi="Times New Roman" w:eastAsia="Times New Roman" w:cs="Times New Roman"/>
          <w:sz w:val="24"/>
          <w:szCs w:val="24"/>
        </w:rPr>
        <w:t>Changes to equity contribution amounts or the Equity Contribution Schedule require the submission</w:t>
      </w:r>
      <w:r w:rsidR="006221FE">
        <w:rPr>
          <w:rFonts w:ascii="Times New Roman" w:hAnsi="Times New Roman" w:eastAsia="Times New Roman" w:cs="Times New Roman"/>
          <w:sz w:val="24"/>
          <w:szCs w:val="24"/>
        </w:rPr>
        <w:t xml:space="preserve"> and approval</w:t>
      </w:r>
      <w:r w:rsidRPr="00621ACA" w:rsidR="003649A6">
        <w:rPr>
          <w:rFonts w:ascii="Times New Roman" w:hAnsi="Times New Roman" w:eastAsia="Times New Roman" w:cs="Times New Roman"/>
          <w:sz w:val="24"/>
          <w:szCs w:val="24"/>
        </w:rPr>
        <w:t xml:space="preserve"> of an updated </w:t>
      </w:r>
      <w:r w:rsidR="009F070A">
        <w:rPr>
          <w:rFonts w:ascii="Times New Roman" w:hAnsi="Times New Roman" w:cs="Times New Roman"/>
          <w:sz w:val="24"/>
          <w:szCs w:val="24"/>
        </w:rPr>
        <w:t>HUD-92013-C, LIHTC Summary Report</w:t>
      </w:r>
      <w:r w:rsidRPr="00621ACA" w:rsidR="003649A6">
        <w:rPr>
          <w:rFonts w:ascii="Times New Roman" w:hAnsi="Times New Roman" w:eastAsia="Times New Roman" w:cs="Times New Roman"/>
          <w:sz w:val="24"/>
          <w:szCs w:val="24"/>
        </w:rPr>
        <w:t xml:space="preserve"> and an amendment to the Firm Commitment.</w:t>
      </w:r>
    </w:p>
    <w:p w:rsidRPr="00E34F26" w:rsidR="007F2C28" w:rsidP="007F2C28" w:rsidRDefault="007F2C28" w14:paraId="1AC3E18F" w14:textId="77777777">
      <w:pPr>
        <w:widowControl w:val="0"/>
        <w:overflowPunct w:val="0"/>
        <w:autoSpaceDE w:val="0"/>
        <w:autoSpaceDN w:val="0"/>
        <w:adjustRightInd w:val="0"/>
        <w:spacing w:before="80" w:after="80"/>
        <w:ind w:left="1440"/>
        <w:jc w:val="both"/>
        <w:textAlignment w:val="baseline"/>
        <w:rPr>
          <w:rFonts w:ascii="Times New Roman" w:hAnsi="Times New Roman" w:eastAsia="Times New Roman" w:cs="Times New Roman"/>
          <w:sz w:val="24"/>
          <w:szCs w:val="24"/>
        </w:rPr>
      </w:pPr>
    </w:p>
    <w:p w:rsidR="00121799" w:rsidP="00121799" w:rsidRDefault="007F2C28" w14:paraId="2E5B6DC7" w14:textId="78008FB7">
      <w:pPr>
        <w:widowControl w:val="0"/>
        <w:numPr>
          <w:ilvl w:val="0"/>
          <w:numId w:val="31"/>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0E6F1C">
        <w:rPr>
          <w:rFonts w:ascii="Times New Roman" w:hAnsi="Times New Roman" w:eastAsia="Times New Roman" w:cs="Times New Roman"/>
          <w:sz w:val="24"/>
          <w:szCs w:val="24"/>
        </w:rPr>
        <w:t>The initial equity investment amount</w:t>
      </w:r>
      <w:r w:rsidR="00A178D3">
        <w:rPr>
          <w:rFonts w:ascii="Times New Roman" w:hAnsi="Times New Roman" w:eastAsia="Times New Roman" w:cs="Times New Roman"/>
          <w:sz w:val="24"/>
          <w:szCs w:val="24"/>
        </w:rPr>
        <w:t xml:space="preserve"> is $_______. The initial equity investment</w:t>
      </w:r>
      <w:r w:rsidRPr="000E6F1C">
        <w:rPr>
          <w:rFonts w:ascii="Times New Roman" w:hAnsi="Times New Roman" w:eastAsia="Times New Roman" w:cs="Times New Roman"/>
          <w:sz w:val="24"/>
          <w:szCs w:val="24"/>
        </w:rPr>
        <w:t xml:space="preserve"> </w:t>
      </w:r>
      <w:r w:rsidRPr="000E6F1C" w:rsidR="00532FE8">
        <w:rPr>
          <w:rFonts w:ascii="Times New Roman" w:hAnsi="Times New Roman" w:eastAsia="Times New Roman" w:cs="Times New Roman"/>
          <w:sz w:val="24"/>
          <w:szCs w:val="24"/>
        </w:rPr>
        <w:t xml:space="preserve">must </w:t>
      </w:r>
      <w:r w:rsidR="00C266E2">
        <w:rPr>
          <w:rFonts w:ascii="Times New Roman" w:hAnsi="Times New Roman" w:eastAsia="Times New Roman" w:cs="Times New Roman"/>
          <w:sz w:val="24"/>
          <w:szCs w:val="24"/>
        </w:rPr>
        <w:t xml:space="preserve">be </w:t>
      </w:r>
      <w:r w:rsidR="00960C22">
        <w:rPr>
          <w:rFonts w:ascii="Times New Roman" w:hAnsi="Times New Roman" w:eastAsia="Times New Roman" w:cs="Times New Roman"/>
          <w:sz w:val="24"/>
          <w:szCs w:val="24"/>
        </w:rPr>
        <w:t>equal</w:t>
      </w:r>
      <w:r w:rsidR="00877D3F">
        <w:rPr>
          <w:rFonts w:ascii="Times New Roman" w:hAnsi="Times New Roman" w:eastAsia="Times New Roman" w:cs="Times New Roman"/>
          <w:sz w:val="24"/>
          <w:szCs w:val="24"/>
        </w:rPr>
        <w:t xml:space="preserve"> to</w:t>
      </w:r>
      <w:r w:rsidRPr="000E6F1C" w:rsidR="00054E51">
        <w:rPr>
          <w:rFonts w:ascii="Times New Roman" w:hAnsi="Times New Roman" w:eastAsia="Times New Roman" w:cs="Times New Roman"/>
          <w:sz w:val="24"/>
          <w:szCs w:val="24"/>
        </w:rPr>
        <w:t xml:space="preserve"> no less than 20% of total </w:t>
      </w:r>
      <w:r w:rsidRPr="000E6F1C" w:rsidR="00771A01">
        <w:rPr>
          <w:rFonts w:ascii="Times New Roman" w:hAnsi="Times New Roman" w:eastAsia="Times New Roman" w:cs="Times New Roman"/>
          <w:sz w:val="24"/>
          <w:szCs w:val="24"/>
        </w:rPr>
        <w:t>LIHTC equity</w:t>
      </w:r>
      <w:r w:rsidRPr="000E6F1C" w:rsidR="003649A6">
        <w:rPr>
          <w:rFonts w:ascii="Times New Roman" w:hAnsi="Times New Roman" w:eastAsia="Times New Roman" w:cs="Times New Roman"/>
          <w:sz w:val="24"/>
          <w:szCs w:val="24"/>
        </w:rPr>
        <w:t>, of which 10</w:t>
      </w:r>
      <w:r w:rsidRPr="000E6F1C" w:rsidR="006D74BA">
        <w:rPr>
          <w:rFonts w:ascii="Times New Roman" w:hAnsi="Times New Roman" w:eastAsia="Times New Roman" w:cs="Times New Roman"/>
          <w:sz w:val="24"/>
          <w:szCs w:val="24"/>
        </w:rPr>
        <w:t>% may</w:t>
      </w:r>
      <w:r w:rsidRPr="000E6F1C" w:rsidR="003649A6">
        <w:rPr>
          <w:rFonts w:ascii="Times New Roman" w:hAnsi="Times New Roman" w:eastAsia="Times New Roman" w:cs="Times New Roman"/>
          <w:sz w:val="24"/>
          <w:szCs w:val="24"/>
        </w:rPr>
        <w:t xml:space="preserve"> be funded with E</w:t>
      </w:r>
      <w:r w:rsidR="002D4DD4">
        <w:rPr>
          <w:rFonts w:ascii="Times New Roman" w:hAnsi="Times New Roman" w:eastAsia="Times New Roman" w:cs="Times New Roman"/>
          <w:sz w:val="24"/>
          <w:szCs w:val="24"/>
        </w:rPr>
        <w:t>qu</w:t>
      </w:r>
      <w:r w:rsidR="004176F4">
        <w:rPr>
          <w:rFonts w:ascii="Times New Roman" w:hAnsi="Times New Roman" w:eastAsia="Times New Roman" w:cs="Times New Roman"/>
          <w:sz w:val="24"/>
          <w:szCs w:val="24"/>
        </w:rPr>
        <w:t>it</w:t>
      </w:r>
      <w:r w:rsidR="002D4DD4">
        <w:rPr>
          <w:rFonts w:ascii="Times New Roman" w:hAnsi="Times New Roman" w:eastAsia="Times New Roman" w:cs="Times New Roman"/>
          <w:sz w:val="24"/>
          <w:szCs w:val="24"/>
        </w:rPr>
        <w:t>y Bridge Loan</w:t>
      </w:r>
      <w:r w:rsidRPr="000E6F1C" w:rsidR="003649A6">
        <w:rPr>
          <w:rFonts w:ascii="Times New Roman" w:hAnsi="Times New Roman" w:eastAsia="Times New Roman" w:cs="Times New Roman"/>
          <w:sz w:val="24"/>
          <w:szCs w:val="24"/>
        </w:rPr>
        <w:t xml:space="preserve"> proceeds</w:t>
      </w:r>
      <w:r w:rsidRPr="000E6F1C">
        <w:rPr>
          <w:rFonts w:ascii="Times New Roman" w:hAnsi="Times New Roman" w:eastAsia="Times New Roman" w:cs="Times New Roman"/>
          <w:sz w:val="24"/>
          <w:szCs w:val="24"/>
        </w:rPr>
        <w:t>.</w:t>
      </w:r>
    </w:p>
    <w:p w:rsidRPr="00121799" w:rsidR="007F2C28" w:rsidP="00121799" w:rsidRDefault="007F2C28" w14:paraId="07A52986" w14:textId="545079BF">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121799">
        <w:rPr>
          <w:rFonts w:ascii="Times New Roman" w:hAnsi="Times New Roman" w:eastAsia="Times New Roman" w:cs="Times New Roman"/>
          <w:sz w:val="24"/>
          <w:szCs w:val="24"/>
        </w:rPr>
        <w:t xml:space="preserve">  </w:t>
      </w:r>
      <w:r w:rsidRPr="00121799" w:rsidR="000E6F1C">
        <w:rPr>
          <w:rFonts w:ascii="Times New Roman" w:hAnsi="Times New Roman" w:eastAsia="Times New Roman" w:cs="Times New Roman"/>
          <w:sz w:val="24"/>
          <w:szCs w:val="24"/>
        </w:rPr>
        <w:t xml:space="preserve"> </w:t>
      </w:r>
    </w:p>
    <w:p w:rsidR="007F2C28" w:rsidP="007F2C28" w:rsidRDefault="007F2C28" w14:paraId="6636A848" w14:textId="03DB877E">
      <w:pPr>
        <w:widowControl w:val="0"/>
        <w:numPr>
          <w:ilvl w:val="0"/>
          <w:numId w:val="31"/>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E34F26">
        <w:rPr>
          <w:rFonts w:ascii="Times New Roman" w:hAnsi="Times New Roman" w:eastAsia="Times New Roman" w:cs="Times New Roman"/>
          <w:sz w:val="24"/>
          <w:szCs w:val="24"/>
        </w:rPr>
        <w:t xml:space="preserve">Lender must submit satisfactory evidence of an agreement that binds the tax credit investors to timely and periodically pay to the Borrower entity the tax credit equity to contribute to Project completion costs, in the aggregate amounts set forth in form HUD-2880, HUD-92013, and the </w:t>
      </w:r>
      <w:r w:rsidR="000B4F1A">
        <w:rPr>
          <w:rFonts w:ascii="Times New Roman" w:hAnsi="Times New Roman" w:cs="Times New Roman"/>
          <w:sz w:val="24"/>
          <w:szCs w:val="24"/>
        </w:rPr>
        <w:t>HUD-92013-C, LIHTC Summary Report</w:t>
      </w:r>
      <w:r w:rsidRPr="00E34F26">
        <w:rPr>
          <w:rFonts w:ascii="Times New Roman" w:hAnsi="Times New Roman" w:eastAsia="Times New Roman" w:cs="Times New Roman"/>
          <w:sz w:val="24"/>
          <w:szCs w:val="24"/>
        </w:rPr>
        <w:t>.  A Disbursement Agreement that reflects the terms of the Limited Partnership Agreement or Operating Agreement for the remaining outlay of tax credit equity contributions must be provided prior to Initial Closing.</w:t>
      </w:r>
    </w:p>
    <w:p w:rsidR="007F2C28" w:rsidP="007F2C28" w:rsidRDefault="007F2C28" w14:paraId="59E2D19C" w14:textId="77777777">
      <w:pPr>
        <w:pStyle w:val="ListParagraph"/>
        <w:rPr>
          <w:rFonts w:ascii="Times New Roman" w:hAnsi="Times New Roman" w:eastAsia="Times New Roman" w:cs="Times New Roman"/>
          <w:sz w:val="24"/>
          <w:szCs w:val="24"/>
        </w:rPr>
      </w:pPr>
    </w:p>
    <w:p w:rsidRPr="000063B7" w:rsidR="007F2C28" w:rsidP="007F2C28" w:rsidRDefault="007F2C28" w14:paraId="6D902662" w14:textId="534FB360">
      <w:pPr>
        <w:widowControl w:val="0"/>
        <w:numPr>
          <w:ilvl w:val="0"/>
          <w:numId w:val="31"/>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0063B7">
        <w:rPr>
          <w:rFonts w:ascii="Times New Roman" w:hAnsi="Times New Roman" w:eastAsia="Times New Roman" w:cs="Times New Roman"/>
          <w:sz w:val="24"/>
          <w:szCs w:val="24"/>
        </w:rPr>
        <w:t xml:space="preserve">All Tax Credit Equity documents to which either the Borrower or Controlling Participants are a party, </w:t>
      </w:r>
      <w:r w:rsidRPr="00227445">
        <w:rPr>
          <w:rFonts w:ascii="Times New Roman" w:hAnsi="Times New Roman" w:eastAsia="Times New Roman" w:cs="Times New Roman"/>
          <w:sz w:val="24"/>
          <w:szCs w:val="24"/>
        </w:rPr>
        <w:t>and</w:t>
      </w:r>
      <w:r w:rsidRPr="00227445" w:rsidR="003649A6">
        <w:rPr>
          <w:rFonts w:ascii="Times New Roman" w:hAnsi="Times New Roman" w:eastAsia="Times New Roman" w:cs="Times New Roman"/>
          <w:sz w:val="24"/>
          <w:szCs w:val="24"/>
        </w:rPr>
        <w:t xml:space="preserve"> any related land use restrictions</w:t>
      </w:r>
      <w:r w:rsidR="00B9797E">
        <w:rPr>
          <w:rFonts w:ascii="Times New Roman" w:hAnsi="Times New Roman" w:eastAsia="Times New Roman" w:cs="Times New Roman"/>
          <w:strike/>
          <w:sz w:val="24"/>
          <w:szCs w:val="24"/>
        </w:rPr>
        <w:t xml:space="preserve">( </w:t>
      </w:r>
      <w:r w:rsidR="00227445">
        <w:rPr>
          <w:rFonts w:ascii="Times New Roman" w:hAnsi="Times New Roman" w:eastAsia="Times New Roman" w:cs="Times New Roman"/>
          <w:sz w:val="24"/>
          <w:szCs w:val="24"/>
        </w:rPr>
        <w:t>if</w:t>
      </w:r>
      <w:r w:rsidRPr="00E70F1C" w:rsidR="00544C9B">
        <w:rPr>
          <w:rFonts w:ascii="Times New Roman" w:hAnsi="Times New Roman" w:eastAsia="Times New Roman" w:cs="Times New Roman"/>
          <w:sz w:val="24"/>
          <w:szCs w:val="24"/>
        </w:rPr>
        <w:t xml:space="preserve"> available</w:t>
      </w:r>
      <w:r w:rsidR="00227445">
        <w:rPr>
          <w:rFonts w:ascii="Times New Roman" w:hAnsi="Times New Roman" w:eastAsia="Times New Roman" w:cs="Times New Roman"/>
          <w:sz w:val="24"/>
          <w:szCs w:val="24"/>
        </w:rPr>
        <w:t>)</w:t>
      </w:r>
      <w:r w:rsidRPr="000063B7">
        <w:rPr>
          <w:rFonts w:ascii="Times New Roman" w:hAnsi="Times New Roman" w:eastAsia="Times New Roman" w:cs="Times New Roman"/>
          <w:sz w:val="24"/>
          <w:szCs w:val="24"/>
        </w:rPr>
        <w:t>, must be approved by HUD prior to the date of Initial Endorsement, and must comply with HUD’s legal and administrative tax credit equity requirements, and all related HUD closing forms.</w:t>
      </w:r>
    </w:p>
    <w:p w:rsidR="007F2C28" w:rsidP="007F2C28" w:rsidRDefault="007F2C28" w14:paraId="4E1D8033" w14:textId="77777777">
      <w:pPr>
        <w:pStyle w:val="ListParagraph"/>
        <w:rPr>
          <w:rFonts w:ascii="Times New Roman" w:hAnsi="Times New Roman" w:eastAsia="Times New Roman" w:cs="Times New Roman"/>
          <w:sz w:val="24"/>
          <w:szCs w:val="24"/>
        </w:rPr>
      </w:pPr>
    </w:p>
    <w:p w:rsidR="007F2C28" w:rsidP="007F2C28" w:rsidRDefault="007F2C28" w14:paraId="5CCC1571" w14:textId="77777777">
      <w:pPr>
        <w:widowControl w:val="0"/>
        <w:numPr>
          <w:ilvl w:val="0"/>
          <w:numId w:val="31"/>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E34F26">
        <w:rPr>
          <w:rFonts w:ascii="Times New Roman" w:hAnsi="Times New Roman" w:eastAsia="Times New Roman" w:cs="Times New Roman"/>
          <w:sz w:val="24"/>
          <w:szCs w:val="24"/>
        </w:rPr>
        <w:t>In addition to the standard provisions that must be included in the organizational documents for the Borrower entity, a provision must be added that prohibits any changes to the organizational documents that affect the obligations of the tax credit investor without written consent of the Lender and HUD.</w:t>
      </w:r>
    </w:p>
    <w:p w:rsidR="007F2C28" w:rsidP="007F2C28" w:rsidRDefault="007F2C28" w14:paraId="1C5F85FE" w14:textId="77777777">
      <w:pPr>
        <w:pStyle w:val="ListParagraph"/>
        <w:rPr>
          <w:rFonts w:ascii="Times New Roman" w:hAnsi="Times New Roman" w:eastAsia="Times New Roman" w:cs="Times New Roman"/>
          <w:sz w:val="24"/>
          <w:szCs w:val="24"/>
        </w:rPr>
      </w:pPr>
    </w:p>
    <w:p w:rsidRPr="009B5AEF" w:rsidR="007F2C28" w:rsidP="007F2C28" w:rsidRDefault="007F2C28" w14:paraId="17A41101" w14:textId="57C93CCA">
      <w:pPr>
        <w:widowControl w:val="0"/>
        <w:numPr>
          <w:ilvl w:val="0"/>
          <w:numId w:val="31"/>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E34F26">
        <w:rPr>
          <w:rFonts w:ascii="Times New Roman" w:hAnsi="Times New Roman" w:cs="Times New Roman" w:eastAsiaTheme="minorEastAsia"/>
          <w:sz w:val="24"/>
          <w:szCs w:val="24"/>
        </w:rPr>
        <w:t xml:space="preserve">Special Limited Partner.  </w:t>
      </w:r>
      <w:r w:rsidRPr="00E34F26">
        <w:rPr>
          <w:rFonts w:ascii="Times New Roman" w:hAnsi="Times New Roman" w:cs="Times New Roman" w:eastAsiaTheme="minorEastAsia"/>
          <w:b/>
          <w:sz w:val="24"/>
          <w:szCs w:val="24"/>
        </w:rPr>
        <w:t>[NAME]</w:t>
      </w:r>
      <w:r w:rsidRPr="00E34F26">
        <w:rPr>
          <w:rFonts w:ascii="Times New Roman" w:hAnsi="Times New Roman" w:cs="Times New Roman" w:eastAsiaTheme="minorEastAsia"/>
          <w:sz w:val="24"/>
          <w:szCs w:val="24"/>
        </w:rPr>
        <w:t xml:space="preserve"> has been preapproved to serve as the Special Limited Partner to replace the General Partner for a limited period of time.</w:t>
      </w:r>
      <w:r w:rsidR="00896697">
        <w:rPr>
          <w:rFonts w:ascii="Times New Roman" w:hAnsi="Times New Roman" w:cs="Times New Roman" w:eastAsiaTheme="minorEastAsia"/>
          <w:sz w:val="24"/>
          <w:szCs w:val="24"/>
        </w:rPr>
        <w:t xml:space="preserve"> </w:t>
      </w:r>
      <w:r w:rsidRPr="00E34F26">
        <w:rPr>
          <w:rFonts w:ascii="Times New Roman" w:hAnsi="Times New Roman" w:cs="Times New Roman" w:eastAsiaTheme="minorEastAsia"/>
          <w:sz w:val="24"/>
          <w:szCs w:val="24"/>
        </w:rPr>
        <w:t xml:space="preserve"> A “Rider to the Security Instrument for LIHTC Properties” must be submitted with the closing documents.</w:t>
      </w:r>
    </w:p>
    <w:p w:rsidR="007F2C28" w:rsidP="007F2C28" w:rsidRDefault="007F2C28" w14:paraId="0C2D21E4" w14:textId="77777777">
      <w:pPr>
        <w:pStyle w:val="ListParagraph"/>
        <w:rPr>
          <w:rFonts w:ascii="Times New Roman" w:hAnsi="Times New Roman" w:eastAsia="Times New Roman" w:cs="Times New Roman"/>
          <w:sz w:val="24"/>
          <w:szCs w:val="24"/>
        </w:rPr>
      </w:pPr>
    </w:p>
    <w:p w:rsidRPr="00E34F26" w:rsidR="007F2C28" w:rsidP="0063512B" w:rsidRDefault="007F2C28" w14:paraId="3A79E917" w14:textId="77777777">
      <w:pPr>
        <w:widowControl w:val="0"/>
        <w:numPr>
          <w:ilvl w:val="0"/>
          <w:numId w:val="31"/>
        </w:numPr>
        <w:overflowPunct w:val="0"/>
        <w:autoSpaceDE w:val="0"/>
        <w:autoSpaceDN w:val="0"/>
        <w:adjustRightInd w:val="0"/>
        <w:jc w:val="both"/>
        <w:textAlignment w:val="baseline"/>
        <w:rPr>
          <w:rFonts w:ascii="Times New Roman" w:hAnsi="Times New Roman" w:eastAsia="Times New Roman" w:cs="Times New Roman"/>
          <w:sz w:val="24"/>
          <w:szCs w:val="24"/>
        </w:rPr>
      </w:pPr>
      <w:r w:rsidRPr="00621ACA">
        <w:rPr>
          <w:rFonts w:ascii="Times New Roman" w:hAnsi="Times New Roman" w:eastAsia="Times New Roman" w:cs="Times New Roman"/>
          <w:spacing w:val="1"/>
          <w:sz w:val="24"/>
          <w:szCs w:val="24"/>
        </w:rPr>
        <w:t>Cost Certification Exemption.</w:t>
      </w:r>
      <w:r w:rsidRPr="00E34F26">
        <w:rPr>
          <w:rFonts w:ascii="Times New Roman" w:hAnsi="Times New Roman" w:eastAsia="Times New Roman" w:cs="Times New Roman"/>
          <w:spacing w:val="1"/>
          <w:sz w:val="24"/>
          <w:szCs w:val="24"/>
        </w:rPr>
        <w:t xml:space="preserve">  {LIHTC Projects, MAP Guide Chapter 13.4}</w:t>
      </w:r>
    </w:p>
    <w:p w:rsidR="009168C7" w:rsidP="003C2A0D" w:rsidRDefault="007F2C28" w14:paraId="2C880C4B" w14:textId="77777777">
      <w:pPr>
        <w:widowControl w:val="0"/>
        <w:kinsoku w:val="0"/>
        <w:overflowPunct w:val="0"/>
        <w:autoSpaceDE w:val="0"/>
        <w:autoSpaceDN w:val="0"/>
        <w:adjustRightInd w:val="0"/>
        <w:ind w:left="720" w:right="72" w:firstLine="720"/>
        <w:jc w:val="both"/>
        <w:textAlignment w:val="baseline"/>
        <w:rPr>
          <w:rFonts w:ascii="Times New Roman" w:hAnsi="Times New Roman" w:eastAsia="Times New Roman" w:cs="Times New Roman"/>
          <w:spacing w:val="-1"/>
          <w:sz w:val="24"/>
          <w:szCs w:val="24"/>
        </w:rPr>
      </w:pPr>
      <w:r w:rsidRPr="00E34F26">
        <w:rPr>
          <w:rFonts w:ascii="Times New Roman" w:hAnsi="Times New Roman" w:eastAsia="Times New Roman" w:cs="Times New Roman"/>
          <w:spacing w:val="-1"/>
          <w:sz w:val="24"/>
          <w:szCs w:val="24"/>
        </w:rPr>
        <w:t>The Project is exempt from providing Cost Certification pursuant to Program</w:t>
      </w:r>
      <w:r>
        <w:rPr>
          <w:rFonts w:ascii="Times New Roman" w:hAnsi="Times New Roman" w:eastAsia="Times New Roman" w:cs="Times New Roman"/>
          <w:spacing w:val="-1"/>
          <w:sz w:val="24"/>
          <w:szCs w:val="24"/>
        </w:rPr>
        <w:t xml:space="preserve"> </w:t>
      </w:r>
    </w:p>
    <w:p w:rsidR="007F2C28" w:rsidP="003C2A0D" w:rsidRDefault="007F2C28" w14:paraId="7E05DF65" w14:textId="4D1AB766">
      <w:pPr>
        <w:widowControl w:val="0"/>
        <w:kinsoku w:val="0"/>
        <w:overflowPunct w:val="0"/>
        <w:autoSpaceDE w:val="0"/>
        <w:autoSpaceDN w:val="0"/>
        <w:adjustRightInd w:val="0"/>
        <w:ind w:left="1440" w:right="72"/>
        <w:jc w:val="both"/>
        <w:textAlignment w:val="baseline"/>
        <w:rPr>
          <w:rFonts w:ascii="Times New Roman" w:hAnsi="Times New Roman" w:eastAsia="Times New Roman" w:cs="Times New Roman"/>
          <w:spacing w:val="-1"/>
          <w:sz w:val="24"/>
          <w:szCs w:val="24"/>
        </w:rPr>
      </w:pPr>
      <w:r w:rsidRPr="00E34F26">
        <w:rPr>
          <w:rFonts w:ascii="Times New Roman" w:hAnsi="Times New Roman" w:eastAsia="Times New Roman" w:cs="Times New Roman"/>
          <w:spacing w:val="-1"/>
          <w:sz w:val="24"/>
          <w:szCs w:val="24"/>
        </w:rPr>
        <w:t>Obligations.</w:t>
      </w:r>
      <w:r w:rsidR="009168C7">
        <w:rPr>
          <w:rFonts w:ascii="Times New Roman" w:hAnsi="Times New Roman" w:eastAsia="Times New Roman" w:cs="Times New Roman"/>
          <w:spacing w:val="-1"/>
          <w:sz w:val="24"/>
          <w:szCs w:val="24"/>
        </w:rPr>
        <w:t xml:space="preserve">  </w:t>
      </w:r>
      <w:r w:rsidRPr="00FD1B56" w:rsidR="00692288">
        <w:rPr>
          <w:rFonts w:ascii="Times New Roman" w:hAnsi="Times New Roman" w:cs="Times New Roman"/>
          <w:sz w:val="24"/>
          <w:szCs w:val="24"/>
        </w:rPr>
        <w:t xml:space="preserve">In cases such as new construction with partial occupancy approval as described in Section 12.14.D or a substantial rehabilitation tax credit project, without significant resident displacement, there may be considerable net operating income (NOI) (or interim income) generated during the construction period. This interim income may be used to pay for mortgageable and non-mortgageable items. Therefore, prior to Final Endorsement, the borrower must prepare and submit an </w:t>
      </w:r>
      <w:r w:rsidRPr="00FD1B56" w:rsidR="00692288">
        <w:rPr>
          <w:rFonts w:ascii="Times New Roman" w:hAnsi="Times New Roman" w:cs="Times New Roman"/>
          <w:sz w:val="24"/>
          <w:szCs w:val="24"/>
        </w:rPr>
        <w:lastRenderedPageBreak/>
        <w:t xml:space="preserve">Operating (or Income and Expense) Statement, accounting for Interim Income from the period from first occupancy through the time that HUD issues the </w:t>
      </w:r>
      <w:r w:rsidR="00D60605">
        <w:rPr>
          <w:rFonts w:ascii="Times New Roman" w:hAnsi="Times New Roman" w:cs="Times New Roman"/>
          <w:sz w:val="24"/>
          <w:szCs w:val="24"/>
        </w:rPr>
        <w:t>Permission to Occupy</w:t>
      </w:r>
      <w:r w:rsidRPr="00FD1B56" w:rsidR="00692288">
        <w:rPr>
          <w:rFonts w:ascii="Times New Roman" w:hAnsi="Times New Roman" w:cs="Times New Roman"/>
          <w:sz w:val="24"/>
          <w:szCs w:val="24"/>
        </w:rPr>
        <w:t>, form HUD-95</w:t>
      </w:r>
      <w:r w:rsidR="00D60605">
        <w:rPr>
          <w:rFonts w:ascii="Times New Roman" w:hAnsi="Times New Roman" w:cs="Times New Roman"/>
          <w:sz w:val="24"/>
          <w:szCs w:val="24"/>
        </w:rPr>
        <w:t>485 and after all Change Orders have been funded</w:t>
      </w:r>
      <w:r w:rsidRPr="00FD1B56" w:rsidR="00692288">
        <w:rPr>
          <w:rFonts w:ascii="Times New Roman" w:hAnsi="Times New Roman" w:cs="Times New Roman"/>
          <w:sz w:val="24"/>
          <w:szCs w:val="24"/>
        </w:rPr>
        <w:t>.</w:t>
      </w:r>
      <w:r w:rsidR="00692288">
        <w:rPr>
          <w:sz w:val="23"/>
          <w:szCs w:val="23"/>
        </w:rPr>
        <w:t xml:space="preserve"> </w:t>
      </w:r>
    </w:p>
    <w:p w:rsidRPr="00621ACA" w:rsidR="007F2C28" w:rsidP="007F2C28" w:rsidRDefault="007F2C28" w14:paraId="425815C9" w14:textId="77777777">
      <w:pPr>
        <w:widowControl w:val="0"/>
        <w:kinsoku w:val="0"/>
        <w:overflowPunct w:val="0"/>
        <w:autoSpaceDE w:val="0"/>
        <w:autoSpaceDN w:val="0"/>
        <w:adjustRightInd w:val="0"/>
        <w:spacing w:before="80" w:after="80"/>
        <w:ind w:left="720" w:right="72" w:firstLine="720"/>
        <w:jc w:val="both"/>
        <w:textAlignment w:val="baseline"/>
        <w:rPr>
          <w:rFonts w:ascii="Times New Roman" w:hAnsi="Times New Roman" w:eastAsia="Times New Roman" w:cs="Times New Roman"/>
          <w:spacing w:val="-1"/>
          <w:sz w:val="24"/>
          <w:szCs w:val="24"/>
        </w:rPr>
      </w:pPr>
    </w:p>
    <w:p w:rsidRPr="00E34F26" w:rsidR="007F2C28" w:rsidP="007F2C28" w:rsidRDefault="007F2C28" w14:paraId="48488FAB" w14:textId="77777777">
      <w:pPr>
        <w:widowControl w:val="0"/>
        <w:numPr>
          <w:ilvl w:val="0"/>
          <w:numId w:val="31"/>
        </w:numPr>
        <w:kinsoku w:val="0"/>
        <w:overflowPunct w:val="0"/>
        <w:autoSpaceDE w:val="0"/>
        <w:autoSpaceDN w:val="0"/>
        <w:adjustRightInd w:val="0"/>
        <w:spacing w:before="80" w:after="80"/>
        <w:ind w:right="72"/>
        <w:jc w:val="both"/>
        <w:textAlignment w:val="baseline"/>
        <w:rPr>
          <w:rFonts w:ascii="Times New Roman" w:hAnsi="Times New Roman" w:eastAsia="Times New Roman" w:cs="Times New Roman"/>
          <w:spacing w:val="-1"/>
          <w:sz w:val="24"/>
          <w:szCs w:val="24"/>
        </w:rPr>
      </w:pPr>
      <w:r w:rsidRPr="00621ACA">
        <w:rPr>
          <w:rFonts w:ascii="Times New Roman" w:hAnsi="Times New Roman" w:eastAsia="Times New Roman" w:cs="Times New Roman"/>
          <w:sz w:val="24"/>
          <w:szCs w:val="24"/>
        </w:rPr>
        <w:t>Deferred Drawings and Specifications – LIHTC Projects and Certain Eligible</w:t>
      </w:r>
      <w:r w:rsidRPr="00621ACA">
        <w:rPr>
          <w:rFonts w:ascii="Times New Roman" w:hAnsi="Times New Roman" w:eastAsia="Times New Roman" w:cs="Times New Roman"/>
          <w:b/>
          <w:bCs/>
          <w:sz w:val="24"/>
          <w:szCs w:val="24"/>
        </w:rPr>
        <w:t xml:space="preserve"> </w:t>
      </w:r>
      <w:r w:rsidRPr="00621ACA">
        <w:rPr>
          <w:rFonts w:ascii="Times New Roman" w:hAnsi="Times New Roman" w:eastAsia="Times New Roman" w:cs="Times New Roman"/>
          <w:sz w:val="24"/>
          <w:szCs w:val="24"/>
        </w:rPr>
        <w:t>Borrowers.</w:t>
      </w:r>
      <w:r w:rsidRPr="00E34F26">
        <w:rPr>
          <w:rFonts w:ascii="Times New Roman" w:hAnsi="Times New Roman" w:eastAsia="Times New Roman" w:cs="Times New Roman"/>
          <w:sz w:val="24"/>
          <w:szCs w:val="24"/>
        </w:rPr>
        <w:t xml:space="preserve">  {MAP Guide, Chapter 5.6.E}</w:t>
      </w:r>
    </w:p>
    <w:p w:rsidRPr="00E34F26" w:rsidR="007F2C28" w:rsidP="007F2C28" w:rsidRDefault="007F2C28" w14:paraId="22BC702F" w14:textId="11ACA705">
      <w:pPr>
        <w:widowControl w:val="0"/>
        <w:kinsoku w:val="0"/>
        <w:overflowPunct w:val="0"/>
        <w:autoSpaceDE w:val="0"/>
        <w:autoSpaceDN w:val="0"/>
        <w:adjustRightInd w:val="0"/>
        <w:spacing w:before="80" w:after="80"/>
        <w:ind w:left="1440" w:right="72"/>
        <w:jc w:val="both"/>
        <w:textAlignment w:val="baseline"/>
        <w:rPr>
          <w:rFonts w:ascii="Times New Roman" w:hAnsi="Times New Roman" w:eastAsia="Times New Roman" w:cs="Times New Roman"/>
          <w:sz w:val="24"/>
          <w:szCs w:val="24"/>
        </w:rPr>
      </w:pPr>
      <w:r w:rsidRPr="00E34F26">
        <w:rPr>
          <w:rFonts w:ascii="Times New Roman" w:hAnsi="Times New Roman" w:eastAsia="Times New Roman" w:cs="Times New Roman"/>
          <w:sz w:val="24"/>
          <w:szCs w:val="24"/>
        </w:rPr>
        <w:t xml:space="preserve">As an accommodation to the Borrower, this Commitment has been issued and based upon preliminary drawings, instead of the final drawings, specifications and cost estimates.  At least 30 days prior to the scheduled date for Initial Endorsement, HUD must receive the final drawings, specifications and the Lender’s architectural/cost review report for review and approval to ensure consistency of design and cost.  The plans and a complete specifications manual must be submitted to </w:t>
      </w:r>
      <w:r w:rsidRPr="41404602">
        <w:rPr>
          <w:rFonts w:ascii="Times New Roman" w:hAnsi="Times New Roman" w:eastAsia="Times New Roman" w:cs="Times New Roman"/>
          <w:b/>
          <w:bCs/>
          <w:sz w:val="24"/>
          <w:szCs w:val="24"/>
        </w:rPr>
        <w:t>[Name of Construction Analyst]</w:t>
      </w:r>
      <w:r w:rsidRPr="00E34F26">
        <w:rPr>
          <w:rFonts w:ascii="Times New Roman" w:hAnsi="Times New Roman" w:eastAsia="Times New Roman" w:cs="Times New Roman"/>
          <w:sz w:val="24"/>
          <w:szCs w:val="24"/>
        </w:rPr>
        <w:t xml:space="preserve"> at </w:t>
      </w:r>
      <w:r w:rsidRPr="41404602">
        <w:rPr>
          <w:rFonts w:ascii="Times New Roman" w:hAnsi="Times New Roman" w:eastAsia="Times New Roman" w:cs="Times New Roman"/>
          <w:b/>
          <w:bCs/>
          <w:sz w:val="24"/>
          <w:szCs w:val="24"/>
        </w:rPr>
        <w:t>[HUD office location]</w:t>
      </w:r>
      <w:r w:rsidRPr="00E34F26">
        <w:rPr>
          <w:rFonts w:ascii="Times New Roman" w:hAnsi="Times New Roman" w:eastAsia="Times New Roman" w:cs="Times New Roman"/>
          <w:sz w:val="24"/>
          <w:szCs w:val="24"/>
        </w:rPr>
        <w:t xml:space="preserve"> for review and approval.  </w:t>
      </w:r>
      <w:r w:rsidRPr="41404602">
        <w:rPr>
          <w:rFonts w:ascii="Times New Roman" w:hAnsi="Times New Roman" w:eastAsia="Times New Roman" w:cs="Times New Roman"/>
          <w:b/>
          <w:bCs/>
          <w:sz w:val="24"/>
          <w:szCs w:val="24"/>
        </w:rPr>
        <w:t>[Name of Construction Analyst</w:t>
      </w:r>
      <w:r w:rsidRPr="00E34F26">
        <w:rPr>
          <w:rFonts w:ascii="Times New Roman" w:hAnsi="Times New Roman" w:eastAsia="Times New Roman" w:cs="Times New Roman"/>
          <w:sz w:val="24"/>
          <w:szCs w:val="24"/>
        </w:rPr>
        <w:t xml:space="preserve">] can be reached at </w:t>
      </w:r>
      <w:r w:rsidRPr="41404602">
        <w:rPr>
          <w:rFonts w:ascii="Times New Roman" w:hAnsi="Times New Roman" w:eastAsia="Times New Roman" w:cs="Times New Roman"/>
          <w:b/>
          <w:bCs/>
          <w:sz w:val="24"/>
          <w:szCs w:val="24"/>
        </w:rPr>
        <w:t>[phone number]</w:t>
      </w:r>
      <w:r w:rsidRPr="00E34F26">
        <w:rPr>
          <w:rFonts w:ascii="Times New Roman" w:hAnsi="Times New Roman" w:eastAsia="Times New Roman" w:cs="Times New Roman"/>
          <w:sz w:val="24"/>
          <w:szCs w:val="24"/>
        </w:rPr>
        <w:t xml:space="preserve">. </w:t>
      </w:r>
      <w:r w:rsidR="00266D24">
        <w:rPr>
          <w:rFonts w:ascii="Times New Roman" w:hAnsi="Times New Roman" w:eastAsia="Times New Roman" w:cs="Times New Roman"/>
          <w:sz w:val="24"/>
          <w:szCs w:val="24"/>
        </w:rPr>
        <w:t>They</w:t>
      </w:r>
      <w:r w:rsidRPr="00E34F26">
        <w:rPr>
          <w:rFonts w:ascii="Times New Roman" w:hAnsi="Times New Roman" w:eastAsia="Times New Roman" w:cs="Times New Roman"/>
          <w:sz w:val="24"/>
          <w:szCs w:val="24"/>
        </w:rPr>
        <w:t xml:space="preserve"> will provide information on where the three approved sets of Plans and Specifications with signature blocks will need to be mailed for the preconstruction conference and Initial Endorsement.  In addition, it is the Lender’s and General Contractor’s responsibility to incorporate the most current Davis-Bacon Wage Rates into the appropriate documents.</w:t>
      </w:r>
    </w:p>
    <w:p w:rsidRPr="00E34F26" w:rsidR="007F2C28" w:rsidP="007F2C28" w:rsidRDefault="007F2C28" w14:paraId="3228857B" w14:textId="77777777">
      <w:pPr>
        <w:widowControl w:val="0"/>
        <w:kinsoku w:val="0"/>
        <w:overflowPunct w:val="0"/>
        <w:autoSpaceDE w:val="0"/>
        <w:autoSpaceDN w:val="0"/>
        <w:adjustRightInd w:val="0"/>
        <w:spacing w:before="80" w:after="80"/>
        <w:ind w:left="720" w:right="72"/>
        <w:jc w:val="both"/>
        <w:textAlignment w:val="baseline"/>
        <w:rPr>
          <w:rFonts w:ascii="Times New Roman" w:hAnsi="Times New Roman" w:eastAsia="Times New Roman" w:cs="Times New Roman"/>
          <w:sz w:val="24"/>
          <w:szCs w:val="24"/>
        </w:rPr>
      </w:pPr>
    </w:p>
    <w:p w:rsidRPr="00E34F26" w:rsidR="007F2C28" w:rsidP="007F2C28" w:rsidRDefault="007F2C28" w14:paraId="57958152" w14:textId="77777777">
      <w:pPr>
        <w:widowControl w:val="0"/>
        <w:kinsoku w:val="0"/>
        <w:overflowPunct w:val="0"/>
        <w:autoSpaceDE w:val="0"/>
        <w:autoSpaceDN w:val="0"/>
        <w:adjustRightInd w:val="0"/>
        <w:spacing w:before="80" w:after="80"/>
        <w:ind w:left="1440" w:right="72"/>
        <w:jc w:val="both"/>
        <w:textAlignment w:val="baseline"/>
        <w:rPr>
          <w:rFonts w:ascii="Times New Roman" w:hAnsi="Times New Roman" w:eastAsia="Times New Roman" w:cs="Times New Roman"/>
          <w:sz w:val="24"/>
          <w:szCs w:val="24"/>
        </w:rPr>
      </w:pPr>
      <w:r w:rsidRPr="00E34F26">
        <w:rPr>
          <w:rFonts w:ascii="Times New Roman" w:hAnsi="Times New Roman" w:eastAsia="Times New Roman" w:cs="Times New Roman"/>
          <w:sz w:val="24"/>
          <w:szCs w:val="24"/>
        </w:rPr>
        <w:t>If there is a net cumulative construction cost change of more than 5%, or a change in design concept, this Commitment shall be subject to and conditioned upon the further approval of HUD, to be evidenced in writing.  Based on such change and review, this Commitment may be terminated and voided by HUD, or, additional conditions may be imposed at HUD’s option.</w:t>
      </w:r>
    </w:p>
    <w:p w:rsidRPr="00E34F26" w:rsidR="007F2C28" w:rsidP="007F2C28" w:rsidRDefault="007F2C28" w14:paraId="1D8F0520" w14:textId="77777777">
      <w:pPr>
        <w:widowControl w:val="0"/>
        <w:kinsoku w:val="0"/>
        <w:overflowPunct w:val="0"/>
        <w:autoSpaceDE w:val="0"/>
        <w:autoSpaceDN w:val="0"/>
        <w:adjustRightInd w:val="0"/>
        <w:spacing w:before="80" w:after="80"/>
        <w:ind w:left="720" w:right="72"/>
        <w:jc w:val="both"/>
        <w:textAlignment w:val="baseline"/>
        <w:rPr>
          <w:rFonts w:ascii="Times New Roman" w:hAnsi="Times New Roman" w:eastAsia="Times New Roman" w:cs="Times New Roman"/>
          <w:sz w:val="24"/>
          <w:szCs w:val="24"/>
        </w:rPr>
      </w:pPr>
    </w:p>
    <w:p w:rsidR="007F2C28" w:rsidP="007F2C28" w:rsidRDefault="007F2C28" w14:paraId="12C46A67" w14:textId="77777777">
      <w:pPr>
        <w:widowControl w:val="0"/>
        <w:kinsoku w:val="0"/>
        <w:overflowPunct w:val="0"/>
        <w:autoSpaceDE w:val="0"/>
        <w:autoSpaceDN w:val="0"/>
        <w:adjustRightInd w:val="0"/>
        <w:spacing w:before="80" w:after="80"/>
        <w:ind w:left="1440" w:right="72"/>
        <w:jc w:val="both"/>
        <w:textAlignment w:val="baseline"/>
        <w:rPr>
          <w:rFonts w:ascii="Times New Roman" w:hAnsi="Times New Roman" w:eastAsia="Times New Roman" w:cs="Times New Roman"/>
          <w:sz w:val="24"/>
          <w:szCs w:val="24"/>
          <w:u w:val="single"/>
        </w:rPr>
      </w:pPr>
      <w:r w:rsidRPr="00E34F26">
        <w:rPr>
          <w:rFonts w:ascii="Times New Roman" w:hAnsi="Times New Roman" w:eastAsia="Times New Roman" w:cs="Times New Roman"/>
          <w:sz w:val="24"/>
          <w:szCs w:val="24"/>
        </w:rPr>
        <w:t>Add if applicable:  this Commitment is conditioned on the following corrections that must be made to the Plans and Specifications before Initial Endorsement.</w:t>
      </w:r>
      <w:r w:rsidRPr="00E34F26">
        <w:rPr>
          <w:rFonts w:ascii="Times New Roman" w:hAnsi="Times New Roman" w:eastAsia="Times New Roman" w:cs="Times New Roman"/>
          <w:sz w:val="24"/>
          <w:szCs w:val="24"/>
          <w:u w:val="single"/>
        </w:rPr>
        <w:t xml:space="preserve">  </w:t>
      </w:r>
    </w:p>
    <w:p w:rsidRPr="00D04FBE" w:rsidR="007F2C28" w:rsidP="007F2C28" w:rsidRDefault="007F2C28" w14:paraId="1432B9BA" w14:textId="77777777">
      <w:pPr>
        <w:widowControl w:val="0"/>
        <w:kinsoku w:val="0"/>
        <w:overflowPunct w:val="0"/>
        <w:autoSpaceDE w:val="0"/>
        <w:autoSpaceDN w:val="0"/>
        <w:adjustRightInd w:val="0"/>
        <w:spacing w:before="80" w:after="80"/>
        <w:ind w:left="1440" w:right="72"/>
        <w:jc w:val="both"/>
        <w:textAlignment w:val="baseline"/>
        <w:rPr>
          <w:rFonts w:ascii="Times New Roman" w:hAnsi="Times New Roman" w:eastAsia="Times New Roman" w:cs="Times New Roman"/>
          <w:sz w:val="24"/>
          <w:szCs w:val="24"/>
        </w:rPr>
      </w:pPr>
    </w:p>
    <w:p w:rsidRPr="00E34F26" w:rsidR="007F2C28" w:rsidP="007F2C28" w:rsidRDefault="007F2C28" w14:paraId="790BD2E8" w14:textId="58AA4A80">
      <w:pPr>
        <w:widowControl w:val="0"/>
        <w:numPr>
          <w:ilvl w:val="0"/>
          <w:numId w:val="31"/>
        </w:numPr>
        <w:kinsoku w:val="0"/>
        <w:overflowPunct w:val="0"/>
        <w:autoSpaceDE w:val="0"/>
        <w:autoSpaceDN w:val="0"/>
        <w:adjustRightInd w:val="0"/>
        <w:spacing w:before="80" w:after="80"/>
        <w:ind w:right="72"/>
        <w:jc w:val="both"/>
        <w:textAlignment w:val="baseline"/>
        <w:rPr>
          <w:rFonts w:ascii="Times New Roman" w:hAnsi="Times New Roman" w:eastAsia="Times New Roman" w:cs="Times New Roman"/>
          <w:sz w:val="24"/>
          <w:szCs w:val="24"/>
        </w:rPr>
      </w:pPr>
      <w:bookmarkStart w:name="_Hlk14870743" w:id="6"/>
      <w:r w:rsidRPr="00D04FBE">
        <w:rPr>
          <w:rFonts w:ascii="Times New Roman" w:hAnsi="Times New Roman" w:eastAsia="Times New Roman" w:cs="Times New Roman"/>
          <w:bCs/>
          <w:sz w:val="24"/>
          <w:szCs w:val="24"/>
        </w:rPr>
        <w:t>Bridge Loan</w:t>
      </w:r>
      <w:r w:rsidR="00963FD1">
        <w:rPr>
          <w:rFonts w:ascii="Times New Roman" w:hAnsi="Times New Roman" w:eastAsia="Times New Roman" w:cs="Times New Roman"/>
          <w:bCs/>
          <w:sz w:val="24"/>
          <w:szCs w:val="24"/>
        </w:rPr>
        <w:t xml:space="preserve"> (only as applicable)</w:t>
      </w:r>
      <w:r w:rsidRPr="00D04FBE">
        <w:rPr>
          <w:rFonts w:ascii="Times New Roman" w:hAnsi="Times New Roman" w:eastAsia="Times New Roman" w:cs="Times New Roman"/>
          <w:bCs/>
          <w:sz w:val="24"/>
          <w:szCs w:val="24"/>
        </w:rPr>
        <w:t>.</w:t>
      </w:r>
      <w:r w:rsidRPr="00D04FBE">
        <w:rPr>
          <w:rFonts w:ascii="Times New Roman" w:hAnsi="Times New Roman" w:eastAsia="Times New Roman" w:cs="Times New Roman"/>
          <w:sz w:val="24"/>
          <w:szCs w:val="24"/>
        </w:rPr>
        <w:t xml:space="preserve">  {</w:t>
      </w:r>
      <w:r w:rsidRPr="00E34F26">
        <w:rPr>
          <w:rFonts w:ascii="Times New Roman" w:hAnsi="Times New Roman" w:eastAsia="Times New Roman" w:cs="Times New Roman"/>
          <w:sz w:val="24"/>
          <w:szCs w:val="24"/>
        </w:rPr>
        <w:t>Insert:  amount, interest rate, repayment terms, maturity date, financing instrument(s), name of maker on the loan.}</w:t>
      </w:r>
    </w:p>
    <w:p w:rsidRPr="009B5AEF" w:rsidR="007F2C28" w:rsidP="007F2C28" w:rsidRDefault="007F2C28" w14:paraId="55A71347" w14:textId="77777777">
      <w:pPr>
        <w:kinsoku w:val="0"/>
        <w:overflowPunct w:val="0"/>
        <w:ind w:right="72"/>
        <w:textAlignment w:val="baseline"/>
        <w:rPr>
          <w:rFonts w:ascii="Times New Roman" w:hAnsi="Times New Roman" w:cs="Times New Roman"/>
          <w:sz w:val="24"/>
          <w:szCs w:val="24"/>
        </w:rPr>
      </w:pPr>
    </w:p>
    <w:p w:rsidR="007F2C28" w:rsidP="003C2A0D" w:rsidRDefault="007F2C28" w14:paraId="059B7485" w14:textId="5084D497">
      <w:pPr>
        <w:kinsoku w:val="0"/>
        <w:overflowPunct w:val="0"/>
        <w:ind w:left="1440" w:right="72"/>
        <w:jc w:val="both"/>
        <w:textAlignment w:val="baseline"/>
        <w:rPr>
          <w:rFonts w:ascii="Times New Roman" w:hAnsi="Times New Roman" w:cs="Times New Roman"/>
          <w:sz w:val="24"/>
          <w:szCs w:val="24"/>
        </w:rPr>
      </w:pPr>
      <w:r w:rsidRPr="009B5AEF">
        <w:rPr>
          <w:rFonts w:ascii="Times New Roman" w:hAnsi="Times New Roman" w:cs="Times New Roman"/>
          <w:sz w:val="24"/>
          <w:szCs w:val="24"/>
        </w:rPr>
        <w:t xml:space="preserve">This Commitment is conditioned on the availability of the Bridge Loan described above.  All Bridge Loan documents to which either the Borrower or Controlling Participants are a party must be approved by HUD prior to the date of Initial </w:t>
      </w:r>
      <w:r w:rsidRPr="009B5AEF" w:rsidR="006D1FDA">
        <w:rPr>
          <w:rFonts w:ascii="Times New Roman" w:hAnsi="Times New Roman" w:cs="Times New Roman"/>
          <w:sz w:val="24"/>
          <w:szCs w:val="24"/>
        </w:rPr>
        <w:t>Endorsement and</w:t>
      </w:r>
      <w:r w:rsidRPr="009B5AEF">
        <w:rPr>
          <w:rFonts w:ascii="Times New Roman" w:hAnsi="Times New Roman" w:cs="Times New Roman"/>
          <w:sz w:val="24"/>
          <w:szCs w:val="24"/>
        </w:rPr>
        <w:t xml:space="preserve"> must comply with HUD’s legal and administrative bridge loan requirements, and all related HUD closing forms.  If there is a conflict between the HUD loan documents/Program Obligations (HUD Requirements), the HUD Requirements control.  </w:t>
      </w:r>
    </w:p>
    <w:p w:rsidRPr="009B5AEF" w:rsidR="007F2C28" w:rsidP="007F2C28" w:rsidRDefault="007F2C28" w14:paraId="37D1D11B" w14:textId="77777777">
      <w:pPr>
        <w:kinsoku w:val="0"/>
        <w:overflowPunct w:val="0"/>
        <w:ind w:left="1440" w:right="72"/>
        <w:textAlignment w:val="baseline"/>
        <w:rPr>
          <w:rFonts w:ascii="Times New Roman" w:hAnsi="Times New Roman" w:cs="Times New Roman"/>
          <w:sz w:val="24"/>
          <w:szCs w:val="24"/>
        </w:rPr>
      </w:pPr>
    </w:p>
    <w:bookmarkEnd w:id="6"/>
    <w:p w:rsidR="007F2C28" w:rsidP="007F2C28" w:rsidRDefault="007F2C28" w14:paraId="074FDAE5" w14:textId="67046114">
      <w:pPr>
        <w:widowControl w:val="0"/>
        <w:numPr>
          <w:ilvl w:val="0"/>
          <w:numId w:val="31"/>
        </w:numPr>
        <w:kinsoku w:val="0"/>
        <w:overflowPunct w:val="0"/>
        <w:autoSpaceDE w:val="0"/>
        <w:autoSpaceDN w:val="0"/>
        <w:adjustRightInd w:val="0"/>
        <w:spacing w:before="80" w:after="80"/>
        <w:ind w:right="72"/>
        <w:jc w:val="both"/>
        <w:textAlignment w:val="baseline"/>
        <w:rPr>
          <w:rFonts w:ascii="Times New Roman" w:hAnsi="Times New Roman" w:eastAsia="Times New Roman" w:cs="Times New Roman"/>
          <w:sz w:val="24"/>
          <w:szCs w:val="24"/>
        </w:rPr>
      </w:pPr>
      <w:r w:rsidRPr="00D04FBE">
        <w:rPr>
          <w:rFonts w:ascii="Times New Roman" w:hAnsi="Times New Roman" w:eastAsia="Times New Roman" w:cs="Times New Roman"/>
          <w:bCs/>
          <w:sz w:val="24"/>
          <w:szCs w:val="24"/>
        </w:rPr>
        <w:t>Bonds</w:t>
      </w:r>
      <w:r w:rsidR="00963FD1">
        <w:rPr>
          <w:rFonts w:ascii="Times New Roman" w:hAnsi="Times New Roman" w:eastAsia="Times New Roman" w:cs="Times New Roman"/>
          <w:bCs/>
          <w:sz w:val="24"/>
          <w:szCs w:val="24"/>
        </w:rPr>
        <w:t xml:space="preserve"> (only as applicable)</w:t>
      </w:r>
      <w:r w:rsidRPr="00D04FBE">
        <w:rPr>
          <w:rFonts w:ascii="Times New Roman" w:hAnsi="Times New Roman" w:eastAsia="Times New Roman" w:cs="Times New Roman"/>
          <w:bCs/>
          <w:sz w:val="24"/>
          <w:szCs w:val="24"/>
        </w:rPr>
        <w:t>.</w:t>
      </w:r>
      <w:r w:rsidRPr="00E34F26">
        <w:rPr>
          <w:rFonts w:ascii="Times New Roman" w:hAnsi="Times New Roman" w:eastAsia="Times New Roman" w:cs="Times New Roman"/>
          <w:b/>
          <w:sz w:val="24"/>
          <w:szCs w:val="24"/>
        </w:rPr>
        <w:t xml:space="preserve">  </w:t>
      </w:r>
      <w:r w:rsidRPr="00E34F26">
        <w:rPr>
          <w:rFonts w:ascii="Times New Roman" w:hAnsi="Times New Roman" w:eastAsia="Times New Roman" w:cs="Times New Roman"/>
          <w:sz w:val="24"/>
          <w:szCs w:val="24"/>
        </w:rPr>
        <w:t xml:space="preserve">This Commitment is conditioned on the availability of the Bonds described above.  All Bond documents to which either the Borrower </w:t>
      </w:r>
      <w:r w:rsidRPr="00E34F26">
        <w:rPr>
          <w:rFonts w:ascii="Times New Roman" w:hAnsi="Times New Roman" w:eastAsia="Times New Roman" w:cs="Times New Roman"/>
          <w:sz w:val="24"/>
          <w:szCs w:val="24"/>
        </w:rPr>
        <w:lastRenderedPageBreak/>
        <w:t xml:space="preserve">or Controlling Participants are a party must be approved by HUD prior to the date of Initial </w:t>
      </w:r>
      <w:r w:rsidRPr="00E34F26" w:rsidR="006D1FDA">
        <w:rPr>
          <w:rFonts w:ascii="Times New Roman" w:hAnsi="Times New Roman" w:eastAsia="Times New Roman" w:cs="Times New Roman"/>
          <w:sz w:val="24"/>
          <w:szCs w:val="24"/>
        </w:rPr>
        <w:t>Endorsement and</w:t>
      </w:r>
      <w:r w:rsidRPr="00E34F26">
        <w:rPr>
          <w:rFonts w:ascii="Times New Roman" w:hAnsi="Times New Roman" w:eastAsia="Times New Roman" w:cs="Times New Roman"/>
          <w:sz w:val="24"/>
          <w:szCs w:val="24"/>
        </w:rPr>
        <w:t xml:space="preserve"> must comply with HUD’s legal and administrative bond requirements, and all related HUD closing forms. If there is a conflict between the HUD loan documents/Program Obligations (HUD Requirements), the HUD Requirements control.  </w:t>
      </w:r>
    </w:p>
    <w:p w:rsidR="007F2C28" w:rsidP="007F2C28" w:rsidRDefault="007F2C28" w14:paraId="1D8D2DC1" w14:textId="77777777">
      <w:pPr>
        <w:widowControl w:val="0"/>
        <w:kinsoku w:val="0"/>
        <w:overflowPunct w:val="0"/>
        <w:autoSpaceDE w:val="0"/>
        <w:autoSpaceDN w:val="0"/>
        <w:adjustRightInd w:val="0"/>
        <w:spacing w:before="80" w:after="80"/>
        <w:ind w:left="1440" w:right="72"/>
        <w:jc w:val="both"/>
        <w:textAlignment w:val="baseline"/>
        <w:rPr>
          <w:rFonts w:ascii="Times New Roman" w:hAnsi="Times New Roman" w:eastAsia="Times New Roman" w:cs="Times New Roman"/>
          <w:sz w:val="24"/>
          <w:szCs w:val="24"/>
        </w:rPr>
      </w:pPr>
    </w:p>
    <w:p w:rsidRPr="005357A5" w:rsidR="007F2C28" w:rsidP="007F2C28" w:rsidRDefault="007F2C28" w14:paraId="4C20FF2F" w14:textId="039C1B8A">
      <w:pPr>
        <w:widowControl w:val="0"/>
        <w:numPr>
          <w:ilvl w:val="0"/>
          <w:numId w:val="31"/>
        </w:numPr>
        <w:kinsoku w:val="0"/>
        <w:overflowPunct w:val="0"/>
        <w:autoSpaceDE w:val="0"/>
        <w:autoSpaceDN w:val="0"/>
        <w:adjustRightInd w:val="0"/>
        <w:spacing w:before="80" w:after="80"/>
        <w:ind w:right="72"/>
        <w:jc w:val="both"/>
        <w:textAlignment w:val="baseline"/>
        <w:rPr>
          <w:rFonts w:ascii="Times New Roman" w:hAnsi="Times New Roman" w:eastAsia="Times New Roman" w:cs="Times New Roman"/>
          <w:sz w:val="24"/>
          <w:szCs w:val="24"/>
        </w:rPr>
      </w:pPr>
      <w:r w:rsidRPr="005357A5">
        <w:rPr>
          <w:rFonts w:ascii="Times New Roman" w:hAnsi="Times New Roman" w:eastAsia="Times New Roman" w:cs="Times New Roman"/>
          <w:sz w:val="24"/>
          <w:szCs w:val="24"/>
        </w:rPr>
        <w:t xml:space="preserve">Deferred Developer Fee.  Whether the DDF loan is documented in the Borrower’s organizational documents or in a Note, language must be included specifying that repayment is restricted to Surplus Cash </w:t>
      </w:r>
      <w:r w:rsidR="00E67DCD">
        <w:rPr>
          <w:rFonts w:ascii="Times New Roman" w:hAnsi="Times New Roman" w:eastAsia="Times New Roman" w:cs="Times New Roman"/>
          <w:sz w:val="24"/>
          <w:szCs w:val="24"/>
        </w:rPr>
        <w:t xml:space="preserve">or other non-project funds </w:t>
      </w:r>
      <w:r w:rsidRPr="005357A5">
        <w:rPr>
          <w:rFonts w:ascii="Times New Roman" w:hAnsi="Times New Roman" w:eastAsia="Times New Roman" w:cs="Times New Roman"/>
          <w:sz w:val="24"/>
          <w:szCs w:val="24"/>
        </w:rPr>
        <w:t>(as that term is defined in the Regulatory Agreement between the Borrower and HUD).</w:t>
      </w:r>
    </w:p>
    <w:p w:rsidRPr="00E34F26" w:rsidR="007F2C28" w:rsidP="007F2C28" w:rsidRDefault="007F2C28" w14:paraId="28EA7F26" w14:textId="77777777">
      <w:pPr>
        <w:widowControl w:val="0"/>
        <w:kinsoku w:val="0"/>
        <w:overflowPunct w:val="0"/>
        <w:autoSpaceDE w:val="0"/>
        <w:autoSpaceDN w:val="0"/>
        <w:adjustRightInd w:val="0"/>
        <w:spacing w:before="80" w:after="80"/>
        <w:ind w:left="1440" w:right="72"/>
        <w:textAlignment w:val="baseline"/>
        <w:rPr>
          <w:rFonts w:ascii="Times New Roman" w:hAnsi="Times New Roman" w:eastAsia="Times New Roman" w:cs="Times New Roman"/>
          <w:sz w:val="24"/>
          <w:szCs w:val="24"/>
        </w:rPr>
      </w:pPr>
    </w:p>
    <w:p w:rsidRPr="00E34F26" w:rsidR="007F2C28" w:rsidP="003C2A0D" w:rsidRDefault="007F2C28" w14:paraId="471C9CD0" w14:textId="77777777">
      <w:pPr>
        <w:widowControl w:val="0"/>
        <w:numPr>
          <w:ilvl w:val="0"/>
          <w:numId w:val="31"/>
        </w:numPr>
        <w:kinsoku w:val="0"/>
        <w:overflowPunct w:val="0"/>
        <w:autoSpaceDE w:val="0"/>
        <w:autoSpaceDN w:val="0"/>
        <w:adjustRightInd w:val="0"/>
        <w:spacing w:before="80" w:after="80"/>
        <w:ind w:right="72"/>
        <w:jc w:val="both"/>
        <w:textAlignment w:val="baseline"/>
        <w:rPr>
          <w:rFonts w:ascii="Times New Roman" w:hAnsi="Times New Roman" w:eastAsia="Times New Roman" w:cs="Times New Roman"/>
          <w:sz w:val="24"/>
          <w:szCs w:val="24"/>
        </w:rPr>
      </w:pPr>
      <w:r w:rsidRPr="00E34F26">
        <w:rPr>
          <w:rFonts w:ascii="Times New Roman" w:hAnsi="Times New Roman" w:eastAsia="Times New Roman" w:cs="Times New Roman"/>
          <w:bCs/>
          <w:sz w:val="24"/>
          <w:szCs w:val="24"/>
        </w:rPr>
        <w:t xml:space="preserve">{The following additional Tax Credit Equity condition applies to transactions with master lease structures to facilitate Historic or New Market Tax Credits.}  </w:t>
      </w:r>
    </w:p>
    <w:p w:rsidRPr="00760941" w:rsidR="007F2C28" w:rsidP="003C2A0D" w:rsidRDefault="007F2C28" w14:paraId="2FB8A065" w14:textId="77777777">
      <w:pPr>
        <w:ind w:left="1440"/>
        <w:jc w:val="both"/>
        <w:rPr>
          <w:rFonts w:ascii="Times New Roman" w:hAnsi="Times New Roman" w:eastAsia="Helvetica" w:cs="Times New Roman"/>
          <w:sz w:val="24"/>
          <w:szCs w:val="24"/>
        </w:rPr>
      </w:pPr>
      <w:r w:rsidRPr="00E34F26">
        <w:rPr>
          <w:rFonts w:ascii="Times New Roman" w:hAnsi="Times New Roman" w:eastAsia="Helvetica" w:cs="Times New Roman"/>
          <w:sz w:val="24"/>
          <w:szCs w:val="24"/>
        </w:rPr>
        <w:t>[</w:t>
      </w:r>
      <w:r w:rsidRPr="00760941">
        <w:rPr>
          <w:rFonts w:ascii="Times New Roman" w:hAnsi="Times New Roman" w:eastAsia="Helvetica" w:cs="Times New Roman"/>
          <w:sz w:val="24"/>
          <w:szCs w:val="24"/>
        </w:rPr>
        <w:t xml:space="preserve">A master lease structure has been approved for this Loan transaction to facilitate [Historic Tax Credits] [New Market Tax Credits].  The Borrower and master tenant </w:t>
      </w:r>
      <w:r w:rsidRPr="009B5AEF">
        <w:rPr>
          <w:rFonts w:ascii="Times New Roman" w:hAnsi="Times New Roman" w:eastAsia="Helvetica" w:cs="Times New Roman"/>
          <w:sz w:val="24"/>
          <w:szCs w:val="24"/>
        </w:rPr>
        <w:t>[insert name of master tenant]</w:t>
      </w:r>
      <w:r w:rsidRPr="00760941">
        <w:rPr>
          <w:rFonts w:ascii="Times New Roman" w:hAnsi="Times New Roman" w:eastAsia="Helvetica" w:cs="Times New Roman"/>
          <w:sz w:val="24"/>
          <w:szCs w:val="24"/>
        </w:rPr>
        <w:t xml:space="preserve">, along with the following (residential and/or commercial) master sub-lessees </w:t>
      </w:r>
      <w:r w:rsidRPr="009B5AEF">
        <w:rPr>
          <w:rFonts w:ascii="Times New Roman" w:hAnsi="Times New Roman" w:eastAsia="Helvetica" w:cs="Times New Roman"/>
          <w:sz w:val="24"/>
          <w:szCs w:val="24"/>
        </w:rPr>
        <w:t>[insert names of master sub-lessee 1, master sub-lessee 2, etc.]</w:t>
      </w:r>
      <w:r w:rsidRPr="00760941">
        <w:rPr>
          <w:rFonts w:ascii="Times New Roman" w:hAnsi="Times New Roman" w:eastAsia="Helvetica" w:cs="Times New Roman"/>
          <w:sz w:val="24"/>
          <w:szCs w:val="24"/>
        </w:rPr>
        <w:t xml:space="preserve"> must execute separate Regulatory Agreements with the appropriate HUD Rider attached.  The Riders can be found at the following link - </w:t>
      </w:r>
      <w:hyperlink w:history="1" r:id="rId13">
        <w:r w:rsidRPr="00760941">
          <w:rPr>
            <w:rFonts w:ascii="Times New Roman" w:hAnsi="Times New Roman" w:eastAsia="Helvetica" w:cs="Times New Roman"/>
            <w:color w:val="0563C1" w:themeColor="hyperlink"/>
            <w:sz w:val="24"/>
            <w:szCs w:val="24"/>
            <w:u w:val="single"/>
          </w:rPr>
          <w:t>https://portal.hud.gov/hudportal/HUD?src=/program_offices/general_counsel/mffaqs</w:t>
        </w:r>
      </w:hyperlink>
      <w:r w:rsidRPr="00760941">
        <w:rPr>
          <w:rFonts w:ascii="Times New Roman" w:hAnsi="Times New Roman" w:eastAsia="Helvetica" w:cs="Times New Roman"/>
          <w:sz w:val="24"/>
          <w:szCs w:val="24"/>
        </w:rPr>
        <w:t xml:space="preserve">.  </w:t>
      </w:r>
    </w:p>
    <w:p w:rsidRPr="00760941" w:rsidR="007F2C28" w:rsidP="003C2A0D" w:rsidRDefault="007F2C28" w14:paraId="58EE0B72" w14:textId="41BB698D">
      <w:pPr>
        <w:ind w:left="1440"/>
        <w:jc w:val="both"/>
        <w:rPr>
          <w:rFonts w:ascii="Times New Roman" w:hAnsi="Times New Roman" w:eastAsia="Helvetica" w:cs="Times New Roman"/>
          <w:sz w:val="24"/>
          <w:szCs w:val="24"/>
        </w:rPr>
      </w:pPr>
      <w:r w:rsidRPr="009B5AEF">
        <w:rPr>
          <w:rFonts w:ascii="Times New Roman" w:hAnsi="Times New Roman" w:eastAsia="Helvetica" w:cs="Times New Roman"/>
          <w:sz w:val="24"/>
          <w:szCs w:val="24"/>
        </w:rPr>
        <w:t xml:space="preserve">{HUD staff must also insert here the required </w:t>
      </w:r>
      <w:r w:rsidR="00121799">
        <w:rPr>
          <w:rFonts w:ascii="Times New Roman" w:hAnsi="Times New Roman" w:eastAsia="Helvetica" w:cs="Times New Roman"/>
          <w:sz w:val="24"/>
          <w:szCs w:val="24"/>
        </w:rPr>
        <w:t>additional</w:t>
      </w:r>
      <w:r w:rsidRPr="009B5AEF">
        <w:rPr>
          <w:rFonts w:ascii="Times New Roman" w:hAnsi="Times New Roman" w:eastAsia="Helvetica" w:cs="Times New Roman"/>
          <w:sz w:val="24"/>
          <w:szCs w:val="24"/>
        </w:rPr>
        <w:t xml:space="preserve"> conditions for master lease transactions from MAP Guide Ch. 16.4.A.</w:t>
      </w:r>
      <w:r w:rsidRPr="00760941">
        <w:rPr>
          <w:rFonts w:ascii="Times New Roman" w:hAnsi="Times New Roman" w:eastAsia="Helvetica" w:cs="Times New Roman"/>
          <w:sz w:val="24"/>
          <w:szCs w:val="24"/>
        </w:rPr>
        <w:t>}]</w:t>
      </w:r>
    </w:p>
    <w:p w:rsidRPr="00CB6138" w:rsidR="00D56665" w:rsidP="00D56665" w:rsidRDefault="00D56665" w14:paraId="63DA395B" w14:textId="15461A7B">
      <w:pPr>
        <w:tabs>
          <w:tab w:val="left" w:pos="2880"/>
        </w:tabs>
        <w:overflowPunct w:val="0"/>
        <w:autoSpaceDE w:val="0"/>
        <w:autoSpaceDN w:val="0"/>
        <w:adjustRightInd w:val="0"/>
        <w:spacing w:before="80" w:after="80" w:line="276" w:lineRule="auto"/>
        <w:ind w:firstLine="162"/>
        <w:textAlignment w:val="baseline"/>
        <w:outlineLvl w:val="0"/>
        <w:rPr>
          <w:rFonts w:ascii="Times New Roman" w:hAnsi="Times New Roman" w:eastAsia="Times New Roman" w:cs="Times New Roman"/>
          <w:b/>
          <w:sz w:val="24"/>
          <w:szCs w:val="24"/>
        </w:rPr>
      </w:pPr>
    </w:p>
    <w:p w:rsidRPr="00D04FBE" w:rsidR="00D56665" w:rsidP="00D04FBE" w:rsidRDefault="00D56665" w14:paraId="63DA395C" w14:textId="2C602503">
      <w:pPr>
        <w:pStyle w:val="ListParagraph"/>
        <w:numPr>
          <w:ilvl w:val="1"/>
          <w:numId w:val="35"/>
        </w:numPr>
        <w:overflowPunct w:val="0"/>
        <w:autoSpaceDE w:val="0"/>
        <w:autoSpaceDN w:val="0"/>
        <w:adjustRightInd w:val="0"/>
        <w:spacing w:before="80" w:after="80" w:line="276" w:lineRule="auto"/>
        <w:textAlignment w:val="baseline"/>
        <w:outlineLvl w:val="0"/>
        <w:rPr>
          <w:rFonts w:ascii="Times New Roman" w:hAnsi="Times New Roman" w:eastAsia="Times New Roman" w:cs="Times New Roman"/>
          <w:b/>
          <w:sz w:val="28"/>
          <w:szCs w:val="28"/>
        </w:rPr>
      </w:pPr>
      <w:r w:rsidRPr="00D04FBE">
        <w:rPr>
          <w:rFonts w:ascii="Times New Roman" w:hAnsi="Times New Roman" w:eastAsia="Times New Roman" w:cs="Times New Roman"/>
          <w:b/>
          <w:sz w:val="28"/>
          <w:szCs w:val="28"/>
        </w:rPr>
        <w:t>Other Matters</w:t>
      </w:r>
    </w:p>
    <w:p w:rsidRPr="00CB6138" w:rsidR="00D56665" w:rsidP="00D56665" w:rsidRDefault="00D56665" w14:paraId="63DA395D" w14:textId="77777777">
      <w:pPr>
        <w:tabs>
          <w:tab w:val="left" w:pos="2880"/>
        </w:tabs>
        <w:overflowPunct w:val="0"/>
        <w:autoSpaceDE w:val="0"/>
        <w:autoSpaceDN w:val="0"/>
        <w:adjustRightInd w:val="0"/>
        <w:spacing w:before="80" w:after="80" w:line="276" w:lineRule="auto"/>
        <w:ind w:left="2880" w:hanging="2700"/>
        <w:textAlignment w:val="baseline"/>
        <w:outlineLvl w:val="0"/>
        <w:rPr>
          <w:rFonts w:ascii="Times New Roman" w:hAnsi="Times New Roman" w:eastAsia="Times New Roman" w:cs="Times New Roman"/>
          <w:b/>
          <w:sz w:val="24"/>
          <w:szCs w:val="24"/>
        </w:rPr>
      </w:pPr>
    </w:p>
    <w:p w:rsidRPr="00D04FBE" w:rsidR="00D56665" w:rsidP="00D04FBE" w:rsidRDefault="00D56665" w14:paraId="63DA395E" w14:textId="0A3CFEC0">
      <w:pPr>
        <w:pStyle w:val="ListParagraph"/>
        <w:widowControl w:val="0"/>
        <w:numPr>
          <w:ilvl w:val="0"/>
          <w:numId w:val="4"/>
        </w:numPr>
        <w:tabs>
          <w:tab w:val="left" w:pos="360"/>
          <w:tab w:val="left" w:pos="81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D04FBE">
        <w:rPr>
          <w:rFonts w:ascii="Times New Roman" w:hAnsi="Times New Roman" w:eastAsia="Times New Roman" w:cs="Times New Roman"/>
          <w:sz w:val="24"/>
          <w:szCs w:val="24"/>
        </w:rPr>
        <w:t xml:space="preserve">The market study, appraisal and underwriting for all Tax Credit projects must address the relationship between </w:t>
      </w:r>
      <w:r w:rsidRPr="00D04FBE" w:rsidR="00796E1C">
        <w:rPr>
          <w:rFonts w:ascii="Times New Roman" w:hAnsi="Times New Roman" w:eastAsia="Times New Roman" w:cs="Times New Roman"/>
          <w:sz w:val="24"/>
          <w:szCs w:val="24"/>
        </w:rPr>
        <w:t>the Tax</w:t>
      </w:r>
      <w:r w:rsidRPr="00D04FBE">
        <w:rPr>
          <w:rFonts w:ascii="Times New Roman" w:hAnsi="Times New Roman" w:eastAsia="Times New Roman" w:cs="Times New Roman"/>
          <w:sz w:val="24"/>
          <w:szCs w:val="24"/>
        </w:rPr>
        <w:t xml:space="preserve"> Credit ceiling rents, the attainable rents, any subsidy contract rents and terms, and true market rents.  Any disparities among these rents and the related risks must also be addressed.</w:t>
      </w:r>
    </w:p>
    <w:p w:rsidRPr="007805BC" w:rsidR="00D56665" w:rsidP="00D56665" w:rsidRDefault="00D56665" w14:paraId="63DA395F" w14:textId="77777777">
      <w:pPr>
        <w:widowControl w:val="0"/>
        <w:tabs>
          <w:tab w:val="left" w:pos="360"/>
          <w:tab w:val="left" w:pos="81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5357A5" w:rsidR="00D56665" w:rsidP="005357A5" w:rsidRDefault="00D56665" w14:paraId="63DA3960" w14:textId="4DB98DE5">
      <w:pPr>
        <w:pStyle w:val="ListParagraph"/>
        <w:widowControl w:val="0"/>
        <w:numPr>
          <w:ilvl w:val="0"/>
          <w:numId w:val="4"/>
        </w:numPr>
        <w:tabs>
          <w:tab w:val="left" w:pos="360"/>
          <w:tab w:val="left" w:pos="81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5357A5">
        <w:rPr>
          <w:rFonts w:ascii="Times New Roman" w:hAnsi="Times New Roman" w:eastAsia="Times New Roman" w:cs="Times New Roman"/>
          <w:sz w:val="24"/>
          <w:szCs w:val="24"/>
        </w:rPr>
        <w:t>HERA’s Exception to the Tax Credit Program’s 10</w:t>
      </w:r>
      <w:r w:rsidR="00C274DF">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Year Holding Period. HERA provides for an exception to the LIHTC’s ten</w:t>
      </w:r>
      <w:r w:rsidR="00404FED">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 xml:space="preserve">year holding period requirement for certain federally assisted buildings, specifically those that are 221(d) or 236-insured.  </w:t>
      </w:r>
      <w:r w:rsidRPr="005357A5">
        <w:rPr>
          <w:rFonts w:ascii="Times New Roman" w:hAnsi="Times New Roman" w:cs="Times New Roman"/>
          <w:sz w:val="24"/>
          <w:szCs w:val="24"/>
        </w:rPr>
        <w:t xml:space="preserve"> Because the HERA language refers to the two specific programs noted above as well as to “…any other program administered by the Department of Housing and Urban Development…” the waiver should apply to all FHA-insured tax credit projects.   HUD does not render tax advice</w:t>
      </w:r>
      <w:r w:rsidR="00305D96">
        <w:rPr>
          <w:rFonts w:ascii="Times New Roman" w:hAnsi="Times New Roman" w:cs="Times New Roman"/>
          <w:sz w:val="24"/>
          <w:szCs w:val="24"/>
        </w:rPr>
        <w:t>,</w:t>
      </w:r>
      <w:r w:rsidRPr="005357A5">
        <w:rPr>
          <w:rFonts w:ascii="Times New Roman" w:hAnsi="Times New Roman" w:cs="Times New Roman"/>
          <w:sz w:val="24"/>
          <w:szCs w:val="24"/>
        </w:rPr>
        <w:t xml:space="preserve"> however</w:t>
      </w:r>
      <w:r w:rsidR="00BF39CC">
        <w:rPr>
          <w:rFonts w:ascii="Times New Roman" w:hAnsi="Times New Roman" w:cs="Times New Roman"/>
          <w:sz w:val="24"/>
          <w:szCs w:val="24"/>
        </w:rPr>
        <w:t>,</w:t>
      </w:r>
      <w:r w:rsidRPr="005357A5">
        <w:rPr>
          <w:rFonts w:ascii="Times New Roman" w:hAnsi="Times New Roman" w:cs="Times New Roman"/>
          <w:sz w:val="24"/>
          <w:szCs w:val="24"/>
        </w:rPr>
        <w:t xml:space="preserve"> so owners should seek tax counsel with respect to this interpretation.</w:t>
      </w:r>
    </w:p>
    <w:p w:rsidRPr="007805BC" w:rsidR="00D56665" w:rsidP="00D56665" w:rsidRDefault="00D56665" w14:paraId="63DA3961" w14:textId="77777777">
      <w:pPr>
        <w:widowControl w:val="0"/>
        <w:tabs>
          <w:tab w:val="left" w:pos="360"/>
          <w:tab w:val="left" w:pos="810"/>
        </w:tabs>
        <w:overflowPunct w:val="0"/>
        <w:autoSpaceDE w:val="0"/>
        <w:autoSpaceDN w:val="0"/>
        <w:adjustRightInd w:val="0"/>
        <w:spacing w:line="276" w:lineRule="auto"/>
        <w:ind w:left="360"/>
        <w:jc w:val="both"/>
        <w:textAlignment w:val="baseline"/>
        <w:rPr>
          <w:rFonts w:ascii="Times New Roman" w:hAnsi="Times New Roman" w:eastAsia="Times New Roman" w:cs="Times New Roman"/>
          <w:sz w:val="24"/>
          <w:szCs w:val="24"/>
        </w:rPr>
      </w:pPr>
    </w:p>
    <w:p w:rsidRPr="005357A5" w:rsidR="00D56665" w:rsidP="005357A5" w:rsidRDefault="00D56665" w14:paraId="63DA3962" w14:textId="2A4BD06C">
      <w:pPr>
        <w:pStyle w:val="ListParagraph"/>
        <w:numPr>
          <w:ilvl w:val="0"/>
          <w:numId w:val="4"/>
        </w:numPr>
        <w:spacing w:line="276" w:lineRule="auto"/>
        <w:jc w:val="both"/>
        <w:rPr>
          <w:rFonts w:ascii="Times New Roman" w:hAnsi="Times New Roman" w:cs="Times New Roman"/>
          <w:sz w:val="24"/>
          <w:szCs w:val="24"/>
        </w:rPr>
      </w:pPr>
      <w:r w:rsidRPr="005357A5">
        <w:rPr>
          <w:rFonts w:ascii="Times New Roman" w:hAnsi="Times New Roman" w:cs="Times New Roman"/>
          <w:sz w:val="24"/>
          <w:szCs w:val="24"/>
        </w:rPr>
        <w:lastRenderedPageBreak/>
        <w:t>Bond</w:t>
      </w:r>
      <w:r w:rsidR="00D6291D">
        <w:rPr>
          <w:rFonts w:ascii="Times New Roman" w:hAnsi="Times New Roman" w:cs="Times New Roman"/>
          <w:sz w:val="24"/>
          <w:szCs w:val="24"/>
        </w:rPr>
        <w:t>-</w:t>
      </w:r>
      <w:r w:rsidRPr="005357A5">
        <w:rPr>
          <w:rFonts w:ascii="Times New Roman" w:hAnsi="Times New Roman" w:cs="Times New Roman"/>
          <w:sz w:val="24"/>
          <w:szCs w:val="24"/>
        </w:rPr>
        <w:t>financed projects in New York City.  Section 42 of the IRS Code provides that for projects located in New York City, the “40-60” test (restricting 40% of the units for the use of tenants earning no more than 60% of median income)  for determining whether a project qualifies as a low-income project, is replaced by a “25-60” test.  Thus</w:t>
      </w:r>
      <w:r w:rsidR="00DF79C4">
        <w:rPr>
          <w:rFonts w:ascii="Times New Roman" w:hAnsi="Times New Roman" w:cs="Times New Roman"/>
          <w:sz w:val="24"/>
          <w:szCs w:val="24"/>
        </w:rPr>
        <w:t>,</w:t>
      </w:r>
      <w:r w:rsidRPr="005357A5">
        <w:rPr>
          <w:rFonts w:ascii="Times New Roman" w:hAnsi="Times New Roman" w:cs="Times New Roman"/>
          <w:sz w:val="24"/>
          <w:szCs w:val="24"/>
        </w:rPr>
        <w:t xml:space="preserve"> the affordability requirement is reduced from 40% to 25% of the units to be set aside at 60% of area median income. HUD will consider this exception to the set-aside on a case</w:t>
      </w:r>
      <w:r w:rsidR="0077573D">
        <w:rPr>
          <w:rFonts w:ascii="Times New Roman" w:hAnsi="Times New Roman" w:cs="Times New Roman"/>
          <w:sz w:val="24"/>
          <w:szCs w:val="24"/>
        </w:rPr>
        <w:t>-</w:t>
      </w:r>
      <w:r w:rsidRPr="005357A5">
        <w:rPr>
          <w:rFonts w:ascii="Times New Roman" w:hAnsi="Times New Roman" w:cs="Times New Roman"/>
          <w:sz w:val="24"/>
          <w:szCs w:val="24"/>
        </w:rPr>
        <w:t>by</w:t>
      </w:r>
      <w:r w:rsidR="0077573D">
        <w:rPr>
          <w:rFonts w:ascii="Times New Roman" w:hAnsi="Times New Roman" w:cs="Times New Roman"/>
          <w:sz w:val="24"/>
          <w:szCs w:val="24"/>
        </w:rPr>
        <w:t>-</w:t>
      </w:r>
      <w:r w:rsidRPr="005357A5">
        <w:rPr>
          <w:rFonts w:ascii="Times New Roman" w:hAnsi="Times New Roman" w:cs="Times New Roman"/>
          <w:sz w:val="24"/>
          <w:szCs w:val="24"/>
        </w:rPr>
        <w:t>case basis, when the lender’s application demonstrates that the NYC market rents for the additional 15% unrestricted units that would otherwise have been restricted, will still provide for significant affordability in the local market.  </w:t>
      </w:r>
      <w:r w:rsidRPr="005357A5" w:rsidDel="008A5749">
        <w:rPr>
          <w:rFonts w:ascii="Times New Roman" w:hAnsi="Times New Roman" w:cs="Times New Roman"/>
          <w:sz w:val="24"/>
          <w:szCs w:val="24"/>
        </w:rPr>
        <w:t xml:space="preserve"> </w:t>
      </w:r>
    </w:p>
    <w:p w:rsidRPr="007805BC" w:rsidR="00D56665" w:rsidP="00D56665" w:rsidRDefault="00D56665" w14:paraId="63DA3963" w14:textId="77777777">
      <w:pPr>
        <w:widowControl w:val="0"/>
        <w:tabs>
          <w:tab w:val="left" w:pos="360"/>
        </w:tabs>
        <w:overflowPunct w:val="0"/>
        <w:autoSpaceDE w:val="0"/>
        <w:autoSpaceDN w:val="0"/>
        <w:adjustRightInd w:val="0"/>
        <w:spacing w:line="276" w:lineRule="auto"/>
        <w:ind w:left="360"/>
        <w:jc w:val="both"/>
        <w:textAlignment w:val="baseline"/>
        <w:rPr>
          <w:rFonts w:ascii="Times New Roman" w:hAnsi="Times New Roman" w:eastAsia="Times New Roman" w:cs="Times New Roman"/>
          <w:sz w:val="24"/>
          <w:szCs w:val="24"/>
        </w:rPr>
      </w:pPr>
    </w:p>
    <w:p w:rsidRPr="005357A5" w:rsidR="00D56665" w:rsidP="005357A5" w:rsidRDefault="00D56665" w14:paraId="63DA3964" w14:textId="359455C8">
      <w:pPr>
        <w:pStyle w:val="ListParagraph"/>
        <w:widowControl w:val="0"/>
        <w:numPr>
          <w:ilvl w:val="0"/>
          <w:numId w:val="4"/>
        </w:numPr>
        <w:tabs>
          <w:tab w:val="left" w:pos="450"/>
        </w:tabs>
        <w:overflowPunct w:val="0"/>
        <w:autoSpaceDE w:val="0"/>
        <w:autoSpaceDN w:val="0"/>
        <w:adjustRightInd w:val="0"/>
        <w:spacing w:after="200" w:line="276" w:lineRule="auto"/>
        <w:jc w:val="both"/>
        <w:textAlignment w:val="baseline"/>
        <w:rPr>
          <w:rFonts w:ascii="Times New Roman" w:hAnsi="Times New Roman" w:cs="Times New Roman"/>
        </w:rPr>
      </w:pPr>
      <w:r w:rsidRPr="005357A5">
        <w:rPr>
          <w:rFonts w:ascii="Times New Roman" w:hAnsi="Times New Roman" w:cs="Times New Roman"/>
          <w:sz w:val="24"/>
          <w:szCs w:val="24"/>
        </w:rPr>
        <w:t xml:space="preserve">Lien Priority.   </w:t>
      </w:r>
      <w:r w:rsidRPr="005357A5">
        <w:rPr>
          <w:rFonts w:ascii="Times New Roman" w:hAnsi="Times New Roman" w:eastAsia="Times New Roman" w:cs="Times New Roman"/>
          <w:sz w:val="24"/>
          <w:szCs w:val="24"/>
        </w:rPr>
        <w:t xml:space="preserve">The FHA mortgage lien is required by statute to be in first position ahead of all other financing. Restrictive covenants with no monetary obligations are not considered liens </w:t>
      </w:r>
      <w:r w:rsidRPr="005357A5" w:rsidR="00B53250">
        <w:rPr>
          <w:rFonts w:ascii="Times New Roman" w:hAnsi="Times New Roman" w:eastAsia="Times New Roman" w:cs="Times New Roman"/>
          <w:sz w:val="24"/>
          <w:szCs w:val="24"/>
        </w:rPr>
        <w:t>and, in some instances,</w:t>
      </w:r>
      <w:r w:rsidRPr="005357A5">
        <w:rPr>
          <w:rFonts w:ascii="Times New Roman" w:hAnsi="Times New Roman" w:eastAsia="Times New Roman" w:cs="Times New Roman"/>
          <w:sz w:val="24"/>
          <w:szCs w:val="24"/>
        </w:rPr>
        <w:t xml:space="preserve"> may facilitate a transaction if affordability use restrictions other than the Tax Credit LURA survives foreclosure and is recorded prior to the FHA mortgage.  On a case-by-case basis HUD may approve non-monetary use restrictions that run with the land and </w:t>
      </w:r>
      <w:r w:rsidR="00803458">
        <w:rPr>
          <w:rFonts w:ascii="Times New Roman" w:hAnsi="Times New Roman" w:eastAsia="Times New Roman" w:cs="Times New Roman"/>
          <w:sz w:val="24"/>
          <w:szCs w:val="24"/>
        </w:rPr>
        <w:t>therefore</w:t>
      </w:r>
      <w:r w:rsidRPr="005357A5" w:rsidR="00803458">
        <w:rPr>
          <w:rFonts w:ascii="Times New Roman" w:hAnsi="Times New Roman" w:eastAsia="Times New Roman" w:cs="Times New Roman"/>
          <w:sz w:val="24"/>
          <w:szCs w:val="24"/>
        </w:rPr>
        <w:t xml:space="preserve"> </w:t>
      </w:r>
      <w:r w:rsidRPr="005357A5">
        <w:rPr>
          <w:rFonts w:ascii="Times New Roman" w:hAnsi="Times New Roman" w:eastAsia="Times New Roman" w:cs="Times New Roman"/>
          <w:sz w:val="24"/>
          <w:szCs w:val="24"/>
        </w:rPr>
        <w:t>may be superior in priority to HUD’s first mortgage position.  When waivers are requested</w:t>
      </w:r>
      <w:r w:rsidR="00803458">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 xml:space="preserve"> the Lender must </w:t>
      </w:r>
      <w:r w:rsidRPr="005357A5" w:rsidR="00B53250">
        <w:rPr>
          <w:rFonts w:ascii="Times New Roman" w:hAnsi="Times New Roman" w:eastAsia="Times New Roman" w:cs="Times New Roman"/>
          <w:sz w:val="24"/>
          <w:szCs w:val="24"/>
        </w:rPr>
        <w:t>demonstrate,</w:t>
      </w:r>
      <w:r w:rsidRPr="005357A5">
        <w:rPr>
          <w:rFonts w:ascii="Times New Roman" w:hAnsi="Times New Roman" w:eastAsia="Times New Roman" w:cs="Times New Roman"/>
          <w:sz w:val="24"/>
          <w:szCs w:val="24"/>
        </w:rPr>
        <w:t xml:space="preserve"> and the HUD Underwriter must verify</w:t>
      </w:r>
      <w:r w:rsidR="0084146D">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 xml:space="preserve"> sufficient financial strength and strong mitigants to </w:t>
      </w:r>
      <w:r w:rsidRPr="005357A5" w:rsidR="00B86697">
        <w:rPr>
          <w:rFonts w:ascii="Times New Roman" w:hAnsi="Times New Roman" w:eastAsia="Times New Roman" w:cs="Times New Roman"/>
          <w:sz w:val="24"/>
          <w:szCs w:val="24"/>
        </w:rPr>
        <w:t>offset the</w:t>
      </w:r>
      <w:r w:rsidRPr="005357A5">
        <w:rPr>
          <w:rFonts w:ascii="Times New Roman" w:hAnsi="Times New Roman" w:eastAsia="Times New Roman" w:cs="Times New Roman"/>
          <w:sz w:val="24"/>
          <w:szCs w:val="24"/>
        </w:rPr>
        <w:t xml:space="preserve"> risk of a negative impact on the marketability of the project in the event of a foreclosure or loan sale.  Mitigants might include a low FHA loan</w:t>
      </w:r>
      <w:r w:rsidR="0076665B">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to</w:t>
      </w:r>
      <w:r w:rsidR="0076665B">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value or loan</w:t>
      </w:r>
      <w:r w:rsidR="0076665B">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to</w:t>
      </w:r>
      <w:r w:rsidR="0076665B">
        <w:rPr>
          <w:rFonts w:ascii="Times New Roman" w:hAnsi="Times New Roman" w:eastAsia="Times New Roman" w:cs="Times New Roman"/>
          <w:sz w:val="24"/>
          <w:szCs w:val="24"/>
        </w:rPr>
        <w:t>-</w:t>
      </w:r>
      <w:r w:rsidRPr="005357A5">
        <w:rPr>
          <w:rFonts w:ascii="Times New Roman" w:hAnsi="Times New Roman" w:eastAsia="Times New Roman" w:cs="Times New Roman"/>
          <w:sz w:val="24"/>
          <w:szCs w:val="24"/>
        </w:rPr>
        <w:t>cost ratio, significant amounts of public funds, high levels of funding by the source in question, Section 8 assistance for all the units, and higher than minimum debt service coverage.</w:t>
      </w:r>
    </w:p>
    <w:p w:rsidR="00305D1F" w:rsidP="005357A5" w:rsidRDefault="00305D1F" w14:paraId="222D98CE" w14:textId="77777777">
      <w:pPr>
        <w:pStyle w:val="ListParagraph"/>
        <w:spacing w:after="200" w:line="276" w:lineRule="auto"/>
        <w:ind w:left="630"/>
        <w:jc w:val="both"/>
        <w:rPr>
          <w:rFonts w:ascii="Times New Roman" w:hAnsi="Times New Roman" w:cs="Times New Roman"/>
          <w:sz w:val="24"/>
          <w:szCs w:val="24"/>
        </w:rPr>
      </w:pPr>
    </w:p>
    <w:p w:rsidRPr="005357A5" w:rsidR="00D56665" w:rsidP="005357A5" w:rsidRDefault="00D56665" w14:paraId="63DA3966" w14:textId="068A36A7">
      <w:pPr>
        <w:pStyle w:val="ListParagraph"/>
        <w:numPr>
          <w:ilvl w:val="0"/>
          <w:numId w:val="4"/>
        </w:numPr>
        <w:spacing w:after="200" w:line="276" w:lineRule="auto"/>
        <w:jc w:val="both"/>
        <w:rPr>
          <w:rFonts w:ascii="Times New Roman" w:hAnsi="Times New Roman" w:cs="Times New Roman"/>
          <w:sz w:val="24"/>
          <w:szCs w:val="24"/>
        </w:rPr>
      </w:pPr>
      <w:r w:rsidRPr="005357A5">
        <w:rPr>
          <w:rFonts w:ascii="Times New Roman" w:hAnsi="Times New Roman" w:cs="Times New Roman"/>
          <w:sz w:val="24"/>
          <w:szCs w:val="24"/>
        </w:rPr>
        <w:t>Tax Credit Regulatory Agreements.  In Tax Credit projects, certain IRS Section 42 obligations must be allowed to continue post-default.  Generally, however, for the Tax Credit LURA, and/or when public secondary financing with regulatory agreements or restrictive covenants  are required, HUD requires the use of its standardized rider to these restrictive covenants</w:t>
      </w:r>
      <w:r w:rsidR="00EC30EA">
        <w:rPr>
          <w:rFonts w:ascii="Times New Roman" w:hAnsi="Times New Roman" w:cs="Times New Roman"/>
          <w:sz w:val="24"/>
          <w:szCs w:val="24"/>
        </w:rPr>
        <w:t>,</w:t>
      </w:r>
      <w:r w:rsidRPr="005357A5">
        <w:rPr>
          <w:rFonts w:ascii="Times New Roman" w:hAnsi="Times New Roman" w:cs="Times New Roman"/>
          <w:sz w:val="24"/>
          <w:szCs w:val="24"/>
        </w:rPr>
        <w:t xml:space="preserve"> </w:t>
      </w:r>
      <w:r w:rsidR="00BF2612">
        <w:rPr>
          <w:rFonts w:ascii="Times New Roman" w:hAnsi="Times New Roman" w:cs="Times New Roman"/>
          <w:sz w:val="24"/>
          <w:szCs w:val="24"/>
        </w:rPr>
        <w:t>which</w:t>
      </w:r>
      <w:r w:rsidRPr="005357A5">
        <w:rPr>
          <w:rFonts w:ascii="Times New Roman" w:hAnsi="Times New Roman" w:cs="Times New Roman"/>
          <w:sz w:val="24"/>
          <w:szCs w:val="24"/>
        </w:rPr>
        <w:t xml:space="preserve"> indicat</w:t>
      </w:r>
      <w:r w:rsidR="00EC30EA">
        <w:rPr>
          <w:rFonts w:ascii="Times New Roman" w:hAnsi="Times New Roman" w:cs="Times New Roman"/>
          <w:sz w:val="24"/>
          <w:szCs w:val="24"/>
        </w:rPr>
        <w:t>es</w:t>
      </w:r>
      <w:r w:rsidRPr="005357A5">
        <w:rPr>
          <w:rFonts w:ascii="Times New Roman" w:hAnsi="Times New Roman" w:cs="Times New Roman"/>
          <w:sz w:val="24"/>
          <w:szCs w:val="24"/>
        </w:rPr>
        <w:t xml:space="preserve"> that in case of conflicts between a LURA or another restrictive covenant and FHA “program obligations,” FHA requirements take precedence.  Neither this provision nor the use of the rider itself should be waived.  Instead, staff must identify the point of conflict and consult with OGC. Alterations of the rider that are once approved can then be used as the template for that jurisdiction, as applicable. Typical conflicts include differing numbers of units set aside for </w:t>
      </w:r>
      <w:r w:rsidR="00DB4C48">
        <w:rPr>
          <w:rFonts w:ascii="Times New Roman" w:hAnsi="Times New Roman" w:cs="Times New Roman"/>
          <w:sz w:val="24"/>
          <w:szCs w:val="24"/>
        </w:rPr>
        <w:t>specific</w:t>
      </w:r>
      <w:r w:rsidRPr="005357A5" w:rsidR="00DB4C48">
        <w:rPr>
          <w:rFonts w:ascii="Times New Roman" w:hAnsi="Times New Roman" w:cs="Times New Roman"/>
          <w:sz w:val="24"/>
          <w:szCs w:val="24"/>
        </w:rPr>
        <w:t xml:space="preserve"> </w:t>
      </w:r>
      <w:r w:rsidRPr="005357A5">
        <w:rPr>
          <w:rFonts w:ascii="Times New Roman" w:hAnsi="Times New Roman" w:cs="Times New Roman"/>
          <w:sz w:val="24"/>
          <w:szCs w:val="24"/>
        </w:rPr>
        <w:t xml:space="preserve">income levels, different use agreement termination dates, etc.  It is the lender’s responsibility to draw attention to potential conflicts between FHA requirements and the LURAs or other restrictive covenants as early as possible (i.e., during Concept Meetings) and no later than with Firm Commitment application submission.  If they are not </w:t>
      </w:r>
      <w:r w:rsidRPr="005357A5">
        <w:rPr>
          <w:rFonts w:ascii="Times New Roman" w:hAnsi="Times New Roman" w:cs="Times New Roman"/>
          <w:sz w:val="24"/>
          <w:szCs w:val="24"/>
        </w:rPr>
        <w:lastRenderedPageBreak/>
        <w:t>addressed in the Firm Commitment, the lender should assume the closing will be delayed.</w:t>
      </w:r>
    </w:p>
    <w:p w:rsidR="00F41503" w:rsidP="00F41503" w:rsidRDefault="00F41503" w14:paraId="63DA3967" w14:textId="77777777">
      <w:pPr>
        <w:pStyle w:val="ListParagraph"/>
        <w:widowControl w:val="0"/>
        <w:tabs>
          <w:tab w:val="left" w:pos="360"/>
        </w:tabs>
        <w:overflowPunct w:val="0"/>
        <w:autoSpaceDE w:val="0"/>
        <w:autoSpaceDN w:val="0"/>
        <w:adjustRightInd w:val="0"/>
        <w:spacing w:after="200" w:line="276" w:lineRule="auto"/>
        <w:ind w:left="1530"/>
        <w:jc w:val="both"/>
        <w:textAlignment w:val="baseline"/>
        <w:rPr>
          <w:rFonts w:ascii="Times New Roman" w:hAnsi="Times New Roman" w:eastAsia="Times New Roman" w:cs="Times New Roman"/>
          <w:bCs/>
          <w:sz w:val="24"/>
          <w:szCs w:val="24"/>
        </w:rPr>
      </w:pPr>
    </w:p>
    <w:p w:rsidRPr="00121799" w:rsidR="00D56665" w:rsidP="00121799" w:rsidRDefault="00D56665" w14:paraId="63DA3969" w14:textId="0648E9DB">
      <w:pPr>
        <w:pStyle w:val="ListParagraph"/>
        <w:widowControl w:val="0"/>
        <w:numPr>
          <w:ilvl w:val="0"/>
          <w:numId w:val="4"/>
        </w:numPr>
        <w:tabs>
          <w:tab w:val="left" w:pos="360"/>
        </w:tabs>
        <w:overflowPunct w:val="0"/>
        <w:autoSpaceDE w:val="0"/>
        <w:autoSpaceDN w:val="0"/>
        <w:adjustRightInd w:val="0"/>
        <w:spacing w:after="200" w:line="276" w:lineRule="auto"/>
        <w:jc w:val="both"/>
        <w:textAlignment w:val="baseline"/>
        <w:rPr>
          <w:rFonts w:ascii="Times New Roman" w:hAnsi="Times New Roman" w:eastAsia="Times New Roman" w:cs="Times New Roman"/>
          <w:bCs/>
          <w:sz w:val="24"/>
          <w:szCs w:val="24"/>
        </w:rPr>
      </w:pPr>
      <w:r w:rsidRPr="005357A5">
        <w:rPr>
          <w:rFonts w:ascii="Times New Roman" w:hAnsi="Times New Roman" w:eastAsia="Times New Roman" w:cs="Times New Roman"/>
          <w:bCs/>
          <w:sz w:val="24"/>
          <w:szCs w:val="24"/>
        </w:rPr>
        <w:t>Tax Exempt Bonds/Take out by FHA Insured Permanent Debt. Tax Credit projects are often financed with the "4%" Tax Credits allocated in conjunction with private activity bond volume cap, rather than the "9%" Tax Credits competitively allocated by State Agencies. Taxable Ginnie Mae securities’ yields and the resulting rates on FHA multifamily loans at times can be lower than</w:t>
      </w:r>
      <w:r w:rsidR="00132407">
        <w:rPr>
          <w:rFonts w:ascii="Times New Roman" w:hAnsi="Times New Roman" w:eastAsia="Times New Roman" w:cs="Times New Roman"/>
          <w:bCs/>
          <w:sz w:val="24"/>
          <w:szCs w:val="24"/>
        </w:rPr>
        <w:t xml:space="preserve"> long</w:t>
      </w:r>
      <w:r w:rsidR="004D2A64">
        <w:rPr>
          <w:rFonts w:ascii="Times New Roman" w:hAnsi="Times New Roman" w:eastAsia="Times New Roman" w:cs="Times New Roman"/>
          <w:bCs/>
          <w:sz w:val="24"/>
          <w:szCs w:val="24"/>
        </w:rPr>
        <w:t>-term</w:t>
      </w:r>
      <w:r w:rsidRPr="005357A5">
        <w:rPr>
          <w:rFonts w:ascii="Times New Roman" w:hAnsi="Times New Roman" w:eastAsia="Times New Roman" w:cs="Times New Roman"/>
          <w:bCs/>
          <w:sz w:val="24"/>
          <w:szCs w:val="24"/>
        </w:rPr>
        <w:t xml:space="preserve"> tax</w:t>
      </w:r>
      <w:r w:rsidR="006F3B14">
        <w:rPr>
          <w:rFonts w:ascii="Times New Roman" w:hAnsi="Times New Roman" w:eastAsia="Times New Roman" w:cs="Times New Roman"/>
          <w:bCs/>
          <w:sz w:val="24"/>
          <w:szCs w:val="24"/>
        </w:rPr>
        <w:t>-</w:t>
      </w:r>
      <w:r w:rsidRPr="005357A5">
        <w:rPr>
          <w:rFonts w:ascii="Times New Roman" w:hAnsi="Times New Roman" w:eastAsia="Times New Roman" w:cs="Times New Roman"/>
          <w:bCs/>
          <w:sz w:val="24"/>
          <w:szCs w:val="24"/>
        </w:rPr>
        <w:t>exempt bonds and municipal bond-backed multifamily loan rates. Consequently, investment banks have developed an approach that combines taxable Ginnie Mae securities with short</w:t>
      </w:r>
      <w:r w:rsidR="003B2038">
        <w:rPr>
          <w:rFonts w:ascii="Times New Roman" w:hAnsi="Times New Roman" w:eastAsia="Times New Roman" w:cs="Times New Roman"/>
          <w:bCs/>
          <w:sz w:val="24"/>
          <w:szCs w:val="24"/>
        </w:rPr>
        <w:t>-</w:t>
      </w:r>
      <w:r w:rsidRPr="005357A5">
        <w:rPr>
          <w:rFonts w:ascii="Times New Roman" w:hAnsi="Times New Roman" w:eastAsia="Times New Roman" w:cs="Times New Roman"/>
          <w:bCs/>
          <w:sz w:val="24"/>
          <w:szCs w:val="24"/>
        </w:rPr>
        <w:t>term, tax</w:t>
      </w:r>
      <w:r w:rsidR="002650D5">
        <w:rPr>
          <w:rFonts w:ascii="Times New Roman" w:hAnsi="Times New Roman" w:eastAsia="Times New Roman" w:cs="Times New Roman"/>
          <w:bCs/>
          <w:sz w:val="24"/>
          <w:szCs w:val="24"/>
        </w:rPr>
        <w:t>-</w:t>
      </w:r>
      <w:r w:rsidRPr="005357A5">
        <w:rPr>
          <w:rFonts w:ascii="Times New Roman" w:hAnsi="Times New Roman" w:eastAsia="Times New Roman" w:cs="Times New Roman"/>
          <w:bCs/>
          <w:sz w:val="24"/>
          <w:szCs w:val="24"/>
        </w:rPr>
        <w:t>exempt bonds and 4% LIHTC. This structure establishes several different account funds, along with a series of cash flow events between the various accounts upon a draw request. The tax</w:t>
      </w:r>
      <w:r w:rsidR="00180946">
        <w:rPr>
          <w:rFonts w:ascii="Times New Roman" w:hAnsi="Times New Roman" w:eastAsia="Times New Roman" w:cs="Times New Roman"/>
          <w:bCs/>
          <w:sz w:val="24"/>
          <w:szCs w:val="24"/>
        </w:rPr>
        <w:t>-</w:t>
      </w:r>
      <w:r w:rsidRPr="005357A5">
        <w:rPr>
          <w:rFonts w:ascii="Times New Roman" w:hAnsi="Times New Roman" w:eastAsia="Times New Roman" w:cs="Times New Roman"/>
          <w:bCs/>
          <w:sz w:val="24"/>
          <w:szCs w:val="24"/>
        </w:rPr>
        <w:t>exempt bonds are secured by cash collateral initially provided by the FHA lender's warehouse funds (or other funding source, but not FHA-insured loan proceeds), which in turn are reimbursed with proceeds from the sale of Ginnie Mae-guaranteed securities. The tax</w:t>
      </w:r>
      <w:r w:rsidR="0059641B">
        <w:rPr>
          <w:rFonts w:ascii="Times New Roman" w:hAnsi="Times New Roman" w:eastAsia="Times New Roman" w:cs="Times New Roman"/>
          <w:bCs/>
          <w:sz w:val="24"/>
          <w:szCs w:val="24"/>
        </w:rPr>
        <w:t>-</w:t>
      </w:r>
      <w:r w:rsidRPr="005357A5">
        <w:rPr>
          <w:rFonts w:ascii="Times New Roman" w:hAnsi="Times New Roman" w:eastAsia="Times New Roman" w:cs="Times New Roman"/>
          <w:bCs/>
          <w:sz w:val="24"/>
          <w:szCs w:val="24"/>
        </w:rPr>
        <w:t>exempt bonds are retired with the proceeds of the bond collateral account when the project is placed into service.</w:t>
      </w:r>
    </w:p>
    <w:p w:rsidRPr="007805BC" w:rsidR="00D56665" w:rsidP="00F41503" w:rsidRDefault="00D56665" w14:paraId="63DA396A" w14:textId="00770EF1">
      <w:pPr>
        <w:widowControl w:val="0"/>
        <w:overflowPunct w:val="0"/>
        <w:autoSpaceDE w:val="0"/>
        <w:autoSpaceDN w:val="0"/>
        <w:adjustRightInd w:val="0"/>
        <w:spacing w:after="200" w:line="276" w:lineRule="auto"/>
        <w:ind w:left="1440"/>
        <w:contextualSpacing/>
        <w:jc w:val="both"/>
        <w:textAlignment w:val="baseline"/>
        <w:rPr>
          <w:rFonts w:ascii="Times New Roman" w:hAnsi="Times New Roman" w:eastAsia="Times New Roman" w:cs="Times New Roman"/>
          <w:bCs/>
          <w:sz w:val="24"/>
          <w:szCs w:val="24"/>
        </w:rPr>
      </w:pPr>
      <w:r w:rsidRPr="007805BC">
        <w:rPr>
          <w:rFonts w:ascii="Times New Roman" w:hAnsi="Times New Roman" w:eastAsia="Times New Roman" w:cs="Times New Roman"/>
          <w:bCs/>
          <w:sz w:val="24"/>
          <w:szCs w:val="24"/>
        </w:rPr>
        <w:t>This structure allows the borrower to avoid higher loan rates that exist when the loan funding source consists exclusively of tax</w:t>
      </w:r>
      <w:r w:rsidR="00180946">
        <w:rPr>
          <w:rFonts w:ascii="Times New Roman" w:hAnsi="Times New Roman" w:eastAsia="Times New Roman" w:cs="Times New Roman"/>
          <w:bCs/>
          <w:sz w:val="24"/>
          <w:szCs w:val="24"/>
        </w:rPr>
        <w:t>-</w:t>
      </w:r>
      <w:r w:rsidRPr="007805BC">
        <w:rPr>
          <w:rFonts w:ascii="Times New Roman" w:hAnsi="Times New Roman" w:eastAsia="Times New Roman" w:cs="Times New Roman"/>
          <w:bCs/>
          <w:sz w:val="24"/>
          <w:szCs w:val="24"/>
        </w:rPr>
        <w:t>exempt bonds, and still take advantage of the 4% LIHTC equity. This bond financing structure is generally acceptable to HUD, but each transaction must be reviewed by Housing field staff and OGC field counsel for programmatic and legal sufficiency, including the review of specific transaction documents. Accordingly, underwriters must involve their OGC counterparts early in the process to ensure these issues are addressed early and do not constrain the transaction's processing.</w:t>
      </w:r>
    </w:p>
    <w:p w:rsidRPr="007805BC" w:rsidR="00D56665" w:rsidP="00D56665" w:rsidRDefault="00D56665" w14:paraId="63DA396B" w14:textId="77777777">
      <w:pPr>
        <w:widowControl w:val="0"/>
        <w:overflowPunct w:val="0"/>
        <w:autoSpaceDE w:val="0"/>
        <w:autoSpaceDN w:val="0"/>
        <w:adjustRightInd w:val="0"/>
        <w:spacing w:after="200" w:line="276" w:lineRule="auto"/>
        <w:ind w:left="360"/>
        <w:contextualSpacing/>
        <w:jc w:val="both"/>
        <w:textAlignment w:val="baseline"/>
        <w:rPr>
          <w:rFonts w:ascii="Times New Roman" w:hAnsi="Times New Roman" w:eastAsia="Times New Roman" w:cs="Times New Roman"/>
          <w:bCs/>
          <w:sz w:val="24"/>
          <w:szCs w:val="24"/>
        </w:rPr>
      </w:pPr>
    </w:p>
    <w:p w:rsidRPr="007805BC" w:rsidR="00D56665" w:rsidP="00F41503" w:rsidRDefault="00D56665" w14:paraId="63DA396C" w14:textId="0E0E088D">
      <w:pPr>
        <w:widowControl w:val="0"/>
        <w:tabs>
          <w:tab w:val="left" w:pos="360"/>
        </w:tabs>
        <w:overflowPunct w:val="0"/>
        <w:autoSpaceDE w:val="0"/>
        <w:autoSpaceDN w:val="0"/>
        <w:adjustRightInd w:val="0"/>
        <w:spacing w:after="200" w:line="276" w:lineRule="auto"/>
        <w:ind w:left="1440"/>
        <w:contextualSpacing/>
        <w:jc w:val="both"/>
        <w:textAlignment w:val="baseline"/>
        <w:rPr>
          <w:rFonts w:ascii="Times New Roman" w:hAnsi="Times New Roman" w:cs="Times New Roman"/>
          <w:color w:val="FF0000"/>
          <w:sz w:val="24"/>
          <w:szCs w:val="24"/>
        </w:rPr>
      </w:pPr>
      <w:r w:rsidRPr="007805BC">
        <w:rPr>
          <w:rFonts w:ascii="Times New Roman" w:hAnsi="Times New Roman" w:eastAsia="Times New Roman" w:cs="Times New Roman"/>
          <w:bCs/>
          <w:sz w:val="24"/>
          <w:szCs w:val="24"/>
        </w:rPr>
        <w:t xml:space="preserve">Note that FHA-insured loan proceeds </w:t>
      </w:r>
      <w:r w:rsidR="009447F7">
        <w:rPr>
          <w:rFonts w:ascii="Times New Roman" w:hAnsi="Times New Roman" w:eastAsia="Times New Roman" w:cs="Times New Roman"/>
          <w:bCs/>
          <w:sz w:val="24"/>
          <w:szCs w:val="24"/>
        </w:rPr>
        <w:t>may</w:t>
      </w:r>
      <w:r w:rsidRPr="007805BC">
        <w:rPr>
          <w:rFonts w:ascii="Times New Roman" w:hAnsi="Times New Roman" w:eastAsia="Times New Roman" w:cs="Times New Roman"/>
          <w:bCs/>
          <w:sz w:val="24"/>
          <w:szCs w:val="24"/>
        </w:rPr>
        <w:t xml:space="preserve"> not be used to serve as collateral for the bonds, and they may not be paid to the bond trustee or sent to other accounts to facilitate issuance of the bonds. This is a statutory prohibition that may not be waived, as FHA-insured loan proceeds are only permitted to directly finance the relevant activity authorized under the applicable section of the National Housing Act. To ensure statutory compliance regarding the use of FHA-insured loan proceeds, HUD OGC requires lenders to </w:t>
      </w:r>
      <w:r w:rsidRPr="007805BC" w:rsidR="00F068D4">
        <w:rPr>
          <w:rFonts w:ascii="Times New Roman" w:hAnsi="Times New Roman" w:eastAsia="Times New Roman" w:cs="Times New Roman"/>
          <w:bCs/>
          <w:sz w:val="24"/>
          <w:szCs w:val="24"/>
        </w:rPr>
        <w:t>complete</w:t>
      </w:r>
      <w:r w:rsidRPr="00CB6138" w:rsidR="00F068D4">
        <w:rPr>
          <w:rFonts w:ascii="Times New Roman" w:hAnsi="Times New Roman" w:eastAsia="Times New Roman" w:cs="Times New Roman"/>
          <w:bCs/>
          <w:sz w:val="24"/>
          <w:szCs w:val="24"/>
        </w:rPr>
        <w:t xml:space="preserve"> </w:t>
      </w:r>
      <w:r w:rsidRPr="00CB6138" w:rsidR="000D49A7">
        <w:rPr>
          <w:rFonts w:ascii="Times New Roman" w:hAnsi="Times New Roman" w:eastAsia="Times New Roman" w:cs="Times New Roman"/>
          <w:bCs/>
          <w:sz w:val="24"/>
          <w:szCs w:val="24"/>
        </w:rPr>
        <w:t>Section F</w:t>
      </w:r>
      <w:r w:rsidRPr="007201BB" w:rsidR="000D49A7">
        <w:rPr>
          <w:rFonts w:ascii="Times New Roman" w:hAnsi="Times New Roman" w:eastAsia="Times New Roman" w:cs="Times New Roman"/>
          <w:bCs/>
          <w:sz w:val="24"/>
          <w:szCs w:val="24"/>
        </w:rPr>
        <w:t xml:space="preserve"> </w:t>
      </w:r>
      <w:r w:rsidRPr="007201BB" w:rsidR="00DA6967">
        <w:rPr>
          <w:rFonts w:ascii="Times New Roman" w:hAnsi="Times New Roman" w:eastAsia="Times New Roman" w:cs="Times New Roman"/>
          <w:bCs/>
          <w:sz w:val="24"/>
          <w:szCs w:val="24"/>
        </w:rPr>
        <w:t>of the Lender’s Certificate (form HUD</w:t>
      </w:r>
      <w:r w:rsidRPr="00C34ABE" w:rsidR="00EE48C5">
        <w:rPr>
          <w:rFonts w:ascii="Times New Roman" w:hAnsi="Times New Roman" w:eastAsia="Times New Roman" w:cs="Times New Roman"/>
          <w:bCs/>
          <w:sz w:val="24"/>
          <w:szCs w:val="24"/>
        </w:rPr>
        <w:t>-92434M) or the Request for Endorsement (form HUD-</w:t>
      </w:r>
      <w:r w:rsidRPr="007805BC" w:rsidR="00A23C0A">
        <w:rPr>
          <w:rFonts w:ascii="Times New Roman" w:hAnsi="Times New Roman" w:eastAsia="Times New Roman" w:cs="Times New Roman"/>
          <w:bCs/>
          <w:sz w:val="24"/>
          <w:szCs w:val="24"/>
        </w:rPr>
        <w:t>92455M) as applicable</w:t>
      </w:r>
      <w:r w:rsidRPr="007805BC">
        <w:rPr>
          <w:rFonts w:ascii="Times New Roman" w:hAnsi="Times New Roman" w:eastAsia="Times New Roman" w:cs="Times New Roman"/>
          <w:bCs/>
          <w:sz w:val="24"/>
          <w:szCs w:val="24"/>
        </w:rPr>
        <w:t xml:space="preserve"> for financings structured in this manner.</w:t>
      </w:r>
      <w:r w:rsidRPr="007805BC">
        <w:rPr>
          <w:rFonts w:ascii="Times New Roman" w:hAnsi="Times New Roman" w:cs="Times New Roman"/>
          <w:sz w:val="24"/>
          <w:szCs w:val="24"/>
        </w:rPr>
        <w:t xml:space="preserve">                                                                                                                                                                                                                                                                                                                                                                                                                                                                                                                                                                                                                                                                                                                                                                             </w:t>
      </w:r>
    </w:p>
    <w:p w:rsidRPr="007805BC" w:rsidR="00D56665" w:rsidP="00D56665" w:rsidRDefault="00D56665" w14:paraId="63DA396D" w14:textId="77777777">
      <w:pPr>
        <w:widowControl w:val="0"/>
        <w:tabs>
          <w:tab w:val="left" w:pos="450"/>
        </w:tabs>
        <w:overflowPunct w:val="0"/>
        <w:autoSpaceDE w:val="0"/>
        <w:autoSpaceDN w:val="0"/>
        <w:adjustRightInd w:val="0"/>
        <w:spacing w:before="80" w:line="276" w:lineRule="auto"/>
        <w:ind w:left="360" w:hanging="360"/>
        <w:jc w:val="both"/>
        <w:textAlignment w:val="baseline"/>
        <w:rPr>
          <w:rFonts w:ascii="Times New Roman" w:hAnsi="Times New Roman" w:eastAsia="Times New Roman" w:cs="Times New Roman"/>
          <w:sz w:val="24"/>
          <w:szCs w:val="24"/>
        </w:rPr>
      </w:pPr>
    </w:p>
    <w:p w:rsidR="00121799" w:rsidP="00D8221C" w:rsidRDefault="00D8221C" w14:paraId="150CCC26" w14:textId="77777777">
      <w:pPr>
        <w:pStyle w:val="ListParagraph"/>
        <w:widowControl w:val="0"/>
        <w:numPr>
          <w:ilvl w:val="0"/>
          <w:numId w:val="4"/>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5357A5" w:rsidR="00D56665">
        <w:rPr>
          <w:rFonts w:ascii="Times New Roman" w:hAnsi="Times New Roman" w:eastAsia="Times New Roman" w:cs="Times New Roman"/>
          <w:sz w:val="24"/>
          <w:szCs w:val="24"/>
        </w:rPr>
        <w:t xml:space="preserve">Refinancing of M2M Properties.   HUD’s Office of Recapitalization, along with the field offices’ Asset </w:t>
      </w:r>
      <w:r w:rsidR="00F72516">
        <w:rPr>
          <w:rFonts w:ascii="Times New Roman" w:hAnsi="Times New Roman" w:eastAsia="Times New Roman" w:cs="Times New Roman"/>
          <w:sz w:val="24"/>
          <w:szCs w:val="24"/>
        </w:rPr>
        <w:t>M</w:t>
      </w:r>
      <w:r w:rsidRPr="005357A5" w:rsidR="00D56665">
        <w:rPr>
          <w:rFonts w:ascii="Times New Roman" w:hAnsi="Times New Roman" w:eastAsia="Times New Roman" w:cs="Times New Roman"/>
          <w:sz w:val="24"/>
          <w:szCs w:val="24"/>
        </w:rPr>
        <w:t xml:space="preserve">anagement staff, are responsible for reviewing any transactions that have been through an M2M restructuring. Those transactions </w:t>
      </w:r>
      <w:r w:rsidRPr="005357A5" w:rsidR="00D56665">
        <w:rPr>
          <w:rFonts w:ascii="Times New Roman" w:hAnsi="Times New Roman" w:eastAsia="Times New Roman" w:cs="Times New Roman"/>
          <w:sz w:val="24"/>
          <w:szCs w:val="24"/>
        </w:rPr>
        <w:lastRenderedPageBreak/>
        <w:t>require a waiver of the “due on sale…” clause and extension of the maturity dates of all subordinate notes originated in the restructuring. Current guidance is in Notice H 2012-10, and it explains when the field offices can process the waivers and when HQs must do it. In complex Tax Credit transactions requiring subordination of M2M debt, the owner or lender must request the waiver as early as possible to avoid delays</w:t>
      </w:r>
      <w:r w:rsidRPr="005357A5" w:rsidR="000443B8">
        <w:rPr>
          <w:rFonts w:ascii="Times New Roman" w:hAnsi="Times New Roman" w:eastAsia="Times New Roman" w:cs="Times New Roman"/>
          <w:sz w:val="24"/>
          <w:szCs w:val="24"/>
        </w:rPr>
        <w:t>.</w:t>
      </w:r>
      <w:r w:rsidRPr="005357A5" w:rsidR="00D56665">
        <w:rPr>
          <w:rFonts w:ascii="Times New Roman" w:hAnsi="Times New Roman" w:eastAsia="Times New Roman" w:cs="Times New Roman"/>
          <w:sz w:val="24"/>
          <w:szCs w:val="24"/>
        </w:rPr>
        <w:t xml:space="preserve">   FHA Production staff may also be involved to ensure that the Recapitalization </w:t>
      </w:r>
      <w:r w:rsidR="00B65024">
        <w:rPr>
          <w:rFonts w:ascii="Times New Roman" w:hAnsi="Times New Roman" w:eastAsia="Times New Roman" w:cs="Times New Roman"/>
          <w:sz w:val="24"/>
          <w:szCs w:val="24"/>
        </w:rPr>
        <w:t>O</w:t>
      </w:r>
      <w:r w:rsidRPr="005357A5" w:rsidR="00D56665">
        <w:rPr>
          <w:rFonts w:ascii="Times New Roman" w:hAnsi="Times New Roman" w:eastAsia="Times New Roman" w:cs="Times New Roman"/>
          <w:sz w:val="24"/>
          <w:szCs w:val="24"/>
        </w:rPr>
        <w:t>ffice’s conclusions are consistent with the underwriting of the project.</w:t>
      </w:r>
    </w:p>
    <w:p w:rsidR="00D56665" w:rsidP="00121799" w:rsidRDefault="00D56665" w14:paraId="63DA396E" w14:textId="0088A41E">
      <w:pPr>
        <w:pStyle w:val="ListParagraph"/>
        <w:widowControl w:val="0"/>
        <w:overflowPunct w:val="0"/>
        <w:autoSpaceDE w:val="0"/>
        <w:autoSpaceDN w:val="0"/>
        <w:adjustRightInd w:val="0"/>
        <w:spacing w:before="80" w:after="200" w:line="276" w:lineRule="auto"/>
        <w:ind w:left="1530"/>
        <w:jc w:val="both"/>
        <w:textAlignment w:val="baseline"/>
        <w:rPr>
          <w:rFonts w:ascii="Times New Roman" w:hAnsi="Times New Roman" w:eastAsia="Times New Roman" w:cs="Times New Roman"/>
          <w:sz w:val="24"/>
          <w:szCs w:val="24"/>
        </w:rPr>
      </w:pPr>
      <w:r w:rsidRPr="005357A5">
        <w:rPr>
          <w:rFonts w:ascii="Times New Roman" w:hAnsi="Times New Roman" w:eastAsia="Times New Roman" w:cs="Times New Roman"/>
          <w:sz w:val="24"/>
          <w:szCs w:val="24"/>
        </w:rPr>
        <w:t xml:space="preserve"> </w:t>
      </w:r>
    </w:p>
    <w:p w:rsidRPr="00F95168" w:rsidR="008C205D" w:rsidP="00D8221C" w:rsidRDefault="008C205D" w14:paraId="2B40DFC7" w14:textId="6A2A6346">
      <w:pPr>
        <w:pStyle w:val="ListParagraph"/>
        <w:widowControl w:val="0"/>
        <w:numPr>
          <w:ilvl w:val="0"/>
          <w:numId w:val="4"/>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F95168">
        <w:rPr>
          <w:rFonts w:ascii="Times New Roman" w:hAnsi="Times New Roman" w:eastAsia="Times New Roman" w:cs="Times New Roman"/>
          <w:sz w:val="24"/>
          <w:szCs w:val="24"/>
        </w:rPr>
        <w:t>Income Averaging</w:t>
      </w:r>
      <w:r w:rsidRPr="00F95168" w:rsidR="00F95168">
        <w:rPr>
          <w:rFonts w:ascii="Times New Roman" w:hAnsi="Times New Roman" w:eastAsia="Times New Roman" w:cs="Times New Roman"/>
          <w:sz w:val="24"/>
          <w:szCs w:val="24"/>
        </w:rPr>
        <w:t xml:space="preserve">. HUD </w:t>
      </w:r>
      <w:r w:rsidR="00F95168">
        <w:rPr>
          <w:rFonts w:ascii="Times New Roman" w:hAnsi="Times New Roman" w:eastAsia="Times New Roman" w:cs="Times New Roman"/>
          <w:sz w:val="24"/>
          <w:szCs w:val="24"/>
        </w:rPr>
        <w:t>defers to the State HFA rules and requirements regarding Income Averaging and Section 42 eligibility.</w:t>
      </w:r>
    </w:p>
    <w:p w:rsidR="00B85F58" w:rsidP="005357A5" w:rsidRDefault="00B85F58" w14:paraId="0983C915" w14:textId="026D23EB">
      <w:pPr>
        <w:pStyle w:val="ListParagraph"/>
        <w:widowControl w:val="0"/>
        <w:overflowPunct w:val="0"/>
        <w:autoSpaceDE w:val="0"/>
        <w:autoSpaceDN w:val="0"/>
        <w:adjustRightInd w:val="0"/>
        <w:spacing w:before="80" w:after="200" w:line="276" w:lineRule="auto"/>
        <w:ind w:left="630"/>
        <w:jc w:val="both"/>
        <w:textAlignment w:val="baseline"/>
        <w:rPr>
          <w:rFonts w:ascii="Times New Roman" w:hAnsi="Times New Roman" w:eastAsia="Times New Roman" w:cs="Times New Roman"/>
          <w:sz w:val="24"/>
          <w:szCs w:val="24"/>
        </w:rPr>
      </w:pPr>
    </w:p>
    <w:p w:rsidRPr="005357A5" w:rsidR="00D56665" w:rsidP="00D56665" w:rsidRDefault="00D56665" w14:paraId="63DA3972" w14:textId="10FBFB2C">
      <w:pPr>
        <w:overflowPunct w:val="0"/>
        <w:autoSpaceDE w:val="0"/>
        <w:autoSpaceDN w:val="0"/>
        <w:adjustRightInd w:val="0"/>
        <w:spacing w:before="80" w:after="80" w:line="276" w:lineRule="auto"/>
        <w:ind w:left="1440" w:hanging="1260"/>
        <w:textAlignment w:val="baseline"/>
        <w:outlineLvl w:val="0"/>
        <w:rPr>
          <w:rFonts w:ascii="Times New Roman" w:hAnsi="Times New Roman" w:cs="Times New Roman"/>
          <w:b/>
          <w:sz w:val="28"/>
          <w:szCs w:val="28"/>
        </w:rPr>
      </w:pPr>
      <w:r w:rsidRPr="005357A5">
        <w:rPr>
          <w:rFonts w:ascii="Times New Roman" w:hAnsi="Times New Roman" w:cs="Times New Roman"/>
          <w:b/>
          <w:sz w:val="28"/>
          <w:szCs w:val="28"/>
        </w:rPr>
        <w:t>14.</w:t>
      </w:r>
      <w:r w:rsidRPr="005357A5" w:rsidR="00931362">
        <w:rPr>
          <w:rFonts w:ascii="Times New Roman" w:hAnsi="Times New Roman" w:cs="Times New Roman"/>
          <w:b/>
          <w:sz w:val="28"/>
          <w:szCs w:val="28"/>
        </w:rPr>
        <w:t>1</w:t>
      </w:r>
      <w:r w:rsidR="002B7D69">
        <w:rPr>
          <w:rFonts w:ascii="Times New Roman" w:hAnsi="Times New Roman" w:cs="Times New Roman"/>
          <w:b/>
          <w:sz w:val="28"/>
          <w:szCs w:val="28"/>
        </w:rPr>
        <w:t>8</w:t>
      </w:r>
      <w:r w:rsidRPr="005357A5">
        <w:rPr>
          <w:rFonts w:ascii="Times New Roman" w:hAnsi="Times New Roman" w:cs="Times New Roman"/>
          <w:b/>
          <w:sz w:val="28"/>
          <w:szCs w:val="28"/>
        </w:rPr>
        <w:tab/>
        <w:t>FHA Tax Credit Pilot Program Expansion</w:t>
      </w:r>
    </w:p>
    <w:p w:rsidRPr="00CB6138" w:rsidR="00D56665" w:rsidP="00D56665" w:rsidRDefault="00D56665" w14:paraId="63DA3973" w14:textId="77777777">
      <w:pPr>
        <w:tabs>
          <w:tab w:val="left" w:pos="2880"/>
        </w:tabs>
        <w:overflowPunct w:val="0"/>
        <w:autoSpaceDE w:val="0"/>
        <w:autoSpaceDN w:val="0"/>
        <w:adjustRightInd w:val="0"/>
        <w:spacing w:before="80" w:after="80" w:line="276" w:lineRule="auto"/>
        <w:ind w:left="2880" w:hanging="2700"/>
        <w:jc w:val="both"/>
        <w:textAlignment w:val="baseline"/>
        <w:outlineLvl w:val="0"/>
        <w:rPr>
          <w:rFonts w:ascii="Times New Roman" w:hAnsi="Times New Roman" w:cs="Times New Roman"/>
          <w:sz w:val="24"/>
          <w:szCs w:val="24"/>
        </w:rPr>
      </w:pPr>
    </w:p>
    <w:p w:rsidRPr="005357A5" w:rsidR="00705C43" w:rsidP="002B7D69" w:rsidRDefault="00D77883" w14:paraId="63DA3976" w14:textId="059E6F13">
      <w:pPr>
        <w:rPr>
          <w:rFonts w:ascii="Times New Roman" w:hAnsi="Times New Roman" w:cs="Times New Roman"/>
        </w:rPr>
      </w:pPr>
      <w:r w:rsidRPr="00CB6138">
        <w:rPr>
          <w:rFonts w:ascii="Times New Roman" w:hAnsi="Times New Roman" w:cs="Times New Roman"/>
          <w:sz w:val="24"/>
          <w:szCs w:val="24"/>
        </w:rPr>
        <w:t xml:space="preserve">See </w:t>
      </w:r>
      <w:r w:rsidRPr="007201BB">
        <w:rPr>
          <w:rFonts w:ascii="Times New Roman" w:hAnsi="Times New Roman" w:cs="Times New Roman"/>
          <w:sz w:val="24"/>
          <w:szCs w:val="24"/>
        </w:rPr>
        <w:t>Housing Notice</w:t>
      </w:r>
      <w:r w:rsidRPr="007201BB" w:rsidR="000B65B0">
        <w:rPr>
          <w:rFonts w:ascii="Times New Roman" w:hAnsi="Times New Roman" w:cs="Times New Roman"/>
          <w:sz w:val="24"/>
          <w:szCs w:val="24"/>
        </w:rPr>
        <w:t>:</w:t>
      </w:r>
      <w:r w:rsidRPr="00C34ABE">
        <w:rPr>
          <w:rFonts w:ascii="Times New Roman" w:hAnsi="Times New Roman" w:cs="Times New Roman"/>
          <w:sz w:val="24"/>
          <w:szCs w:val="24"/>
        </w:rPr>
        <w:t xml:space="preserve"> </w:t>
      </w:r>
      <w:r w:rsidRPr="00C34ABE" w:rsidR="000B65B0">
        <w:rPr>
          <w:rFonts w:ascii="Times New Roman" w:hAnsi="Times New Roman" w:cs="Times New Roman"/>
          <w:sz w:val="24"/>
          <w:szCs w:val="24"/>
        </w:rPr>
        <w:t>H 2019-03 for guidance on the Section 221(d)(4) and Section 220 New Construction and Substantial Rehabilitation Multifamily</w:t>
      </w:r>
      <w:r w:rsidRPr="007805BC" w:rsidR="000B65B0">
        <w:rPr>
          <w:rFonts w:ascii="Times New Roman" w:hAnsi="Times New Roman" w:cs="Times New Roman"/>
          <w:sz w:val="24"/>
          <w:szCs w:val="24"/>
        </w:rPr>
        <w:t xml:space="preserve"> Project</w:t>
      </w:r>
      <w:r w:rsidR="00121799">
        <w:rPr>
          <w:rFonts w:ascii="Times New Roman" w:hAnsi="Times New Roman" w:cs="Times New Roman"/>
          <w:sz w:val="24"/>
          <w:szCs w:val="24"/>
        </w:rPr>
        <w:t xml:space="preserve"> </w:t>
      </w:r>
      <w:r w:rsidRPr="007805BC" w:rsidR="000B65B0">
        <w:rPr>
          <w:rFonts w:ascii="Times New Roman" w:hAnsi="Times New Roman" w:cs="Times New Roman"/>
          <w:sz w:val="24"/>
          <w:szCs w:val="24"/>
        </w:rPr>
        <w:t xml:space="preserve">with LIHTC Pilot Program.   </w:t>
      </w:r>
    </w:p>
    <w:sectPr w:rsidRPr="005357A5" w:rsidR="00705C43" w:rsidSect="008C5BD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08E11" w14:textId="77777777" w:rsidR="00602678" w:rsidRDefault="00602678" w:rsidP="00D56665">
      <w:r>
        <w:separator/>
      </w:r>
    </w:p>
  </w:endnote>
  <w:endnote w:type="continuationSeparator" w:id="0">
    <w:p w14:paraId="1ABDFE5F" w14:textId="77777777" w:rsidR="00602678" w:rsidRDefault="00602678" w:rsidP="00D56665">
      <w:r>
        <w:continuationSeparator/>
      </w:r>
    </w:p>
  </w:endnote>
  <w:endnote w:type="continuationNotice" w:id="1">
    <w:p w14:paraId="392DBC53" w14:textId="77777777" w:rsidR="00602678" w:rsidRDefault="00602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A853" w14:textId="348A7C32" w:rsidR="00C251E1" w:rsidRDefault="00C251E1">
    <w:pPr>
      <w:pStyle w:val="Footer"/>
    </w:pPr>
    <w:r>
      <w:t>2020 MAP Guide Chpt 14</w:t>
    </w:r>
    <w:r>
      <w:ptab w:relativeTo="margin" w:alignment="center" w:leader="none"/>
    </w:r>
    <w:r>
      <w:t>OMB Version 04-02-2020</w:t>
    </w:r>
    <w:r>
      <w:ptab w:relativeTo="margin" w:alignment="right" w:leader="none"/>
    </w:r>
    <w:r>
      <w:t xml:space="preserve">p </w:t>
    </w:r>
    <w:r>
      <w:fldChar w:fldCharType="begin"/>
    </w:r>
    <w:r>
      <w:instrText xml:space="preserve"> PAGE  \* Arabic  \* MERGEFORMAT </w:instrText>
    </w:r>
    <w:r>
      <w:fldChar w:fldCharType="separate"/>
    </w:r>
    <w:r w:rsidR="0042692F">
      <w:rPr>
        <w:noProof/>
      </w:rPr>
      <w:t>9</w:t>
    </w:r>
    <w:r>
      <w:fldChar w:fldCharType="end"/>
    </w:r>
    <w:r>
      <w:t xml:space="preserve"> of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A9094" w14:textId="77777777" w:rsidR="00602678" w:rsidRDefault="00602678" w:rsidP="00D56665">
      <w:r>
        <w:separator/>
      </w:r>
    </w:p>
  </w:footnote>
  <w:footnote w:type="continuationSeparator" w:id="0">
    <w:p w14:paraId="79298095" w14:textId="77777777" w:rsidR="00602678" w:rsidRDefault="00602678" w:rsidP="00D56665">
      <w:r>
        <w:continuationSeparator/>
      </w:r>
    </w:p>
  </w:footnote>
  <w:footnote w:type="continuationNotice" w:id="1">
    <w:p w14:paraId="7BF8018D" w14:textId="77777777" w:rsidR="00602678" w:rsidRDefault="00602678"/>
  </w:footnote>
  <w:footnote w:id="2">
    <w:p w14:paraId="63D3B586" w14:textId="5088C29E" w:rsidR="00C251E1" w:rsidRDefault="00C251E1">
      <w:pPr>
        <w:pStyle w:val="FootnoteText"/>
      </w:pPr>
      <w:r>
        <w:rPr>
          <w:rStyle w:val="FootnoteReference"/>
        </w:rPr>
        <w:footnoteRef/>
      </w:r>
      <w:r>
        <w:t xml:space="preserve"> </w:t>
      </w:r>
      <w:r w:rsidRPr="0068518C">
        <w:rPr>
          <w:rFonts w:ascii="Times New Roman" w:hAnsi="Times New Roman" w:cs="Times New Roman"/>
        </w:rPr>
        <w:t>The tax credit equity pay-in schedule found in Chapter 14.13 does not apply to HTC or NMTC transactions.</w:t>
      </w:r>
    </w:p>
  </w:footnote>
  <w:footnote w:id="3">
    <w:p w14:paraId="300958C7" w14:textId="09C0F0B1" w:rsidR="00C251E1" w:rsidRDefault="00C251E1">
      <w:pPr>
        <w:pStyle w:val="FootnoteText"/>
      </w:pPr>
      <w:r>
        <w:rPr>
          <w:rStyle w:val="FootnoteReference"/>
        </w:rPr>
        <w:footnoteRef/>
      </w:r>
      <w:r>
        <w:t xml:space="preserve"> </w:t>
      </w:r>
      <w:r w:rsidRPr="0068518C">
        <w:rPr>
          <w:rFonts w:ascii="Times New Roman" w:hAnsi="Times New Roman" w:cs="Times New Roman"/>
        </w:rPr>
        <w:t>For projects with LIHTC, the State Housing Finance Agency will require the Borrower to certify to actual costs.</w:t>
      </w:r>
    </w:p>
  </w:footnote>
  <w:footnote w:id="4">
    <w:p w14:paraId="63DA397C" w14:textId="77777777" w:rsidR="00C251E1" w:rsidRPr="004A0F2C" w:rsidRDefault="00C251E1" w:rsidP="00D56665">
      <w:pPr>
        <w:pStyle w:val="FootnoteText"/>
        <w:rPr>
          <w:rFonts w:ascii="Times New Roman" w:hAnsi="Times New Roman" w:cs="Times New Roman"/>
        </w:rPr>
      </w:pPr>
      <w:r w:rsidRPr="004A0F2C">
        <w:rPr>
          <w:rStyle w:val="FootnoteReference"/>
          <w:rFonts w:ascii="Times New Roman" w:hAnsi="Times New Roman" w:cs="Times New Roman"/>
        </w:rPr>
        <w:footnoteRef/>
      </w:r>
      <w:r w:rsidRPr="004A0F2C">
        <w:rPr>
          <w:rFonts w:ascii="Times New Roman" w:hAnsi="Times New Roman" w:cs="Times New Roman"/>
        </w:rPr>
        <w:t xml:space="preserve"> The PBCA is an agency hired to assist HUD/OAMPO in the administration of Section 8 contracts.</w:t>
      </w:r>
    </w:p>
  </w:footnote>
  <w:footnote w:id="5">
    <w:p w14:paraId="63DA397D" w14:textId="77777777" w:rsidR="00C251E1" w:rsidRPr="009B1C02" w:rsidRDefault="00C251E1" w:rsidP="00D56665">
      <w:pPr>
        <w:pStyle w:val="FootnoteText"/>
        <w:jc w:val="both"/>
        <w:rPr>
          <w:rFonts w:ascii="Times New Roman" w:hAnsi="Times New Roman" w:cs="Times New Roman"/>
        </w:rPr>
      </w:pPr>
      <w:r w:rsidRPr="00FB5C42">
        <w:rPr>
          <w:rStyle w:val="FootnoteReference"/>
        </w:rPr>
        <w:footnoteRef/>
      </w:r>
      <w:r w:rsidRPr="00FB5C42">
        <w:rPr>
          <w:rFonts w:ascii="Times New Roman" w:hAnsi="Times New Roman" w:cs="Times New Roman"/>
        </w:rPr>
        <w:t xml:space="preserve"> This schedule does not apply to equity derived from New Market or Historic tax credits.</w:t>
      </w:r>
    </w:p>
  </w:footnote>
  <w:footnote w:id="6">
    <w:p w14:paraId="63DA397E" w14:textId="2E32F867" w:rsidR="00C251E1" w:rsidRPr="009B1C02" w:rsidRDefault="00C251E1" w:rsidP="00D56665">
      <w:pPr>
        <w:pStyle w:val="FootnoteText"/>
        <w:jc w:val="both"/>
        <w:rPr>
          <w:rFonts w:ascii="Times New Roman" w:hAnsi="Times New Roman" w:cs="Times New Roman"/>
        </w:rPr>
      </w:pPr>
      <w:r w:rsidRPr="009B1C02">
        <w:rPr>
          <w:rStyle w:val="FootnoteReference"/>
        </w:rPr>
        <w:footnoteRef/>
      </w:r>
      <w:r w:rsidRPr="009B1C02">
        <w:rPr>
          <w:rFonts w:ascii="Times New Roman" w:hAnsi="Times New Roman" w:cs="Times New Roman"/>
        </w:rPr>
        <w:t xml:space="preserve"> Additional equity is acceptable at each benchmark date shown, as well as at other interim dates at the investors’ discretion.  </w:t>
      </w:r>
    </w:p>
  </w:footnote>
  <w:footnote w:id="7">
    <w:p w14:paraId="4D66A7EC" w14:textId="125791AB" w:rsidR="00C251E1" w:rsidRPr="004A0F2C" w:rsidRDefault="00C251E1" w:rsidP="00D56665">
      <w:pPr>
        <w:pStyle w:val="FootnoteText"/>
        <w:jc w:val="both"/>
        <w:rPr>
          <w:rFonts w:ascii="Times New Roman" w:hAnsi="Times New Roman" w:cs="Times New Roman"/>
        </w:rPr>
      </w:pPr>
      <w:r w:rsidRPr="009B1C02">
        <w:rPr>
          <w:rStyle w:val="FootnoteReference"/>
        </w:rPr>
        <w:footnoteRef/>
      </w:r>
      <w:r w:rsidRPr="009B1C02">
        <w:rPr>
          <w:rFonts w:ascii="Times New Roman" w:hAnsi="Times New Roman" w:cs="Times New Roman"/>
        </w:rPr>
        <w:t xml:space="preserve"> </w:t>
      </w:r>
      <w:r>
        <w:rPr>
          <w:rFonts w:ascii="Times New Roman" w:hAnsi="Times New Roman" w:cs="Times New Roman"/>
        </w:rPr>
        <w:t>With the exception of the first equity payment, which is calculated as a percentage of Total Equity, a</w:t>
      </w:r>
      <w:r w:rsidRPr="009B1C02">
        <w:rPr>
          <w:rFonts w:ascii="Times New Roman" w:hAnsi="Times New Roman" w:cs="Times New Roman"/>
        </w:rPr>
        <w:t xml:space="preserve">ll percentages used in this </w:t>
      </w:r>
      <w:r>
        <w:rPr>
          <w:rFonts w:ascii="Times New Roman" w:hAnsi="Times New Roman" w:cs="Times New Roman"/>
        </w:rPr>
        <w:t>column</w:t>
      </w:r>
      <w:r w:rsidRPr="009B1C02">
        <w:rPr>
          <w:rFonts w:ascii="Times New Roman" w:hAnsi="Times New Roman" w:cs="Times New Roman"/>
        </w:rPr>
        <w:t xml:space="preserve"> represent percentages </w:t>
      </w:r>
      <w:r w:rsidRPr="000A3574">
        <w:rPr>
          <w:rFonts w:ascii="Times New Roman" w:hAnsi="Times New Roman" w:cs="Times New Roman"/>
        </w:rPr>
        <w:t>of Net Equity</w:t>
      </w:r>
      <w:r w:rsidRPr="004A0F2C">
        <w:rPr>
          <w:rFonts w:ascii="Times New Roman" w:hAnsi="Times New Roman" w:cs="Times New Roman"/>
        </w:rPr>
        <w:t xml:space="preserve">.  </w:t>
      </w:r>
    </w:p>
  </w:footnote>
  <w:footnote w:id="8">
    <w:p w14:paraId="45A44D60" w14:textId="7B42D28A" w:rsidR="00C251E1" w:rsidRDefault="00C251E1">
      <w:pPr>
        <w:pStyle w:val="FootnoteText"/>
      </w:pPr>
      <w:r>
        <w:rPr>
          <w:rStyle w:val="FootnoteReference"/>
        </w:rPr>
        <w:footnoteRef/>
      </w:r>
      <w:r>
        <w:t xml:space="preserve"> </w:t>
      </w:r>
      <w:r w:rsidRPr="005357A5">
        <w:rPr>
          <w:rFonts w:ascii="Times New Roman" w:hAnsi="Times New Roman" w:cs="Times New Roman"/>
        </w:rPr>
        <w:t xml:space="preserve">The repair escrow </w:t>
      </w:r>
      <w:r>
        <w:rPr>
          <w:rFonts w:ascii="Times New Roman" w:hAnsi="Times New Roman" w:cs="Times New Roman"/>
        </w:rPr>
        <w:t>is not required</w:t>
      </w:r>
      <w:r w:rsidRPr="005357A5">
        <w:rPr>
          <w:rFonts w:ascii="Times New Roman" w:hAnsi="Times New Roman" w:cs="Times New Roman"/>
        </w:rPr>
        <w:t xml:space="preserve"> to be funded at 100% at the time of closing if tax credit equity is being used to fund repair costs.  The gradual pay-in of tax credit equity is allowed per the benchmarks in the chart above.  The Assurance of Completion, however, must be funded at 100% at the time of Closing.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CACB0" w14:textId="1283F25D" w:rsidR="00C251E1" w:rsidRDefault="00C251E1">
    <w:pPr>
      <w:pStyle w:val="Header"/>
    </w:pPr>
    <w:r>
      <w:t>OMB Version Chapter 14_04-02-2020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1AF"/>
    <w:multiLevelType w:val="hybridMultilevel"/>
    <w:tmpl w:val="5088EFCA"/>
    <w:lvl w:ilvl="0" w:tplc="C046AE8E">
      <w:start w:val="1"/>
      <w:numFmt w:val="upp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525DB"/>
    <w:multiLevelType w:val="hybridMultilevel"/>
    <w:tmpl w:val="097A0674"/>
    <w:lvl w:ilvl="0" w:tplc="FE5C9350">
      <w:start w:val="2"/>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B35CB"/>
    <w:multiLevelType w:val="hybridMultilevel"/>
    <w:tmpl w:val="7636893E"/>
    <w:lvl w:ilvl="0" w:tplc="BA0E4744">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A7746"/>
    <w:multiLevelType w:val="hybridMultilevel"/>
    <w:tmpl w:val="28F6CA44"/>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09671A"/>
    <w:multiLevelType w:val="hybridMultilevel"/>
    <w:tmpl w:val="5EA08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91EDE"/>
    <w:multiLevelType w:val="hybridMultilevel"/>
    <w:tmpl w:val="F7922072"/>
    <w:lvl w:ilvl="0" w:tplc="3D3EC648">
      <w:start w:val="1"/>
      <w:numFmt w:val="upperLetter"/>
      <w:lvlText w:val="%1."/>
      <w:lvlJc w:val="left"/>
      <w:pPr>
        <w:ind w:left="450" w:hanging="360"/>
      </w:pPr>
      <w:rPr>
        <w:rFonts w:ascii="Times New Roman" w:eastAsiaTheme="minorHAnsi" w:hAnsi="Times New Roman" w:cs="Times New Roman"/>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F2743DF"/>
    <w:multiLevelType w:val="multilevel"/>
    <w:tmpl w:val="E6584B7C"/>
    <w:lvl w:ilvl="0">
      <w:start w:val="14"/>
      <w:numFmt w:val="decimal"/>
      <w:lvlText w:val="%1"/>
      <w:lvlJc w:val="left"/>
      <w:pPr>
        <w:ind w:left="675" w:hanging="675"/>
      </w:pPr>
      <w:rPr>
        <w:rFonts w:hint="default"/>
      </w:rPr>
    </w:lvl>
    <w:lvl w:ilvl="1">
      <w:start w:val="12"/>
      <w:numFmt w:val="decimal"/>
      <w:lvlText w:val="%1.%2"/>
      <w:lvlJc w:val="left"/>
      <w:pPr>
        <w:ind w:left="855" w:hanging="675"/>
      </w:pPr>
      <w:rPr>
        <w:rFonts w:hint="default"/>
      </w:rPr>
    </w:lvl>
    <w:lvl w:ilvl="2">
      <w:start w:val="1"/>
      <w:numFmt w:val="upperLetter"/>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FA70D84"/>
    <w:multiLevelType w:val="hybridMultilevel"/>
    <w:tmpl w:val="BDFC0F08"/>
    <w:lvl w:ilvl="0" w:tplc="4FA4DD4E">
      <w:start w:val="1"/>
      <w:numFmt w:val="lowerLetter"/>
      <w:lvlText w:val="(%1)"/>
      <w:lvlJc w:val="left"/>
      <w:pPr>
        <w:ind w:left="720" w:hanging="360"/>
      </w:pPr>
      <w:rPr>
        <w:rFonts w:ascii="Times New Roman" w:hAnsi="Times New Roman"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2404D"/>
    <w:multiLevelType w:val="hybridMultilevel"/>
    <w:tmpl w:val="623AE5EA"/>
    <w:lvl w:ilvl="0" w:tplc="1E8072B8">
      <w:start w:val="1"/>
      <w:numFmt w:val="upp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22817"/>
    <w:multiLevelType w:val="hybridMultilevel"/>
    <w:tmpl w:val="85906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35003"/>
    <w:multiLevelType w:val="hybridMultilevel"/>
    <w:tmpl w:val="BF62915A"/>
    <w:lvl w:ilvl="0" w:tplc="815C39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DA6233"/>
    <w:multiLevelType w:val="hybridMultilevel"/>
    <w:tmpl w:val="F580DA6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966D8"/>
    <w:multiLevelType w:val="hybridMultilevel"/>
    <w:tmpl w:val="90C0ABF6"/>
    <w:lvl w:ilvl="0" w:tplc="2E305EB4">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F4609"/>
    <w:multiLevelType w:val="hybridMultilevel"/>
    <w:tmpl w:val="0CAA3E7E"/>
    <w:lvl w:ilvl="0" w:tplc="F5F08AD0">
      <w:start w:val="1"/>
      <w:numFmt w:val="bullet"/>
      <w:lvlText w:val="•"/>
      <w:lvlJc w:val="left"/>
      <w:pPr>
        <w:tabs>
          <w:tab w:val="num" w:pos="720"/>
        </w:tabs>
        <w:ind w:left="720" w:hanging="360"/>
      </w:pPr>
      <w:rPr>
        <w:rFonts w:ascii="Arial" w:hAnsi="Arial" w:hint="default"/>
      </w:rPr>
    </w:lvl>
    <w:lvl w:ilvl="1" w:tplc="F5C07660" w:tentative="1">
      <w:start w:val="1"/>
      <w:numFmt w:val="bullet"/>
      <w:lvlText w:val="•"/>
      <w:lvlJc w:val="left"/>
      <w:pPr>
        <w:tabs>
          <w:tab w:val="num" w:pos="1440"/>
        </w:tabs>
        <w:ind w:left="1440" w:hanging="360"/>
      </w:pPr>
      <w:rPr>
        <w:rFonts w:ascii="Arial" w:hAnsi="Arial" w:hint="default"/>
      </w:rPr>
    </w:lvl>
    <w:lvl w:ilvl="2" w:tplc="D0B08E9C" w:tentative="1">
      <w:start w:val="1"/>
      <w:numFmt w:val="bullet"/>
      <w:lvlText w:val="•"/>
      <w:lvlJc w:val="left"/>
      <w:pPr>
        <w:tabs>
          <w:tab w:val="num" w:pos="2160"/>
        </w:tabs>
        <w:ind w:left="2160" w:hanging="360"/>
      </w:pPr>
      <w:rPr>
        <w:rFonts w:ascii="Arial" w:hAnsi="Arial" w:hint="default"/>
      </w:rPr>
    </w:lvl>
    <w:lvl w:ilvl="3" w:tplc="8578E60E" w:tentative="1">
      <w:start w:val="1"/>
      <w:numFmt w:val="bullet"/>
      <w:lvlText w:val="•"/>
      <w:lvlJc w:val="left"/>
      <w:pPr>
        <w:tabs>
          <w:tab w:val="num" w:pos="2880"/>
        </w:tabs>
        <w:ind w:left="2880" w:hanging="360"/>
      </w:pPr>
      <w:rPr>
        <w:rFonts w:ascii="Arial" w:hAnsi="Arial" w:hint="default"/>
      </w:rPr>
    </w:lvl>
    <w:lvl w:ilvl="4" w:tplc="48CE7ECC" w:tentative="1">
      <w:start w:val="1"/>
      <w:numFmt w:val="bullet"/>
      <w:lvlText w:val="•"/>
      <w:lvlJc w:val="left"/>
      <w:pPr>
        <w:tabs>
          <w:tab w:val="num" w:pos="3600"/>
        </w:tabs>
        <w:ind w:left="3600" w:hanging="360"/>
      </w:pPr>
      <w:rPr>
        <w:rFonts w:ascii="Arial" w:hAnsi="Arial" w:hint="default"/>
      </w:rPr>
    </w:lvl>
    <w:lvl w:ilvl="5" w:tplc="B81A428E" w:tentative="1">
      <w:start w:val="1"/>
      <w:numFmt w:val="bullet"/>
      <w:lvlText w:val="•"/>
      <w:lvlJc w:val="left"/>
      <w:pPr>
        <w:tabs>
          <w:tab w:val="num" w:pos="4320"/>
        </w:tabs>
        <w:ind w:left="4320" w:hanging="360"/>
      </w:pPr>
      <w:rPr>
        <w:rFonts w:ascii="Arial" w:hAnsi="Arial" w:hint="default"/>
      </w:rPr>
    </w:lvl>
    <w:lvl w:ilvl="6" w:tplc="D1B8F6E8" w:tentative="1">
      <w:start w:val="1"/>
      <w:numFmt w:val="bullet"/>
      <w:lvlText w:val="•"/>
      <w:lvlJc w:val="left"/>
      <w:pPr>
        <w:tabs>
          <w:tab w:val="num" w:pos="5040"/>
        </w:tabs>
        <w:ind w:left="5040" w:hanging="360"/>
      </w:pPr>
      <w:rPr>
        <w:rFonts w:ascii="Arial" w:hAnsi="Arial" w:hint="default"/>
      </w:rPr>
    </w:lvl>
    <w:lvl w:ilvl="7" w:tplc="D77407E0" w:tentative="1">
      <w:start w:val="1"/>
      <w:numFmt w:val="bullet"/>
      <w:lvlText w:val="•"/>
      <w:lvlJc w:val="left"/>
      <w:pPr>
        <w:tabs>
          <w:tab w:val="num" w:pos="5760"/>
        </w:tabs>
        <w:ind w:left="5760" w:hanging="360"/>
      </w:pPr>
      <w:rPr>
        <w:rFonts w:ascii="Arial" w:hAnsi="Arial" w:hint="default"/>
      </w:rPr>
    </w:lvl>
    <w:lvl w:ilvl="8" w:tplc="A0C880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662BB"/>
    <w:multiLevelType w:val="hybridMultilevel"/>
    <w:tmpl w:val="5BD8FCAA"/>
    <w:lvl w:ilvl="0" w:tplc="1E52705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20F3E"/>
    <w:multiLevelType w:val="hybridMultilevel"/>
    <w:tmpl w:val="056A2702"/>
    <w:lvl w:ilvl="0" w:tplc="0D3C1094">
      <w:start w:val="5"/>
      <w:numFmt w:val="decimal"/>
      <w:lvlText w:val="%1)"/>
      <w:lvlJc w:val="left"/>
      <w:pPr>
        <w:ind w:left="99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55105"/>
    <w:multiLevelType w:val="hybridMultilevel"/>
    <w:tmpl w:val="355EA1E8"/>
    <w:lvl w:ilvl="0" w:tplc="EAFC8A00">
      <w:start w:val="1"/>
      <w:numFmt w:val="upperLetter"/>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F5D36"/>
    <w:multiLevelType w:val="hybridMultilevel"/>
    <w:tmpl w:val="4516B5B6"/>
    <w:lvl w:ilvl="0" w:tplc="0BEA65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6913CE"/>
    <w:multiLevelType w:val="hybridMultilevel"/>
    <w:tmpl w:val="87565530"/>
    <w:lvl w:ilvl="0" w:tplc="7EE80A92">
      <w:start w:val="1"/>
      <w:numFmt w:val="upperLetter"/>
      <w:lvlText w:val="%1."/>
      <w:lvlJc w:val="left"/>
      <w:pPr>
        <w:ind w:left="720" w:hanging="360"/>
      </w:pPr>
      <w:rPr>
        <w:rFonts w:ascii="Times New Roman" w:eastAsiaTheme="minorHAnsi"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024CC"/>
    <w:multiLevelType w:val="hybridMultilevel"/>
    <w:tmpl w:val="E3AE4174"/>
    <w:lvl w:ilvl="0" w:tplc="E8E41408">
      <w:start w:val="6"/>
      <w:numFmt w:val="upperLetter"/>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40C5452"/>
    <w:multiLevelType w:val="hybridMultilevel"/>
    <w:tmpl w:val="B0426724"/>
    <w:lvl w:ilvl="0" w:tplc="A83C9110">
      <w:start w:val="1"/>
      <w:numFmt w:val="upp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6F8640F"/>
    <w:multiLevelType w:val="hybridMultilevel"/>
    <w:tmpl w:val="A34E86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8AB1DB6"/>
    <w:multiLevelType w:val="hybridMultilevel"/>
    <w:tmpl w:val="8590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2606D"/>
    <w:multiLevelType w:val="hybridMultilevel"/>
    <w:tmpl w:val="50A2C4E2"/>
    <w:lvl w:ilvl="0" w:tplc="FEA21C6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74273"/>
    <w:multiLevelType w:val="multilevel"/>
    <w:tmpl w:val="FE7A1C78"/>
    <w:lvl w:ilvl="0">
      <w:start w:val="14"/>
      <w:numFmt w:val="decimal"/>
      <w:lvlText w:val="%1"/>
      <w:lvlJc w:val="left"/>
      <w:pPr>
        <w:ind w:left="675" w:hanging="675"/>
      </w:pPr>
      <w:rPr>
        <w:rFonts w:ascii="Times New Roman" w:eastAsiaTheme="minorHAnsi" w:hAnsi="Times New Roman" w:cs="Times New Roman" w:hint="default"/>
      </w:rPr>
    </w:lvl>
    <w:lvl w:ilvl="1">
      <w:start w:val="12"/>
      <w:numFmt w:val="decimal"/>
      <w:lvlText w:val="%1.%2"/>
      <w:lvlJc w:val="left"/>
      <w:pPr>
        <w:ind w:left="675" w:hanging="675"/>
      </w:pPr>
      <w:rPr>
        <w:rFonts w:ascii="Times New Roman" w:eastAsiaTheme="minorHAnsi" w:hAnsi="Times New Roman" w:cs="Times New Roman" w:hint="default"/>
      </w:rPr>
    </w:lvl>
    <w:lvl w:ilvl="2">
      <w:start w:val="1"/>
      <w:numFmt w:val="decimal"/>
      <w:lvlText w:val="%1.%2.%3"/>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rPr>
        <w:rFonts w:ascii="Times New Roman" w:eastAsiaTheme="minorHAnsi" w:hAnsi="Times New Roman" w:cs="Times New Roman" w:hint="default"/>
      </w:rPr>
    </w:lvl>
    <w:lvl w:ilvl="4">
      <w:start w:val="1"/>
      <w:numFmt w:val="decimal"/>
      <w:lvlText w:val="%1.%2.%3.%4.%5"/>
      <w:lvlJc w:val="left"/>
      <w:pPr>
        <w:ind w:left="1080" w:hanging="1080"/>
      </w:pPr>
      <w:rPr>
        <w:rFonts w:ascii="Times New Roman" w:eastAsiaTheme="minorHAnsi" w:hAnsi="Times New Roman" w:cs="Times New Roman" w:hint="default"/>
      </w:rPr>
    </w:lvl>
    <w:lvl w:ilvl="5">
      <w:start w:val="1"/>
      <w:numFmt w:val="decimal"/>
      <w:lvlText w:val="%1.%2.%3.%4.%5.%6"/>
      <w:lvlJc w:val="left"/>
      <w:pPr>
        <w:ind w:left="1080" w:hanging="1080"/>
      </w:pPr>
      <w:rPr>
        <w:rFonts w:ascii="Times New Roman" w:eastAsiaTheme="minorHAnsi" w:hAnsi="Times New Roman" w:cs="Times New Roman" w:hint="default"/>
      </w:rPr>
    </w:lvl>
    <w:lvl w:ilvl="6">
      <w:start w:val="1"/>
      <w:numFmt w:val="decimal"/>
      <w:lvlText w:val="%1.%2.%3.%4.%5.%6.%7"/>
      <w:lvlJc w:val="left"/>
      <w:pPr>
        <w:ind w:left="1440" w:hanging="1440"/>
      </w:pPr>
      <w:rPr>
        <w:rFonts w:ascii="Times New Roman" w:eastAsiaTheme="minorHAnsi" w:hAnsi="Times New Roman" w:cs="Times New Roman" w:hint="default"/>
      </w:rPr>
    </w:lvl>
    <w:lvl w:ilvl="7">
      <w:start w:val="1"/>
      <w:numFmt w:val="decimal"/>
      <w:lvlText w:val="%1.%2.%3.%4.%5.%6.%7.%8"/>
      <w:lvlJc w:val="left"/>
      <w:pPr>
        <w:ind w:left="1440" w:hanging="1440"/>
      </w:pPr>
      <w:rPr>
        <w:rFonts w:ascii="Times New Roman" w:eastAsiaTheme="minorHAnsi" w:hAnsi="Times New Roman" w:cs="Times New Roman" w:hint="default"/>
      </w:rPr>
    </w:lvl>
    <w:lvl w:ilvl="8">
      <w:start w:val="1"/>
      <w:numFmt w:val="decimal"/>
      <w:lvlText w:val="%1.%2.%3.%4.%5.%6.%7.%8.%9"/>
      <w:lvlJc w:val="left"/>
      <w:pPr>
        <w:ind w:left="1800" w:hanging="1800"/>
      </w:pPr>
      <w:rPr>
        <w:rFonts w:ascii="Times New Roman" w:eastAsiaTheme="minorHAnsi" w:hAnsi="Times New Roman" w:cs="Times New Roman" w:hint="default"/>
      </w:rPr>
    </w:lvl>
  </w:abstractNum>
  <w:abstractNum w:abstractNumId="25" w15:restartNumberingAfterBreak="0">
    <w:nsid w:val="4C941E74"/>
    <w:multiLevelType w:val="multilevel"/>
    <w:tmpl w:val="0F5469BE"/>
    <w:lvl w:ilvl="0">
      <w:start w:val="14"/>
      <w:numFmt w:val="decimal"/>
      <w:lvlText w:val="%1"/>
      <w:lvlJc w:val="left"/>
      <w:pPr>
        <w:ind w:left="540" w:hanging="540"/>
      </w:pPr>
      <w:rPr>
        <w:rFonts w:hint="default"/>
        <w:b/>
      </w:rPr>
    </w:lvl>
    <w:lvl w:ilvl="1">
      <w:start w:val="15"/>
      <w:numFmt w:val="decimal"/>
      <w:lvlText w:val="%1.%2"/>
      <w:lvlJc w:val="left"/>
      <w:pPr>
        <w:ind w:left="1350" w:hanging="540"/>
      </w:pPr>
      <w:rPr>
        <w:rFonts w:ascii="Arial" w:hAnsi="Arial" w:cs="Arial" w:hint="default"/>
        <w:b/>
        <w:sz w:val="28"/>
        <w:szCs w:val="28"/>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6" w15:restartNumberingAfterBreak="0">
    <w:nsid w:val="51DB7D6A"/>
    <w:multiLevelType w:val="multilevel"/>
    <w:tmpl w:val="2558FFBA"/>
    <w:lvl w:ilvl="0">
      <w:start w:val="14"/>
      <w:numFmt w:val="decimal"/>
      <w:lvlText w:val="%1"/>
      <w:lvlJc w:val="left"/>
      <w:pPr>
        <w:ind w:left="525" w:hanging="525"/>
      </w:pPr>
      <w:rPr>
        <w:rFonts w:hint="default"/>
      </w:rPr>
    </w:lvl>
    <w:lvl w:ilvl="1">
      <w:start w:val="7"/>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72E5A0A"/>
    <w:multiLevelType w:val="hybridMultilevel"/>
    <w:tmpl w:val="FD8226C0"/>
    <w:lvl w:ilvl="0" w:tplc="04090015">
      <w:start w:val="1"/>
      <w:numFmt w:val="upperLetter"/>
      <w:lvlText w:val="%1."/>
      <w:lvlJc w:val="left"/>
      <w:pPr>
        <w:ind w:left="30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3F4D6F"/>
    <w:multiLevelType w:val="hybridMultilevel"/>
    <w:tmpl w:val="2A2E8AC0"/>
    <w:lvl w:ilvl="0" w:tplc="567AD828">
      <w:start w:val="1"/>
      <w:numFmt w:val="decimal"/>
      <w:lvlText w:val="%1)"/>
      <w:lvlJc w:val="left"/>
      <w:pPr>
        <w:ind w:left="99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A87113"/>
    <w:multiLevelType w:val="hybridMultilevel"/>
    <w:tmpl w:val="D570A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07476"/>
    <w:multiLevelType w:val="hybridMultilevel"/>
    <w:tmpl w:val="CC7AEC28"/>
    <w:lvl w:ilvl="0" w:tplc="3A764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376FD4"/>
    <w:multiLevelType w:val="hybridMultilevel"/>
    <w:tmpl w:val="ED50BAA6"/>
    <w:lvl w:ilvl="0" w:tplc="1D083256">
      <w:start w:val="1"/>
      <w:numFmt w:val="upperLetter"/>
      <w:lvlText w:val="%1."/>
      <w:lvlJc w:val="left"/>
      <w:pPr>
        <w:ind w:left="72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0992BA2"/>
    <w:multiLevelType w:val="hybridMultilevel"/>
    <w:tmpl w:val="93465D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F787A"/>
    <w:multiLevelType w:val="hybridMultilevel"/>
    <w:tmpl w:val="494AF17E"/>
    <w:lvl w:ilvl="0" w:tplc="095457B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F072F"/>
    <w:multiLevelType w:val="hybridMultilevel"/>
    <w:tmpl w:val="29889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93E4F"/>
    <w:multiLevelType w:val="hybridMultilevel"/>
    <w:tmpl w:val="78EED31C"/>
    <w:lvl w:ilvl="0" w:tplc="04090015">
      <w:start w:val="1"/>
      <w:numFmt w:val="upperLetter"/>
      <w:lvlText w:val="%1."/>
      <w:lvlJc w:val="left"/>
      <w:pPr>
        <w:ind w:left="900" w:hanging="360"/>
      </w:pPr>
      <w:rPr>
        <w:rFonts w:eastAsia="Times New Roman"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27F35B0"/>
    <w:multiLevelType w:val="hybridMultilevel"/>
    <w:tmpl w:val="C5E8CAEC"/>
    <w:lvl w:ilvl="0" w:tplc="4072E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F96546"/>
    <w:multiLevelType w:val="hybridMultilevel"/>
    <w:tmpl w:val="DB54CA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F775104"/>
    <w:multiLevelType w:val="multilevel"/>
    <w:tmpl w:val="8FA40A1A"/>
    <w:lvl w:ilvl="0">
      <w:start w:val="14"/>
      <w:numFmt w:val="decimal"/>
      <w:lvlText w:val="%1"/>
      <w:lvlJc w:val="left"/>
      <w:pPr>
        <w:ind w:left="675" w:hanging="675"/>
      </w:pPr>
      <w:rPr>
        <w:rFonts w:hint="default"/>
      </w:rPr>
    </w:lvl>
    <w:lvl w:ilvl="1">
      <w:start w:val="17"/>
      <w:numFmt w:val="decimal"/>
      <w:lvlText w:val="%1.%2"/>
      <w:lvlJc w:val="left"/>
      <w:pPr>
        <w:ind w:left="837" w:hanging="675"/>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39" w15:restartNumberingAfterBreak="0">
    <w:nsid w:val="7F85597D"/>
    <w:multiLevelType w:val="hybridMultilevel"/>
    <w:tmpl w:val="DEDAF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5"/>
  </w:num>
  <w:num w:numId="4">
    <w:abstractNumId w:val="3"/>
  </w:num>
  <w:num w:numId="5">
    <w:abstractNumId w:val="34"/>
  </w:num>
  <w:num w:numId="6">
    <w:abstractNumId w:val="27"/>
  </w:num>
  <w:num w:numId="7">
    <w:abstractNumId w:val="16"/>
  </w:num>
  <w:num w:numId="8">
    <w:abstractNumId w:val="31"/>
  </w:num>
  <w:num w:numId="9">
    <w:abstractNumId w:val="28"/>
  </w:num>
  <w:num w:numId="10">
    <w:abstractNumId w:val="33"/>
  </w:num>
  <w:num w:numId="11">
    <w:abstractNumId w:val="8"/>
  </w:num>
  <w:num w:numId="12">
    <w:abstractNumId w:val="29"/>
  </w:num>
  <w:num w:numId="13">
    <w:abstractNumId w:val="25"/>
  </w:num>
  <w:num w:numId="14">
    <w:abstractNumId w:val="23"/>
  </w:num>
  <w:num w:numId="15">
    <w:abstractNumId w:val="19"/>
  </w:num>
  <w:num w:numId="16">
    <w:abstractNumId w:val="35"/>
  </w:num>
  <w:num w:numId="17">
    <w:abstractNumId w:val="15"/>
  </w:num>
  <w:num w:numId="18">
    <w:abstractNumId w:val="1"/>
  </w:num>
  <w:num w:numId="19">
    <w:abstractNumId w:val="30"/>
  </w:num>
  <w:num w:numId="20">
    <w:abstractNumId w:val="36"/>
  </w:num>
  <w:num w:numId="21">
    <w:abstractNumId w:val="2"/>
  </w:num>
  <w:num w:numId="22">
    <w:abstractNumId w:val="13"/>
  </w:num>
  <w:num w:numId="23">
    <w:abstractNumId w:val="14"/>
  </w:num>
  <w:num w:numId="24">
    <w:abstractNumId w:val="6"/>
  </w:num>
  <w:num w:numId="25">
    <w:abstractNumId w:val="0"/>
  </w:num>
  <w:num w:numId="26">
    <w:abstractNumId w:val="2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10"/>
  </w:num>
  <w:num w:numId="32">
    <w:abstractNumId w:val="21"/>
  </w:num>
  <w:num w:numId="33">
    <w:abstractNumId w:val="24"/>
  </w:num>
  <w:num w:numId="34">
    <w:abstractNumId w:val="32"/>
  </w:num>
  <w:num w:numId="35">
    <w:abstractNumId w:val="38"/>
  </w:num>
  <w:num w:numId="36">
    <w:abstractNumId w:val="26"/>
  </w:num>
  <w:num w:numId="37">
    <w:abstractNumId w:val="7"/>
  </w:num>
  <w:num w:numId="38">
    <w:abstractNumId w:val="17"/>
  </w:num>
  <w:num w:numId="39">
    <w:abstractNumId w:val="11"/>
  </w:num>
  <w:num w:numId="40">
    <w:abstractNumId w:val="3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65"/>
    <w:rsid w:val="0000007A"/>
    <w:rsid w:val="00000FDF"/>
    <w:rsid w:val="000012D4"/>
    <w:rsid w:val="00001A25"/>
    <w:rsid w:val="00001D1A"/>
    <w:rsid w:val="0000226B"/>
    <w:rsid w:val="00002C54"/>
    <w:rsid w:val="0000386C"/>
    <w:rsid w:val="00003915"/>
    <w:rsid w:val="00003C52"/>
    <w:rsid w:val="00004007"/>
    <w:rsid w:val="000045A9"/>
    <w:rsid w:val="000045E4"/>
    <w:rsid w:val="000053EC"/>
    <w:rsid w:val="00005B32"/>
    <w:rsid w:val="0000603D"/>
    <w:rsid w:val="000063B7"/>
    <w:rsid w:val="000067F1"/>
    <w:rsid w:val="00006FC8"/>
    <w:rsid w:val="000077C7"/>
    <w:rsid w:val="00010276"/>
    <w:rsid w:val="00010E47"/>
    <w:rsid w:val="00011CB6"/>
    <w:rsid w:val="000132A7"/>
    <w:rsid w:val="0001351D"/>
    <w:rsid w:val="00013C21"/>
    <w:rsid w:val="00013CDF"/>
    <w:rsid w:val="00014F53"/>
    <w:rsid w:val="000157C6"/>
    <w:rsid w:val="0001593E"/>
    <w:rsid w:val="00015A21"/>
    <w:rsid w:val="00016CDC"/>
    <w:rsid w:val="000172CB"/>
    <w:rsid w:val="00020A4B"/>
    <w:rsid w:val="00022147"/>
    <w:rsid w:val="00022605"/>
    <w:rsid w:val="0002268F"/>
    <w:rsid w:val="000227B9"/>
    <w:rsid w:val="00022FD5"/>
    <w:rsid w:val="000238DA"/>
    <w:rsid w:val="000244CE"/>
    <w:rsid w:val="0002478A"/>
    <w:rsid w:val="00025A62"/>
    <w:rsid w:val="00026838"/>
    <w:rsid w:val="0002719C"/>
    <w:rsid w:val="000278EA"/>
    <w:rsid w:val="00027C38"/>
    <w:rsid w:val="00030152"/>
    <w:rsid w:val="0003035B"/>
    <w:rsid w:val="00030858"/>
    <w:rsid w:val="00030A3F"/>
    <w:rsid w:val="0003132D"/>
    <w:rsid w:val="0003190D"/>
    <w:rsid w:val="00031CB2"/>
    <w:rsid w:val="00032137"/>
    <w:rsid w:val="00032999"/>
    <w:rsid w:val="00032AE6"/>
    <w:rsid w:val="00033A74"/>
    <w:rsid w:val="00034403"/>
    <w:rsid w:val="0003475A"/>
    <w:rsid w:val="000349E9"/>
    <w:rsid w:val="00036085"/>
    <w:rsid w:val="00036BED"/>
    <w:rsid w:val="0003743F"/>
    <w:rsid w:val="000377CC"/>
    <w:rsid w:val="00037D3E"/>
    <w:rsid w:val="00037EAD"/>
    <w:rsid w:val="00040B94"/>
    <w:rsid w:val="00040D7B"/>
    <w:rsid w:val="0004108C"/>
    <w:rsid w:val="00042313"/>
    <w:rsid w:val="00042473"/>
    <w:rsid w:val="00042B6A"/>
    <w:rsid w:val="000435F7"/>
    <w:rsid w:val="000443B8"/>
    <w:rsid w:val="0004460B"/>
    <w:rsid w:val="00044D36"/>
    <w:rsid w:val="000451A6"/>
    <w:rsid w:val="000451BD"/>
    <w:rsid w:val="00046F89"/>
    <w:rsid w:val="000475BD"/>
    <w:rsid w:val="00047632"/>
    <w:rsid w:val="0004795E"/>
    <w:rsid w:val="00050CE2"/>
    <w:rsid w:val="000520AD"/>
    <w:rsid w:val="00052842"/>
    <w:rsid w:val="00052C6D"/>
    <w:rsid w:val="000549C5"/>
    <w:rsid w:val="00054E51"/>
    <w:rsid w:val="000557E9"/>
    <w:rsid w:val="00055D15"/>
    <w:rsid w:val="00056E32"/>
    <w:rsid w:val="00060714"/>
    <w:rsid w:val="00060808"/>
    <w:rsid w:val="00060B8C"/>
    <w:rsid w:val="0006133F"/>
    <w:rsid w:val="000620B7"/>
    <w:rsid w:val="000632F3"/>
    <w:rsid w:val="00063AFA"/>
    <w:rsid w:val="00064007"/>
    <w:rsid w:val="0006407A"/>
    <w:rsid w:val="000640B6"/>
    <w:rsid w:val="00064304"/>
    <w:rsid w:val="0006457B"/>
    <w:rsid w:val="00064785"/>
    <w:rsid w:val="00064A12"/>
    <w:rsid w:val="00066CA2"/>
    <w:rsid w:val="0006702D"/>
    <w:rsid w:val="00067C31"/>
    <w:rsid w:val="00067F9B"/>
    <w:rsid w:val="00070149"/>
    <w:rsid w:val="000701E8"/>
    <w:rsid w:val="0007116F"/>
    <w:rsid w:val="0007138D"/>
    <w:rsid w:val="00071B66"/>
    <w:rsid w:val="00071C21"/>
    <w:rsid w:val="00072031"/>
    <w:rsid w:val="00072107"/>
    <w:rsid w:val="000726A5"/>
    <w:rsid w:val="00073FCE"/>
    <w:rsid w:val="00074138"/>
    <w:rsid w:val="00074D46"/>
    <w:rsid w:val="000750DC"/>
    <w:rsid w:val="00076201"/>
    <w:rsid w:val="0007684E"/>
    <w:rsid w:val="0007697F"/>
    <w:rsid w:val="00077662"/>
    <w:rsid w:val="00077EC9"/>
    <w:rsid w:val="0008060A"/>
    <w:rsid w:val="00080C94"/>
    <w:rsid w:val="000816F0"/>
    <w:rsid w:val="00082837"/>
    <w:rsid w:val="00083062"/>
    <w:rsid w:val="0008543D"/>
    <w:rsid w:val="0008716B"/>
    <w:rsid w:val="000877C6"/>
    <w:rsid w:val="0009035D"/>
    <w:rsid w:val="00090551"/>
    <w:rsid w:val="00090705"/>
    <w:rsid w:val="00090A29"/>
    <w:rsid w:val="00090AA5"/>
    <w:rsid w:val="0009100D"/>
    <w:rsid w:val="000916A2"/>
    <w:rsid w:val="000923AC"/>
    <w:rsid w:val="00092D09"/>
    <w:rsid w:val="00094D4B"/>
    <w:rsid w:val="000951B9"/>
    <w:rsid w:val="000952BD"/>
    <w:rsid w:val="00096012"/>
    <w:rsid w:val="00096B1B"/>
    <w:rsid w:val="00097F24"/>
    <w:rsid w:val="000A0744"/>
    <w:rsid w:val="000A0930"/>
    <w:rsid w:val="000A1380"/>
    <w:rsid w:val="000A20E4"/>
    <w:rsid w:val="000A2C81"/>
    <w:rsid w:val="000A2E6A"/>
    <w:rsid w:val="000A3509"/>
    <w:rsid w:val="000A39AC"/>
    <w:rsid w:val="000A4C60"/>
    <w:rsid w:val="000A78EA"/>
    <w:rsid w:val="000B00CD"/>
    <w:rsid w:val="000B050C"/>
    <w:rsid w:val="000B072E"/>
    <w:rsid w:val="000B215C"/>
    <w:rsid w:val="000B21A3"/>
    <w:rsid w:val="000B24C7"/>
    <w:rsid w:val="000B2AB7"/>
    <w:rsid w:val="000B3901"/>
    <w:rsid w:val="000B4CB1"/>
    <w:rsid w:val="000B4DA0"/>
    <w:rsid w:val="000B4F1A"/>
    <w:rsid w:val="000B555C"/>
    <w:rsid w:val="000B5A03"/>
    <w:rsid w:val="000B5C8A"/>
    <w:rsid w:val="000B5F50"/>
    <w:rsid w:val="000B5FE7"/>
    <w:rsid w:val="000B65B0"/>
    <w:rsid w:val="000B7D3E"/>
    <w:rsid w:val="000C028C"/>
    <w:rsid w:val="000C062A"/>
    <w:rsid w:val="000C0748"/>
    <w:rsid w:val="000C0804"/>
    <w:rsid w:val="000C0ED3"/>
    <w:rsid w:val="000C222E"/>
    <w:rsid w:val="000C287E"/>
    <w:rsid w:val="000C3B4B"/>
    <w:rsid w:val="000C406E"/>
    <w:rsid w:val="000C45FC"/>
    <w:rsid w:val="000C476A"/>
    <w:rsid w:val="000C4A68"/>
    <w:rsid w:val="000C54AA"/>
    <w:rsid w:val="000C5638"/>
    <w:rsid w:val="000C60B0"/>
    <w:rsid w:val="000C6528"/>
    <w:rsid w:val="000C7B76"/>
    <w:rsid w:val="000D058D"/>
    <w:rsid w:val="000D0BC4"/>
    <w:rsid w:val="000D2AD7"/>
    <w:rsid w:val="000D2B11"/>
    <w:rsid w:val="000D33AF"/>
    <w:rsid w:val="000D3DD3"/>
    <w:rsid w:val="000D48B0"/>
    <w:rsid w:val="000D49A7"/>
    <w:rsid w:val="000D4E35"/>
    <w:rsid w:val="000D577F"/>
    <w:rsid w:val="000D71A2"/>
    <w:rsid w:val="000D7244"/>
    <w:rsid w:val="000D7269"/>
    <w:rsid w:val="000D7BF5"/>
    <w:rsid w:val="000D7C2F"/>
    <w:rsid w:val="000D7FBC"/>
    <w:rsid w:val="000E1517"/>
    <w:rsid w:val="000E1C53"/>
    <w:rsid w:val="000E223C"/>
    <w:rsid w:val="000E28E1"/>
    <w:rsid w:val="000E3722"/>
    <w:rsid w:val="000E372B"/>
    <w:rsid w:val="000E3E97"/>
    <w:rsid w:val="000E6032"/>
    <w:rsid w:val="000E690F"/>
    <w:rsid w:val="000E6F1C"/>
    <w:rsid w:val="000E7C59"/>
    <w:rsid w:val="000F13AD"/>
    <w:rsid w:val="000F187D"/>
    <w:rsid w:val="000F3252"/>
    <w:rsid w:val="000F569A"/>
    <w:rsid w:val="000F5DAE"/>
    <w:rsid w:val="000F6046"/>
    <w:rsid w:val="000F60AA"/>
    <w:rsid w:val="000F644D"/>
    <w:rsid w:val="000F773E"/>
    <w:rsid w:val="000F7875"/>
    <w:rsid w:val="000F7F9E"/>
    <w:rsid w:val="000F7FA5"/>
    <w:rsid w:val="00100620"/>
    <w:rsid w:val="00100837"/>
    <w:rsid w:val="00101A09"/>
    <w:rsid w:val="00102E15"/>
    <w:rsid w:val="00103BB9"/>
    <w:rsid w:val="00103C94"/>
    <w:rsid w:val="00103F2A"/>
    <w:rsid w:val="001048EF"/>
    <w:rsid w:val="001055A3"/>
    <w:rsid w:val="00106E31"/>
    <w:rsid w:val="0011125A"/>
    <w:rsid w:val="001116DA"/>
    <w:rsid w:val="00111EC7"/>
    <w:rsid w:val="00111EF4"/>
    <w:rsid w:val="00111FB8"/>
    <w:rsid w:val="00112A44"/>
    <w:rsid w:val="00113A9F"/>
    <w:rsid w:val="00113CDA"/>
    <w:rsid w:val="00115D8C"/>
    <w:rsid w:val="00116479"/>
    <w:rsid w:val="0011650A"/>
    <w:rsid w:val="00116EA6"/>
    <w:rsid w:val="00120D74"/>
    <w:rsid w:val="0012112D"/>
    <w:rsid w:val="001212D9"/>
    <w:rsid w:val="00121799"/>
    <w:rsid w:val="001226A9"/>
    <w:rsid w:val="0012288E"/>
    <w:rsid w:val="00122A2E"/>
    <w:rsid w:val="00122B86"/>
    <w:rsid w:val="0012373D"/>
    <w:rsid w:val="00123894"/>
    <w:rsid w:val="001246FB"/>
    <w:rsid w:val="001248CF"/>
    <w:rsid w:val="00124C30"/>
    <w:rsid w:val="001252EC"/>
    <w:rsid w:val="0012580C"/>
    <w:rsid w:val="00125954"/>
    <w:rsid w:val="00125F17"/>
    <w:rsid w:val="00126397"/>
    <w:rsid w:val="00126C75"/>
    <w:rsid w:val="0013056B"/>
    <w:rsid w:val="001305E1"/>
    <w:rsid w:val="0013070B"/>
    <w:rsid w:val="00130783"/>
    <w:rsid w:val="0013167C"/>
    <w:rsid w:val="00131C86"/>
    <w:rsid w:val="00132127"/>
    <w:rsid w:val="00132407"/>
    <w:rsid w:val="00132465"/>
    <w:rsid w:val="00132D5F"/>
    <w:rsid w:val="00134322"/>
    <w:rsid w:val="00134D1C"/>
    <w:rsid w:val="0013528F"/>
    <w:rsid w:val="001353FF"/>
    <w:rsid w:val="00137A91"/>
    <w:rsid w:val="00137C3C"/>
    <w:rsid w:val="00137C5B"/>
    <w:rsid w:val="00137ED0"/>
    <w:rsid w:val="00137F78"/>
    <w:rsid w:val="00140994"/>
    <w:rsid w:val="00141671"/>
    <w:rsid w:val="00141C94"/>
    <w:rsid w:val="00142507"/>
    <w:rsid w:val="00142AE5"/>
    <w:rsid w:val="00142D2D"/>
    <w:rsid w:val="00142DE0"/>
    <w:rsid w:val="00143321"/>
    <w:rsid w:val="00143499"/>
    <w:rsid w:val="00143B64"/>
    <w:rsid w:val="00143BFF"/>
    <w:rsid w:val="00144263"/>
    <w:rsid w:val="00145341"/>
    <w:rsid w:val="00145799"/>
    <w:rsid w:val="00145929"/>
    <w:rsid w:val="00145CDE"/>
    <w:rsid w:val="00146124"/>
    <w:rsid w:val="001461A8"/>
    <w:rsid w:val="00146B5C"/>
    <w:rsid w:val="00146D76"/>
    <w:rsid w:val="00147C5E"/>
    <w:rsid w:val="00147D55"/>
    <w:rsid w:val="00150B59"/>
    <w:rsid w:val="001511F0"/>
    <w:rsid w:val="00151E04"/>
    <w:rsid w:val="001522E6"/>
    <w:rsid w:val="00153261"/>
    <w:rsid w:val="001533E4"/>
    <w:rsid w:val="001545D7"/>
    <w:rsid w:val="00155512"/>
    <w:rsid w:val="00155617"/>
    <w:rsid w:val="00155689"/>
    <w:rsid w:val="00155CB6"/>
    <w:rsid w:val="00156AD6"/>
    <w:rsid w:val="0015702A"/>
    <w:rsid w:val="00157807"/>
    <w:rsid w:val="00157F84"/>
    <w:rsid w:val="001613BA"/>
    <w:rsid w:val="00161A83"/>
    <w:rsid w:val="00161BDC"/>
    <w:rsid w:val="0016200F"/>
    <w:rsid w:val="00162169"/>
    <w:rsid w:val="001623BF"/>
    <w:rsid w:val="00162405"/>
    <w:rsid w:val="001626F4"/>
    <w:rsid w:val="00163202"/>
    <w:rsid w:val="00163D59"/>
    <w:rsid w:val="00163F00"/>
    <w:rsid w:val="00165101"/>
    <w:rsid w:val="001652E5"/>
    <w:rsid w:val="00165456"/>
    <w:rsid w:val="00165574"/>
    <w:rsid w:val="0016561C"/>
    <w:rsid w:val="00165672"/>
    <w:rsid w:val="001658BE"/>
    <w:rsid w:val="00165B78"/>
    <w:rsid w:val="00165B7E"/>
    <w:rsid w:val="0016618C"/>
    <w:rsid w:val="0016623A"/>
    <w:rsid w:val="001662D9"/>
    <w:rsid w:val="00167125"/>
    <w:rsid w:val="00170F72"/>
    <w:rsid w:val="0017109D"/>
    <w:rsid w:val="001718A9"/>
    <w:rsid w:val="00172F0D"/>
    <w:rsid w:val="001739BF"/>
    <w:rsid w:val="00173FA3"/>
    <w:rsid w:val="0017432C"/>
    <w:rsid w:val="00175A11"/>
    <w:rsid w:val="00175CC5"/>
    <w:rsid w:val="00177994"/>
    <w:rsid w:val="00180946"/>
    <w:rsid w:val="00180FF3"/>
    <w:rsid w:val="00181207"/>
    <w:rsid w:val="00181328"/>
    <w:rsid w:val="00181FEE"/>
    <w:rsid w:val="00183A8A"/>
    <w:rsid w:val="0018458E"/>
    <w:rsid w:val="00184F3A"/>
    <w:rsid w:val="00185257"/>
    <w:rsid w:val="001856B4"/>
    <w:rsid w:val="00185D9E"/>
    <w:rsid w:val="00185E17"/>
    <w:rsid w:val="00186B39"/>
    <w:rsid w:val="00186D06"/>
    <w:rsid w:val="001902A9"/>
    <w:rsid w:val="00190507"/>
    <w:rsid w:val="001905AC"/>
    <w:rsid w:val="00190C8C"/>
    <w:rsid w:val="00191CD9"/>
    <w:rsid w:val="00191FB4"/>
    <w:rsid w:val="00192211"/>
    <w:rsid w:val="00192966"/>
    <w:rsid w:val="00192AF8"/>
    <w:rsid w:val="00192EFD"/>
    <w:rsid w:val="00193E8C"/>
    <w:rsid w:val="00195191"/>
    <w:rsid w:val="00195B01"/>
    <w:rsid w:val="00196287"/>
    <w:rsid w:val="001966AA"/>
    <w:rsid w:val="001968E4"/>
    <w:rsid w:val="001976C9"/>
    <w:rsid w:val="00197A49"/>
    <w:rsid w:val="00197B46"/>
    <w:rsid w:val="00197B91"/>
    <w:rsid w:val="001A09E0"/>
    <w:rsid w:val="001A0F4A"/>
    <w:rsid w:val="001A157D"/>
    <w:rsid w:val="001A21FC"/>
    <w:rsid w:val="001A262F"/>
    <w:rsid w:val="001A2C05"/>
    <w:rsid w:val="001A3309"/>
    <w:rsid w:val="001A35FB"/>
    <w:rsid w:val="001A4D2C"/>
    <w:rsid w:val="001A54B1"/>
    <w:rsid w:val="001A5885"/>
    <w:rsid w:val="001A65B6"/>
    <w:rsid w:val="001A7436"/>
    <w:rsid w:val="001A7499"/>
    <w:rsid w:val="001A75FD"/>
    <w:rsid w:val="001B0360"/>
    <w:rsid w:val="001B17C1"/>
    <w:rsid w:val="001B1956"/>
    <w:rsid w:val="001B1C79"/>
    <w:rsid w:val="001B1D21"/>
    <w:rsid w:val="001B2536"/>
    <w:rsid w:val="001B284B"/>
    <w:rsid w:val="001B35AE"/>
    <w:rsid w:val="001B38D0"/>
    <w:rsid w:val="001B3BC3"/>
    <w:rsid w:val="001B3FD1"/>
    <w:rsid w:val="001B45EB"/>
    <w:rsid w:val="001B4D33"/>
    <w:rsid w:val="001B5044"/>
    <w:rsid w:val="001B56A2"/>
    <w:rsid w:val="001B5CE3"/>
    <w:rsid w:val="001B6035"/>
    <w:rsid w:val="001B6AE0"/>
    <w:rsid w:val="001C05D9"/>
    <w:rsid w:val="001C0678"/>
    <w:rsid w:val="001C1AF4"/>
    <w:rsid w:val="001C23D6"/>
    <w:rsid w:val="001C2CE7"/>
    <w:rsid w:val="001C3D60"/>
    <w:rsid w:val="001C3DF5"/>
    <w:rsid w:val="001C509D"/>
    <w:rsid w:val="001C600F"/>
    <w:rsid w:val="001C60BA"/>
    <w:rsid w:val="001C66E6"/>
    <w:rsid w:val="001C682F"/>
    <w:rsid w:val="001C737A"/>
    <w:rsid w:val="001C73D2"/>
    <w:rsid w:val="001D0882"/>
    <w:rsid w:val="001D08AC"/>
    <w:rsid w:val="001D129A"/>
    <w:rsid w:val="001D16CC"/>
    <w:rsid w:val="001D2503"/>
    <w:rsid w:val="001D5A5A"/>
    <w:rsid w:val="001D5A8F"/>
    <w:rsid w:val="001D77E0"/>
    <w:rsid w:val="001D7910"/>
    <w:rsid w:val="001D7918"/>
    <w:rsid w:val="001D7B7D"/>
    <w:rsid w:val="001D7BE2"/>
    <w:rsid w:val="001D7E5F"/>
    <w:rsid w:val="001E1A87"/>
    <w:rsid w:val="001E1E8B"/>
    <w:rsid w:val="001E2F40"/>
    <w:rsid w:val="001E314A"/>
    <w:rsid w:val="001E31D5"/>
    <w:rsid w:val="001E353B"/>
    <w:rsid w:val="001E374F"/>
    <w:rsid w:val="001E3F88"/>
    <w:rsid w:val="001E681A"/>
    <w:rsid w:val="001E69D5"/>
    <w:rsid w:val="001E7BD9"/>
    <w:rsid w:val="001F02C3"/>
    <w:rsid w:val="001F0890"/>
    <w:rsid w:val="001F11AD"/>
    <w:rsid w:val="001F1DBE"/>
    <w:rsid w:val="001F2238"/>
    <w:rsid w:val="001F2585"/>
    <w:rsid w:val="001F2A73"/>
    <w:rsid w:val="001F3610"/>
    <w:rsid w:val="001F3B61"/>
    <w:rsid w:val="001F3DF0"/>
    <w:rsid w:val="001F3E83"/>
    <w:rsid w:val="001F5BBE"/>
    <w:rsid w:val="001F5F28"/>
    <w:rsid w:val="001F676B"/>
    <w:rsid w:val="001F69E9"/>
    <w:rsid w:val="001F6B27"/>
    <w:rsid w:val="001F7159"/>
    <w:rsid w:val="001F71C2"/>
    <w:rsid w:val="00200151"/>
    <w:rsid w:val="00201A24"/>
    <w:rsid w:val="00202D94"/>
    <w:rsid w:val="00203B95"/>
    <w:rsid w:val="00203CCC"/>
    <w:rsid w:val="0020411D"/>
    <w:rsid w:val="00204379"/>
    <w:rsid w:val="00204C17"/>
    <w:rsid w:val="002053AC"/>
    <w:rsid w:val="00205527"/>
    <w:rsid w:val="00206D33"/>
    <w:rsid w:val="00206D7C"/>
    <w:rsid w:val="00206EF7"/>
    <w:rsid w:val="002074B0"/>
    <w:rsid w:val="002078CE"/>
    <w:rsid w:val="00207AAE"/>
    <w:rsid w:val="002102D9"/>
    <w:rsid w:val="00210334"/>
    <w:rsid w:val="002103A5"/>
    <w:rsid w:val="0021080D"/>
    <w:rsid w:val="002123C0"/>
    <w:rsid w:val="002129CB"/>
    <w:rsid w:val="00212C5E"/>
    <w:rsid w:val="00213460"/>
    <w:rsid w:val="002134BC"/>
    <w:rsid w:val="00213B55"/>
    <w:rsid w:val="00214612"/>
    <w:rsid w:val="002149FA"/>
    <w:rsid w:val="00214B41"/>
    <w:rsid w:val="0021542B"/>
    <w:rsid w:val="0021569C"/>
    <w:rsid w:val="0021574B"/>
    <w:rsid w:val="0021615A"/>
    <w:rsid w:val="00217060"/>
    <w:rsid w:val="0021719D"/>
    <w:rsid w:val="002174F7"/>
    <w:rsid w:val="0022016C"/>
    <w:rsid w:val="00220523"/>
    <w:rsid w:val="0022058C"/>
    <w:rsid w:val="002205B5"/>
    <w:rsid w:val="00220859"/>
    <w:rsid w:val="00220BEF"/>
    <w:rsid w:val="00221AE8"/>
    <w:rsid w:val="002224F7"/>
    <w:rsid w:val="0022279D"/>
    <w:rsid w:val="00222EF3"/>
    <w:rsid w:val="002235F2"/>
    <w:rsid w:val="002239A6"/>
    <w:rsid w:val="00223BA3"/>
    <w:rsid w:val="00223D15"/>
    <w:rsid w:val="00223F70"/>
    <w:rsid w:val="00223F8A"/>
    <w:rsid w:val="002242F4"/>
    <w:rsid w:val="00225707"/>
    <w:rsid w:val="00226BA4"/>
    <w:rsid w:val="002270F7"/>
    <w:rsid w:val="0022737F"/>
    <w:rsid w:val="00227445"/>
    <w:rsid w:val="00227AA3"/>
    <w:rsid w:val="00227FE8"/>
    <w:rsid w:val="002303B0"/>
    <w:rsid w:val="002309DC"/>
    <w:rsid w:val="00230FE2"/>
    <w:rsid w:val="0023117B"/>
    <w:rsid w:val="00231969"/>
    <w:rsid w:val="00231F91"/>
    <w:rsid w:val="00232B8E"/>
    <w:rsid w:val="00233292"/>
    <w:rsid w:val="00234D04"/>
    <w:rsid w:val="00235665"/>
    <w:rsid w:val="00235690"/>
    <w:rsid w:val="0023644F"/>
    <w:rsid w:val="002375F0"/>
    <w:rsid w:val="00237612"/>
    <w:rsid w:val="00237FB3"/>
    <w:rsid w:val="00240534"/>
    <w:rsid w:val="002409C8"/>
    <w:rsid w:val="00240B4F"/>
    <w:rsid w:val="00241446"/>
    <w:rsid w:val="002419AE"/>
    <w:rsid w:val="00241FB1"/>
    <w:rsid w:val="00242874"/>
    <w:rsid w:val="002434D2"/>
    <w:rsid w:val="0024412A"/>
    <w:rsid w:val="00244324"/>
    <w:rsid w:val="002448CF"/>
    <w:rsid w:val="00244E0E"/>
    <w:rsid w:val="0024512C"/>
    <w:rsid w:val="00245242"/>
    <w:rsid w:val="0024684F"/>
    <w:rsid w:val="00246C3C"/>
    <w:rsid w:val="002472B4"/>
    <w:rsid w:val="0024733F"/>
    <w:rsid w:val="002476C2"/>
    <w:rsid w:val="00250735"/>
    <w:rsid w:val="00250C3A"/>
    <w:rsid w:val="00250CBA"/>
    <w:rsid w:val="0025289F"/>
    <w:rsid w:val="00252A39"/>
    <w:rsid w:val="00253BA3"/>
    <w:rsid w:val="00254867"/>
    <w:rsid w:val="00254E2E"/>
    <w:rsid w:val="002561A3"/>
    <w:rsid w:val="00256928"/>
    <w:rsid w:val="0025781E"/>
    <w:rsid w:val="00260417"/>
    <w:rsid w:val="00260BF9"/>
    <w:rsid w:val="002611A1"/>
    <w:rsid w:val="00261591"/>
    <w:rsid w:val="00261D18"/>
    <w:rsid w:val="00261FEF"/>
    <w:rsid w:val="0026224C"/>
    <w:rsid w:val="002624FA"/>
    <w:rsid w:val="002636F6"/>
    <w:rsid w:val="00264A86"/>
    <w:rsid w:val="002650D5"/>
    <w:rsid w:val="0026529D"/>
    <w:rsid w:val="0026590A"/>
    <w:rsid w:val="00265B47"/>
    <w:rsid w:val="00265E7A"/>
    <w:rsid w:val="00266930"/>
    <w:rsid w:val="00266C53"/>
    <w:rsid w:val="00266D24"/>
    <w:rsid w:val="002670BC"/>
    <w:rsid w:val="00267CB4"/>
    <w:rsid w:val="0027026E"/>
    <w:rsid w:val="00270561"/>
    <w:rsid w:val="00270855"/>
    <w:rsid w:val="00271166"/>
    <w:rsid w:val="002717C6"/>
    <w:rsid w:val="00271C57"/>
    <w:rsid w:val="00272B59"/>
    <w:rsid w:val="002730D8"/>
    <w:rsid w:val="00274FDC"/>
    <w:rsid w:val="00275C9B"/>
    <w:rsid w:val="002766D7"/>
    <w:rsid w:val="002773AC"/>
    <w:rsid w:val="00277BC9"/>
    <w:rsid w:val="0028085E"/>
    <w:rsid w:val="00281239"/>
    <w:rsid w:val="002819A2"/>
    <w:rsid w:val="00281E48"/>
    <w:rsid w:val="00285919"/>
    <w:rsid w:val="00285B49"/>
    <w:rsid w:val="00285D9D"/>
    <w:rsid w:val="002862C6"/>
    <w:rsid w:val="002863B2"/>
    <w:rsid w:val="002864B2"/>
    <w:rsid w:val="00286574"/>
    <w:rsid w:val="0028673C"/>
    <w:rsid w:val="00286947"/>
    <w:rsid w:val="0028750B"/>
    <w:rsid w:val="00287808"/>
    <w:rsid w:val="0029002D"/>
    <w:rsid w:val="0029028B"/>
    <w:rsid w:val="002928C4"/>
    <w:rsid w:val="00292AB2"/>
    <w:rsid w:val="0029327E"/>
    <w:rsid w:val="002932FA"/>
    <w:rsid w:val="00293586"/>
    <w:rsid w:val="00293A0A"/>
    <w:rsid w:val="0029420A"/>
    <w:rsid w:val="0029517B"/>
    <w:rsid w:val="00296090"/>
    <w:rsid w:val="0029640D"/>
    <w:rsid w:val="00296CA7"/>
    <w:rsid w:val="002976B3"/>
    <w:rsid w:val="00297B62"/>
    <w:rsid w:val="002A063A"/>
    <w:rsid w:val="002A0A69"/>
    <w:rsid w:val="002A0CF1"/>
    <w:rsid w:val="002A1385"/>
    <w:rsid w:val="002A1720"/>
    <w:rsid w:val="002A1AC3"/>
    <w:rsid w:val="002A2383"/>
    <w:rsid w:val="002A28AC"/>
    <w:rsid w:val="002A2B28"/>
    <w:rsid w:val="002A3396"/>
    <w:rsid w:val="002A3892"/>
    <w:rsid w:val="002A38DA"/>
    <w:rsid w:val="002A39D3"/>
    <w:rsid w:val="002A3D7D"/>
    <w:rsid w:val="002A46EC"/>
    <w:rsid w:val="002A4DB1"/>
    <w:rsid w:val="002A504C"/>
    <w:rsid w:val="002A5E65"/>
    <w:rsid w:val="002A6689"/>
    <w:rsid w:val="002A6774"/>
    <w:rsid w:val="002A6EC6"/>
    <w:rsid w:val="002A7816"/>
    <w:rsid w:val="002B03C3"/>
    <w:rsid w:val="002B10DB"/>
    <w:rsid w:val="002B1774"/>
    <w:rsid w:val="002B2660"/>
    <w:rsid w:val="002B296A"/>
    <w:rsid w:val="002B2AEE"/>
    <w:rsid w:val="002B2D82"/>
    <w:rsid w:val="002B3A20"/>
    <w:rsid w:val="002B4A24"/>
    <w:rsid w:val="002B4B3A"/>
    <w:rsid w:val="002B4E0F"/>
    <w:rsid w:val="002B5713"/>
    <w:rsid w:val="002B61AB"/>
    <w:rsid w:val="002B6B20"/>
    <w:rsid w:val="002B7434"/>
    <w:rsid w:val="002B7866"/>
    <w:rsid w:val="002B7A35"/>
    <w:rsid w:val="002B7CC0"/>
    <w:rsid w:val="002B7D69"/>
    <w:rsid w:val="002C0166"/>
    <w:rsid w:val="002C070D"/>
    <w:rsid w:val="002C0A6E"/>
    <w:rsid w:val="002C1764"/>
    <w:rsid w:val="002C1A9A"/>
    <w:rsid w:val="002C1BF9"/>
    <w:rsid w:val="002C27E4"/>
    <w:rsid w:val="002C2910"/>
    <w:rsid w:val="002C3485"/>
    <w:rsid w:val="002C3F98"/>
    <w:rsid w:val="002C43B6"/>
    <w:rsid w:val="002C4B22"/>
    <w:rsid w:val="002C5B70"/>
    <w:rsid w:val="002C67D2"/>
    <w:rsid w:val="002C6B05"/>
    <w:rsid w:val="002C7315"/>
    <w:rsid w:val="002D00D6"/>
    <w:rsid w:val="002D037B"/>
    <w:rsid w:val="002D1FA1"/>
    <w:rsid w:val="002D2213"/>
    <w:rsid w:val="002D241C"/>
    <w:rsid w:val="002D315B"/>
    <w:rsid w:val="002D36BA"/>
    <w:rsid w:val="002D43CA"/>
    <w:rsid w:val="002D4DD4"/>
    <w:rsid w:val="002D6BAD"/>
    <w:rsid w:val="002D7EF1"/>
    <w:rsid w:val="002E0202"/>
    <w:rsid w:val="002E08BE"/>
    <w:rsid w:val="002E156E"/>
    <w:rsid w:val="002E27F6"/>
    <w:rsid w:val="002E343B"/>
    <w:rsid w:val="002E3744"/>
    <w:rsid w:val="002E3E04"/>
    <w:rsid w:val="002E4F62"/>
    <w:rsid w:val="002E5176"/>
    <w:rsid w:val="002E5A05"/>
    <w:rsid w:val="002E5F2D"/>
    <w:rsid w:val="002E61EB"/>
    <w:rsid w:val="002E6213"/>
    <w:rsid w:val="002E6AD4"/>
    <w:rsid w:val="002E6D13"/>
    <w:rsid w:val="002E6D4B"/>
    <w:rsid w:val="002E7F46"/>
    <w:rsid w:val="002F02BA"/>
    <w:rsid w:val="002F076D"/>
    <w:rsid w:val="002F0A0A"/>
    <w:rsid w:val="002F1CB9"/>
    <w:rsid w:val="002F2605"/>
    <w:rsid w:val="002F3536"/>
    <w:rsid w:val="002F3A70"/>
    <w:rsid w:val="002F3B8F"/>
    <w:rsid w:val="002F437A"/>
    <w:rsid w:val="002F4513"/>
    <w:rsid w:val="002F4904"/>
    <w:rsid w:val="002F4F78"/>
    <w:rsid w:val="002F53B2"/>
    <w:rsid w:val="002F5758"/>
    <w:rsid w:val="002F5D4E"/>
    <w:rsid w:val="002F5FBC"/>
    <w:rsid w:val="002F60BC"/>
    <w:rsid w:val="002F7267"/>
    <w:rsid w:val="003009BA"/>
    <w:rsid w:val="00300AAD"/>
    <w:rsid w:val="00300AC8"/>
    <w:rsid w:val="00300CDF"/>
    <w:rsid w:val="00300DDD"/>
    <w:rsid w:val="0030122E"/>
    <w:rsid w:val="003012C7"/>
    <w:rsid w:val="00302722"/>
    <w:rsid w:val="00303BE1"/>
    <w:rsid w:val="00303D66"/>
    <w:rsid w:val="00304CBF"/>
    <w:rsid w:val="0030584D"/>
    <w:rsid w:val="00305956"/>
    <w:rsid w:val="00305D1F"/>
    <w:rsid w:val="00305D96"/>
    <w:rsid w:val="0030601D"/>
    <w:rsid w:val="0030770A"/>
    <w:rsid w:val="00307711"/>
    <w:rsid w:val="0030780C"/>
    <w:rsid w:val="00310385"/>
    <w:rsid w:val="0031051F"/>
    <w:rsid w:val="003105BE"/>
    <w:rsid w:val="00310AFC"/>
    <w:rsid w:val="00311B24"/>
    <w:rsid w:val="00311D87"/>
    <w:rsid w:val="00312126"/>
    <w:rsid w:val="00314B0B"/>
    <w:rsid w:val="00315745"/>
    <w:rsid w:val="00315C90"/>
    <w:rsid w:val="00316065"/>
    <w:rsid w:val="003175CF"/>
    <w:rsid w:val="0031799F"/>
    <w:rsid w:val="003208F0"/>
    <w:rsid w:val="00321DCB"/>
    <w:rsid w:val="00322602"/>
    <w:rsid w:val="00323696"/>
    <w:rsid w:val="00324566"/>
    <w:rsid w:val="00324665"/>
    <w:rsid w:val="00324695"/>
    <w:rsid w:val="00324AEA"/>
    <w:rsid w:val="0032501E"/>
    <w:rsid w:val="00325402"/>
    <w:rsid w:val="00326C3E"/>
    <w:rsid w:val="00326D42"/>
    <w:rsid w:val="00327929"/>
    <w:rsid w:val="00331998"/>
    <w:rsid w:val="00331B01"/>
    <w:rsid w:val="00331DF7"/>
    <w:rsid w:val="00332576"/>
    <w:rsid w:val="003326CE"/>
    <w:rsid w:val="00332F01"/>
    <w:rsid w:val="003336D6"/>
    <w:rsid w:val="003345D9"/>
    <w:rsid w:val="00334825"/>
    <w:rsid w:val="00334AC2"/>
    <w:rsid w:val="00334D20"/>
    <w:rsid w:val="003351AA"/>
    <w:rsid w:val="003357B2"/>
    <w:rsid w:val="003357B3"/>
    <w:rsid w:val="003361B0"/>
    <w:rsid w:val="00336C5A"/>
    <w:rsid w:val="003370C6"/>
    <w:rsid w:val="00337DB4"/>
    <w:rsid w:val="0034195C"/>
    <w:rsid w:val="00341B7A"/>
    <w:rsid w:val="003425F0"/>
    <w:rsid w:val="00342D33"/>
    <w:rsid w:val="00344524"/>
    <w:rsid w:val="0034467B"/>
    <w:rsid w:val="00345415"/>
    <w:rsid w:val="003457B4"/>
    <w:rsid w:val="00346964"/>
    <w:rsid w:val="00347A33"/>
    <w:rsid w:val="00347E92"/>
    <w:rsid w:val="00350260"/>
    <w:rsid w:val="003505DA"/>
    <w:rsid w:val="00351AA9"/>
    <w:rsid w:val="003523AA"/>
    <w:rsid w:val="00352AAA"/>
    <w:rsid w:val="0035339D"/>
    <w:rsid w:val="0035339E"/>
    <w:rsid w:val="00353724"/>
    <w:rsid w:val="00353C1E"/>
    <w:rsid w:val="00353E78"/>
    <w:rsid w:val="00353EF5"/>
    <w:rsid w:val="003551D6"/>
    <w:rsid w:val="00355BF9"/>
    <w:rsid w:val="00356D65"/>
    <w:rsid w:val="00356F0A"/>
    <w:rsid w:val="003605E9"/>
    <w:rsid w:val="003612A9"/>
    <w:rsid w:val="00361A26"/>
    <w:rsid w:val="00361CD0"/>
    <w:rsid w:val="00362134"/>
    <w:rsid w:val="003622E7"/>
    <w:rsid w:val="003624D3"/>
    <w:rsid w:val="003627FC"/>
    <w:rsid w:val="00363290"/>
    <w:rsid w:val="003649A6"/>
    <w:rsid w:val="00366719"/>
    <w:rsid w:val="00366721"/>
    <w:rsid w:val="00366D17"/>
    <w:rsid w:val="0036739A"/>
    <w:rsid w:val="0036776B"/>
    <w:rsid w:val="003700C7"/>
    <w:rsid w:val="00370105"/>
    <w:rsid w:val="00370DB9"/>
    <w:rsid w:val="003719C1"/>
    <w:rsid w:val="00371A7E"/>
    <w:rsid w:val="00372824"/>
    <w:rsid w:val="003729F6"/>
    <w:rsid w:val="00373130"/>
    <w:rsid w:val="00373155"/>
    <w:rsid w:val="003733CE"/>
    <w:rsid w:val="00373DCD"/>
    <w:rsid w:val="003747E8"/>
    <w:rsid w:val="003750D4"/>
    <w:rsid w:val="00375151"/>
    <w:rsid w:val="003759E1"/>
    <w:rsid w:val="00375FD9"/>
    <w:rsid w:val="00376926"/>
    <w:rsid w:val="00377FB6"/>
    <w:rsid w:val="00380067"/>
    <w:rsid w:val="003803A3"/>
    <w:rsid w:val="0038058A"/>
    <w:rsid w:val="003807B2"/>
    <w:rsid w:val="003814B2"/>
    <w:rsid w:val="003818AD"/>
    <w:rsid w:val="003819CC"/>
    <w:rsid w:val="00382AFA"/>
    <w:rsid w:val="003836C0"/>
    <w:rsid w:val="00383E37"/>
    <w:rsid w:val="00384685"/>
    <w:rsid w:val="00385A6C"/>
    <w:rsid w:val="00385C1B"/>
    <w:rsid w:val="00387750"/>
    <w:rsid w:val="0038779C"/>
    <w:rsid w:val="00390B55"/>
    <w:rsid w:val="00391C8D"/>
    <w:rsid w:val="00391E63"/>
    <w:rsid w:val="00392647"/>
    <w:rsid w:val="0039351D"/>
    <w:rsid w:val="00393566"/>
    <w:rsid w:val="00393623"/>
    <w:rsid w:val="0039373A"/>
    <w:rsid w:val="00393C2E"/>
    <w:rsid w:val="0039415B"/>
    <w:rsid w:val="00394920"/>
    <w:rsid w:val="003949AF"/>
    <w:rsid w:val="0039555E"/>
    <w:rsid w:val="00396904"/>
    <w:rsid w:val="00397FC5"/>
    <w:rsid w:val="003A09CB"/>
    <w:rsid w:val="003A1D2A"/>
    <w:rsid w:val="003A1F16"/>
    <w:rsid w:val="003A2C71"/>
    <w:rsid w:val="003A2F09"/>
    <w:rsid w:val="003A3F77"/>
    <w:rsid w:val="003A4311"/>
    <w:rsid w:val="003A5160"/>
    <w:rsid w:val="003A54BC"/>
    <w:rsid w:val="003A5AEB"/>
    <w:rsid w:val="003A5DA7"/>
    <w:rsid w:val="003A61DF"/>
    <w:rsid w:val="003A66A2"/>
    <w:rsid w:val="003A66B5"/>
    <w:rsid w:val="003A6B70"/>
    <w:rsid w:val="003A6F4C"/>
    <w:rsid w:val="003A795D"/>
    <w:rsid w:val="003A7D9B"/>
    <w:rsid w:val="003B0910"/>
    <w:rsid w:val="003B1110"/>
    <w:rsid w:val="003B14AE"/>
    <w:rsid w:val="003B1F7D"/>
    <w:rsid w:val="003B2038"/>
    <w:rsid w:val="003B2A8A"/>
    <w:rsid w:val="003B3252"/>
    <w:rsid w:val="003B332B"/>
    <w:rsid w:val="003B34CF"/>
    <w:rsid w:val="003B3CAD"/>
    <w:rsid w:val="003B4547"/>
    <w:rsid w:val="003B461E"/>
    <w:rsid w:val="003B4918"/>
    <w:rsid w:val="003B4FFE"/>
    <w:rsid w:val="003B5177"/>
    <w:rsid w:val="003B6969"/>
    <w:rsid w:val="003B6C52"/>
    <w:rsid w:val="003B6E04"/>
    <w:rsid w:val="003B6F59"/>
    <w:rsid w:val="003B751F"/>
    <w:rsid w:val="003C0367"/>
    <w:rsid w:val="003C03C5"/>
    <w:rsid w:val="003C19B1"/>
    <w:rsid w:val="003C208A"/>
    <w:rsid w:val="003C2106"/>
    <w:rsid w:val="003C2145"/>
    <w:rsid w:val="003C2575"/>
    <w:rsid w:val="003C2910"/>
    <w:rsid w:val="003C2A0D"/>
    <w:rsid w:val="003C3457"/>
    <w:rsid w:val="003C46F8"/>
    <w:rsid w:val="003C4B72"/>
    <w:rsid w:val="003C51DF"/>
    <w:rsid w:val="003C5959"/>
    <w:rsid w:val="003C5E55"/>
    <w:rsid w:val="003C73A4"/>
    <w:rsid w:val="003C747A"/>
    <w:rsid w:val="003C7B33"/>
    <w:rsid w:val="003C7E08"/>
    <w:rsid w:val="003D0829"/>
    <w:rsid w:val="003D0C17"/>
    <w:rsid w:val="003D1961"/>
    <w:rsid w:val="003D1D12"/>
    <w:rsid w:val="003D1F2E"/>
    <w:rsid w:val="003D22FA"/>
    <w:rsid w:val="003D2E34"/>
    <w:rsid w:val="003D429C"/>
    <w:rsid w:val="003D4703"/>
    <w:rsid w:val="003D4C07"/>
    <w:rsid w:val="003D4C52"/>
    <w:rsid w:val="003D4C5B"/>
    <w:rsid w:val="003D4D3D"/>
    <w:rsid w:val="003D6404"/>
    <w:rsid w:val="003D68A0"/>
    <w:rsid w:val="003D6AC3"/>
    <w:rsid w:val="003D6D49"/>
    <w:rsid w:val="003D6E39"/>
    <w:rsid w:val="003D7099"/>
    <w:rsid w:val="003D7A09"/>
    <w:rsid w:val="003D7B22"/>
    <w:rsid w:val="003D7B68"/>
    <w:rsid w:val="003E03AB"/>
    <w:rsid w:val="003E1806"/>
    <w:rsid w:val="003E1B2B"/>
    <w:rsid w:val="003E4826"/>
    <w:rsid w:val="003E5A74"/>
    <w:rsid w:val="003E5B73"/>
    <w:rsid w:val="003E6389"/>
    <w:rsid w:val="003E68C2"/>
    <w:rsid w:val="003E75FE"/>
    <w:rsid w:val="003F03E4"/>
    <w:rsid w:val="003F084A"/>
    <w:rsid w:val="003F1405"/>
    <w:rsid w:val="003F19C0"/>
    <w:rsid w:val="003F1BE8"/>
    <w:rsid w:val="003F211B"/>
    <w:rsid w:val="003F2E42"/>
    <w:rsid w:val="003F36F7"/>
    <w:rsid w:val="003F46DC"/>
    <w:rsid w:val="003F490C"/>
    <w:rsid w:val="003F4F8B"/>
    <w:rsid w:val="003F5688"/>
    <w:rsid w:val="003F5999"/>
    <w:rsid w:val="003F6001"/>
    <w:rsid w:val="003F68A4"/>
    <w:rsid w:val="003F6964"/>
    <w:rsid w:val="003F6C32"/>
    <w:rsid w:val="003F722F"/>
    <w:rsid w:val="003F72C0"/>
    <w:rsid w:val="003F72F6"/>
    <w:rsid w:val="004001E3"/>
    <w:rsid w:val="0040053E"/>
    <w:rsid w:val="00400A9E"/>
    <w:rsid w:val="00400FE5"/>
    <w:rsid w:val="004010A1"/>
    <w:rsid w:val="0040226C"/>
    <w:rsid w:val="00402B63"/>
    <w:rsid w:val="00402D3B"/>
    <w:rsid w:val="004035AD"/>
    <w:rsid w:val="0040371A"/>
    <w:rsid w:val="00404FED"/>
    <w:rsid w:val="004059DD"/>
    <w:rsid w:val="00406538"/>
    <w:rsid w:val="00406820"/>
    <w:rsid w:val="00407B1A"/>
    <w:rsid w:val="00410072"/>
    <w:rsid w:val="00410EDD"/>
    <w:rsid w:val="0041144F"/>
    <w:rsid w:val="0041155D"/>
    <w:rsid w:val="00411D9B"/>
    <w:rsid w:val="0041231B"/>
    <w:rsid w:val="00414EA9"/>
    <w:rsid w:val="00415616"/>
    <w:rsid w:val="00416F3B"/>
    <w:rsid w:val="00417154"/>
    <w:rsid w:val="004176F4"/>
    <w:rsid w:val="00421F56"/>
    <w:rsid w:val="0042201C"/>
    <w:rsid w:val="00422318"/>
    <w:rsid w:val="004226DC"/>
    <w:rsid w:val="00423339"/>
    <w:rsid w:val="00423699"/>
    <w:rsid w:val="004253D5"/>
    <w:rsid w:val="00425A00"/>
    <w:rsid w:val="00425D79"/>
    <w:rsid w:val="00425E5A"/>
    <w:rsid w:val="004261AB"/>
    <w:rsid w:val="004264CB"/>
    <w:rsid w:val="0042692F"/>
    <w:rsid w:val="004308CF"/>
    <w:rsid w:val="0043145D"/>
    <w:rsid w:val="00433171"/>
    <w:rsid w:val="0043519F"/>
    <w:rsid w:val="004356F0"/>
    <w:rsid w:val="004359F8"/>
    <w:rsid w:val="00436A73"/>
    <w:rsid w:val="00436EF3"/>
    <w:rsid w:val="0043773C"/>
    <w:rsid w:val="00440209"/>
    <w:rsid w:val="00440419"/>
    <w:rsid w:val="00440771"/>
    <w:rsid w:val="00440A6B"/>
    <w:rsid w:val="00441296"/>
    <w:rsid w:val="00441F1A"/>
    <w:rsid w:val="004423B6"/>
    <w:rsid w:val="00442F2D"/>
    <w:rsid w:val="0044496C"/>
    <w:rsid w:val="00444A29"/>
    <w:rsid w:val="00444F4B"/>
    <w:rsid w:val="00447CF9"/>
    <w:rsid w:val="0045066E"/>
    <w:rsid w:val="00451640"/>
    <w:rsid w:val="004524A0"/>
    <w:rsid w:val="004529B2"/>
    <w:rsid w:val="00452EE7"/>
    <w:rsid w:val="00453980"/>
    <w:rsid w:val="00454622"/>
    <w:rsid w:val="0045497E"/>
    <w:rsid w:val="00454E97"/>
    <w:rsid w:val="00455D08"/>
    <w:rsid w:val="0045633C"/>
    <w:rsid w:val="004573FB"/>
    <w:rsid w:val="00457586"/>
    <w:rsid w:val="004576C8"/>
    <w:rsid w:val="00457C7E"/>
    <w:rsid w:val="00457CB1"/>
    <w:rsid w:val="00457EA2"/>
    <w:rsid w:val="00460C63"/>
    <w:rsid w:val="00460D15"/>
    <w:rsid w:val="00461279"/>
    <w:rsid w:val="00461BA0"/>
    <w:rsid w:val="00461BF9"/>
    <w:rsid w:val="0046238B"/>
    <w:rsid w:val="004629BA"/>
    <w:rsid w:val="00462C24"/>
    <w:rsid w:val="00462E8F"/>
    <w:rsid w:val="00462F0B"/>
    <w:rsid w:val="00462FBB"/>
    <w:rsid w:val="0046324F"/>
    <w:rsid w:val="00463700"/>
    <w:rsid w:val="00463991"/>
    <w:rsid w:val="00463ADC"/>
    <w:rsid w:val="00463B2B"/>
    <w:rsid w:val="00463E98"/>
    <w:rsid w:val="00464E6D"/>
    <w:rsid w:val="00464F4E"/>
    <w:rsid w:val="0046538C"/>
    <w:rsid w:val="00465FFF"/>
    <w:rsid w:val="00466A65"/>
    <w:rsid w:val="00466F9C"/>
    <w:rsid w:val="0046725C"/>
    <w:rsid w:val="00467D6A"/>
    <w:rsid w:val="00467EC8"/>
    <w:rsid w:val="00470349"/>
    <w:rsid w:val="00470630"/>
    <w:rsid w:val="0047063C"/>
    <w:rsid w:val="004709E1"/>
    <w:rsid w:val="00470E97"/>
    <w:rsid w:val="00471924"/>
    <w:rsid w:val="00471EC6"/>
    <w:rsid w:val="004721D5"/>
    <w:rsid w:val="0047256C"/>
    <w:rsid w:val="0047271C"/>
    <w:rsid w:val="00472BEC"/>
    <w:rsid w:val="00472E3C"/>
    <w:rsid w:val="00473C64"/>
    <w:rsid w:val="00473E1B"/>
    <w:rsid w:val="00474027"/>
    <w:rsid w:val="004746E3"/>
    <w:rsid w:val="004754D0"/>
    <w:rsid w:val="0047562D"/>
    <w:rsid w:val="004765EA"/>
    <w:rsid w:val="00476912"/>
    <w:rsid w:val="00477896"/>
    <w:rsid w:val="00477AB3"/>
    <w:rsid w:val="00477AF6"/>
    <w:rsid w:val="004800D9"/>
    <w:rsid w:val="00480288"/>
    <w:rsid w:val="0048144C"/>
    <w:rsid w:val="00484259"/>
    <w:rsid w:val="004851CE"/>
    <w:rsid w:val="0048586E"/>
    <w:rsid w:val="0048593A"/>
    <w:rsid w:val="00486571"/>
    <w:rsid w:val="00486CB9"/>
    <w:rsid w:val="00487416"/>
    <w:rsid w:val="0049007D"/>
    <w:rsid w:val="00490374"/>
    <w:rsid w:val="00490580"/>
    <w:rsid w:val="00490F76"/>
    <w:rsid w:val="0049156A"/>
    <w:rsid w:val="0049295F"/>
    <w:rsid w:val="00492A19"/>
    <w:rsid w:val="00492D7D"/>
    <w:rsid w:val="0049324E"/>
    <w:rsid w:val="00493969"/>
    <w:rsid w:val="00493B1F"/>
    <w:rsid w:val="00493E98"/>
    <w:rsid w:val="00495F43"/>
    <w:rsid w:val="00496415"/>
    <w:rsid w:val="004A0125"/>
    <w:rsid w:val="004A0B5E"/>
    <w:rsid w:val="004A1D1B"/>
    <w:rsid w:val="004A2AE6"/>
    <w:rsid w:val="004A32BF"/>
    <w:rsid w:val="004A3D6D"/>
    <w:rsid w:val="004A46B7"/>
    <w:rsid w:val="004A708E"/>
    <w:rsid w:val="004B0A9B"/>
    <w:rsid w:val="004B103A"/>
    <w:rsid w:val="004B157D"/>
    <w:rsid w:val="004B1634"/>
    <w:rsid w:val="004B1EA5"/>
    <w:rsid w:val="004B254D"/>
    <w:rsid w:val="004B38FA"/>
    <w:rsid w:val="004B43FF"/>
    <w:rsid w:val="004B4C5A"/>
    <w:rsid w:val="004B5121"/>
    <w:rsid w:val="004B56DA"/>
    <w:rsid w:val="004B57CC"/>
    <w:rsid w:val="004B5910"/>
    <w:rsid w:val="004B59E3"/>
    <w:rsid w:val="004B5B70"/>
    <w:rsid w:val="004B5E17"/>
    <w:rsid w:val="004B7D0D"/>
    <w:rsid w:val="004C0422"/>
    <w:rsid w:val="004C1B83"/>
    <w:rsid w:val="004C2189"/>
    <w:rsid w:val="004C2B2C"/>
    <w:rsid w:val="004C2BB1"/>
    <w:rsid w:val="004C2BFF"/>
    <w:rsid w:val="004C2F3E"/>
    <w:rsid w:val="004C458E"/>
    <w:rsid w:val="004C60C7"/>
    <w:rsid w:val="004C74FD"/>
    <w:rsid w:val="004C79B1"/>
    <w:rsid w:val="004C7CAA"/>
    <w:rsid w:val="004D048E"/>
    <w:rsid w:val="004D1625"/>
    <w:rsid w:val="004D16A7"/>
    <w:rsid w:val="004D1935"/>
    <w:rsid w:val="004D19A4"/>
    <w:rsid w:val="004D1D64"/>
    <w:rsid w:val="004D2666"/>
    <w:rsid w:val="004D2878"/>
    <w:rsid w:val="004D2A64"/>
    <w:rsid w:val="004D2DAE"/>
    <w:rsid w:val="004D3306"/>
    <w:rsid w:val="004D3EFA"/>
    <w:rsid w:val="004D3F8F"/>
    <w:rsid w:val="004D412E"/>
    <w:rsid w:val="004D42DC"/>
    <w:rsid w:val="004D5D40"/>
    <w:rsid w:val="004D7728"/>
    <w:rsid w:val="004D7CF6"/>
    <w:rsid w:val="004E03C9"/>
    <w:rsid w:val="004E06C1"/>
    <w:rsid w:val="004E0CE8"/>
    <w:rsid w:val="004E0FDB"/>
    <w:rsid w:val="004E17E1"/>
    <w:rsid w:val="004E1C97"/>
    <w:rsid w:val="004E203D"/>
    <w:rsid w:val="004E2071"/>
    <w:rsid w:val="004E2AE3"/>
    <w:rsid w:val="004E2F37"/>
    <w:rsid w:val="004E3F6E"/>
    <w:rsid w:val="004E3F9C"/>
    <w:rsid w:val="004E4BCB"/>
    <w:rsid w:val="004E4DFD"/>
    <w:rsid w:val="004E4FC2"/>
    <w:rsid w:val="004E5DA2"/>
    <w:rsid w:val="004E77DB"/>
    <w:rsid w:val="004E7D11"/>
    <w:rsid w:val="004F04BF"/>
    <w:rsid w:val="004F0B3B"/>
    <w:rsid w:val="004F0BB9"/>
    <w:rsid w:val="004F0C73"/>
    <w:rsid w:val="004F14E7"/>
    <w:rsid w:val="004F1E29"/>
    <w:rsid w:val="004F272E"/>
    <w:rsid w:val="004F2B90"/>
    <w:rsid w:val="004F3787"/>
    <w:rsid w:val="004F3B19"/>
    <w:rsid w:val="004F421A"/>
    <w:rsid w:val="004F46DC"/>
    <w:rsid w:val="004F4A7F"/>
    <w:rsid w:val="004F5D2B"/>
    <w:rsid w:val="004F5E63"/>
    <w:rsid w:val="004F679B"/>
    <w:rsid w:val="004F6B53"/>
    <w:rsid w:val="004F7937"/>
    <w:rsid w:val="0050008E"/>
    <w:rsid w:val="00500C01"/>
    <w:rsid w:val="00501476"/>
    <w:rsid w:val="00502A76"/>
    <w:rsid w:val="00502AA9"/>
    <w:rsid w:val="0050331E"/>
    <w:rsid w:val="0050339F"/>
    <w:rsid w:val="00503FBB"/>
    <w:rsid w:val="00506CFF"/>
    <w:rsid w:val="00507242"/>
    <w:rsid w:val="00507858"/>
    <w:rsid w:val="00510ECE"/>
    <w:rsid w:val="005114EC"/>
    <w:rsid w:val="005119CE"/>
    <w:rsid w:val="00511CD9"/>
    <w:rsid w:val="00512017"/>
    <w:rsid w:val="005120F0"/>
    <w:rsid w:val="0051357F"/>
    <w:rsid w:val="005140B8"/>
    <w:rsid w:val="00514280"/>
    <w:rsid w:val="005149DA"/>
    <w:rsid w:val="00514C9F"/>
    <w:rsid w:val="00515689"/>
    <w:rsid w:val="00515AE6"/>
    <w:rsid w:val="00515D8E"/>
    <w:rsid w:val="00516B5E"/>
    <w:rsid w:val="00516C00"/>
    <w:rsid w:val="00516D4C"/>
    <w:rsid w:val="005171FD"/>
    <w:rsid w:val="00517547"/>
    <w:rsid w:val="00517CF0"/>
    <w:rsid w:val="00517F42"/>
    <w:rsid w:val="00520B81"/>
    <w:rsid w:val="0052173B"/>
    <w:rsid w:val="0052221E"/>
    <w:rsid w:val="0052247A"/>
    <w:rsid w:val="00525DA3"/>
    <w:rsid w:val="00525F4A"/>
    <w:rsid w:val="00526A03"/>
    <w:rsid w:val="00526BA4"/>
    <w:rsid w:val="00526BE9"/>
    <w:rsid w:val="00527642"/>
    <w:rsid w:val="00527788"/>
    <w:rsid w:val="00527B8E"/>
    <w:rsid w:val="005300E8"/>
    <w:rsid w:val="0053041C"/>
    <w:rsid w:val="00530C74"/>
    <w:rsid w:val="0053111B"/>
    <w:rsid w:val="005316CC"/>
    <w:rsid w:val="005320B8"/>
    <w:rsid w:val="00532FE8"/>
    <w:rsid w:val="00533646"/>
    <w:rsid w:val="0053398D"/>
    <w:rsid w:val="00533D8B"/>
    <w:rsid w:val="00534C07"/>
    <w:rsid w:val="00534D5E"/>
    <w:rsid w:val="005357A5"/>
    <w:rsid w:val="005358E8"/>
    <w:rsid w:val="00535CAC"/>
    <w:rsid w:val="00535DF0"/>
    <w:rsid w:val="005360D0"/>
    <w:rsid w:val="005366F4"/>
    <w:rsid w:val="00537ABB"/>
    <w:rsid w:val="00537FD1"/>
    <w:rsid w:val="005401C4"/>
    <w:rsid w:val="00540598"/>
    <w:rsid w:val="0054203C"/>
    <w:rsid w:val="00542D01"/>
    <w:rsid w:val="005433CE"/>
    <w:rsid w:val="00543F37"/>
    <w:rsid w:val="00543F94"/>
    <w:rsid w:val="005445DF"/>
    <w:rsid w:val="0054483E"/>
    <w:rsid w:val="00544C9B"/>
    <w:rsid w:val="0054655C"/>
    <w:rsid w:val="00550CAA"/>
    <w:rsid w:val="005515D9"/>
    <w:rsid w:val="005526D4"/>
    <w:rsid w:val="00552857"/>
    <w:rsid w:val="00552915"/>
    <w:rsid w:val="00552D2A"/>
    <w:rsid w:val="00552E55"/>
    <w:rsid w:val="005533E8"/>
    <w:rsid w:val="00553F0D"/>
    <w:rsid w:val="0055435B"/>
    <w:rsid w:val="005544B7"/>
    <w:rsid w:val="00554C05"/>
    <w:rsid w:val="00554E6E"/>
    <w:rsid w:val="00555173"/>
    <w:rsid w:val="00556905"/>
    <w:rsid w:val="005609B9"/>
    <w:rsid w:val="0056107F"/>
    <w:rsid w:val="00561460"/>
    <w:rsid w:val="005619C5"/>
    <w:rsid w:val="0056207C"/>
    <w:rsid w:val="00562171"/>
    <w:rsid w:val="00562879"/>
    <w:rsid w:val="00562B4D"/>
    <w:rsid w:val="00563965"/>
    <w:rsid w:val="00563A21"/>
    <w:rsid w:val="00563AE9"/>
    <w:rsid w:val="00563C8C"/>
    <w:rsid w:val="00563CAF"/>
    <w:rsid w:val="00564171"/>
    <w:rsid w:val="005646CA"/>
    <w:rsid w:val="005649D9"/>
    <w:rsid w:val="00565333"/>
    <w:rsid w:val="00565F65"/>
    <w:rsid w:val="0056603C"/>
    <w:rsid w:val="00566851"/>
    <w:rsid w:val="005670D1"/>
    <w:rsid w:val="00567A68"/>
    <w:rsid w:val="00567D93"/>
    <w:rsid w:val="00570178"/>
    <w:rsid w:val="005710AD"/>
    <w:rsid w:val="00571617"/>
    <w:rsid w:val="00571C80"/>
    <w:rsid w:val="0057232B"/>
    <w:rsid w:val="00572357"/>
    <w:rsid w:val="00572BC7"/>
    <w:rsid w:val="005739C4"/>
    <w:rsid w:val="00574BB2"/>
    <w:rsid w:val="0057512F"/>
    <w:rsid w:val="005755DE"/>
    <w:rsid w:val="0057562A"/>
    <w:rsid w:val="00575CB5"/>
    <w:rsid w:val="00575DD5"/>
    <w:rsid w:val="00576C84"/>
    <w:rsid w:val="00577965"/>
    <w:rsid w:val="005779AD"/>
    <w:rsid w:val="00580FD0"/>
    <w:rsid w:val="0058174C"/>
    <w:rsid w:val="00581AB0"/>
    <w:rsid w:val="00581D8D"/>
    <w:rsid w:val="005822C1"/>
    <w:rsid w:val="00583E47"/>
    <w:rsid w:val="00584698"/>
    <w:rsid w:val="00584ED2"/>
    <w:rsid w:val="00585A87"/>
    <w:rsid w:val="00586E3B"/>
    <w:rsid w:val="00586ED6"/>
    <w:rsid w:val="00587171"/>
    <w:rsid w:val="00587B55"/>
    <w:rsid w:val="00590C1D"/>
    <w:rsid w:val="0059188E"/>
    <w:rsid w:val="005919E3"/>
    <w:rsid w:val="00592BE0"/>
    <w:rsid w:val="00592E0F"/>
    <w:rsid w:val="00593084"/>
    <w:rsid w:val="00593E7D"/>
    <w:rsid w:val="005941C1"/>
    <w:rsid w:val="00595628"/>
    <w:rsid w:val="00596372"/>
    <w:rsid w:val="0059641B"/>
    <w:rsid w:val="00596651"/>
    <w:rsid w:val="00597373"/>
    <w:rsid w:val="00597389"/>
    <w:rsid w:val="005975F6"/>
    <w:rsid w:val="0059776D"/>
    <w:rsid w:val="00597D20"/>
    <w:rsid w:val="005A04B0"/>
    <w:rsid w:val="005A135F"/>
    <w:rsid w:val="005A143E"/>
    <w:rsid w:val="005A14D8"/>
    <w:rsid w:val="005A1C91"/>
    <w:rsid w:val="005A1E3A"/>
    <w:rsid w:val="005A2D56"/>
    <w:rsid w:val="005A2F4D"/>
    <w:rsid w:val="005A30AB"/>
    <w:rsid w:val="005A488E"/>
    <w:rsid w:val="005A4CFD"/>
    <w:rsid w:val="005A619C"/>
    <w:rsid w:val="005A67FA"/>
    <w:rsid w:val="005A6BFD"/>
    <w:rsid w:val="005A6E8C"/>
    <w:rsid w:val="005A7202"/>
    <w:rsid w:val="005A7412"/>
    <w:rsid w:val="005A7909"/>
    <w:rsid w:val="005A7B92"/>
    <w:rsid w:val="005A7C76"/>
    <w:rsid w:val="005B1C61"/>
    <w:rsid w:val="005B1E4D"/>
    <w:rsid w:val="005B2582"/>
    <w:rsid w:val="005B29BE"/>
    <w:rsid w:val="005B30E2"/>
    <w:rsid w:val="005B3A44"/>
    <w:rsid w:val="005B3CA2"/>
    <w:rsid w:val="005B43B0"/>
    <w:rsid w:val="005B4EFB"/>
    <w:rsid w:val="005B51EF"/>
    <w:rsid w:val="005B55A4"/>
    <w:rsid w:val="005B63EF"/>
    <w:rsid w:val="005B6787"/>
    <w:rsid w:val="005B68C4"/>
    <w:rsid w:val="005B6B18"/>
    <w:rsid w:val="005B6D16"/>
    <w:rsid w:val="005B7B5E"/>
    <w:rsid w:val="005C09B8"/>
    <w:rsid w:val="005C18D4"/>
    <w:rsid w:val="005C1DC6"/>
    <w:rsid w:val="005C2649"/>
    <w:rsid w:val="005C2BDC"/>
    <w:rsid w:val="005C2C83"/>
    <w:rsid w:val="005C2D3E"/>
    <w:rsid w:val="005C492E"/>
    <w:rsid w:val="005C4AA3"/>
    <w:rsid w:val="005C5CAC"/>
    <w:rsid w:val="005C675F"/>
    <w:rsid w:val="005C705A"/>
    <w:rsid w:val="005C76D1"/>
    <w:rsid w:val="005C77A2"/>
    <w:rsid w:val="005C7C06"/>
    <w:rsid w:val="005C7C38"/>
    <w:rsid w:val="005D0A45"/>
    <w:rsid w:val="005D2303"/>
    <w:rsid w:val="005D2505"/>
    <w:rsid w:val="005D2698"/>
    <w:rsid w:val="005D2A77"/>
    <w:rsid w:val="005D303C"/>
    <w:rsid w:val="005D367F"/>
    <w:rsid w:val="005D3BFE"/>
    <w:rsid w:val="005D4691"/>
    <w:rsid w:val="005D669C"/>
    <w:rsid w:val="005D6885"/>
    <w:rsid w:val="005D6E1F"/>
    <w:rsid w:val="005D74AA"/>
    <w:rsid w:val="005D7784"/>
    <w:rsid w:val="005D7C2A"/>
    <w:rsid w:val="005E0D0A"/>
    <w:rsid w:val="005E17A8"/>
    <w:rsid w:val="005E22DD"/>
    <w:rsid w:val="005E49F4"/>
    <w:rsid w:val="005E5D6A"/>
    <w:rsid w:val="005E5DA1"/>
    <w:rsid w:val="005E617E"/>
    <w:rsid w:val="005E6AB5"/>
    <w:rsid w:val="005E6CD7"/>
    <w:rsid w:val="005E72B6"/>
    <w:rsid w:val="005E7312"/>
    <w:rsid w:val="005E78DF"/>
    <w:rsid w:val="005E7A8A"/>
    <w:rsid w:val="005E7E82"/>
    <w:rsid w:val="005F12F9"/>
    <w:rsid w:val="005F14A7"/>
    <w:rsid w:val="005F1825"/>
    <w:rsid w:val="005F311B"/>
    <w:rsid w:val="005F4C59"/>
    <w:rsid w:val="005F4E88"/>
    <w:rsid w:val="005F65FC"/>
    <w:rsid w:val="005F7135"/>
    <w:rsid w:val="005F7B83"/>
    <w:rsid w:val="00600698"/>
    <w:rsid w:val="00600FBA"/>
    <w:rsid w:val="006010A3"/>
    <w:rsid w:val="00602280"/>
    <w:rsid w:val="00602678"/>
    <w:rsid w:val="0060483D"/>
    <w:rsid w:val="00604E38"/>
    <w:rsid w:val="00605075"/>
    <w:rsid w:val="00605294"/>
    <w:rsid w:val="00605304"/>
    <w:rsid w:val="006055F4"/>
    <w:rsid w:val="006067CD"/>
    <w:rsid w:val="00606997"/>
    <w:rsid w:val="0060706D"/>
    <w:rsid w:val="00607875"/>
    <w:rsid w:val="00607C98"/>
    <w:rsid w:val="00607EA4"/>
    <w:rsid w:val="00610B6C"/>
    <w:rsid w:val="00611A42"/>
    <w:rsid w:val="00612D1E"/>
    <w:rsid w:val="00612EAB"/>
    <w:rsid w:val="0061338F"/>
    <w:rsid w:val="00614907"/>
    <w:rsid w:val="0061530E"/>
    <w:rsid w:val="0061632E"/>
    <w:rsid w:val="006166DD"/>
    <w:rsid w:val="00616AB5"/>
    <w:rsid w:val="0062041F"/>
    <w:rsid w:val="00621323"/>
    <w:rsid w:val="0062157A"/>
    <w:rsid w:val="00621ACA"/>
    <w:rsid w:val="006221FE"/>
    <w:rsid w:val="00622372"/>
    <w:rsid w:val="0062244D"/>
    <w:rsid w:val="006225BA"/>
    <w:rsid w:val="00622EA7"/>
    <w:rsid w:val="00623207"/>
    <w:rsid w:val="00624433"/>
    <w:rsid w:val="00624BEF"/>
    <w:rsid w:val="006250C0"/>
    <w:rsid w:val="00626C89"/>
    <w:rsid w:val="0063024A"/>
    <w:rsid w:val="00630379"/>
    <w:rsid w:val="0063038A"/>
    <w:rsid w:val="00630789"/>
    <w:rsid w:val="006317E6"/>
    <w:rsid w:val="0063197D"/>
    <w:rsid w:val="0063226D"/>
    <w:rsid w:val="006326C4"/>
    <w:rsid w:val="006328ED"/>
    <w:rsid w:val="006329E6"/>
    <w:rsid w:val="00633596"/>
    <w:rsid w:val="006338CB"/>
    <w:rsid w:val="006338DE"/>
    <w:rsid w:val="0063512B"/>
    <w:rsid w:val="0063562A"/>
    <w:rsid w:val="0064130F"/>
    <w:rsid w:val="006416B4"/>
    <w:rsid w:val="00641C0A"/>
    <w:rsid w:val="00642CEC"/>
    <w:rsid w:val="006432D8"/>
    <w:rsid w:val="006449BC"/>
    <w:rsid w:val="00644CE7"/>
    <w:rsid w:val="006450DE"/>
    <w:rsid w:val="00646BA5"/>
    <w:rsid w:val="0065066D"/>
    <w:rsid w:val="00650EAC"/>
    <w:rsid w:val="006539E3"/>
    <w:rsid w:val="00654E4B"/>
    <w:rsid w:val="00655C88"/>
    <w:rsid w:val="00656397"/>
    <w:rsid w:val="00656526"/>
    <w:rsid w:val="006574E3"/>
    <w:rsid w:val="00657DB9"/>
    <w:rsid w:val="0066033F"/>
    <w:rsid w:val="00661274"/>
    <w:rsid w:val="00662703"/>
    <w:rsid w:val="00663CB8"/>
    <w:rsid w:val="00663F93"/>
    <w:rsid w:val="006647AE"/>
    <w:rsid w:val="00664A11"/>
    <w:rsid w:val="00664AB9"/>
    <w:rsid w:val="00665579"/>
    <w:rsid w:val="00665598"/>
    <w:rsid w:val="00665B88"/>
    <w:rsid w:val="006665A4"/>
    <w:rsid w:val="00670158"/>
    <w:rsid w:val="0067042E"/>
    <w:rsid w:val="00670500"/>
    <w:rsid w:val="006705AF"/>
    <w:rsid w:val="0067152B"/>
    <w:rsid w:val="00671540"/>
    <w:rsid w:val="006725CC"/>
    <w:rsid w:val="006726A1"/>
    <w:rsid w:val="00672904"/>
    <w:rsid w:val="00672C1D"/>
    <w:rsid w:val="006746ED"/>
    <w:rsid w:val="00674BAE"/>
    <w:rsid w:val="006756A6"/>
    <w:rsid w:val="00675D91"/>
    <w:rsid w:val="00676062"/>
    <w:rsid w:val="0067799E"/>
    <w:rsid w:val="00677E2C"/>
    <w:rsid w:val="006809A3"/>
    <w:rsid w:val="00680B4D"/>
    <w:rsid w:val="00680DB5"/>
    <w:rsid w:val="006818DC"/>
    <w:rsid w:val="00682355"/>
    <w:rsid w:val="00683037"/>
    <w:rsid w:val="006846D2"/>
    <w:rsid w:val="0068551C"/>
    <w:rsid w:val="00685A02"/>
    <w:rsid w:val="00687211"/>
    <w:rsid w:val="006907C1"/>
    <w:rsid w:val="0069113B"/>
    <w:rsid w:val="00691F17"/>
    <w:rsid w:val="00692288"/>
    <w:rsid w:val="00692589"/>
    <w:rsid w:val="006925CC"/>
    <w:rsid w:val="00692B85"/>
    <w:rsid w:val="00693776"/>
    <w:rsid w:val="00693B0C"/>
    <w:rsid w:val="00693F0E"/>
    <w:rsid w:val="0069432E"/>
    <w:rsid w:val="00694E3D"/>
    <w:rsid w:val="00694FF3"/>
    <w:rsid w:val="006957B0"/>
    <w:rsid w:val="0069609A"/>
    <w:rsid w:val="006960A1"/>
    <w:rsid w:val="0069642E"/>
    <w:rsid w:val="00696DD4"/>
    <w:rsid w:val="00697C46"/>
    <w:rsid w:val="00697DD3"/>
    <w:rsid w:val="006A1966"/>
    <w:rsid w:val="006A25B3"/>
    <w:rsid w:val="006A2C77"/>
    <w:rsid w:val="006A3AE3"/>
    <w:rsid w:val="006A3BE3"/>
    <w:rsid w:val="006A3C62"/>
    <w:rsid w:val="006A3CD2"/>
    <w:rsid w:val="006A3DFB"/>
    <w:rsid w:val="006A4DB1"/>
    <w:rsid w:val="006A4E33"/>
    <w:rsid w:val="006A5453"/>
    <w:rsid w:val="006A5914"/>
    <w:rsid w:val="006A5C11"/>
    <w:rsid w:val="006A6709"/>
    <w:rsid w:val="006A6BC4"/>
    <w:rsid w:val="006A6EA8"/>
    <w:rsid w:val="006A7885"/>
    <w:rsid w:val="006B0A25"/>
    <w:rsid w:val="006B13E6"/>
    <w:rsid w:val="006B1502"/>
    <w:rsid w:val="006B1933"/>
    <w:rsid w:val="006B1D46"/>
    <w:rsid w:val="006B2286"/>
    <w:rsid w:val="006B2FE0"/>
    <w:rsid w:val="006B3420"/>
    <w:rsid w:val="006B5218"/>
    <w:rsid w:val="006B553C"/>
    <w:rsid w:val="006B61CE"/>
    <w:rsid w:val="006B6AAB"/>
    <w:rsid w:val="006B71AB"/>
    <w:rsid w:val="006B7615"/>
    <w:rsid w:val="006B7D29"/>
    <w:rsid w:val="006B7D92"/>
    <w:rsid w:val="006C0689"/>
    <w:rsid w:val="006C15EC"/>
    <w:rsid w:val="006C2850"/>
    <w:rsid w:val="006C2C7F"/>
    <w:rsid w:val="006C3B83"/>
    <w:rsid w:val="006C45F0"/>
    <w:rsid w:val="006C4B3C"/>
    <w:rsid w:val="006C568D"/>
    <w:rsid w:val="006C62AF"/>
    <w:rsid w:val="006C7421"/>
    <w:rsid w:val="006C7557"/>
    <w:rsid w:val="006C766B"/>
    <w:rsid w:val="006C7C14"/>
    <w:rsid w:val="006C7F47"/>
    <w:rsid w:val="006D00B0"/>
    <w:rsid w:val="006D0925"/>
    <w:rsid w:val="006D09B1"/>
    <w:rsid w:val="006D0C6D"/>
    <w:rsid w:val="006D0EC0"/>
    <w:rsid w:val="006D130E"/>
    <w:rsid w:val="006D13D6"/>
    <w:rsid w:val="006D1816"/>
    <w:rsid w:val="006D1FDA"/>
    <w:rsid w:val="006D3001"/>
    <w:rsid w:val="006D30CF"/>
    <w:rsid w:val="006D320A"/>
    <w:rsid w:val="006D3234"/>
    <w:rsid w:val="006D4879"/>
    <w:rsid w:val="006D4B23"/>
    <w:rsid w:val="006D51E2"/>
    <w:rsid w:val="006D54B8"/>
    <w:rsid w:val="006D5B9D"/>
    <w:rsid w:val="006D60CF"/>
    <w:rsid w:val="006D74BA"/>
    <w:rsid w:val="006D750A"/>
    <w:rsid w:val="006D7592"/>
    <w:rsid w:val="006E033D"/>
    <w:rsid w:val="006E0F9D"/>
    <w:rsid w:val="006E1488"/>
    <w:rsid w:val="006E2330"/>
    <w:rsid w:val="006E2500"/>
    <w:rsid w:val="006E282D"/>
    <w:rsid w:val="006E31FC"/>
    <w:rsid w:val="006E363C"/>
    <w:rsid w:val="006E3E13"/>
    <w:rsid w:val="006E411B"/>
    <w:rsid w:val="006E4259"/>
    <w:rsid w:val="006E4BF3"/>
    <w:rsid w:val="006E4C2D"/>
    <w:rsid w:val="006E5A7C"/>
    <w:rsid w:val="006E6A0F"/>
    <w:rsid w:val="006E6A8F"/>
    <w:rsid w:val="006E6FD4"/>
    <w:rsid w:val="006F0B17"/>
    <w:rsid w:val="006F0F04"/>
    <w:rsid w:val="006F1518"/>
    <w:rsid w:val="006F15C7"/>
    <w:rsid w:val="006F1E88"/>
    <w:rsid w:val="006F2156"/>
    <w:rsid w:val="006F2544"/>
    <w:rsid w:val="006F2A8F"/>
    <w:rsid w:val="006F3905"/>
    <w:rsid w:val="006F3B14"/>
    <w:rsid w:val="006F49C6"/>
    <w:rsid w:val="006F4FB0"/>
    <w:rsid w:val="006F52BF"/>
    <w:rsid w:val="006F5448"/>
    <w:rsid w:val="006F5A52"/>
    <w:rsid w:val="006F5D8B"/>
    <w:rsid w:val="006F62B0"/>
    <w:rsid w:val="006F715B"/>
    <w:rsid w:val="006F7744"/>
    <w:rsid w:val="007019A0"/>
    <w:rsid w:val="007022C0"/>
    <w:rsid w:val="00702DFD"/>
    <w:rsid w:val="007038D9"/>
    <w:rsid w:val="00704381"/>
    <w:rsid w:val="007043BA"/>
    <w:rsid w:val="00704AB3"/>
    <w:rsid w:val="00704E66"/>
    <w:rsid w:val="0070500D"/>
    <w:rsid w:val="007053FF"/>
    <w:rsid w:val="00705601"/>
    <w:rsid w:val="00705C43"/>
    <w:rsid w:val="00705E2D"/>
    <w:rsid w:val="00706662"/>
    <w:rsid w:val="0070673C"/>
    <w:rsid w:val="00706E64"/>
    <w:rsid w:val="007070DA"/>
    <w:rsid w:val="007070F0"/>
    <w:rsid w:val="007072E7"/>
    <w:rsid w:val="0070768F"/>
    <w:rsid w:val="007109D8"/>
    <w:rsid w:val="00711067"/>
    <w:rsid w:val="0071170C"/>
    <w:rsid w:val="00711BB0"/>
    <w:rsid w:val="00711D66"/>
    <w:rsid w:val="0071202E"/>
    <w:rsid w:val="0071322C"/>
    <w:rsid w:val="00713BE5"/>
    <w:rsid w:val="00713E72"/>
    <w:rsid w:val="00714402"/>
    <w:rsid w:val="00714791"/>
    <w:rsid w:val="00714BD7"/>
    <w:rsid w:val="00715AF5"/>
    <w:rsid w:val="00716377"/>
    <w:rsid w:val="007168D9"/>
    <w:rsid w:val="00716E88"/>
    <w:rsid w:val="007174C1"/>
    <w:rsid w:val="0071782F"/>
    <w:rsid w:val="00717ADB"/>
    <w:rsid w:val="00717B26"/>
    <w:rsid w:val="007201BB"/>
    <w:rsid w:val="00720415"/>
    <w:rsid w:val="00720592"/>
    <w:rsid w:val="007211BF"/>
    <w:rsid w:val="0072225D"/>
    <w:rsid w:val="00723E7D"/>
    <w:rsid w:val="00725381"/>
    <w:rsid w:val="007267BA"/>
    <w:rsid w:val="00726870"/>
    <w:rsid w:val="00727BF7"/>
    <w:rsid w:val="00730456"/>
    <w:rsid w:val="00731082"/>
    <w:rsid w:val="007313CF"/>
    <w:rsid w:val="007313D5"/>
    <w:rsid w:val="00731935"/>
    <w:rsid w:val="007329A1"/>
    <w:rsid w:val="00733B4C"/>
    <w:rsid w:val="00733E6C"/>
    <w:rsid w:val="0073479E"/>
    <w:rsid w:val="00734A0D"/>
    <w:rsid w:val="00734ADA"/>
    <w:rsid w:val="00734ADD"/>
    <w:rsid w:val="00736299"/>
    <w:rsid w:val="0073637D"/>
    <w:rsid w:val="00736C07"/>
    <w:rsid w:val="00737321"/>
    <w:rsid w:val="00737FC3"/>
    <w:rsid w:val="00740177"/>
    <w:rsid w:val="00740635"/>
    <w:rsid w:val="00740BA8"/>
    <w:rsid w:val="0074102A"/>
    <w:rsid w:val="007411DB"/>
    <w:rsid w:val="00742693"/>
    <w:rsid w:val="00742826"/>
    <w:rsid w:val="007429CF"/>
    <w:rsid w:val="00742BD7"/>
    <w:rsid w:val="00742EDF"/>
    <w:rsid w:val="00742F6C"/>
    <w:rsid w:val="00743342"/>
    <w:rsid w:val="00743513"/>
    <w:rsid w:val="00743806"/>
    <w:rsid w:val="00744FAF"/>
    <w:rsid w:val="0074563A"/>
    <w:rsid w:val="00746A17"/>
    <w:rsid w:val="00747010"/>
    <w:rsid w:val="007473F2"/>
    <w:rsid w:val="00747A50"/>
    <w:rsid w:val="007502A6"/>
    <w:rsid w:val="0075060F"/>
    <w:rsid w:val="0075069E"/>
    <w:rsid w:val="007509B5"/>
    <w:rsid w:val="00751B60"/>
    <w:rsid w:val="00752230"/>
    <w:rsid w:val="007524F0"/>
    <w:rsid w:val="007528B0"/>
    <w:rsid w:val="00752CF0"/>
    <w:rsid w:val="007537DA"/>
    <w:rsid w:val="00753EE7"/>
    <w:rsid w:val="0075444D"/>
    <w:rsid w:val="0075469E"/>
    <w:rsid w:val="00754760"/>
    <w:rsid w:val="007556E5"/>
    <w:rsid w:val="00757843"/>
    <w:rsid w:val="0075789C"/>
    <w:rsid w:val="0075799B"/>
    <w:rsid w:val="00760A0F"/>
    <w:rsid w:val="00761725"/>
    <w:rsid w:val="00761B19"/>
    <w:rsid w:val="0076271F"/>
    <w:rsid w:val="00763465"/>
    <w:rsid w:val="0076360A"/>
    <w:rsid w:val="007646FE"/>
    <w:rsid w:val="0076562E"/>
    <w:rsid w:val="00765B17"/>
    <w:rsid w:val="0076619B"/>
    <w:rsid w:val="0076665B"/>
    <w:rsid w:val="007671F8"/>
    <w:rsid w:val="00767369"/>
    <w:rsid w:val="00770048"/>
    <w:rsid w:val="007703A1"/>
    <w:rsid w:val="007707FE"/>
    <w:rsid w:val="00771815"/>
    <w:rsid w:val="00771A01"/>
    <w:rsid w:val="007720DF"/>
    <w:rsid w:val="00772181"/>
    <w:rsid w:val="00773128"/>
    <w:rsid w:val="00773778"/>
    <w:rsid w:val="00773B63"/>
    <w:rsid w:val="00774421"/>
    <w:rsid w:val="00775392"/>
    <w:rsid w:val="0077573D"/>
    <w:rsid w:val="00775E36"/>
    <w:rsid w:val="00776527"/>
    <w:rsid w:val="00777479"/>
    <w:rsid w:val="007805BC"/>
    <w:rsid w:val="00780651"/>
    <w:rsid w:val="007809D5"/>
    <w:rsid w:val="00781013"/>
    <w:rsid w:val="007812B7"/>
    <w:rsid w:val="00781EC8"/>
    <w:rsid w:val="0078385D"/>
    <w:rsid w:val="00784043"/>
    <w:rsid w:val="0078447C"/>
    <w:rsid w:val="00785304"/>
    <w:rsid w:val="007857BB"/>
    <w:rsid w:val="00785C82"/>
    <w:rsid w:val="00785D41"/>
    <w:rsid w:val="0078638F"/>
    <w:rsid w:val="00786DCD"/>
    <w:rsid w:val="00786E64"/>
    <w:rsid w:val="007870A5"/>
    <w:rsid w:val="00787B23"/>
    <w:rsid w:val="00787F35"/>
    <w:rsid w:val="00790A6A"/>
    <w:rsid w:val="00790BFA"/>
    <w:rsid w:val="00791D1B"/>
    <w:rsid w:val="00792DD2"/>
    <w:rsid w:val="00793AEA"/>
    <w:rsid w:val="00793AF1"/>
    <w:rsid w:val="0079637D"/>
    <w:rsid w:val="007966AD"/>
    <w:rsid w:val="0079676B"/>
    <w:rsid w:val="00796E1C"/>
    <w:rsid w:val="007A15E3"/>
    <w:rsid w:val="007A1AB9"/>
    <w:rsid w:val="007A220E"/>
    <w:rsid w:val="007A255C"/>
    <w:rsid w:val="007A2B33"/>
    <w:rsid w:val="007A3204"/>
    <w:rsid w:val="007A364F"/>
    <w:rsid w:val="007A410B"/>
    <w:rsid w:val="007A41F8"/>
    <w:rsid w:val="007A4A3C"/>
    <w:rsid w:val="007A4C0B"/>
    <w:rsid w:val="007A5153"/>
    <w:rsid w:val="007A6149"/>
    <w:rsid w:val="007A6E4C"/>
    <w:rsid w:val="007A7665"/>
    <w:rsid w:val="007A773A"/>
    <w:rsid w:val="007B07F5"/>
    <w:rsid w:val="007B0825"/>
    <w:rsid w:val="007B1D2C"/>
    <w:rsid w:val="007B2251"/>
    <w:rsid w:val="007B233C"/>
    <w:rsid w:val="007B2B9B"/>
    <w:rsid w:val="007B33E3"/>
    <w:rsid w:val="007B3496"/>
    <w:rsid w:val="007B43C0"/>
    <w:rsid w:val="007B449B"/>
    <w:rsid w:val="007B44BC"/>
    <w:rsid w:val="007B4697"/>
    <w:rsid w:val="007B4B7A"/>
    <w:rsid w:val="007B52C4"/>
    <w:rsid w:val="007B5527"/>
    <w:rsid w:val="007B5AB9"/>
    <w:rsid w:val="007B69C5"/>
    <w:rsid w:val="007C07A7"/>
    <w:rsid w:val="007C1C09"/>
    <w:rsid w:val="007C23AE"/>
    <w:rsid w:val="007C27FA"/>
    <w:rsid w:val="007C2825"/>
    <w:rsid w:val="007C2CE5"/>
    <w:rsid w:val="007C365E"/>
    <w:rsid w:val="007C379E"/>
    <w:rsid w:val="007C41DE"/>
    <w:rsid w:val="007C4804"/>
    <w:rsid w:val="007C5897"/>
    <w:rsid w:val="007C5C1C"/>
    <w:rsid w:val="007C7510"/>
    <w:rsid w:val="007C7623"/>
    <w:rsid w:val="007D0154"/>
    <w:rsid w:val="007D025D"/>
    <w:rsid w:val="007D0FDC"/>
    <w:rsid w:val="007D1021"/>
    <w:rsid w:val="007D2239"/>
    <w:rsid w:val="007D2F23"/>
    <w:rsid w:val="007D3A21"/>
    <w:rsid w:val="007D4645"/>
    <w:rsid w:val="007D495C"/>
    <w:rsid w:val="007D5A2E"/>
    <w:rsid w:val="007D5BEC"/>
    <w:rsid w:val="007D5C77"/>
    <w:rsid w:val="007D64A5"/>
    <w:rsid w:val="007D6F74"/>
    <w:rsid w:val="007D7517"/>
    <w:rsid w:val="007D7697"/>
    <w:rsid w:val="007D770B"/>
    <w:rsid w:val="007D7C3D"/>
    <w:rsid w:val="007E084D"/>
    <w:rsid w:val="007E0851"/>
    <w:rsid w:val="007E0AAD"/>
    <w:rsid w:val="007E1251"/>
    <w:rsid w:val="007E2680"/>
    <w:rsid w:val="007E3078"/>
    <w:rsid w:val="007E417C"/>
    <w:rsid w:val="007E4612"/>
    <w:rsid w:val="007E4F92"/>
    <w:rsid w:val="007E5792"/>
    <w:rsid w:val="007E591D"/>
    <w:rsid w:val="007E5ABD"/>
    <w:rsid w:val="007E6371"/>
    <w:rsid w:val="007E65AC"/>
    <w:rsid w:val="007E774B"/>
    <w:rsid w:val="007F02F0"/>
    <w:rsid w:val="007F28A7"/>
    <w:rsid w:val="007F2B5B"/>
    <w:rsid w:val="007F2C28"/>
    <w:rsid w:val="007F2E22"/>
    <w:rsid w:val="007F2FE6"/>
    <w:rsid w:val="007F30EA"/>
    <w:rsid w:val="007F3393"/>
    <w:rsid w:val="007F3D38"/>
    <w:rsid w:val="007F455F"/>
    <w:rsid w:val="007F53F5"/>
    <w:rsid w:val="007F5FA3"/>
    <w:rsid w:val="007F7520"/>
    <w:rsid w:val="007F7548"/>
    <w:rsid w:val="007F75A0"/>
    <w:rsid w:val="008016D7"/>
    <w:rsid w:val="00802CDD"/>
    <w:rsid w:val="008033DA"/>
    <w:rsid w:val="00803458"/>
    <w:rsid w:val="0080472B"/>
    <w:rsid w:val="00804C8B"/>
    <w:rsid w:val="00804CF2"/>
    <w:rsid w:val="00805812"/>
    <w:rsid w:val="0080731C"/>
    <w:rsid w:val="0081054B"/>
    <w:rsid w:val="0081069F"/>
    <w:rsid w:val="0081119A"/>
    <w:rsid w:val="00811330"/>
    <w:rsid w:val="008139C1"/>
    <w:rsid w:val="00814311"/>
    <w:rsid w:val="00814903"/>
    <w:rsid w:val="008158E4"/>
    <w:rsid w:val="00815988"/>
    <w:rsid w:val="00815ACD"/>
    <w:rsid w:val="00815C4B"/>
    <w:rsid w:val="008162A2"/>
    <w:rsid w:val="0082074C"/>
    <w:rsid w:val="00820941"/>
    <w:rsid w:val="00822342"/>
    <w:rsid w:val="008228A9"/>
    <w:rsid w:val="00822A20"/>
    <w:rsid w:val="00823028"/>
    <w:rsid w:val="008244F7"/>
    <w:rsid w:val="0082597B"/>
    <w:rsid w:val="008262F1"/>
    <w:rsid w:val="0082660A"/>
    <w:rsid w:val="00826809"/>
    <w:rsid w:val="0082687E"/>
    <w:rsid w:val="00826FA3"/>
    <w:rsid w:val="008304A6"/>
    <w:rsid w:val="00831194"/>
    <w:rsid w:val="0083132B"/>
    <w:rsid w:val="008313EF"/>
    <w:rsid w:val="00831CF9"/>
    <w:rsid w:val="00832791"/>
    <w:rsid w:val="00833A24"/>
    <w:rsid w:val="00835D94"/>
    <w:rsid w:val="00836F5F"/>
    <w:rsid w:val="00837475"/>
    <w:rsid w:val="0084146D"/>
    <w:rsid w:val="00842452"/>
    <w:rsid w:val="00842AD6"/>
    <w:rsid w:val="00843F1D"/>
    <w:rsid w:val="0084544A"/>
    <w:rsid w:val="008504CE"/>
    <w:rsid w:val="00850756"/>
    <w:rsid w:val="008509F6"/>
    <w:rsid w:val="00850BBE"/>
    <w:rsid w:val="00850EA1"/>
    <w:rsid w:val="00850FF5"/>
    <w:rsid w:val="008510B3"/>
    <w:rsid w:val="00851793"/>
    <w:rsid w:val="008519CA"/>
    <w:rsid w:val="00851CBD"/>
    <w:rsid w:val="00852400"/>
    <w:rsid w:val="00852B85"/>
    <w:rsid w:val="008537F6"/>
    <w:rsid w:val="0085402A"/>
    <w:rsid w:val="008545DB"/>
    <w:rsid w:val="008545E9"/>
    <w:rsid w:val="0085467E"/>
    <w:rsid w:val="00854BA8"/>
    <w:rsid w:val="00854FF2"/>
    <w:rsid w:val="0085547F"/>
    <w:rsid w:val="008565FB"/>
    <w:rsid w:val="00856EA7"/>
    <w:rsid w:val="008570F3"/>
    <w:rsid w:val="008575D5"/>
    <w:rsid w:val="00857780"/>
    <w:rsid w:val="00860437"/>
    <w:rsid w:val="00860560"/>
    <w:rsid w:val="00860612"/>
    <w:rsid w:val="00860E28"/>
    <w:rsid w:val="008618A0"/>
    <w:rsid w:val="00862D89"/>
    <w:rsid w:val="0086320D"/>
    <w:rsid w:val="00863A98"/>
    <w:rsid w:val="00863E02"/>
    <w:rsid w:val="00864100"/>
    <w:rsid w:val="008657CF"/>
    <w:rsid w:val="008657FE"/>
    <w:rsid w:val="00865C62"/>
    <w:rsid w:val="008667E0"/>
    <w:rsid w:val="00867C71"/>
    <w:rsid w:val="008702D5"/>
    <w:rsid w:val="0087039F"/>
    <w:rsid w:val="00870891"/>
    <w:rsid w:val="00870B63"/>
    <w:rsid w:val="008719F6"/>
    <w:rsid w:val="008727DD"/>
    <w:rsid w:val="008736B7"/>
    <w:rsid w:val="00873D32"/>
    <w:rsid w:val="00873DF7"/>
    <w:rsid w:val="00874A39"/>
    <w:rsid w:val="0087599C"/>
    <w:rsid w:val="0087601D"/>
    <w:rsid w:val="00876152"/>
    <w:rsid w:val="00877C10"/>
    <w:rsid w:val="00877D3F"/>
    <w:rsid w:val="00880CE8"/>
    <w:rsid w:val="00880F01"/>
    <w:rsid w:val="00881825"/>
    <w:rsid w:val="00881926"/>
    <w:rsid w:val="00882169"/>
    <w:rsid w:val="00885010"/>
    <w:rsid w:val="0088563D"/>
    <w:rsid w:val="00885D4E"/>
    <w:rsid w:val="00890084"/>
    <w:rsid w:val="008906D9"/>
    <w:rsid w:val="00890CED"/>
    <w:rsid w:val="00890DC9"/>
    <w:rsid w:val="0089103F"/>
    <w:rsid w:val="008922D3"/>
    <w:rsid w:val="00893146"/>
    <w:rsid w:val="00893CAD"/>
    <w:rsid w:val="0089440C"/>
    <w:rsid w:val="00894587"/>
    <w:rsid w:val="00894C4C"/>
    <w:rsid w:val="00894C84"/>
    <w:rsid w:val="008959CA"/>
    <w:rsid w:val="008961B9"/>
    <w:rsid w:val="00896697"/>
    <w:rsid w:val="00896DF0"/>
    <w:rsid w:val="00897DB4"/>
    <w:rsid w:val="008A01F5"/>
    <w:rsid w:val="008A1CDA"/>
    <w:rsid w:val="008A1F9A"/>
    <w:rsid w:val="008A299C"/>
    <w:rsid w:val="008A2A07"/>
    <w:rsid w:val="008A3532"/>
    <w:rsid w:val="008A3555"/>
    <w:rsid w:val="008A3A78"/>
    <w:rsid w:val="008A41A0"/>
    <w:rsid w:val="008A4240"/>
    <w:rsid w:val="008A4B85"/>
    <w:rsid w:val="008A5047"/>
    <w:rsid w:val="008A510C"/>
    <w:rsid w:val="008A5602"/>
    <w:rsid w:val="008A5700"/>
    <w:rsid w:val="008A5B63"/>
    <w:rsid w:val="008A6472"/>
    <w:rsid w:val="008A66FF"/>
    <w:rsid w:val="008A72F9"/>
    <w:rsid w:val="008A7A40"/>
    <w:rsid w:val="008B0109"/>
    <w:rsid w:val="008B0448"/>
    <w:rsid w:val="008B0584"/>
    <w:rsid w:val="008B09F9"/>
    <w:rsid w:val="008B0B9E"/>
    <w:rsid w:val="008B0C8A"/>
    <w:rsid w:val="008B0D0B"/>
    <w:rsid w:val="008B0D2E"/>
    <w:rsid w:val="008B137E"/>
    <w:rsid w:val="008B18D4"/>
    <w:rsid w:val="008B2143"/>
    <w:rsid w:val="008B2145"/>
    <w:rsid w:val="008B287E"/>
    <w:rsid w:val="008B3452"/>
    <w:rsid w:val="008B36E8"/>
    <w:rsid w:val="008B37FF"/>
    <w:rsid w:val="008B3C46"/>
    <w:rsid w:val="008B3DE7"/>
    <w:rsid w:val="008B5A2E"/>
    <w:rsid w:val="008B6E57"/>
    <w:rsid w:val="008B7425"/>
    <w:rsid w:val="008B761A"/>
    <w:rsid w:val="008B7B13"/>
    <w:rsid w:val="008C00DD"/>
    <w:rsid w:val="008C05C0"/>
    <w:rsid w:val="008C1A0B"/>
    <w:rsid w:val="008C1AD0"/>
    <w:rsid w:val="008C205D"/>
    <w:rsid w:val="008C21F9"/>
    <w:rsid w:val="008C29FF"/>
    <w:rsid w:val="008C2DB1"/>
    <w:rsid w:val="008C3D18"/>
    <w:rsid w:val="008C44FE"/>
    <w:rsid w:val="008C5BDB"/>
    <w:rsid w:val="008C63F6"/>
    <w:rsid w:val="008C6615"/>
    <w:rsid w:val="008C6786"/>
    <w:rsid w:val="008C7514"/>
    <w:rsid w:val="008D0EC7"/>
    <w:rsid w:val="008D1719"/>
    <w:rsid w:val="008D18C8"/>
    <w:rsid w:val="008D2803"/>
    <w:rsid w:val="008D315F"/>
    <w:rsid w:val="008D334A"/>
    <w:rsid w:val="008D35B2"/>
    <w:rsid w:val="008D3B4E"/>
    <w:rsid w:val="008D3E57"/>
    <w:rsid w:val="008D4118"/>
    <w:rsid w:val="008D4352"/>
    <w:rsid w:val="008D5C5A"/>
    <w:rsid w:val="008D5F8D"/>
    <w:rsid w:val="008D6587"/>
    <w:rsid w:val="008D7532"/>
    <w:rsid w:val="008D7BC2"/>
    <w:rsid w:val="008E09FB"/>
    <w:rsid w:val="008E0DE1"/>
    <w:rsid w:val="008E0E50"/>
    <w:rsid w:val="008E1A75"/>
    <w:rsid w:val="008E2677"/>
    <w:rsid w:val="008E3188"/>
    <w:rsid w:val="008E3FEF"/>
    <w:rsid w:val="008E43F7"/>
    <w:rsid w:val="008E554F"/>
    <w:rsid w:val="008E65E1"/>
    <w:rsid w:val="008E6F4D"/>
    <w:rsid w:val="008E7852"/>
    <w:rsid w:val="008F0176"/>
    <w:rsid w:val="008F1419"/>
    <w:rsid w:val="008F1E3A"/>
    <w:rsid w:val="008F2726"/>
    <w:rsid w:val="008F4338"/>
    <w:rsid w:val="008F4BD6"/>
    <w:rsid w:val="008F543C"/>
    <w:rsid w:val="008F57F6"/>
    <w:rsid w:val="008F6530"/>
    <w:rsid w:val="008F67EA"/>
    <w:rsid w:val="008F7433"/>
    <w:rsid w:val="008F7487"/>
    <w:rsid w:val="008F7AFA"/>
    <w:rsid w:val="00900022"/>
    <w:rsid w:val="0090068B"/>
    <w:rsid w:val="009013B7"/>
    <w:rsid w:val="00901910"/>
    <w:rsid w:val="0090326D"/>
    <w:rsid w:val="009033FA"/>
    <w:rsid w:val="00903CFB"/>
    <w:rsid w:val="00903D0F"/>
    <w:rsid w:val="00903F58"/>
    <w:rsid w:val="009046B3"/>
    <w:rsid w:val="00904819"/>
    <w:rsid w:val="009048F2"/>
    <w:rsid w:val="00904B6B"/>
    <w:rsid w:val="00904BC5"/>
    <w:rsid w:val="00904DD5"/>
    <w:rsid w:val="00906388"/>
    <w:rsid w:val="0090638E"/>
    <w:rsid w:val="00906D01"/>
    <w:rsid w:val="009100EB"/>
    <w:rsid w:val="00910B04"/>
    <w:rsid w:val="00910C50"/>
    <w:rsid w:val="009114D4"/>
    <w:rsid w:val="00911789"/>
    <w:rsid w:val="00911AD8"/>
    <w:rsid w:val="00914129"/>
    <w:rsid w:val="00914E70"/>
    <w:rsid w:val="00916178"/>
    <w:rsid w:val="00916237"/>
    <w:rsid w:val="009165F1"/>
    <w:rsid w:val="009168C7"/>
    <w:rsid w:val="00916C77"/>
    <w:rsid w:val="009173B9"/>
    <w:rsid w:val="00917CB6"/>
    <w:rsid w:val="0092001C"/>
    <w:rsid w:val="00920096"/>
    <w:rsid w:val="00920656"/>
    <w:rsid w:val="009206A9"/>
    <w:rsid w:val="009207F5"/>
    <w:rsid w:val="0092092A"/>
    <w:rsid w:val="00920DAC"/>
    <w:rsid w:val="009212DF"/>
    <w:rsid w:val="00923F34"/>
    <w:rsid w:val="00924041"/>
    <w:rsid w:val="009244E4"/>
    <w:rsid w:val="00924EBD"/>
    <w:rsid w:val="00925125"/>
    <w:rsid w:val="009262A2"/>
    <w:rsid w:val="00926CAD"/>
    <w:rsid w:val="009276EC"/>
    <w:rsid w:val="00930397"/>
    <w:rsid w:val="009307C3"/>
    <w:rsid w:val="00930801"/>
    <w:rsid w:val="00930899"/>
    <w:rsid w:val="00931362"/>
    <w:rsid w:val="00932BD4"/>
    <w:rsid w:val="00933504"/>
    <w:rsid w:val="00933536"/>
    <w:rsid w:val="00933BB2"/>
    <w:rsid w:val="00933FCF"/>
    <w:rsid w:val="0093444B"/>
    <w:rsid w:val="00934FC7"/>
    <w:rsid w:val="00935085"/>
    <w:rsid w:val="00935F1D"/>
    <w:rsid w:val="00936464"/>
    <w:rsid w:val="0093723D"/>
    <w:rsid w:val="00937AB5"/>
    <w:rsid w:val="00941B0B"/>
    <w:rsid w:val="00941D98"/>
    <w:rsid w:val="009420D9"/>
    <w:rsid w:val="00943305"/>
    <w:rsid w:val="0094411F"/>
    <w:rsid w:val="009447F7"/>
    <w:rsid w:val="00945C92"/>
    <w:rsid w:val="0094686E"/>
    <w:rsid w:val="00946BF7"/>
    <w:rsid w:val="00951A7E"/>
    <w:rsid w:val="009525ED"/>
    <w:rsid w:val="00952D7D"/>
    <w:rsid w:val="00954673"/>
    <w:rsid w:val="00954D52"/>
    <w:rsid w:val="0095587B"/>
    <w:rsid w:val="0095637F"/>
    <w:rsid w:val="009564CB"/>
    <w:rsid w:val="00957606"/>
    <w:rsid w:val="00957DBE"/>
    <w:rsid w:val="00960416"/>
    <w:rsid w:val="00960C22"/>
    <w:rsid w:val="00961034"/>
    <w:rsid w:val="00961DA8"/>
    <w:rsid w:val="0096221A"/>
    <w:rsid w:val="009625F8"/>
    <w:rsid w:val="00962C21"/>
    <w:rsid w:val="00962D11"/>
    <w:rsid w:val="00962E99"/>
    <w:rsid w:val="00963FD1"/>
    <w:rsid w:val="00965D78"/>
    <w:rsid w:val="00966890"/>
    <w:rsid w:val="0096737D"/>
    <w:rsid w:val="009676F0"/>
    <w:rsid w:val="0097051D"/>
    <w:rsid w:val="00970C23"/>
    <w:rsid w:val="009716A4"/>
    <w:rsid w:val="0097240B"/>
    <w:rsid w:val="00972516"/>
    <w:rsid w:val="00972D29"/>
    <w:rsid w:val="009734F9"/>
    <w:rsid w:val="0097381F"/>
    <w:rsid w:val="009738E7"/>
    <w:rsid w:val="0097476F"/>
    <w:rsid w:val="009747DA"/>
    <w:rsid w:val="00974894"/>
    <w:rsid w:val="00974BBE"/>
    <w:rsid w:val="009754D9"/>
    <w:rsid w:val="009757CB"/>
    <w:rsid w:val="00976934"/>
    <w:rsid w:val="00977BE8"/>
    <w:rsid w:val="00980132"/>
    <w:rsid w:val="00980B89"/>
    <w:rsid w:val="00980E44"/>
    <w:rsid w:val="0098165A"/>
    <w:rsid w:val="00981D3D"/>
    <w:rsid w:val="00982B42"/>
    <w:rsid w:val="0098368D"/>
    <w:rsid w:val="00984496"/>
    <w:rsid w:val="00984D99"/>
    <w:rsid w:val="009859B7"/>
    <w:rsid w:val="00985A33"/>
    <w:rsid w:val="00985BE0"/>
    <w:rsid w:val="00987605"/>
    <w:rsid w:val="00987B03"/>
    <w:rsid w:val="00987E18"/>
    <w:rsid w:val="0099006F"/>
    <w:rsid w:val="009909D2"/>
    <w:rsid w:val="00991010"/>
    <w:rsid w:val="0099162B"/>
    <w:rsid w:val="00991F70"/>
    <w:rsid w:val="009922CC"/>
    <w:rsid w:val="00992FC8"/>
    <w:rsid w:val="00993926"/>
    <w:rsid w:val="00993F66"/>
    <w:rsid w:val="0099458F"/>
    <w:rsid w:val="009946AE"/>
    <w:rsid w:val="0099481B"/>
    <w:rsid w:val="00994C22"/>
    <w:rsid w:val="0099546F"/>
    <w:rsid w:val="0099618A"/>
    <w:rsid w:val="009969D3"/>
    <w:rsid w:val="00996D1F"/>
    <w:rsid w:val="009A028C"/>
    <w:rsid w:val="009A0E63"/>
    <w:rsid w:val="009A1F1B"/>
    <w:rsid w:val="009A227E"/>
    <w:rsid w:val="009A23AF"/>
    <w:rsid w:val="009A2509"/>
    <w:rsid w:val="009A59C5"/>
    <w:rsid w:val="009A5BB5"/>
    <w:rsid w:val="009A6269"/>
    <w:rsid w:val="009A6383"/>
    <w:rsid w:val="009A774D"/>
    <w:rsid w:val="009B02E4"/>
    <w:rsid w:val="009B0588"/>
    <w:rsid w:val="009B08E4"/>
    <w:rsid w:val="009B1A1B"/>
    <w:rsid w:val="009B2C1E"/>
    <w:rsid w:val="009B2CDE"/>
    <w:rsid w:val="009B303B"/>
    <w:rsid w:val="009B3305"/>
    <w:rsid w:val="009B36F6"/>
    <w:rsid w:val="009B39F4"/>
    <w:rsid w:val="009B3B5E"/>
    <w:rsid w:val="009B3DAF"/>
    <w:rsid w:val="009B3F63"/>
    <w:rsid w:val="009B4111"/>
    <w:rsid w:val="009B424F"/>
    <w:rsid w:val="009B4287"/>
    <w:rsid w:val="009B4D6C"/>
    <w:rsid w:val="009B5A1C"/>
    <w:rsid w:val="009B634E"/>
    <w:rsid w:val="009B6449"/>
    <w:rsid w:val="009B6DB6"/>
    <w:rsid w:val="009B73F5"/>
    <w:rsid w:val="009B7B80"/>
    <w:rsid w:val="009C0F94"/>
    <w:rsid w:val="009C1E02"/>
    <w:rsid w:val="009C2163"/>
    <w:rsid w:val="009C2D77"/>
    <w:rsid w:val="009C2DDA"/>
    <w:rsid w:val="009C347F"/>
    <w:rsid w:val="009C37BF"/>
    <w:rsid w:val="009C4EAE"/>
    <w:rsid w:val="009C583A"/>
    <w:rsid w:val="009C6028"/>
    <w:rsid w:val="009C6672"/>
    <w:rsid w:val="009C78F8"/>
    <w:rsid w:val="009C792B"/>
    <w:rsid w:val="009D0304"/>
    <w:rsid w:val="009D03C2"/>
    <w:rsid w:val="009D113B"/>
    <w:rsid w:val="009D1AE4"/>
    <w:rsid w:val="009D20EC"/>
    <w:rsid w:val="009D214C"/>
    <w:rsid w:val="009D21BC"/>
    <w:rsid w:val="009D27E9"/>
    <w:rsid w:val="009D2F68"/>
    <w:rsid w:val="009D363D"/>
    <w:rsid w:val="009D489C"/>
    <w:rsid w:val="009D52D6"/>
    <w:rsid w:val="009D5780"/>
    <w:rsid w:val="009D5B3A"/>
    <w:rsid w:val="009D5D54"/>
    <w:rsid w:val="009D5DD1"/>
    <w:rsid w:val="009E0D8E"/>
    <w:rsid w:val="009E1298"/>
    <w:rsid w:val="009E1458"/>
    <w:rsid w:val="009E1AB8"/>
    <w:rsid w:val="009E2A6D"/>
    <w:rsid w:val="009E3D68"/>
    <w:rsid w:val="009E3EC8"/>
    <w:rsid w:val="009E41C2"/>
    <w:rsid w:val="009E4609"/>
    <w:rsid w:val="009E4723"/>
    <w:rsid w:val="009E4F52"/>
    <w:rsid w:val="009E53F7"/>
    <w:rsid w:val="009E596E"/>
    <w:rsid w:val="009E6463"/>
    <w:rsid w:val="009E6764"/>
    <w:rsid w:val="009E6BEB"/>
    <w:rsid w:val="009E6DDB"/>
    <w:rsid w:val="009E6F1E"/>
    <w:rsid w:val="009F03AC"/>
    <w:rsid w:val="009F0685"/>
    <w:rsid w:val="009F070A"/>
    <w:rsid w:val="009F10D8"/>
    <w:rsid w:val="009F1937"/>
    <w:rsid w:val="009F2115"/>
    <w:rsid w:val="009F25B6"/>
    <w:rsid w:val="009F29A9"/>
    <w:rsid w:val="009F38DA"/>
    <w:rsid w:val="009F4C94"/>
    <w:rsid w:val="009F53AE"/>
    <w:rsid w:val="009F548A"/>
    <w:rsid w:val="009F556F"/>
    <w:rsid w:val="009F6F66"/>
    <w:rsid w:val="009F7353"/>
    <w:rsid w:val="009F75EA"/>
    <w:rsid w:val="009F778C"/>
    <w:rsid w:val="009F7BE3"/>
    <w:rsid w:val="00A0183B"/>
    <w:rsid w:val="00A02AB1"/>
    <w:rsid w:val="00A0362D"/>
    <w:rsid w:val="00A042FA"/>
    <w:rsid w:val="00A04635"/>
    <w:rsid w:val="00A0569D"/>
    <w:rsid w:val="00A059AD"/>
    <w:rsid w:val="00A05B50"/>
    <w:rsid w:val="00A05D0A"/>
    <w:rsid w:val="00A05E4F"/>
    <w:rsid w:val="00A0600B"/>
    <w:rsid w:val="00A1000E"/>
    <w:rsid w:val="00A10354"/>
    <w:rsid w:val="00A10A9E"/>
    <w:rsid w:val="00A10EFE"/>
    <w:rsid w:val="00A11093"/>
    <w:rsid w:val="00A1148C"/>
    <w:rsid w:val="00A11DC6"/>
    <w:rsid w:val="00A11DEC"/>
    <w:rsid w:val="00A11ECA"/>
    <w:rsid w:val="00A12034"/>
    <w:rsid w:val="00A120DC"/>
    <w:rsid w:val="00A126A2"/>
    <w:rsid w:val="00A12AB2"/>
    <w:rsid w:val="00A12D0A"/>
    <w:rsid w:val="00A135FB"/>
    <w:rsid w:val="00A139F7"/>
    <w:rsid w:val="00A15482"/>
    <w:rsid w:val="00A15DC6"/>
    <w:rsid w:val="00A16115"/>
    <w:rsid w:val="00A16696"/>
    <w:rsid w:val="00A178D3"/>
    <w:rsid w:val="00A2018F"/>
    <w:rsid w:val="00A201EB"/>
    <w:rsid w:val="00A20288"/>
    <w:rsid w:val="00A20495"/>
    <w:rsid w:val="00A208B3"/>
    <w:rsid w:val="00A20964"/>
    <w:rsid w:val="00A20A6D"/>
    <w:rsid w:val="00A2121B"/>
    <w:rsid w:val="00A226DB"/>
    <w:rsid w:val="00A235B0"/>
    <w:rsid w:val="00A238B0"/>
    <w:rsid w:val="00A23C0A"/>
    <w:rsid w:val="00A23E41"/>
    <w:rsid w:val="00A25343"/>
    <w:rsid w:val="00A255D8"/>
    <w:rsid w:val="00A2685A"/>
    <w:rsid w:val="00A26D8B"/>
    <w:rsid w:val="00A2739D"/>
    <w:rsid w:val="00A303FE"/>
    <w:rsid w:val="00A30911"/>
    <w:rsid w:val="00A3109A"/>
    <w:rsid w:val="00A31871"/>
    <w:rsid w:val="00A319C7"/>
    <w:rsid w:val="00A32188"/>
    <w:rsid w:val="00A321F0"/>
    <w:rsid w:val="00A331B8"/>
    <w:rsid w:val="00A33BC2"/>
    <w:rsid w:val="00A34A90"/>
    <w:rsid w:val="00A35A54"/>
    <w:rsid w:val="00A3684F"/>
    <w:rsid w:val="00A37435"/>
    <w:rsid w:val="00A37659"/>
    <w:rsid w:val="00A37E50"/>
    <w:rsid w:val="00A406C0"/>
    <w:rsid w:val="00A415AC"/>
    <w:rsid w:val="00A41CD1"/>
    <w:rsid w:val="00A42BAA"/>
    <w:rsid w:val="00A42CF8"/>
    <w:rsid w:val="00A4309C"/>
    <w:rsid w:val="00A4358B"/>
    <w:rsid w:val="00A43BB0"/>
    <w:rsid w:val="00A4406F"/>
    <w:rsid w:val="00A44C7A"/>
    <w:rsid w:val="00A44E16"/>
    <w:rsid w:val="00A455EE"/>
    <w:rsid w:val="00A45D3E"/>
    <w:rsid w:val="00A46393"/>
    <w:rsid w:val="00A46A70"/>
    <w:rsid w:val="00A473E5"/>
    <w:rsid w:val="00A47973"/>
    <w:rsid w:val="00A5071C"/>
    <w:rsid w:val="00A507BD"/>
    <w:rsid w:val="00A5234B"/>
    <w:rsid w:val="00A53452"/>
    <w:rsid w:val="00A54DBD"/>
    <w:rsid w:val="00A54F30"/>
    <w:rsid w:val="00A55007"/>
    <w:rsid w:val="00A55601"/>
    <w:rsid w:val="00A55A6A"/>
    <w:rsid w:val="00A55FC1"/>
    <w:rsid w:val="00A56D2C"/>
    <w:rsid w:val="00A57732"/>
    <w:rsid w:val="00A57A06"/>
    <w:rsid w:val="00A60CED"/>
    <w:rsid w:val="00A610C7"/>
    <w:rsid w:val="00A625EB"/>
    <w:rsid w:val="00A62607"/>
    <w:rsid w:val="00A63247"/>
    <w:rsid w:val="00A64BEE"/>
    <w:rsid w:val="00A65051"/>
    <w:rsid w:val="00A661BB"/>
    <w:rsid w:val="00A67155"/>
    <w:rsid w:val="00A67934"/>
    <w:rsid w:val="00A67BD3"/>
    <w:rsid w:val="00A706DA"/>
    <w:rsid w:val="00A70D3A"/>
    <w:rsid w:val="00A70EB0"/>
    <w:rsid w:val="00A715FF"/>
    <w:rsid w:val="00A71A10"/>
    <w:rsid w:val="00A71E57"/>
    <w:rsid w:val="00A7274E"/>
    <w:rsid w:val="00A728C0"/>
    <w:rsid w:val="00A73984"/>
    <w:rsid w:val="00A73B62"/>
    <w:rsid w:val="00A73EF3"/>
    <w:rsid w:val="00A746E8"/>
    <w:rsid w:val="00A74861"/>
    <w:rsid w:val="00A759D0"/>
    <w:rsid w:val="00A75F0C"/>
    <w:rsid w:val="00A75F4C"/>
    <w:rsid w:val="00A763A8"/>
    <w:rsid w:val="00A76A75"/>
    <w:rsid w:val="00A76DD0"/>
    <w:rsid w:val="00A76F44"/>
    <w:rsid w:val="00A771A4"/>
    <w:rsid w:val="00A804B6"/>
    <w:rsid w:val="00A8057F"/>
    <w:rsid w:val="00A81B62"/>
    <w:rsid w:val="00A82246"/>
    <w:rsid w:val="00A824E8"/>
    <w:rsid w:val="00A82C3D"/>
    <w:rsid w:val="00A836C0"/>
    <w:rsid w:val="00A83BCD"/>
    <w:rsid w:val="00A83CCB"/>
    <w:rsid w:val="00A83D77"/>
    <w:rsid w:val="00A845CB"/>
    <w:rsid w:val="00A8529B"/>
    <w:rsid w:val="00A853B6"/>
    <w:rsid w:val="00A85A07"/>
    <w:rsid w:val="00A85B37"/>
    <w:rsid w:val="00A85D46"/>
    <w:rsid w:val="00A860C9"/>
    <w:rsid w:val="00A90B18"/>
    <w:rsid w:val="00A91D44"/>
    <w:rsid w:val="00A9205E"/>
    <w:rsid w:val="00A92882"/>
    <w:rsid w:val="00A92EA3"/>
    <w:rsid w:val="00A9341F"/>
    <w:rsid w:val="00A93702"/>
    <w:rsid w:val="00A9435F"/>
    <w:rsid w:val="00A94F21"/>
    <w:rsid w:val="00A955B1"/>
    <w:rsid w:val="00A97B3B"/>
    <w:rsid w:val="00A97B93"/>
    <w:rsid w:val="00A97D10"/>
    <w:rsid w:val="00AA039D"/>
    <w:rsid w:val="00AA0BC8"/>
    <w:rsid w:val="00AA0E74"/>
    <w:rsid w:val="00AA1F1B"/>
    <w:rsid w:val="00AA2147"/>
    <w:rsid w:val="00AA22F0"/>
    <w:rsid w:val="00AA2643"/>
    <w:rsid w:val="00AA2C0F"/>
    <w:rsid w:val="00AA2FAB"/>
    <w:rsid w:val="00AA3B1D"/>
    <w:rsid w:val="00AA46F2"/>
    <w:rsid w:val="00AA5482"/>
    <w:rsid w:val="00AA65E4"/>
    <w:rsid w:val="00AA6DB0"/>
    <w:rsid w:val="00AB06B1"/>
    <w:rsid w:val="00AB126E"/>
    <w:rsid w:val="00AB14B8"/>
    <w:rsid w:val="00AB14F4"/>
    <w:rsid w:val="00AB1A14"/>
    <w:rsid w:val="00AB1BA0"/>
    <w:rsid w:val="00AB2203"/>
    <w:rsid w:val="00AB2657"/>
    <w:rsid w:val="00AB2D8D"/>
    <w:rsid w:val="00AB3D00"/>
    <w:rsid w:val="00AB4F0D"/>
    <w:rsid w:val="00AB532A"/>
    <w:rsid w:val="00AB57D5"/>
    <w:rsid w:val="00AB5D6D"/>
    <w:rsid w:val="00AB674D"/>
    <w:rsid w:val="00AB68A0"/>
    <w:rsid w:val="00AC1142"/>
    <w:rsid w:val="00AC2F8E"/>
    <w:rsid w:val="00AC354A"/>
    <w:rsid w:val="00AC3589"/>
    <w:rsid w:val="00AC38FC"/>
    <w:rsid w:val="00AC4DDC"/>
    <w:rsid w:val="00AC5313"/>
    <w:rsid w:val="00AC5915"/>
    <w:rsid w:val="00AC79D0"/>
    <w:rsid w:val="00AC7C53"/>
    <w:rsid w:val="00AD04BA"/>
    <w:rsid w:val="00AD3A14"/>
    <w:rsid w:val="00AD4768"/>
    <w:rsid w:val="00AD506C"/>
    <w:rsid w:val="00AD5A19"/>
    <w:rsid w:val="00AD782E"/>
    <w:rsid w:val="00AD7A64"/>
    <w:rsid w:val="00AD7FB3"/>
    <w:rsid w:val="00AE026D"/>
    <w:rsid w:val="00AE085B"/>
    <w:rsid w:val="00AE1945"/>
    <w:rsid w:val="00AE1C8E"/>
    <w:rsid w:val="00AE1D06"/>
    <w:rsid w:val="00AE239C"/>
    <w:rsid w:val="00AE3030"/>
    <w:rsid w:val="00AE31A4"/>
    <w:rsid w:val="00AE32EA"/>
    <w:rsid w:val="00AE358E"/>
    <w:rsid w:val="00AE43A3"/>
    <w:rsid w:val="00AE4628"/>
    <w:rsid w:val="00AE5A17"/>
    <w:rsid w:val="00AE5B9B"/>
    <w:rsid w:val="00AE63BD"/>
    <w:rsid w:val="00AE652A"/>
    <w:rsid w:val="00AE65B7"/>
    <w:rsid w:val="00AE7098"/>
    <w:rsid w:val="00AE70F7"/>
    <w:rsid w:val="00AF0668"/>
    <w:rsid w:val="00AF15A4"/>
    <w:rsid w:val="00AF2104"/>
    <w:rsid w:val="00AF350D"/>
    <w:rsid w:val="00AF3A2C"/>
    <w:rsid w:val="00AF40AB"/>
    <w:rsid w:val="00AF452C"/>
    <w:rsid w:val="00AF5599"/>
    <w:rsid w:val="00AF5A76"/>
    <w:rsid w:val="00AF60D2"/>
    <w:rsid w:val="00AF6F5A"/>
    <w:rsid w:val="00AF7173"/>
    <w:rsid w:val="00AF724B"/>
    <w:rsid w:val="00AF7265"/>
    <w:rsid w:val="00B005D1"/>
    <w:rsid w:val="00B005E0"/>
    <w:rsid w:val="00B01184"/>
    <w:rsid w:val="00B01611"/>
    <w:rsid w:val="00B02F0D"/>
    <w:rsid w:val="00B02FA4"/>
    <w:rsid w:val="00B035BE"/>
    <w:rsid w:val="00B03752"/>
    <w:rsid w:val="00B043B3"/>
    <w:rsid w:val="00B045D4"/>
    <w:rsid w:val="00B04672"/>
    <w:rsid w:val="00B04BD8"/>
    <w:rsid w:val="00B051FB"/>
    <w:rsid w:val="00B05AFC"/>
    <w:rsid w:val="00B05D02"/>
    <w:rsid w:val="00B05EA7"/>
    <w:rsid w:val="00B05FD9"/>
    <w:rsid w:val="00B06ABE"/>
    <w:rsid w:val="00B06B80"/>
    <w:rsid w:val="00B06E43"/>
    <w:rsid w:val="00B07D66"/>
    <w:rsid w:val="00B10E76"/>
    <w:rsid w:val="00B1168A"/>
    <w:rsid w:val="00B11F63"/>
    <w:rsid w:val="00B12177"/>
    <w:rsid w:val="00B13819"/>
    <w:rsid w:val="00B13DF9"/>
    <w:rsid w:val="00B1647D"/>
    <w:rsid w:val="00B167AF"/>
    <w:rsid w:val="00B2051D"/>
    <w:rsid w:val="00B21580"/>
    <w:rsid w:val="00B21EB1"/>
    <w:rsid w:val="00B22AFD"/>
    <w:rsid w:val="00B23955"/>
    <w:rsid w:val="00B23B7C"/>
    <w:rsid w:val="00B24789"/>
    <w:rsid w:val="00B25164"/>
    <w:rsid w:val="00B30C44"/>
    <w:rsid w:val="00B31776"/>
    <w:rsid w:val="00B318A7"/>
    <w:rsid w:val="00B32511"/>
    <w:rsid w:val="00B32682"/>
    <w:rsid w:val="00B32A88"/>
    <w:rsid w:val="00B32AEA"/>
    <w:rsid w:val="00B3300C"/>
    <w:rsid w:val="00B333A6"/>
    <w:rsid w:val="00B3395E"/>
    <w:rsid w:val="00B33CD9"/>
    <w:rsid w:val="00B34390"/>
    <w:rsid w:val="00B34822"/>
    <w:rsid w:val="00B34B2E"/>
    <w:rsid w:val="00B35521"/>
    <w:rsid w:val="00B358C1"/>
    <w:rsid w:val="00B360FF"/>
    <w:rsid w:val="00B36683"/>
    <w:rsid w:val="00B36B0E"/>
    <w:rsid w:val="00B36B2E"/>
    <w:rsid w:val="00B36F29"/>
    <w:rsid w:val="00B37642"/>
    <w:rsid w:val="00B37769"/>
    <w:rsid w:val="00B41007"/>
    <w:rsid w:val="00B41703"/>
    <w:rsid w:val="00B42A62"/>
    <w:rsid w:val="00B43318"/>
    <w:rsid w:val="00B433F7"/>
    <w:rsid w:val="00B43B6C"/>
    <w:rsid w:val="00B43FA4"/>
    <w:rsid w:val="00B443A1"/>
    <w:rsid w:val="00B4603F"/>
    <w:rsid w:val="00B465ED"/>
    <w:rsid w:val="00B46C84"/>
    <w:rsid w:val="00B46CF6"/>
    <w:rsid w:val="00B47834"/>
    <w:rsid w:val="00B505CD"/>
    <w:rsid w:val="00B50BFA"/>
    <w:rsid w:val="00B511CA"/>
    <w:rsid w:val="00B518A7"/>
    <w:rsid w:val="00B52624"/>
    <w:rsid w:val="00B527B3"/>
    <w:rsid w:val="00B52E0E"/>
    <w:rsid w:val="00B53250"/>
    <w:rsid w:val="00B53DCC"/>
    <w:rsid w:val="00B54FF6"/>
    <w:rsid w:val="00B55347"/>
    <w:rsid w:val="00B55642"/>
    <w:rsid w:val="00B557E2"/>
    <w:rsid w:val="00B5611D"/>
    <w:rsid w:val="00B563A7"/>
    <w:rsid w:val="00B5663A"/>
    <w:rsid w:val="00B570E3"/>
    <w:rsid w:val="00B5745D"/>
    <w:rsid w:val="00B57551"/>
    <w:rsid w:val="00B579F8"/>
    <w:rsid w:val="00B57EB6"/>
    <w:rsid w:val="00B60210"/>
    <w:rsid w:val="00B60D90"/>
    <w:rsid w:val="00B60F50"/>
    <w:rsid w:val="00B61A29"/>
    <w:rsid w:val="00B61AB2"/>
    <w:rsid w:val="00B62453"/>
    <w:rsid w:val="00B62D94"/>
    <w:rsid w:val="00B6373E"/>
    <w:rsid w:val="00B63879"/>
    <w:rsid w:val="00B6482C"/>
    <w:rsid w:val="00B64B7F"/>
    <w:rsid w:val="00B65024"/>
    <w:rsid w:val="00B65A4F"/>
    <w:rsid w:val="00B65DE1"/>
    <w:rsid w:val="00B6688B"/>
    <w:rsid w:val="00B6695B"/>
    <w:rsid w:val="00B70B17"/>
    <w:rsid w:val="00B70BD9"/>
    <w:rsid w:val="00B70D69"/>
    <w:rsid w:val="00B73CB7"/>
    <w:rsid w:val="00B73E48"/>
    <w:rsid w:val="00B74436"/>
    <w:rsid w:val="00B74670"/>
    <w:rsid w:val="00B74D7E"/>
    <w:rsid w:val="00B75541"/>
    <w:rsid w:val="00B7701C"/>
    <w:rsid w:val="00B770F1"/>
    <w:rsid w:val="00B771A3"/>
    <w:rsid w:val="00B77595"/>
    <w:rsid w:val="00B77CBA"/>
    <w:rsid w:val="00B77E14"/>
    <w:rsid w:val="00B809C4"/>
    <w:rsid w:val="00B80E87"/>
    <w:rsid w:val="00B810F2"/>
    <w:rsid w:val="00B81AA6"/>
    <w:rsid w:val="00B81F93"/>
    <w:rsid w:val="00B8240E"/>
    <w:rsid w:val="00B83343"/>
    <w:rsid w:val="00B852D5"/>
    <w:rsid w:val="00B85811"/>
    <w:rsid w:val="00B85B47"/>
    <w:rsid w:val="00B85D17"/>
    <w:rsid w:val="00B85F58"/>
    <w:rsid w:val="00B8618E"/>
    <w:rsid w:val="00B86697"/>
    <w:rsid w:val="00B86727"/>
    <w:rsid w:val="00B86D7A"/>
    <w:rsid w:val="00B87142"/>
    <w:rsid w:val="00B9164C"/>
    <w:rsid w:val="00B9246B"/>
    <w:rsid w:val="00B939F8"/>
    <w:rsid w:val="00B93BFA"/>
    <w:rsid w:val="00B9470C"/>
    <w:rsid w:val="00B94B32"/>
    <w:rsid w:val="00B94C62"/>
    <w:rsid w:val="00B94F57"/>
    <w:rsid w:val="00B953B2"/>
    <w:rsid w:val="00B95BBA"/>
    <w:rsid w:val="00B95F29"/>
    <w:rsid w:val="00B960AC"/>
    <w:rsid w:val="00B96820"/>
    <w:rsid w:val="00B97339"/>
    <w:rsid w:val="00B9797E"/>
    <w:rsid w:val="00BA0E0A"/>
    <w:rsid w:val="00BA137A"/>
    <w:rsid w:val="00BA3496"/>
    <w:rsid w:val="00BA3C97"/>
    <w:rsid w:val="00BA414F"/>
    <w:rsid w:val="00BA49B0"/>
    <w:rsid w:val="00BA4E14"/>
    <w:rsid w:val="00BA5552"/>
    <w:rsid w:val="00BA59AE"/>
    <w:rsid w:val="00BA59EE"/>
    <w:rsid w:val="00BA5AD8"/>
    <w:rsid w:val="00BA5B32"/>
    <w:rsid w:val="00BA689F"/>
    <w:rsid w:val="00BA755C"/>
    <w:rsid w:val="00BB0669"/>
    <w:rsid w:val="00BB0964"/>
    <w:rsid w:val="00BB2EF5"/>
    <w:rsid w:val="00BB32CF"/>
    <w:rsid w:val="00BB379C"/>
    <w:rsid w:val="00BB3981"/>
    <w:rsid w:val="00BB3E65"/>
    <w:rsid w:val="00BB6DA9"/>
    <w:rsid w:val="00BB6DE0"/>
    <w:rsid w:val="00BB73F7"/>
    <w:rsid w:val="00BB7731"/>
    <w:rsid w:val="00BC00B4"/>
    <w:rsid w:val="00BC0456"/>
    <w:rsid w:val="00BC0660"/>
    <w:rsid w:val="00BC068F"/>
    <w:rsid w:val="00BC07EF"/>
    <w:rsid w:val="00BC0F90"/>
    <w:rsid w:val="00BC11C4"/>
    <w:rsid w:val="00BC145D"/>
    <w:rsid w:val="00BC158B"/>
    <w:rsid w:val="00BC26C9"/>
    <w:rsid w:val="00BC26CD"/>
    <w:rsid w:val="00BC3BFE"/>
    <w:rsid w:val="00BC3C36"/>
    <w:rsid w:val="00BC3C7A"/>
    <w:rsid w:val="00BC3D27"/>
    <w:rsid w:val="00BC4371"/>
    <w:rsid w:val="00BC444A"/>
    <w:rsid w:val="00BC4682"/>
    <w:rsid w:val="00BC4C1F"/>
    <w:rsid w:val="00BC6542"/>
    <w:rsid w:val="00BC7A1B"/>
    <w:rsid w:val="00BD03D6"/>
    <w:rsid w:val="00BD0E0A"/>
    <w:rsid w:val="00BD19DC"/>
    <w:rsid w:val="00BD1D1C"/>
    <w:rsid w:val="00BD33CF"/>
    <w:rsid w:val="00BD4376"/>
    <w:rsid w:val="00BD5629"/>
    <w:rsid w:val="00BD62C4"/>
    <w:rsid w:val="00BD7721"/>
    <w:rsid w:val="00BD7950"/>
    <w:rsid w:val="00BE1F2B"/>
    <w:rsid w:val="00BE20D9"/>
    <w:rsid w:val="00BE2B01"/>
    <w:rsid w:val="00BE345C"/>
    <w:rsid w:val="00BE38E2"/>
    <w:rsid w:val="00BE533D"/>
    <w:rsid w:val="00BE5803"/>
    <w:rsid w:val="00BE5C9A"/>
    <w:rsid w:val="00BE6F72"/>
    <w:rsid w:val="00BF2612"/>
    <w:rsid w:val="00BF27DB"/>
    <w:rsid w:val="00BF39CC"/>
    <w:rsid w:val="00BF4254"/>
    <w:rsid w:val="00BF43B6"/>
    <w:rsid w:val="00BF4AF7"/>
    <w:rsid w:val="00BF4B6F"/>
    <w:rsid w:val="00BF56A9"/>
    <w:rsid w:val="00BF5773"/>
    <w:rsid w:val="00BF5A5A"/>
    <w:rsid w:val="00BF6C06"/>
    <w:rsid w:val="00BF751A"/>
    <w:rsid w:val="00BF7C98"/>
    <w:rsid w:val="00C00350"/>
    <w:rsid w:val="00C009FF"/>
    <w:rsid w:val="00C01B89"/>
    <w:rsid w:val="00C02012"/>
    <w:rsid w:val="00C02258"/>
    <w:rsid w:val="00C03847"/>
    <w:rsid w:val="00C03B07"/>
    <w:rsid w:val="00C04781"/>
    <w:rsid w:val="00C04CE7"/>
    <w:rsid w:val="00C04E4C"/>
    <w:rsid w:val="00C04F26"/>
    <w:rsid w:val="00C050C4"/>
    <w:rsid w:val="00C05210"/>
    <w:rsid w:val="00C05DCC"/>
    <w:rsid w:val="00C06D94"/>
    <w:rsid w:val="00C07916"/>
    <w:rsid w:val="00C07B22"/>
    <w:rsid w:val="00C103F5"/>
    <w:rsid w:val="00C10B18"/>
    <w:rsid w:val="00C1183D"/>
    <w:rsid w:val="00C11EB7"/>
    <w:rsid w:val="00C1211B"/>
    <w:rsid w:val="00C12499"/>
    <w:rsid w:val="00C130C0"/>
    <w:rsid w:val="00C1489C"/>
    <w:rsid w:val="00C14DE7"/>
    <w:rsid w:val="00C1624C"/>
    <w:rsid w:val="00C16ADC"/>
    <w:rsid w:val="00C16DD3"/>
    <w:rsid w:val="00C171BE"/>
    <w:rsid w:val="00C2046E"/>
    <w:rsid w:val="00C227E9"/>
    <w:rsid w:val="00C234E4"/>
    <w:rsid w:val="00C23BC6"/>
    <w:rsid w:val="00C23C36"/>
    <w:rsid w:val="00C24136"/>
    <w:rsid w:val="00C24390"/>
    <w:rsid w:val="00C24876"/>
    <w:rsid w:val="00C24FBA"/>
    <w:rsid w:val="00C25183"/>
    <w:rsid w:val="00C251E1"/>
    <w:rsid w:val="00C2532B"/>
    <w:rsid w:val="00C25603"/>
    <w:rsid w:val="00C256E4"/>
    <w:rsid w:val="00C265F0"/>
    <w:rsid w:val="00C266E2"/>
    <w:rsid w:val="00C27047"/>
    <w:rsid w:val="00C274DF"/>
    <w:rsid w:val="00C30715"/>
    <w:rsid w:val="00C30930"/>
    <w:rsid w:val="00C316C8"/>
    <w:rsid w:val="00C3196E"/>
    <w:rsid w:val="00C31E76"/>
    <w:rsid w:val="00C32280"/>
    <w:rsid w:val="00C326A5"/>
    <w:rsid w:val="00C3365E"/>
    <w:rsid w:val="00C34ABE"/>
    <w:rsid w:val="00C352B0"/>
    <w:rsid w:val="00C3567E"/>
    <w:rsid w:val="00C40174"/>
    <w:rsid w:val="00C40620"/>
    <w:rsid w:val="00C41158"/>
    <w:rsid w:val="00C428B1"/>
    <w:rsid w:val="00C43907"/>
    <w:rsid w:val="00C451E2"/>
    <w:rsid w:val="00C45DFD"/>
    <w:rsid w:val="00C46061"/>
    <w:rsid w:val="00C473C4"/>
    <w:rsid w:val="00C47CC2"/>
    <w:rsid w:val="00C5122B"/>
    <w:rsid w:val="00C529BA"/>
    <w:rsid w:val="00C531B0"/>
    <w:rsid w:val="00C53C4A"/>
    <w:rsid w:val="00C54997"/>
    <w:rsid w:val="00C54F6E"/>
    <w:rsid w:val="00C56CCB"/>
    <w:rsid w:val="00C56F0C"/>
    <w:rsid w:val="00C56F87"/>
    <w:rsid w:val="00C576FF"/>
    <w:rsid w:val="00C61228"/>
    <w:rsid w:val="00C62189"/>
    <w:rsid w:val="00C62B7E"/>
    <w:rsid w:val="00C62F08"/>
    <w:rsid w:val="00C638E5"/>
    <w:rsid w:val="00C6399F"/>
    <w:rsid w:val="00C639FC"/>
    <w:rsid w:val="00C63DDF"/>
    <w:rsid w:val="00C6491F"/>
    <w:rsid w:val="00C64D81"/>
    <w:rsid w:val="00C65326"/>
    <w:rsid w:val="00C6555B"/>
    <w:rsid w:val="00C65C01"/>
    <w:rsid w:val="00C6640C"/>
    <w:rsid w:val="00C677E5"/>
    <w:rsid w:val="00C700A3"/>
    <w:rsid w:val="00C70905"/>
    <w:rsid w:val="00C71367"/>
    <w:rsid w:val="00C71719"/>
    <w:rsid w:val="00C71864"/>
    <w:rsid w:val="00C71A9A"/>
    <w:rsid w:val="00C72F06"/>
    <w:rsid w:val="00C733E5"/>
    <w:rsid w:val="00C742BE"/>
    <w:rsid w:val="00C74380"/>
    <w:rsid w:val="00C74D0A"/>
    <w:rsid w:val="00C7572E"/>
    <w:rsid w:val="00C757D8"/>
    <w:rsid w:val="00C75979"/>
    <w:rsid w:val="00C75ABB"/>
    <w:rsid w:val="00C7604C"/>
    <w:rsid w:val="00C76FC4"/>
    <w:rsid w:val="00C7712A"/>
    <w:rsid w:val="00C774B7"/>
    <w:rsid w:val="00C77F23"/>
    <w:rsid w:val="00C80F21"/>
    <w:rsid w:val="00C81A2F"/>
    <w:rsid w:val="00C82A45"/>
    <w:rsid w:val="00C84101"/>
    <w:rsid w:val="00C84706"/>
    <w:rsid w:val="00C856D3"/>
    <w:rsid w:val="00C8586F"/>
    <w:rsid w:val="00C86013"/>
    <w:rsid w:val="00C86675"/>
    <w:rsid w:val="00C869EC"/>
    <w:rsid w:val="00C86DEA"/>
    <w:rsid w:val="00C871F0"/>
    <w:rsid w:val="00C901EF"/>
    <w:rsid w:val="00C90D4E"/>
    <w:rsid w:val="00C917B8"/>
    <w:rsid w:val="00C91A06"/>
    <w:rsid w:val="00C91EE9"/>
    <w:rsid w:val="00C920FE"/>
    <w:rsid w:val="00C92AF3"/>
    <w:rsid w:val="00C932B4"/>
    <w:rsid w:val="00C93D4B"/>
    <w:rsid w:val="00C94B86"/>
    <w:rsid w:val="00C95103"/>
    <w:rsid w:val="00C95514"/>
    <w:rsid w:val="00C9555F"/>
    <w:rsid w:val="00C95962"/>
    <w:rsid w:val="00C959C0"/>
    <w:rsid w:val="00C96AB8"/>
    <w:rsid w:val="00C96C1A"/>
    <w:rsid w:val="00C971AB"/>
    <w:rsid w:val="00C972CB"/>
    <w:rsid w:val="00CA02C6"/>
    <w:rsid w:val="00CA263A"/>
    <w:rsid w:val="00CA2CE6"/>
    <w:rsid w:val="00CA46DC"/>
    <w:rsid w:val="00CA4D72"/>
    <w:rsid w:val="00CA5051"/>
    <w:rsid w:val="00CA5983"/>
    <w:rsid w:val="00CA59B2"/>
    <w:rsid w:val="00CA5AED"/>
    <w:rsid w:val="00CA66F2"/>
    <w:rsid w:val="00CA6B11"/>
    <w:rsid w:val="00CA7BB8"/>
    <w:rsid w:val="00CA7CAD"/>
    <w:rsid w:val="00CB060F"/>
    <w:rsid w:val="00CB0731"/>
    <w:rsid w:val="00CB0DC4"/>
    <w:rsid w:val="00CB2B01"/>
    <w:rsid w:val="00CB2E8D"/>
    <w:rsid w:val="00CB361C"/>
    <w:rsid w:val="00CB371D"/>
    <w:rsid w:val="00CB4939"/>
    <w:rsid w:val="00CB4B92"/>
    <w:rsid w:val="00CB4BDB"/>
    <w:rsid w:val="00CB5649"/>
    <w:rsid w:val="00CB5A97"/>
    <w:rsid w:val="00CB5B24"/>
    <w:rsid w:val="00CB5FE6"/>
    <w:rsid w:val="00CB6138"/>
    <w:rsid w:val="00CB7C00"/>
    <w:rsid w:val="00CC02D0"/>
    <w:rsid w:val="00CC1968"/>
    <w:rsid w:val="00CC2381"/>
    <w:rsid w:val="00CC246F"/>
    <w:rsid w:val="00CC36F1"/>
    <w:rsid w:val="00CC3FE0"/>
    <w:rsid w:val="00CC5C8C"/>
    <w:rsid w:val="00CD0A55"/>
    <w:rsid w:val="00CD0E1C"/>
    <w:rsid w:val="00CD12FE"/>
    <w:rsid w:val="00CD1742"/>
    <w:rsid w:val="00CD1AF7"/>
    <w:rsid w:val="00CD1C72"/>
    <w:rsid w:val="00CD2460"/>
    <w:rsid w:val="00CD2516"/>
    <w:rsid w:val="00CD30A5"/>
    <w:rsid w:val="00CD323A"/>
    <w:rsid w:val="00CD32C8"/>
    <w:rsid w:val="00CD3666"/>
    <w:rsid w:val="00CD3CE3"/>
    <w:rsid w:val="00CD5609"/>
    <w:rsid w:val="00CD582C"/>
    <w:rsid w:val="00CD5912"/>
    <w:rsid w:val="00CD599E"/>
    <w:rsid w:val="00CD5F0C"/>
    <w:rsid w:val="00CD63AA"/>
    <w:rsid w:val="00CD67F4"/>
    <w:rsid w:val="00CD6B2A"/>
    <w:rsid w:val="00CD754A"/>
    <w:rsid w:val="00CD7753"/>
    <w:rsid w:val="00CD7F48"/>
    <w:rsid w:val="00CD7F98"/>
    <w:rsid w:val="00CE0BAF"/>
    <w:rsid w:val="00CE0D7D"/>
    <w:rsid w:val="00CE0FD2"/>
    <w:rsid w:val="00CE14EA"/>
    <w:rsid w:val="00CE15AB"/>
    <w:rsid w:val="00CE343B"/>
    <w:rsid w:val="00CE38AE"/>
    <w:rsid w:val="00CE3A20"/>
    <w:rsid w:val="00CE426A"/>
    <w:rsid w:val="00CE4D69"/>
    <w:rsid w:val="00CE51B9"/>
    <w:rsid w:val="00CE5800"/>
    <w:rsid w:val="00CE5E8C"/>
    <w:rsid w:val="00CE5E90"/>
    <w:rsid w:val="00CE60A2"/>
    <w:rsid w:val="00CE72EC"/>
    <w:rsid w:val="00CF06CB"/>
    <w:rsid w:val="00CF0F27"/>
    <w:rsid w:val="00CF1504"/>
    <w:rsid w:val="00CF1531"/>
    <w:rsid w:val="00CF1CCC"/>
    <w:rsid w:val="00CF1D6F"/>
    <w:rsid w:val="00CF1FA5"/>
    <w:rsid w:val="00CF279F"/>
    <w:rsid w:val="00CF2948"/>
    <w:rsid w:val="00CF2E57"/>
    <w:rsid w:val="00CF408D"/>
    <w:rsid w:val="00CF458F"/>
    <w:rsid w:val="00CF46FD"/>
    <w:rsid w:val="00CF4B58"/>
    <w:rsid w:val="00CF4EE3"/>
    <w:rsid w:val="00CF58D4"/>
    <w:rsid w:val="00CF7C1C"/>
    <w:rsid w:val="00D010C8"/>
    <w:rsid w:val="00D01581"/>
    <w:rsid w:val="00D01645"/>
    <w:rsid w:val="00D02932"/>
    <w:rsid w:val="00D02E6D"/>
    <w:rsid w:val="00D033C9"/>
    <w:rsid w:val="00D03F88"/>
    <w:rsid w:val="00D03FCB"/>
    <w:rsid w:val="00D040C8"/>
    <w:rsid w:val="00D04907"/>
    <w:rsid w:val="00D04FBE"/>
    <w:rsid w:val="00D05012"/>
    <w:rsid w:val="00D061D2"/>
    <w:rsid w:val="00D06313"/>
    <w:rsid w:val="00D07289"/>
    <w:rsid w:val="00D074D0"/>
    <w:rsid w:val="00D07BBC"/>
    <w:rsid w:val="00D117F1"/>
    <w:rsid w:val="00D11CEC"/>
    <w:rsid w:val="00D122EA"/>
    <w:rsid w:val="00D12394"/>
    <w:rsid w:val="00D1250D"/>
    <w:rsid w:val="00D12F96"/>
    <w:rsid w:val="00D13AA5"/>
    <w:rsid w:val="00D13FFE"/>
    <w:rsid w:val="00D1468E"/>
    <w:rsid w:val="00D15CC5"/>
    <w:rsid w:val="00D15DC1"/>
    <w:rsid w:val="00D1617F"/>
    <w:rsid w:val="00D16563"/>
    <w:rsid w:val="00D17E92"/>
    <w:rsid w:val="00D202AD"/>
    <w:rsid w:val="00D208CC"/>
    <w:rsid w:val="00D20E9F"/>
    <w:rsid w:val="00D20F99"/>
    <w:rsid w:val="00D212E7"/>
    <w:rsid w:val="00D2387E"/>
    <w:rsid w:val="00D23E28"/>
    <w:rsid w:val="00D23FCD"/>
    <w:rsid w:val="00D24038"/>
    <w:rsid w:val="00D26691"/>
    <w:rsid w:val="00D2671A"/>
    <w:rsid w:val="00D27CEF"/>
    <w:rsid w:val="00D30EE6"/>
    <w:rsid w:val="00D3155C"/>
    <w:rsid w:val="00D323DD"/>
    <w:rsid w:val="00D324BC"/>
    <w:rsid w:val="00D32F97"/>
    <w:rsid w:val="00D34766"/>
    <w:rsid w:val="00D352B8"/>
    <w:rsid w:val="00D357F5"/>
    <w:rsid w:val="00D35A8F"/>
    <w:rsid w:val="00D36E95"/>
    <w:rsid w:val="00D40CD5"/>
    <w:rsid w:val="00D41302"/>
    <w:rsid w:val="00D4189D"/>
    <w:rsid w:val="00D42181"/>
    <w:rsid w:val="00D4228B"/>
    <w:rsid w:val="00D4230F"/>
    <w:rsid w:val="00D430BE"/>
    <w:rsid w:val="00D431CF"/>
    <w:rsid w:val="00D434DD"/>
    <w:rsid w:val="00D43CEB"/>
    <w:rsid w:val="00D44138"/>
    <w:rsid w:val="00D44A97"/>
    <w:rsid w:val="00D44B0D"/>
    <w:rsid w:val="00D45367"/>
    <w:rsid w:val="00D46B5D"/>
    <w:rsid w:val="00D47058"/>
    <w:rsid w:val="00D47B9C"/>
    <w:rsid w:val="00D5025C"/>
    <w:rsid w:val="00D50277"/>
    <w:rsid w:val="00D50307"/>
    <w:rsid w:val="00D50D43"/>
    <w:rsid w:val="00D50E4A"/>
    <w:rsid w:val="00D51D9E"/>
    <w:rsid w:val="00D52782"/>
    <w:rsid w:val="00D52F61"/>
    <w:rsid w:val="00D52F90"/>
    <w:rsid w:val="00D54136"/>
    <w:rsid w:val="00D5548E"/>
    <w:rsid w:val="00D561CF"/>
    <w:rsid w:val="00D56311"/>
    <w:rsid w:val="00D56665"/>
    <w:rsid w:val="00D56947"/>
    <w:rsid w:val="00D56E99"/>
    <w:rsid w:val="00D57C05"/>
    <w:rsid w:val="00D57D80"/>
    <w:rsid w:val="00D6020C"/>
    <w:rsid w:val="00D60605"/>
    <w:rsid w:val="00D60A8B"/>
    <w:rsid w:val="00D6291D"/>
    <w:rsid w:val="00D63051"/>
    <w:rsid w:val="00D63B75"/>
    <w:rsid w:val="00D6422C"/>
    <w:rsid w:val="00D655DF"/>
    <w:rsid w:val="00D66163"/>
    <w:rsid w:val="00D661FD"/>
    <w:rsid w:val="00D677E3"/>
    <w:rsid w:val="00D70996"/>
    <w:rsid w:val="00D70BBE"/>
    <w:rsid w:val="00D71D6E"/>
    <w:rsid w:val="00D729AA"/>
    <w:rsid w:val="00D72CBA"/>
    <w:rsid w:val="00D72E97"/>
    <w:rsid w:val="00D7316F"/>
    <w:rsid w:val="00D73A1D"/>
    <w:rsid w:val="00D74BE6"/>
    <w:rsid w:val="00D7575C"/>
    <w:rsid w:val="00D76420"/>
    <w:rsid w:val="00D77056"/>
    <w:rsid w:val="00D77883"/>
    <w:rsid w:val="00D80024"/>
    <w:rsid w:val="00D80861"/>
    <w:rsid w:val="00D80D66"/>
    <w:rsid w:val="00D814B5"/>
    <w:rsid w:val="00D8167E"/>
    <w:rsid w:val="00D8221C"/>
    <w:rsid w:val="00D82CDB"/>
    <w:rsid w:val="00D82EC9"/>
    <w:rsid w:val="00D83557"/>
    <w:rsid w:val="00D83A74"/>
    <w:rsid w:val="00D83C3B"/>
    <w:rsid w:val="00D84354"/>
    <w:rsid w:val="00D85FE2"/>
    <w:rsid w:val="00D8624D"/>
    <w:rsid w:val="00D865C2"/>
    <w:rsid w:val="00D86BFD"/>
    <w:rsid w:val="00D86E4C"/>
    <w:rsid w:val="00D87962"/>
    <w:rsid w:val="00D91760"/>
    <w:rsid w:val="00D927AA"/>
    <w:rsid w:val="00D92ACA"/>
    <w:rsid w:val="00D92BE3"/>
    <w:rsid w:val="00D9411D"/>
    <w:rsid w:val="00D9528F"/>
    <w:rsid w:val="00D958E7"/>
    <w:rsid w:val="00D95D7F"/>
    <w:rsid w:val="00D97F9A"/>
    <w:rsid w:val="00DA02B7"/>
    <w:rsid w:val="00DA02E8"/>
    <w:rsid w:val="00DA081C"/>
    <w:rsid w:val="00DA1A77"/>
    <w:rsid w:val="00DA1C5B"/>
    <w:rsid w:val="00DA1CDC"/>
    <w:rsid w:val="00DA1D22"/>
    <w:rsid w:val="00DA2543"/>
    <w:rsid w:val="00DA26D0"/>
    <w:rsid w:val="00DA3210"/>
    <w:rsid w:val="00DA451F"/>
    <w:rsid w:val="00DA48D6"/>
    <w:rsid w:val="00DA556E"/>
    <w:rsid w:val="00DA6499"/>
    <w:rsid w:val="00DA6584"/>
    <w:rsid w:val="00DA6967"/>
    <w:rsid w:val="00DA6C67"/>
    <w:rsid w:val="00DA73A2"/>
    <w:rsid w:val="00DA7BBA"/>
    <w:rsid w:val="00DA7EF5"/>
    <w:rsid w:val="00DB17B2"/>
    <w:rsid w:val="00DB1C3D"/>
    <w:rsid w:val="00DB26CD"/>
    <w:rsid w:val="00DB2AFE"/>
    <w:rsid w:val="00DB3DAE"/>
    <w:rsid w:val="00DB40B2"/>
    <w:rsid w:val="00DB40DB"/>
    <w:rsid w:val="00DB4738"/>
    <w:rsid w:val="00DB4C48"/>
    <w:rsid w:val="00DB5567"/>
    <w:rsid w:val="00DB6C88"/>
    <w:rsid w:val="00DB75C6"/>
    <w:rsid w:val="00DB7F9F"/>
    <w:rsid w:val="00DC00A7"/>
    <w:rsid w:val="00DC0418"/>
    <w:rsid w:val="00DC3939"/>
    <w:rsid w:val="00DC3C3A"/>
    <w:rsid w:val="00DC4262"/>
    <w:rsid w:val="00DC42E7"/>
    <w:rsid w:val="00DC6936"/>
    <w:rsid w:val="00DC7A4F"/>
    <w:rsid w:val="00DC7E3B"/>
    <w:rsid w:val="00DD035C"/>
    <w:rsid w:val="00DD0781"/>
    <w:rsid w:val="00DD1604"/>
    <w:rsid w:val="00DD2B74"/>
    <w:rsid w:val="00DD2EAD"/>
    <w:rsid w:val="00DD32BA"/>
    <w:rsid w:val="00DD3372"/>
    <w:rsid w:val="00DD3390"/>
    <w:rsid w:val="00DD33F1"/>
    <w:rsid w:val="00DD412A"/>
    <w:rsid w:val="00DD4800"/>
    <w:rsid w:val="00DD4AD9"/>
    <w:rsid w:val="00DD529E"/>
    <w:rsid w:val="00DD59C8"/>
    <w:rsid w:val="00DD5DC2"/>
    <w:rsid w:val="00DD62B0"/>
    <w:rsid w:val="00DD63AB"/>
    <w:rsid w:val="00DD6EBB"/>
    <w:rsid w:val="00DE04A2"/>
    <w:rsid w:val="00DE0741"/>
    <w:rsid w:val="00DE1C16"/>
    <w:rsid w:val="00DE204F"/>
    <w:rsid w:val="00DE296C"/>
    <w:rsid w:val="00DE2DC8"/>
    <w:rsid w:val="00DE572C"/>
    <w:rsid w:val="00DE5921"/>
    <w:rsid w:val="00DE5D4B"/>
    <w:rsid w:val="00DE6A8E"/>
    <w:rsid w:val="00DE6C19"/>
    <w:rsid w:val="00DE6E9F"/>
    <w:rsid w:val="00DE7840"/>
    <w:rsid w:val="00DF0216"/>
    <w:rsid w:val="00DF0744"/>
    <w:rsid w:val="00DF09FE"/>
    <w:rsid w:val="00DF0BF8"/>
    <w:rsid w:val="00DF16E7"/>
    <w:rsid w:val="00DF2794"/>
    <w:rsid w:val="00DF316F"/>
    <w:rsid w:val="00DF38E4"/>
    <w:rsid w:val="00DF4880"/>
    <w:rsid w:val="00DF51E6"/>
    <w:rsid w:val="00DF6588"/>
    <w:rsid w:val="00DF79C4"/>
    <w:rsid w:val="00DF7A96"/>
    <w:rsid w:val="00E001F2"/>
    <w:rsid w:val="00E00299"/>
    <w:rsid w:val="00E00725"/>
    <w:rsid w:val="00E0113A"/>
    <w:rsid w:val="00E020CD"/>
    <w:rsid w:val="00E02484"/>
    <w:rsid w:val="00E03A0D"/>
    <w:rsid w:val="00E042D6"/>
    <w:rsid w:val="00E04C82"/>
    <w:rsid w:val="00E04E19"/>
    <w:rsid w:val="00E057DA"/>
    <w:rsid w:val="00E05C21"/>
    <w:rsid w:val="00E060F9"/>
    <w:rsid w:val="00E06844"/>
    <w:rsid w:val="00E069D4"/>
    <w:rsid w:val="00E06F64"/>
    <w:rsid w:val="00E0776B"/>
    <w:rsid w:val="00E079FC"/>
    <w:rsid w:val="00E10A33"/>
    <w:rsid w:val="00E11341"/>
    <w:rsid w:val="00E13AA7"/>
    <w:rsid w:val="00E1411C"/>
    <w:rsid w:val="00E141A1"/>
    <w:rsid w:val="00E14C0E"/>
    <w:rsid w:val="00E15324"/>
    <w:rsid w:val="00E154E2"/>
    <w:rsid w:val="00E15734"/>
    <w:rsid w:val="00E15AD1"/>
    <w:rsid w:val="00E167C3"/>
    <w:rsid w:val="00E16FE6"/>
    <w:rsid w:val="00E2139B"/>
    <w:rsid w:val="00E22679"/>
    <w:rsid w:val="00E22E3B"/>
    <w:rsid w:val="00E2436F"/>
    <w:rsid w:val="00E24406"/>
    <w:rsid w:val="00E24EF6"/>
    <w:rsid w:val="00E24FF1"/>
    <w:rsid w:val="00E25432"/>
    <w:rsid w:val="00E25A04"/>
    <w:rsid w:val="00E25FDC"/>
    <w:rsid w:val="00E26947"/>
    <w:rsid w:val="00E26EF3"/>
    <w:rsid w:val="00E273E9"/>
    <w:rsid w:val="00E30820"/>
    <w:rsid w:val="00E3253D"/>
    <w:rsid w:val="00E325D9"/>
    <w:rsid w:val="00E32BB6"/>
    <w:rsid w:val="00E33335"/>
    <w:rsid w:val="00E3369E"/>
    <w:rsid w:val="00E33830"/>
    <w:rsid w:val="00E338D2"/>
    <w:rsid w:val="00E33B3C"/>
    <w:rsid w:val="00E33F81"/>
    <w:rsid w:val="00E341DE"/>
    <w:rsid w:val="00E347B3"/>
    <w:rsid w:val="00E34DEE"/>
    <w:rsid w:val="00E34EAC"/>
    <w:rsid w:val="00E35975"/>
    <w:rsid w:val="00E35D14"/>
    <w:rsid w:val="00E3660E"/>
    <w:rsid w:val="00E36A4E"/>
    <w:rsid w:val="00E37198"/>
    <w:rsid w:val="00E4031E"/>
    <w:rsid w:val="00E40DC7"/>
    <w:rsid w:val="00E42041"/>
    <w:rsid w:val="00E4249C"/>
    <w:rsid w:val="00E43089"/>
    <w:rsid w:val="00E43564"/>
    <w:rsid w:val="00E43DD7"/>
    <w:rsid w:val="00E44668"/>
    <w:rsid w:val="00E44694"/>
    <w:rsid w:val="00E45590"/>
    <w:rsid w:val="00E45812"/>
    <w:rsid w:val="00E45CE9"/>
    <w:rsid w:val="00E45D12"/>
    <w:rsid w:val="00E45E85"/>
    <w:rsid w:val="00E465FA"/>
    <w:rsid w:val="00E46A8F"/>
    <w:rsid w:val="00E4740B"/>
    <w:rsid w:val="00E477AA"/>
    <w:rsid w:val="00E50462"/>
    <w:rsid w:val="00E52685"/>
    <w:rsid w:val="00E52C73"/>
    <w:rsid w:val="00E53F0C"/>
    <w:rsid w:val="00E543A3"/>
    <w:rsid w:val="00E54B71"/>
    <w:rsid w:val="00E55B28"/>
    <w:rsid w:val="00E55BEC"/>
    <w:rsid w:val="00E5694A"/>
    <w:rsid w:val="00E573CA"/>
    <w:rsid w:val="00E57843"/>
    <w:rsid w:val="00E57E36"/>
    <w:rsid w:val="00E60DB6"/>
    <w:rsid w:val="00E6183C"/>
    <w:rsid w:val="00E6186E"/>
    <w:rsid w:val="00E6187B"/>
    <w:rsid w:val="00E61C79"/>
    <w:rsid w:val="00E62B30"/>
    <w:rsid w:val="00E62EAC"/>
    <w:rsid w:val="00E65DEB"/>
    <w:rsid w:val="00E660BC"/>
    <w:rsid w:val="00E66CF1"/>
    <w:rsid w:val="00E676DB"/>
    <w:rsid w:val="00E679B0"/>
    <w:rsid w:val="00E67AAC"/>
    <w:rsid w:val="00E67DCD"/>
    <w:rsid w:val="00E704CF"/>
    <w:rsid w:val="00E70F1C"/>
    <w:rsid w:val="00E70F7E"/>
    <w:rsid w:val="00E70FAA"/>
    <w:rsid w:val="00E71B48"/>
    <w:rsid w:val="00E71C8C"/>
    <w:rsid w:val="00E72480"/>
    <w:rsid w:val="00E7300C"/>
    <w:rsid w:val="00E73355"/>
    <w:rsid w:val="00E73711"/>
    <w:rsid w:val="00E752B1"/>
    <w:rsid w:val="00E75768"/>
    <w:rsid w:val="00E758BF"/>
    <w:rsid w:val="00E75BB2"/>
    <w:rsid w:val="00E75E46"/>
    <w:rsid w:val="00E7670F"/>
    <w:rsid w:val="00E76EA4"/>
    <w:rsid w:val="00E77B37"/>
    <w:rsid w:val="00E77CCD"/>
    <w:rsid w:val="00E77D23"/>
    <w:rsid w:val="00E80482"/>
    <w:rsid w:val="00E80942"/>
    <w:rsid w:val="00E80A40"/>
    <w:rsid w:val="00E80F8C"/>
    <w:rsid w:val="00E811A2"/>
    <w:rsid w:val="00E826CF"/>
    <w:rsid w:val="00E82E44"/>
    <w:rsid w:val="00E8339B"/>
    <w:rsid w:val="00E848A6"/>
    <w:rsid w:val="00E84A7B"/>
    <w:rsid w:val="00E85A1B"/>
    <w:rsid w:val="00E86087"/>
    <w:rsid w:val="00E86574"/>
    <w:rsid w:val="00E8668D"/>
    <w:rsid w:val="00E86B19"/>
    <w:rsid w:val="00E86FAB"/>
    <w:rsid w:val="00E87116"/>
    <w:rsid w:val="00E87706"/>
    <w:rsid w:val="00E90E48"/>
    <w:rsid w:val="00E91088"/>
    <w:rsid w:val="00E915AA"/>
    <w:rsid w:val="00E91D35"/>
    <w:rsid w:val="00E92067"/>
    <w:rsid w:val="00E927AC"/>
    <w:rsid w:val="00E92807"/>
    <w:rsid w:val="00E93069"/>
    <w:rsid w:val="00E936B0"/>
    <w:rsid w:val="00E93812"/>
    <w:rsid w:val="00E93C68"/>
    <w:rsid w:val="00E93E4D"/>
    <w:rsid w:val="00E942B6"/>
    <w:rsid w:val="00E945F6"/>
    <w:rsid w:val="00E94ADE"/>
    <w:rsid w:val="00E95AA8"/>
    <w:rsid w:val="00E96CFD"/>
    <w:rsid w:val="00E96DA8"/>
    <w:rsid w:val="00E97361"/>
    <w:rsid w:val="00E973EA"/>
    <w:rsid w:val="00E973EC"/>
    <w:rsid w:val="00E975F5"/>
    <w:rsid w:val="00E97F33"/>
    <w:rsid w:val="00EA092E"/>
    <w:rsid w:val="00EA2391"/>
    <w:rsid w:val="00EA286E"/>
    <w:rsid w:val="00EA3E35"/>
    <w:rsid w:val="00EA3EEC"/>
    <w:rsid w:val="00EA471C"/>
    <w:rsid w:val="00EA4AF8"/>
    <w:rsid w:val="00EA4C36"/>
    <w:rsid w:val="00EA4D17"/>
    <w:rsid w:val="00EA4E9D"/>
    <w:rsid w:val="00EA4F76"/>
    <w:rsid w:val="00EA54BD"/>
    <w:rsid w:val="00EA769F"/>
    <w:rsid w:val="00EA7782"/>
    <w:rsid w:val="00EA7C82"/>
    <w:rsid w:val="00EB086A"/>
    <w:rsid w:val="00EB0BAB"/>
    <w:rsid w:val="00EB0C32"/>
    <w:rsid w:val="00EB0CB2"/>
    <w:rsid w:val="00EB1169"/>
    <w:rsid w:val="00EB1F67"/>
    <w:rsid w:val="00EB25F0"/>
    <w:rsid w:val="00EB30D5"/>
    <w:rsid w:val="00EB39ED"/>
    <w:rsid w:val="00EB4367"/>
    <w:rsid w:val="00EB5311"/>
    <w:rsid w:val="00EC1127"/>
    <w:rsid w:val="00EC1723"/>
    <w:rsid w:val="00EC18C0"/>
    <w:rsid w:val="00EC1F64"/>
    <w:rsid w:val="00EC30EA"/>
    <w:rsid w:val="00EC382B"/>
    <w:rsid w:val="00EC3FE3"/>
    <w:rsid w:val="00EC450F"/>
    <w:rsid w:val="00EC47EB"/>
    <w:rsid w:val="00EC4FD8"/>
    <w:rsid w:val="00EC53EC"/>
    <w:rsid w:val="00EC68F3"/>
    <w:rsid w:val="00EC6F94"/>
    <w:rsid w:val="00ED0495"/>
    <w:rsid w:val="00ED0FC5"/>
    <w:rsid w:val="00ED301F"/>
    <w:rsid w:val="00ED37F9"/>
    <w:rsid w:val="00ED412D"/>
    <w:rsid w:val="00ED42E3"/>
    <w:rsid w:val="00ED4673"/>
    <w:rsid w:val="00ED4D9A"/>
    <w:rsid w:val="00ED4DAD"/>
    <w:rsid w:val="00ED4F72"/>
    <w:rsid w:val="00ED6095"/>
    <w:rsid w:val="00ED64B4"/>
    <w:rsid w:val="00ED729F"/>
    <w:rsid w:val="00ED7870"/>
    <w:rsid w:val="00ED7AE9"/>
    <w:rsid w:val="00EE049E"/>
    <w:rsid w:val="00EE0552"/>
    <w:rsid w:val="00EE0969"/>
    <w:rsid w:val="00EE1F5F"/>
    <w:rsid w:val="00EE3FB8"/>
    <w:rsid w:val="00EE400E"/>
    <w:rsid w:val="00EE4125"/>
    <w:rsid w:val="00EE48C5"/>
    <w:rsid w:val="00EE518C"/>
    <w:rsid w:val="00EE5297"/>
    <w:rsid w:val="00EE5750"/>
    <w:rsid w:val="00EE6FDE"/>
    <w:rsid w:val="00EE78B2"/>
    <w:rsid w:val="00EF004D"/>
    <w:rsid w:val="00EF0780"/>
    <w:rsid w:val="00EF097C"/>
    <w:rsid w:val="00EF0ED0"/>
    <w:rsid w:val="00EF115C"/>
    <w:rsid w:val="00EF1241"/>
    <w:rsid w:val="00EF165E"/>
    <w:rsid w:val="00EF1874"/>
    <w:rsid w:val="00EF2FB8"/>
    <w:rsid w:val="00EF351C"/>
    <w:rsid w:val="00EF3549"/>
    <w:rsid w:val="00EF4783"/>
    <w:rsid w:val="00EF51BF"/>
    <w:rsid w:val="00EF5ED5"/>
    <w:rsid w:val="00EF6A84"/>
    <w:rsid w:val="00EF7295"/>
    <w:rsid w:val="00F00FA3"/>
    <w:rsid w:val="00F01074"/>
    <w:rsid w:val="00F01103"/>
    <w:rsid w:val="00F0187A"/>
    <w:rsid w:val="00F02046"/>
    <w:rsid w:val="00F0209B"/>
    <w:rsid w:val="00F0212D"/>
    <w:rsid w:val="00F024F9"/>
    <w:rsid w:val="00F02856"/>
    <w:rsid w:val="00F02ECC"/>
    <w:rsid w:val="00F032A3"/>
    <w:rsid w:val="00F03431"/>
    <w:rsid w:val="00F041E1"/>
    <w:rsid w:val="00F04C8B"/>
    <w:rsid w:val="00F05200"/>
    <w:rsid w:val="00F068D4"/>
    <w:rsid w:val="00F06A4F"/>
    <w:rsid w:val="00F06D56"/>
    <w:rsid w:val="00F07098"/>
    <w:rsid w:val="00F074D5"/>
    <w:rsid w:val="00F10E9C"/>
    <w:rsid w:val="00F113DF"/>
    <w:rsid w:val="00F1185D"/>
    <w:rsid w:val="00F119FA"/>
    <w:rsid w:val="00F11C15"/>
    <w:rsid w:val="00F1258D"/>
    <w:rsid w:val="00F12CEE"/>
    <w:rsid w:val="00F138E8"/>
    <w:rsid w:val="00F158B8"/>
    <w:rsid w:val="00F15D46"/>
    <w:rsid w:val="00F15EAC"/>
    <w:rsid w:val="00F1612A"/>
    <w:rsid w:val="00F17233"/>
    <w:rsid w:val="00F172BD"/>
    <w:rsid w:val="00F173D9"/>
    <w:rsid w:val="00F175D7"/>
    <w:rsid w:val="00F17C6F"/>
    <w:rsid w:val="00F20595"/>
    <w:rsid w:val="00F20832"/>
    <w:rsid w:val="00F211F9"/>
    <w:rsid w:val="00F214B3"/>
    <w:rsid w:val="00F2286C"/>
    <w:rsid w:val="00F22DE0"/>
    <w:rsid w:val="00F23023"/>
    <w:rsid w:val="00F230FC"/>
    <w:rsid w:val="00F24370"/>
    <w:rsid w:val="00F24372"/>
    <w:rsid w:val="00F244E7"/>
    <w:rsid w:val="00F246FD"/>
    <w:rsid w:val="00F25A7C"/>
    <w:rsid w:val="00F25E57"/>
    <w:rsid w:val="00F2609A"/>
    <w:rsid w:val="00F2762D"/>
    <w:rsid w:val="00F27C8D"/>
    <w:rsid w:val="00F30993"/>
    <w:rsid w:val="00F31488"/>
    <w:rsid w:val="00F31676"/>
    <w:rsid w:val="00F3214D"/>
    <w:rsid w:val="00F32655"/>
    <w:rsid w:val="00F32B90"/>
    <w:rsid w:val="00F335CE"/>
    <w:rsid w:val="00F3367C"/>
    <w:rsid w:val="00F33C0A"/>
    <w:rsid w:val="00F35E26"/>
    <w:rsid w:val="00F3734F"/>
    <w:rsid w:val="00F412C1"/>
    <w:rsid w:val="00F41503"/>
    <w:rsid w:val="00F423D8"/>
    <w:rsid w:val="00F42C03"/>
    <w:rsid w:val="00F437F6"/>
    <w:rsid w:val="00F43E99"/>
    <w:rsid w:val="00F44554"/>
    <w:rsid w:val="00F44CB3"/>
    <w:rsid w:val="00F44DA1"/>
    <w:rsid w:val="00F451DA"/>
    <w:rsid w:val="00F452BB"/>
    <w:rsid w:val="00F4550B"/>
    <w:rsid w:val="00F45A27"/>
    <w:rsid w:val="00F45F03"/>
    <w:rsid w:val="00F46187"/>
    <w:rsid w:val="00F463C5"/>
    <w:rsid w:val="00F464AE"/>
    <w:rsid w:val="00F46541"/>
    <w:rsid w:val="00F47031"/>
    <w:rsid w:val="00F472B3"/>
    <w:rsid w:val="00F47305"/>
    <w:rsid w:val="00F4757A"/>
    <w:rsid w:val="00F478BE"/>
    <w:rsid w:val="00F47CC5"/>
    <w:rsid w:val="00F5157B"/>
    <w:rsid w:val="00F52985"/>
    <w:rsid w:val="00F52C9E"/>
    <w:rsid w:val="00F52D85"/>
    <w:rsid w:val="00F531E4"/>
    <w:rsid w:val="00F5497A"/>
    <w:rsid w:val="00F565F8"/>
    <w:rsid w:val="00F57650"/>
    <w:rsid w:val="00F605AA"/>
    <w:rsid w:val="00F60784"/>
    <w:rsid w:val="00F60F7C"/>
    <w:rsid w:val="00F62361"/>
    <w:rsid w:val="00F626F7"/>
    <w:rsid w:val="00F62B66"/>
    <w:rsid w:val="00F63D99"/>
    <w:rsid w:val="00F647E5"/>
    <w:rsid w:val="00F6504E"/>
    <w:rsid w:val="00F655E3"/>
    <w:rsid w:val="00F657C1"/>
    <w:rsid w:val="00F65D72"/>
    <w:rsid w:val="00F65EDD"/>
    <w:rsid w:val="00F65F55"/>
    <w:rsid w:val="00F66581"/>
    <w:rsid w:val="00F66E01"/>
    <w:rsid w:val="00F67075"/>
    <w:rsid w:val="00F67114"/>
    <w:rsid w:val="00F70355"/>
    <w:rsid w:val="00F7073F"/>
    <w:rsid w:val="00F70868"/>
    <w:rsid w:val="00F70B7B"/>
    <w:rsid w:val="00F70EEF"/>
    <w:rsid w:val="00F71137"/>
    <w:rsid w:val="00F718ED"/>
    <w:rsid w:val="00F721EF"/>
    <w:rsid w:val="00F7224F"/>
    <w:rsid w:val="00F72516"/>
    <w:rsid w:val="00F72B44"/>
    <w:rsid w:val="00F732AA"/>
    <w:rsid w:val="00F732CA"/>
    <w:rsid w:val="00F734E5"/>
    <w:rsid w:val="00F73912"/>
    <w:rsid w:val="00F75616"/>
    <w:rsid w:val="00F7754D"/>
    <w:rsid w:val="00F779D8"/>
    <w:rsid w:val="00F814D7"/>
    <w:rsid w:val="00F81DD8"/>
    <w:rsid w:val="00F81F3F"/>
    <w:rsid w:val="00F82583"/>
    <w:rsid w:val="00F8274E"/>
    <w:rsid w:val="00F82B4B"/>
    <w:rsid w:val="00F83597"/>
    <w:rsid w:val="00F83660"/>
    <w:rsid w:val="00F858F6"/>
    <w:rsid w:val="00F870D8"/>
    <w:rsid w:val="00F870D9"/>
    <w:rsid w:val="00F87D2E"/>
    <w:rsid w:val="00F901EA"/>
    <w:rsid w:val="00F9042C"/>
    <w:rsid w:val="00F906CF"/>
    <w:rsid w:val="00F90A56"/>
    <w:rsid w:val="00F90ABE"/>
    <w:rsid w:val="00F9160B"/>
    <w:rsid w:val="00F92474"/>
    <w:rsid w:val="00F93614"/>
    <w:rsid w:val="00F93732"/>
    <w:rsid w:val="00F9393D"/>
    <w:rsid w:val="00F94551"/>
    <w:rsid w:val="00F94941"/>
    <w:rsid w:val="00F95168"/>
    <w:rsid w:val="00F95CB9"/>
    <w:rsid w:val="00F96415"/>
    <w:rsid w:val="00F97203"/>
    <w:rsid w:val="00FA0021"/>
    <w:rsid w:val="00FA02B6"/>
    <w:rsid w:val="00FA0607"/>
    <w:rsid w:val="00FA070D"/>
    <w:rsid w:val="00FA0BC4"/>
    <w:rsid w:val="00FA0C74"/>
    <w:rsid w:val="00FA0EE1"/>
    <w:rsid w:val="00FA1621"/>
    <w:rsid w:val="00FA1ECA"/>
    <w:rsid w:val="00FA22A5"/>
    <w:rsid w:val="00FA2C61"/>
    <w:rsid w:val="00FA2CF1"/>
    <w:rsid w:val="00FA3257"/>
    <w:rsid w:val="00FA34D5"/>
    <w:rsid w:val="00FA3625"/>
    <w:rsid w:val="00FA3841"/>
    <w:rsid w:val="00FA38BF"/>
    <w:rsid w:val="00FA397F"/>
    <w:rsid w:val="00FA49EF"/>
    <w:rsid w:val="00FA4CA0"/>
    <w:rsid w:val="00FA4F7D"/>
    <w:rsid w:val="00FA63B4"/>
    <w:rsid w:val="00FA6B66"/>
    <w:rsid w:val="00FA6D3C"/>
    <w:rsid w:val="00FA74F7"/>
    <w:rsid w:val="00FB1AD8"/>
    <w:rsid w:val="00FB5664"/>
    <w:rsid w:val="00FB5C42"/>
    <w:rsid w:val="00FB6183"/>
    <w:rsid w:val="00FB691E"/>
    <w:rsid w:val="00FB6A55"/>
    <w:rsid w:val="00FB7D4C"/>
    <w:rsid w:val="00FC16E5"/>
    <w:rsid w:val="00FC2B7C"/>
    <w:rsid w:val="00FC4E67"/>
    <w:rsid w:val="00FC4FF1"/>
    <w:rsid w:val="00FC6FF9"/>
    <w:rsid w:val="00FC7082"/>
    <w:rsid w:val="00FC727D"/>
    <w:rsid w:val="00FC7770"/>
    <w:rsid w:val="00FD05EC"/>
    <w:rsid w:val="00FD1170"/>
    <w:rsid w:val="00FD12EB"/>
    <w:rsid w:val="00FD1524"/>
    <w:rsid w:val="00FD1B56"/>
    <w:rsid w:val="00FD2307"/>
    <w:rsid w:val="00FD2556"/>
    <w:rsid w:val="00FD3272"/>
    <w:rsid w:val="00FD32A0"/>
    <w:rsid w:val="00FD37D9"/>
    <w:rsid w:val="00FD3C1F"/>
    <w:rsid w:val="00FD4770"/>
    <w:rsid w:val="00FD4E13"/>
    <w:rsid w:val="00FD4EE1"/>
    <w:rsid w:val="00FD6D9F"/>
    <w:rsid w:val="00FD7050"/>
    <w:rsid w:val="00FD75D9"/>
    <w:rsid w:val="00FD7B10"/>
    <w:rsid w:val="00FD7B28"/>
    <w:rsid w:val="00FE0F82"/>
    <w:rsid w:val="00FE1E3E"/>
    <w:rsid w:val="00FE27AA"/>
    <w:rsid w:val="00FE3A3D"/>
    <w:rsid w:val="00FE3A47"/>
    <w:rsid w:val="00FE4139"/>
    <w:rsid w:val="00FE4D46"/>
    <w:rsid w:val="00FE5227"/>
    <w:rsid w:val="00FE5D0C"/>
    <w:rsid w:val="00FE6542"/>
    <w:rsid w:val="00FE669B"/>
    <w:rsid w:val="00FE753F"/>
    <w:rsid w:val="00FF1200"/>
    <w:rsid w:val="00FF1811"/>
    <w:rsid w:val="00FF22C7"/>
    <w:rsid w:val="00FF2464"/>
    <w:rsid w:val="00FF3664"/>
    <w:rsid w:val="00FF3745"/>
    <w:rsid w:val="00FF3F75"/>
    <w:rsid w:val="00FF418A"/>
    <w:rsid w:val="00FF46AD"/>
    <w:rsid w:val="00FF4EDA"/>
    <w:rsid w:val="00FF52C3"/>
    <w:rsid w:val="00FF627F"/>
    <w:rsid w:val="00FF6B52"/>
    <w:rsid w:val="00FF6FCD"/>
    <w:rsid w:val="00FF7B00"/>
    <w:rsid w:val="00FF7D13"/>
    <w:rsid w:val="2B6678BE"/>
    <w:rsid w:val="41404602"/>
    <w:rsid w:val="714A60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3807"/>
  <w15:chartTrackingRefBased/>
  <w15:docId w15:val="{CC464794-D832-4839-BCA7-52B52981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
    <w:basedOn w:val="Normal"/>
    <w:link w:val="ListParagraphChar"/>
    <w:uiPriority w:val="34"/>
    <w:qFormat/>
    <w:rsid w:val="00D56665"/>
    <w:pPr>
      <w:ind w:left="720"/>
      <w:contextualSpacing/>
    </w:pPr>
  </w:style>
  <w:style w:type="table" w:styleId="TableGrid">
    <w:name w:val="Table Grid"/>
    <w:basedOn w:val="TableNormal"/>
    <w:uiPriority w:val="59"/>
    <w:rsid w:val="00D5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56665"/>
    <w:rPr>
      <w:sz w:val="20"/>
      <w:szCs w:val="20"/>
    </w:rPr>
  </w:style>
  <w:style w:type="character" w:customStyle="1" w:styleId="FootnoteTextChar">
    <w:name w:val="Footnote Text Char"/>
    <w:basedOn w:val="DefaultParagraphFont"/>
    <w:link w:val="FootnoteText"/>
    <w:uiPriority w:val="99"/>
    <w:rsid w:val="00D56665"/>
    <w:rPr>
      <w:sz w:val="20"/>
      <w:szCs w:val="20"/>
    </w:rPr>
  </w:style>
  <w:style w:type="character" w:styleId="FootnoteReference">
    <w:name w:val="footnote reference"/>
    <w:basedOn w:val="DefaultParagraphFont"/>
    <w:uiPriority w:val="99"/>
    <w:unhideWhenUsed/>
    <w:rsid w:val="00D56665"/>
    <w:rPr>
      <w:vertAlign w:val="superscript"/>
    </w:rPr>
  </w:style>
  <w:style w:type="table" w:customStyle="1" w:styleId="TableGrid4">
    <w:name w:val="Table Grid4"/>
    <w:basedOn w:val="TableNormal"/>
    <w:next w:val="TableGrid"/>
    <w:uiPriority w:val="59"/>
    <w:rsid w:val="00D56665"/>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56665"/>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7E"/>
    <w:rPr>
      <w:rFonts w:ascii="Segoe UI" w:hAnsi="Segoe UI" w:cs="Segoe UI"/>
      <w:sz w:val="18"/>
      <w:szCs w:val="18"/>
    </w:rPr>
  </w:style>
  <w:style w:type="character" w:styleId="Hyperlink">
    <w:name w:val="Hyperlink"/>
    <w:basedOn w:val="DefaultParagraphFont"/>
    <w:uiPriority w:val="99"/>
    <w:unhideWhenUsed/>
    <w:rsid w:val="00A208B3"/>
    <w:rPr>
      <w:color w:val="0563C1" w:themeColor="hyperlink"/>
      <w:u w:val="single"/>
    </w:rPr>
  </w:style>
  <w:style w:type="character" w:customStyle="1" w:styleId="UnresolvedMention1">
    <w:name w:val="Unresolved Mention1"/>
    <w:basedOn w:val="DefaultParagraphFont"/>
    <w:uiPriority w:val="99"/>
    <w:semiHidden/>
    <w:unhideWhenUsed/>
    <w:rsid w:val="00A208B3"/>
    <w:rPr>
      <w:color w:val="605E5C"/>
      <w:shd w:val="clear" w:color="auto" w:fill="E1DFDD"/>
    </w:rPr>
  </w:style>
  <w:style w:type="paragraph" w:styleId="Header">
    <w:name w:val="header"/>
    <w:basedOn w:val="Normal"/>
    <w:link w:val="HeaderChar"/>
    <w:uiPriority w:val="99"/>
    <w:unhideWhenUsed/>
    <w:rsid w:val="00C05210"/>
    <w:pPr>
      <w:tabs>
        <w:tab w:val="center" w:pos="4680"/>
        <w:tab w:val="right" w:pos="9360"/>
      </w:tabs>
    </w:pPr>
  </w:style>
  <w:style w:type="character" w:customStyle="1" w:styleId="HeaderChar">
    <w:name w:val="Header Char"/>
    <w:basedOn w:val="DefaultParagraphFont"/>
    <w:link w:val="Header"/>
    <w:uiPriority w:val="99"/>
    <w:rsid w:val="00C05210"/>
  </w:style>
  <w:style w:type="paragraph" w:styleId="Footer">
    <w:name w:val="footer"/>
    <w:basedOn w:val="Normal"/>
    <w:link w:val="FooterChar"/>
    <w:uiPriority w:val="99"/>
    <w:unhideWhenUsed/>
    <w:rsid w:val="00C05210"/>
    <w:pPr>
      <w:tabs>
        <w:tab w:val="center" w:pos="4680"/>
        <w:tab w:val="right" w:pos="9360"/>
      </w:tabs>
    </w:pPr>
  </w:style>
  <w:style w:type="character" w:customStyle="1" w:styleId="FooterChar">
    <w:name w:val="Footer Char"/>
    <w:basedOn w:val="DefaultParagraphFont"/>
    <w:link w:val="Footer"/>
    <w:uiPriority w:val="99"/>
    <w:rsid w:val="00C05210"/>
  </w:style>
  <w:style w:type="character" w:styleId="CommentReference">
    <w:name w:val="annotation reference"/>
    <w:basedOn w:val="DefaultParagraphFont"/>
    <w:uiPriority w:val="99"/>
    <w:unhideWhenUsed/>
    <w:rsid w:val="00B41703"/>
    <w:rPr>
      <w:sz w:val="16"/>
      <w:szCs w:val="16"/>
    </w:rPr>
  </w:style>
  <w:style w:type="paragraph" w:styleId="CommentText">
    <w:name w:val="annotation text"/>
    <w:basedOn w:val="Normal"/>
    <w:link w:val="CommentTextChar"/>
    <w:uiPriority w:val="99"/>
    <w:unhideWhenUsed/>
    <w:rsid w:val="00B41703"/>
    <w:rPr>
      <w:sz w:val="20"/>
      <w:szCs w:val="20"/>
    </w:rPr>
  </w:style>
  <w:style w:type="character" w:customStyle="1" w:styleId="CommentTextChar">
    <w:name w:val="Comment Text Char"/>
    <w:basedOn w:val="DefaultParagraphFont"/>
    <w:link w:val="CommentText"/>
    <w:uiPriority w:val="99"/>
    <w:rsid w:val="00B41703"/>
    <w:rPr>
      <w:sz w:val="20"/>
      <w:szCs w:val="20"/>
    </w:rPr>
  </w:style>
  <w:style w:type="paragraph" w:styleId="CommentSubject">
    <w:name w:val="annotation subject"/>
    <w:basedOn w:val="CommentText"/>
    <w:next w:val="CommentText"/>
    <w:link w:val="CommentSubjectChar"/>
    <w:uiPriority w:val="99"/>
    <w:semiHidden/>
    <w:unhideWhenUsed/>
    <w:rsid w:val="00B41703"/>
    <w:rPr>
      <w:b/>
      <w:bCs/>
    </w:rPr>
  </w:style>
  <w:style w:type="character" w:customStyle="1" w:styleId="CommentSubjectChar">
    <w:name w:val="Comment Subject Char"/>
    <w:basedOn w:val="CommentTextChar"/>
    <w:link w:val="CommentSubject"/>
    <w:uiPriority w:val="99"/>
    <w:semiHidden/>
    <w:rsid w:val="00B41703"/>
    <w:rPr>
      <w:b/>
      <w:bCs/>
      <w:sz w:val="20"/>
      <w:szCs w:val="20"/>
    </w:rPr>
  </w:style>
  <w:style w:type="paragraph" w:styleId="Revision">
    <w:name w:val="Revision"/>
    <w:hidden/>
    <w:uiPriority w:val="99"/>
    <w:semiHidden/>
    <w:rsid w:val="00D15CC5"/>
    <w:pPr>
      <w:spacing w:after="0" w:line="240" w:lineRule="auto"/>
    </w:pPr>
  </w:style>
  <w:style w:type="paragraph" w:styleId="NormalWeb">
    <w:name w:val="Normal (Web)"/>
    <w:basedOn w:val="Normal"/>
    <w:uiPriority w:val="99"/>
    <w:unhideWhenUsed/>
    <w:rsid w:val="00A11DEC"/>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B2143"/>
    <w:rPr>
      <w:color w:val="954F72" w:themeColor="followedHyperlink"/>
      <w:u w:val="single"/>
    </w:rPr>
  </w:style>
  <w:style w:type="character" w:customStyle="1" w:styleId="ListParagraphChar">
    <w:name w:val="List Paragraph Char"/>
    <w:aliases w:val="3 Char,POCG Table Text Char"/>
    <w:basedOn w:val="DefaultParagraphFont"/>
    <w:link w:val="ListParagraph"/>
    <w:uiPriority w:val="34"/>
    <w:locked/>
    <w:rsid w:val="00534C07"/>
  </w:style>
  <w:style w:type="paragraph" w:customStyle="1" w:styleId="Default">
    <w:name w:val="Default"/>
    <w:rsid w:val="00DA65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uiPriority w:val="99"/>
    <w:rsid w:val="00C10B1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9646">
      <w:bodyDiv w:val="1"/>
      <w:marLeft w:val="0"/>
      <w:marRight w:val="0"/>
      <w:marTop w:val="0"/>
      <w:marBottom w:val="0"/>
      <w:divBdr>
        <w:top w:val="none" w:sz="0" w:space="0" w:color="auto"/>
        <w:left w:val="none" w:sz="0" w:space="0" w:color="auto"/>
        <w:bottom w:val="none" w:sz="0" w:space="0" w:color="auto"/>
        <w:right w:val="none" w:sz="0" w:space="0" w:color="auto"/>
      </w:divBdr>
    </w:div>
    <w:div w:id="234124572">
      <w:bodyDiv w:val="1"/>
      <w:marLeft w:val="0"/>
      <w:marRight w:val="0"/>
      <w:marTop w:val="0"/>
      <w:marBottom w:val="0"/>
      <w:divBdr>
        <w:top w:val="none" w:sz="0" w:space="0" w:color="auto"/>
        <w:left w:val="none" w:sz="0" w:space="0" w:color="auto"/>
        <w:bottom w:val="none" w:sz="0" w:space="0" w:color="auto"/>
        <w:right w:val="none" w:sz="0" w:space="0" w:color="auto"/>
      </w:divBdr>
    </w:div>
    <w:div w:id="300964396">
      <w:bodyDiv w:val="1"/>
      <w:marLeft w:val="0"/>
      <w:marRight w:val="0"/>
      <w:marTop w:val="0"/>
      <w:marBottom w:val="0"/>
      <w:divBdr>
        <w:top w:val="none" w:sz="0" w:space="0" w:color="auto"/>
        <w:left w:val="none" w:sz="0" w:space="0" w:color="auto"/>
        <w:bottom w:val="none" w:sz="0" w:space="0" w:color="auto"/>
        <w:right w:val="none" w:sz="0" w:space="0" w:color="auto"/>
      </w:divBdr>
    </w:div>
    <w:div w:id="488256154">
      <w:bodyDiv w:val="1"/>
      <w:marLeft w:val="0"/>
      <w:marRight w:val="0"/>
      <w:marTop w:val="0"/>
      <w:marBottom w:val="0"/>
      <w:divBdr>
        <w:top w:val="none" w:sz="0" w:space="0" w:color="auto"/>
        <w:left w:val="none" w:sz="0" w:space="0" w:color="auto"/>
        <w:bottom w:val="none" w:sz="0" w:space="0" w:color="auto"/>
        <w:right w:val="none" w:sz="0" w:space="0" w:color="auto"/>
      </w:divBdr>
    </w:div>
    <w:div w:id="532424546">
      <w:bodyDiv w:val="1"/>
      <w:marLeft w:val="0"/>
      <w:marRight w:val="0"/>
      <w:marTop w:val="0"/>
      <w:marBottom w:val="0"/>
      <w:divBdr>
        <w:top w:val="none" w:sz="0" w:space="0" w:color="auto"/>
        <w:left w:val="none" w:sz="0" w:space="0" w:color="auto"/>
        <w:bottom w:val="none" w:sz="0" w:space="0" w:color="auto"/>
        <w:right w:val="none" w:sz="0" w:space="0" w:color="auto"/>
      </w:divBdr>
    </w:div>
    <w:div w:id="649022766">
      <w:bodyDiv w:val="1"/>
      <w:marLeft w:val="0"/>
      <w:marRight w:val="0"/>
      <w:marTop w:val="0"/>
      <w:marBottom w:val="0"/>
      <w:divBdr>
        <w:top w:val="none" w:sz="0" w:space="0" w:color="auto"/>
        <w:left w:val="none" w:sz="0" w:space="0" w:color="auto"/>
        <w:bottom w:val="none" w:sz="0" w:space="0" w:color="auto"/>
        <w:right w:val="none" w:sz="0" w:space="0" w:color="auto"/>
      </w:divBdr>
    </w:div>
    <w:div w:id="783889233">
      <w:bodyDiv w:val="1"/>
      <w:marLeft w:val="0"/>
      <w:marRight w:val="0"/>
      <w:marTop w:val="0"/>
      <w:marBottom w:val="0"/>
      <w:divBdr>
        <w:top w:val="none" w:sz="0" w:space="0" w:color="auto"/>
        <w:left w:val="none" w:sz="0" w:space="0" w:color="auto"/>
        <w:bottom w:val="none" w:sz="0" w:space="0" w:color="auto"/>
        <w:right w:val="none" w:sz="0" w:space="0" w:color="auto"/>
      </w:divBdr>
    </w:div>
    <w:div w:id="803545740">
      <w:bodyDiv w:val="1"/>
      <w:marLeft w:val="0"/>
      <w:marRight w:val="0"/>
      <w:marTop w:val="0"/>
      <w:marBottom w:val="0"/>
      <w:divBdr>
        <w:top w:val="none" w:sz="0" w:space="0" w:color="auto"/>
        <w:left w:val="none" w:sz="0" w:space="0" w:color="auto"/>
        <w:bottom w:val="none" w:sz="0" w:space="0" w:color="auto"/>
        <w:right w:val="none" w:sz="0" w:space="0" w:color="auto"/>
      </w:divBdr>
    </w:div>
    <w:div w:id="817384431">
      <w:bodyDiv w:val="1"/>
      <w:marLeft w:val="0"/>
      <w:marRight w:val="0"/>
      <w:marTop w:val="0"/>
      <w:marBottom w:val="0"/>
      <w:divBdr>
        <w:top w:val="none" w:sz="0" w:space="0" w:color="auto"/>
        <w:left w:val="none" w:sz="0" w:space="0" w:color="auto"/>
        <w:bottom w:val="none" w:sz="0" w:space="0" w:color="auto"/>
        <w:right w:val="none" w:sz="0" w:space="0" w:color="auto"/>
      </w:divBdr>
    </w:div>
    <w:div w:id="989941800">
      <w:bodyDiv w:val="1"/>
      <w:marLeft w:val="0"/>
      <w:marRight w:val="0"/>
      <w:marTop w:val="0"/>
      <w:marBottom w:val="0"/>
      <w:divBdr>
        <w:top w:val="none" w:sz="0" w:space="0" w:color="auto"/>
        <w:left w:val="none" w:sz="0" w:space="0" w:color="auto"/>
        <w:bottom w:val="none" w:sz="0" w:space="0" w:color="auto"/>
        <w:right w:val="none" w:sz="0" w:space="0" w:color="auto"/>
      </w:divBdr>
    </w:div>
    <w:div w:id="1135296041">
      <w:bodyDiv w:val="1"/>
      <w:marLeft w:val="0"/>
      <w:marRight w:val="0"/>
      <w:marTop w:val="0"/>
      <w:marBottom w:val="0"/>
      <w:divBdr>
        <w:top w:val="none" w:sz="0" w:space="0" w:color="auto"/>
        <w:left w:val="none" w:sz="0" w:space="0" w:color="auto"/>
        <w:bottom w:val="none" w:sz="0" w:space="0" w:color="auto"/>
        <w:right w:val="none" w:sz="0" w:space="0" w:color="auto"/>
      </w:divBdr>
    </w:div>
    <w:div w:id="1136491389">
      <w:bodyDiv w:val="1"/>
      <w:marLeft w:val="0"/>
      <w:marRight w:val="0"/>
      <w:marTop w:val="0"/>
      <w:marBottom w:val="0"/>
      <w:divBdr>
        <w:top w:val="none" w:sz="0" w:space="0" w:color="auto"/>
        <w:left w:val="none" w:sz="0" w:space="0" w:color="auto"/>
        <w:bottom w:val="none" w:sz="0" w:space="0" w:color="auto"/>
        <w:right w:val="none" w:sz="0" w:space="0" w:color="auto"/>
      </w:divBdr>
    </w:div>
    <w:div w:id="1818493287">
      <w:bodyDiv w:val="1"/>
      <w:marLeft w:val="0"/>
      <w:marRight w:val="0"/>
      <w:marTop w:val="0"/>
      <w:marBottom w:val="0"/>
      <w:divBdr>
        <w:top w:val="none" w:sz="0" w:space="0" w:color="auto"/>
        <w:left w:val="none" w:sz="0" w:space="0" w:color="auto"/>
        <w:bottom w:val="none" w:sz="0" w:space="0" w:color="auto"/>
        <w:right w:val="none" w:sz="0" w:space="0" w:color="auto"/>
      </w:divBdr>
    </w:div>
    <w:div w:id="1878472149">
      <w:bodyDiv w:val="1"/>
      <w:marLeft w:val="0"/>
      <w:marRight w:val="0"/>
      <w:marTop w:val="0"/>
      <w:marBottom w:val="0"/>
      <w:divBdr>
        <w:top w:val="none" w:sz="0" w:space="0" w:color="auto"/>
        <w:left w:val="none" w:sz="0" w:space="0" w:color="auto"/>
        <w:bottom w:val="none" w:sz="0" w:space="0" w:color="auto"/>
        <w:right w:val="none" w:sz="0" w:space="0" w:color="auto"/>
      </w:divBdr>
      <w:divsChild>
        <w:div w:id="1413502221">
          <w:marLeft w:val="360"/>
          <w:marRight w:val="0"/>
          <w:marTop w:val="200"/>
          <w:marBottom w:val="0"/>
          <w:divBdr>
            <w:top w:val="none" w:sz="0" w:space="0" w:color="auto"/>
            <w:left w:val="none" w:sz="0" w:space="0" w:color="auto"/>
            <w:bottom w:val="none" w:sz="0" w:space="0" w:color="auto"/>
            <w:right w:val="none" w:sz="0" w:space="0" w:color="auto"/>
          </w:divBdr>
        </w:div>
      </w:divsChild>
    </w:div>
    <w:div w:id="206178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hud.gov/hudportal/HUD?src=/program_offices/general_counsel/mffaq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program_offices/housing/mfh/map/maphome/taxcred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HUDDASMFH-1742398994-206093</_dlc_DocId>
    <_dlc_DocIdUrl xmlns="d4a638c4-874f-49c0-bb2b-5cb8563c2b18">
      <Url>https://hudgov.sharepoint.com/sites/DASMFH/OMHD/mapguiderevision/_layouts/15/DocIdRedir.aspx?ID=HUDDASMFH-1742398994-206093</Url>
      <Description>HUDDASMFH-1742398994-206093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ED54D-A219-45BE-9E6A-88804D708821}">
  <ds:schemaRefs>
    <ds:schemaRef ds:uri="http://schemas.microsoft.com/sharepoint/events"/>
  </ds:schemaRefs>
</ds:datastoreItem>
</file>

<file path=customXml/itemProps2.xml><?xml version="1.0" encoding="utf-8"?>
<ds:datastoreItem xmlns:ds="http://schemas.openxmlformats.org/officeDocument/2006/customXml" ds:itemID="{554EDE67-633E-4B72-B5A4-D494867071BB}">
  <ds:schemaRefs>
    <ds:schemaRef ds:uri="http://schemas.openxmlformats.org/officeDocument/2006/bibliography"/>
  </ds:schemaRefs>
</ds:datastoreItem>
</file>

<file path=customXml/itemProps3.xml><?xml version="1.0" encoding="utf-8"?>
<ds:datastoreItem xmlns:ds="http://schemas.openxmlformats.org/officeDocument/2006/customXml" ds:itemID="{E840B52F-DE5F-472E-B528-6BFAD6849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5D93-1698-41BC-AA94-61697F2357A7}">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8194E18A-CA69-4239-AA65-1D05A9F8A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8158</Words>
  <Characters>46504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54553</CharactersWithSpaces>
  <SharedDoc>false</SharedDoc>
  <HLinks>
    <vt:vector size="30" baseType="variant">
      <vt:variant>
        <vt:i4>6029399</vt:i4>
      </vt:variant>
      <vt:variant>
        <vt:i4>3</vt:i4>
      </vt:variant>
      <vt:variant>
        <vt:i4>0</vt:i4>
      </vt:variant>
      <vt:variant>
        <vt:i4>5</vt:i4>
      </vt:variant>
      <vt:variant>
        <vt:lpwstr>https://portal.hud.gov/hudportal/HUD?src=/program_offices/general_counsel/mffaqs</vt:lpwstr>
      </vt:variant>
      <vt:variant>
        <vt:lpwstr/>
      </vt:variant>
      <vt:variant>
        <vt:i4>2228290</vt:i4>
      </vt:variant>
      <vt:variant>
        <vt:i4>0</vt:i4>
      </vt:variant>
      <vt:variant>
        <vt:i4>0</vt:i4>
      </vt:variant>
      <vt:variant>
        <vt:i4>5</vt:i4>
      </vt:variant>
      <vt:variant>
        <vt:lpwstr>https://www.hud.gov/program_offices/housing/mfh/map/maphome/taxcredit</vt:lpwstr>
      </vt:variant>
      <vt:variant>
        <vt:lpwstr/>
      </vt:variant>
      <vt:variant>
        <vt:i4>1966171</vt:i4>
      </vt:variant>
      <vt:variant>
        <vt:i4>6</vt:i4>
      </vt:variant>
      <vt:variant>
        <vt:i4>0</vt:i4>
      </vt:variant>
      <vt:variant>
        <vt:i4>5</vt:i4>
      </vt:variant>
      <vt:variant>
        <vt:lpwstr>https://www.hud.gov/sites/dfiles/Housing/documents/EBL_Memo_030818.pdf</vt:lpwstr>
      </vt:variant>
      <vt:variant>
        <vt:lpwstr/>
      </vt:variant>
      <vt:variant>
        <vt:i4>7798841</vt:i4>
      </vt:variant>
      <vt:variant>
        <vt:i4>3</vt:i4>
      </vt:variant>
      <vt:variant>
        <vt:i4>0</vt:i4>
      </vt:variant>
      <vt:variant>
        <vt:i4>5</vt:i4>
      </vt:variant>
      <vt:variant>
        <vt:lpwstr>https://www.hud.gov/sites/dfiles/OCHCO/documents/LIHTCPilotNotice022119.pdf</vt:lpwstr>
      </vt:variant>
      <vt:variant>
        <vt:lpwstr/>
      </vt:variant>
      <vt:variant>
        <vt:i4>1245214</vt:i4>
      </vt:variant>
      <vt:variant>
        <vt:i4>0</vt:i4>
      </vt:variant>
      <vt:variant>
        <vt:i4>0</vt:i4>
      </vt:variant>
      <vt:variant>
        <vt:i4>5</vt:i4>
      </vt:variant>
      <vt:variant>
        <vt:lpwstr>https://www.hud.gov/sites/documents/11-31HSGN.PDF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2019-06-11T04:51:00Z</cp:lastPrinted>
  <dcterms:created xsi:type="dcterms:W3CDTF">2020-10-27T18:46:00Z</dcterms:created>
  <dcterms:modified xsi:type="dcterms:W3CDTF">2020-10-27T18:46:00Z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9e62f0db-0ac1-444f-b2c0-f3fda925f2fb</vt:lpwstr>
  </property>
</Properties>
</file>